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E5" w:rsidRPr="006421AD" w:rsidRDefault="00E97A96" w:rsidP="00995B7E">
      <w:pPr>
        <w:pStyle w:val="Heading1"/>
        <w:ind w:left="-426" w:right="183"/>
        <w:rPr>
          <w:rFonts w:ascii="Arial" w:hAnsi="Arial" w:cs="Arial"/>
        </w:rPr>
      </w:pPr>
      <w:r>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28pt;margin-top:-28.95pt;width:73.25pt;height:29.15pt;z-index:251658240;visibility:visible;mso-wrap-distance-top:3.6pt;mso-wrap-distance-bottom:3.6pt;mso-position-horizontal-relative:text;mso-position-vertical-relative:text;mso-width-relative:margin;mso-height-relative:margin" stroked="f">
            <v:textbox style="mso-next-textbox:#Text Box 2">
              <w:txbxContent>
                <w:p w:rsidR="00E97A96" w:rsidRPr="00AB1FEA" w:rsidRDefault="00E97A96" w:rsidP="00E97A96">
                  <w:pPr>
                    <w:rPr>
                      <w:rFonts w:ascii="Arial" w:hAnsi="Arial" w:cs="Arial"/>
                      <w:b/>
                      <w:color w:val="5B9BD5"/>
                    </w:rPr>
                  </w:pPr>
                  <w:r>
                    <w:rPr>
                      <w:rFonts w:ascii="Arial" w:hAnsi="Arial" w:cs="Arial"/>
                      <w:b/>
                      <w:color w:val="5B9BD5"/>
                    </w:rPr>
                    <w:t>Item 7.5</w:t>
                  </w:r>
                </w:p>
              </w:txbxContent>
            </v:textbox>
            <w10:wrap type="square"/>
          </v:shape>
        </w:pict>
      </w:r>
      <w:r w:rsidR="00882F92" w:rsidRPr="006421AD">
        <w:rPr>
          <w:rFonts w:ascii="Arial" w:hAnsi="Arial" w:cs="Arial"/>
          <w:sz w:val="24"/>
          <w:szCs w:val="24"/>
        </w:rPr>
        <w:t xml:space="preserve">Board </w:t>
      </w:r>
      <w:r w:rsidR="00513DB0" w:rsidRPr="006421AD">
        <w:rPr>
          <w:rFonts w:ascii="Arial" w:hAnsi="Arial" w:cs="Arial"/>
          <w:sz w:val="24"/>
          <w:szCs w:val="24"/>
        </w:rPr>
        <w:t>M</w:t>
      </w:r>
      <w:r w:rsidR="00A2577B" w:rsidRPr="006421AD">
        <w:rPr>
          <w:rFonts w:ascii="Arial" w:hAnsi="Arial" w:cs="Arial"/>
          <w:sz w:val="24"/>
          <w:szCs w:val="24"/>
        </w:rPr>
        <w:t>eeting</w:t>
      </w:r>
      <w:r w:rsidR="00A2577B" w:rsidRPr="006421AD">
        <w:rPr>
          <w:rFonts w:ascii="Arial" w:hAnsi="Arial" w:cs="Arial"/>
          <w:b w:val="0"/>
          <w:sz w:val="24"/>
          <w:szCs w:val="24"/>
        </w:rPr>
        <w:t>:</w:t>
      </w:r>
      <w:r w:rsidR="00A2577B" w:rsidRPr="006421AD">
        <w:rPr>
          <w:rFonts w:ascii="Arial" w:hAnsi="Arial" w:cs="Arial"/>
          <w:b w:val="0"/>
          <w:sz w:val="24"/>
          <w:szCs w:val="24"/>
        </w:rPr>
        <w:tab/>
      </w:r>
      <w:r w:rsidR="00882F92" w:rsidRPr="006421AD">
        <w:rPr>
          <w:rFonts w:ascii="Arial" w:hAnsi="Arial" w:cs="Arial"/>
          <w:b w:val="0"/>
          <w:sz w:val="24"/>
          <w:szCs w:val="24"/>
        </w:rPr>
        <w:tab/>
      </w:r>
      <w:r w:rsidR="00F57489">
        <w:rPr>
          <w:rFonts w:ascii="Arial" w:hAnsi="Arial" w:cs="Arial"/>
          <w:b w:val="0"/>
          <w:sz w:val="24"/>
          <w:szCs w:val="24"/>
        </w:rPr>
        <w:t>21 November</w:t>
      </w:r>
      <w:r w:rsidR="00196F0E">
        <w:rPr>
          <w:rFonts w:ascii="Arial" w:hAnsi="Arial" w:cs="Arial"/>
          <w:b w:val="0"/>
          <w:sz w:val="24"/>
          <w:szCs w:val="24"/>
        </w:rPr>
        <w:t xml:space="preserve"> 201</w:t>
      </w:r>
      <w:r w:rsidR="00995B7E">
        <w:rPr>
          <w:rFonts w:ascii="Arial" w:hAnsi="Arial" w:cs="Arial"/>
          <w:b w:val="0"/>
          <w:sz w:val="24"/>
          <w:szCs w:val="24"/>
        </w:rPr>
        <w:t>9</w:t>
      </w:r>
      <w:r w:rsidR="00995B7E">
        <w:rPr>
          <w:rFonts w:ascii="Arial" w:hAnsi="Arial" w:cs="Arial"/>
          <w:b w:val="0"/>
          <w:sz w:val="24"/>
          <w:szCs w:val="24"/>
        </w:rPr>
        <w:tab/>
      </w:r>
      <w:r w:rsidR="00995B7E">
        <w:rPr>
          <w:rFonts w:ascii="Arial" w:hAnsi="Arial" w:cs="Arial"/>
          <w:b w:val="0"/>
          <w:sz w:val="24"/>
          <w:szCs w:val="24"/>
        </w:rPr>
        <w:tab/>
      </w:r>
      <w:r w:rsidR="00995B7E">
        <w:rPr>
          <w:rFonts w:ascii="Arial" w:hAnsi="Arial" w:cs="Arial"/>
          <w:b w:val="0"/>
          <w:sz w:val="24"/>
          <w:szCs w:val="24"/>
        </w:rPr>
        <w:tab/>
      </w:r>
      <w:r w:rsidR="00995B7E">
        <w:rPr>
          <w:rFonts w:ascii="Arial" w:hAnsi="Arial" w:cs="Arial"/>
          <w:b w:val="0"/>
          <w:sz w:val="24"/>
          <w:szCs w:val="24"/>
        </w:rPr>
        <w:tab/>
      </w:r>
      <w:r>
        <w:rPr>
          <w:rFonts w:ascii="Arial" w:hAnsi="Arial" w:cs="Arial"/>
          <w:noProof/>
          <w:sz w:val="24"/>
          <w:szCs w:val="24"/>
          <w:lang w:eastAsia="en-GB"/>
        </w:rPr>
        <w:drawing>
          <wp:inline distT="0" distB="0" distL="0" distR="0" wp14:anchorId="73444CA5" wp14:editId="1E3D52A0">
            <wp:extent cx="1123950" cy="457200"/>
            <wp:effectExtent l="0" t="0" r="0" b="0"/>
            <wp:docPr id="3" name="Picture 3" descr="\\Nwtc-filestr01\photographs\Foundation\logos\merge nhs gjf\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tc-filestr01\photographs\Foundation\logos\merge nhs gjf\dual branding.jpg"/>
                    <pic:cNvPicPr>
                      <a:picLocks noChangeAspect="1" noChangeArrowheads="1"/>
                    </pic:cNvPicPr>
                  </pic:nvPicPr>
                  <pic:blipFill>
                    <a:blip r:embed="rId8" cstate="print"/>
                    <a:srcRect/>
                    <a:stretch>
                      <a:fillRect/>
                    </a:stretch>
                  </pic:blipFill>
                  <pic:spPr bwMode="auto">
                    <a:xfrm>
                      <a:off x="0" y="0"/>
                      <a:ext cx="1123950" cy="457200"/>
                    </a:xfrm>
                    <a:prstGeom prst="rect">
                      <a:avLst/>
                    </a:prstGeom>
                    <a:noFill/>
                    <a:ln w="9525">
                      <a:noFill/>
                      <a:miter lim="800000"/>
                      <a:headEnd/>
                      <a:tailEnd/>
                    </a:ln>
                  </pic:spPr>
                </pic:pic>
              </a:graphicData>
            </a:graphic>
          </wp:inline>
        </w:drawing>
      </w:r>
      <w:r w:rsidR="00995B7E">
        <w:rPr>
          <w:rFonts w:ascii="Arial" w:hAnsi="Arial" w:cs="Arial"/>
          <w:b w:val="0"/>
          <w:sz w:val="24"/>
          <w:szCs w:val="24"/>
        </w:rPr>
        <w:tab/>
      </w:r>
      <w:r w:rsidR="00196F0E">
        <w:rPr>
          <w:rFonts w:ascii="Arial" w:hAnsi="Arial" w:cs="Arial"/>
          <w:b w:val="0"/>
          <w:sz w:val="24"/>
          <w:szCs w:val="24"/>
        </w:rPr>
        <w:br/>
      </w:r>
    </w:p>
    <w:p w:rsidR="00A2577B" w:rsidRDefault="00A2577B" w:rsidP="00D53503">
      <w:pPr>
        <w:ind w:left="2160" w:hanging="2586"/>
        <w:rPr>
          <w:rFonts w:ascii="Arial" w:hAnsi="Arial" w:cs="Arial"/>
          <w:bCs/>
        </w:rPr>
      </w:pPr>
      <w:r w:rsidRPr="006421AD">
        <w:rPr>
          <w:rFonts w:ascii="Arial" w:hAnsi="Arial" w:cs="Arial"/>
          <w:b/>
          <w:bCs/>
        </w:rPr>
        <w:t xml:space="preserve">Subject: </w:t>
      </w:r>
      <w:r w:rsidRPr="006421AD">
        <w:rPr>
          <w:rFonts w:ascii="Arial" w:hAnsi="Arial" w:cs="Arial"/>
          <w:b/>
          <w:bCs/>
        </w:rPr>
        <w:tab/>
      </w:r>
      <w:r w:rsidR="00271671" w:rsidRPr="00271671">
        <w:rPr>
          <w:rFonts w:ascii="Arial" w:hAnsi="Arial" w:cs="Arial"/>
          <w:bCs/>
        </w:rPr>
        <w:t>Audit and Risk</w:t>
      </w:r>
      <w:r w:rsidR="00271671">
        <w:rPr>
          <w:rFonts w:ascii="Arial" w:hAnsi="Arial" w:cs="Arial"/>
          <w:bCs/>
        </w:rPr>
        <w:t xml:space="preserve"> </w:t>
      </w:r>
      <w:r w:rsidR="00271671" w:rsidRPr="006D18C0">
        <w:rPr>
          <w:rFonts w:ascii="Arial" w:hAnsi="Arial" w:cs="Arial"/>
          <w:bCs/>
        </w:rPr>
        <w:t xml:space="preserve">Committee </w:t>
      </w:r>
      <w:r w:rsidR="006D18C0" w:rsidRPr="006D18C0">
        <w:rPr>
          <w:rFonts w:ascii="Arial" w:hAnsi="Arial" w:cs="Arial"/>
          <w:bCs/>
        </w:rPr>
        <w:t>U</w:t>
      </w:r>
      <w:bookmarkStart w:id="0" w:name="_GoBack"/>
      <w:bookmarkEnd w:id="0"/>
      <w:r w:rsidR="006421AD" w:rsidRPr="006421AD">
        <w:rPr>
          <w:rFonts w:ascii="Arial" w:hAnsi="Arial" w:cs="Arial"/>
          <w:bCs/>
        </w:rPr>
        <w:t>pdate</w:t>
      </w:r>
      <w:r w:rsidR="006D18C0">
        <w:rPr>
          <w:rFonts w:ascii="Arial" w:hAnsi="Arial" w:cs="Arial"/>
          <w:bCs/>
        </w:rPr>
        <w:br/>
      </w:r>
      <w:r w:rsidR="00F57489">
        <w:rPr>
          <w:rFonts w:ascii="Arial" w:hAnsi="Arial" w:cs="Arial"/>
          <w:bCs/>
        </w:rPr>
        <w:t>22 October</w:t>
      </w:r>
      <w:r w:rsidR="00196F0E">
        <w:rPr>
          <w:rFonts w:ascii="Arial" w:hAnsi="Arial" w:cs="Arial"/>
          <w:bCs/>
        </w:rPr>
        <w:t xml:space="preserve"> 2019</w:t>
      </w:r>
    </w:p>
    <w:p w:rsidR="00995B7E" w:rsidRPr="001A7A26" w:rsidRDefault="00995B7E" w:rsidP="00196F0E">
      <w:pPr>
        <w:ind w:left="2160" w:hanging="2586"/>
        <w:rPr>
          <w:rFonts w:ascii="Arial" w:hAnsi="Arial" w:cs="Arial"/>
        </w:rPr>
      </w:pPr>
    </w:p>
    <w:tbl>
      <w:tblPr>
        <w:tblW w:w="9356" w:type="dxa"/>
        <w:tblInd w:w="-318" w:type="dxa"/>
        <w:tblLayout w:type="fixed"/>
        <w:tblLook w:val="04A0" w:firstRow="1" w:lastRow="0" w:firstColumn="1" w:lastColumn="0" w:noHBand="0" w:noVBand="1"/>
      </w:tblPr>
      <w:tblGrid>
        <w:gridCol w:w="2557"/>
        <w:gridCol w:w="6799"/>
      </w:tblGrid>
      <w:tr w:rsidR="000D0D69" w:rsidRPr="00B5719A" w:rsidTr="0085723B">
        <w:trPr>
          <w:trHeight w:val="499"/>
        </w:trPr>
        <w:tc>
          <w:tcPr>
            <w:tcW w:w="2557" w:type="dxa"/>
          </w:tcPr>
          <w:p w:rsidR="000D0D69" w:rsidRPr="00B5719A" w:rsidRDefault="000D0D69" w:rsidP="0085723B">
            <w:pPr>
              <w:pStyle w:val="Heading1"/>
              <w:spacing w:before="120" w:after="60"/>
              <w:ind w:right="183" w:hanging="108"/>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tcPr>
          <w:p w:rsidR="000D0D69" w:rsidRDefault="000D0D69" w:rsidP="0085723B">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995B7E" w:rsidRPr="00995B7E" w:rsidRDefault="00995B7E" w:rsidP="00995B7E"/>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1134"/>
            </w:tblGrid>
            <w:tr w:rsidR="000D0D69" w:rsidRPr="00B5719A" w:rsidTr="00995B7E">
              <w:tc>
                <w:tcPr>
                  <w:tcW w:w="4990" w:type="dxa"/>
                </w:tcPr>
                <w:p w:rsidR="00196F0E" w:rsidRPr="00995B7E" w:rsidRDefault="000D0D69" w:rsidP="00995B7E">
                  <w:pPr>
                    <w:pStyle w:val="Heading1"/>
                    <w:ind w:right="183"/>
                    <w:contextualSpacing/>
                    <w:rPr>
                      <w:rFonts w:ascii="Arial" w:hAnsi="Arial" w:cs="Arial"/>
                      <w:b w:val="0"/>
                      <w:sz w:val="24"/>
                      <w:szCs w:val="24"/>
                    </w:rPr>
                  </w:pPr>
                  <w:r w:rsidRPr="00B5719A">
                    <w:rPr>
                      <w:rFonts w:ascii="Arial" w:hAnsi="Arial" w:cs="Arial"/>
                      <w:b w:val="0"/>
                      <w:sz w:val="24"/>
                      <w:szCs w:val="24"/>
                    </w:rPr>
                    <w:t>Discuss and Note</w:t>
                  </w:r>
                </w:p>
              </w:tc>
              <w:tc>
                <w:tcPr>
                  <w:tcW w:w="1134" w:type="dxa"/>
                </w:tcPr>
                <w:p w:rsidR="000D0D69" w:rsidRPr="00B5719A" w:rsidRDefault="000D0D69" w:rsidP="000D0D69">
                  <w:pPr>
                    <w:contextualSpacing/>
                    <w:rPr>
                      <w:rFonts w:ascii="Arial" w:hAnsi="Arial" w:cs="Arial"/>
                    </w:rPr>
                  </w:pPr>
                  <w:r>
                    <w:rPr>
                      <w:rFonts w:ascii="Arial" w:hAnsi="Arial" w:cs="Arial"/>
                    </w:rPr>
                    <w:t>X</w:t>
                  </w:r>
                </w:p>
              </w:tc>
            </w:tr>
            <w:tr w:rsidR="000D0D69" w:rsidRPr="00B5719A" w:rsidTr="00995B7E">
              <w:tc>
                <w:tcPr>
                  <w:tcW w:w="4990" w:type="dxa"/>
                </w:tcPr>
                <w:p w:rsidR="00196F0E" w:rsidRPr="00995B7E" w:rsidRDefault="000D0D69" w:rsidP="00995B7E">
                  <w:pPr>
                    <w:pStyle w:val="Heading1"/>
                    <w:ind w:right="183"/>
                    <w:contextualSpacing/>
                    <w:rPr>
                      <w:rFonts w:ascii="Arial" w:hAnsi="Arial" w:cs="Arial"/>
                      <w:b w:val="0"/>
                      <w:sz w:val="24"/>
                      <w:szCs w:val="24"/>
                    </w:rPr>
                  </w:pPr>
                  <w:r w:rsidRPr="00B5719A">
                    <w:rPr>
                      <w:rFonts w:ascii="Arial" w:hAnsi="Arial" w:cs="Arial"/>
                      <w:b w:val="0"/>
                      <w:sz w:val="24"/>
                      <w:szCs w:val="24"/>
                    </w:rPr>
                    <w:t>Discuss and Approve</w:t>
                  </w:r>
                </w:p>
              </w:tc>
              <w:tc>
                <w:tcPr>
                  <w:tcW w:w="1134" w:type="dxa"/>
                </w:tcPr>
                <w:p w:rsidR="000D0D69" w:rsidRPr="00B5719A" w:rsidRDefault="000D0D69" w:rsidP="000D0D69">
                  <w:pPr>
                    <w:contextualSpacing/>
                    <w:rPr>
                      <w:rFonts w:ascii="Arial" w:hAnsi="Arial" w:cs="Arial"/>
                    </w:rPr>
                  </w:pPr>
                </w:p>
              </w:tc>
            </w:tr>
            <w:tr w:rsidR="000D0D69" w:rsidRPr="00B5719A" w:rsidTr="00995B7E">
              <w:tc>
                <w:tcPr>
                  <w:tcW w:w="4990" w:type="dxa"/>
                </w:tcPr>
                <w:p w:rsidR="00196F0E" w:rsidRPr="00995B7E" w:rsidRDefault="000D0D69" w:rsidP="00995B7E">
                  <w:pPr>
                    <w:pStyle w:val="Heading1"/>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1134" w:type="dxa"/>
                </w:tcPr>
                <w:p w:rsidR="000D0D69" w:rsidRPr="00B5719A" w:rsidRDefault="000D0D69" w:rsidP="000D0D69">
                  <w:pPr>
                    <w:contextualSpacing/>
                    <w:rPr>
                      <w:rFonts w:ascii="Arial" w:hAnsi="Arial" w:cs="Arial"/>
                    </w:rPr>
                  </w:pPr>
                </w:p>
              </w:tc>
            </w:tr>
          </w:tbl>
          <w:p w:rsidR="000D0D69" w:rsidRPr="00B5719A" w:rsidRDefault="000D0D69" w:rsidP="0085723B">
            <w:pPr>
              <w:spacing w:before="120" w:after="60"/>
              <w:contextualSpacing/>
              <w:rPr>
                <w:rFonts w:ascii="Arial" w:hAnsi="Arial" w:cs="Arial"/>
              </w:rPr>
            </w:pPr>
          </w:p>
        </w:tc>
      </w:tr>
      <w:tr w:rsidR="000D0D69" w:rsidRPr="00B5719A" w:rsidTr="007261DF">
        <w:trPr>
          <w:trHeight w:val="297"/>
        </w:trPr>
        <w:tc>
          <w:tcPr>
            <w:tcW w:w="2557" w:type="dxa"/>
            <w:tcBorders>
              <w:bottom w:val="single" w:sz="4" w:space="0" w:color="auto"/>
            </w:tcBorders>
          </w:tcPr>
          <w:p w:rsidR="000D0D69" w:rsidRPr="00B5719A" w:rsidRDefault="000D0D69" w:rsidP="0085723B">
            <w:pPr>
              <w:pStyle w:val="Heading1"/>
              <w:spacing w:before="120" w:after="60"/>
              <w:ind w:right="183"/>
              <w:contextualSpacing/>
              <w:rPr>
                <w:rFonts w:ascii="Arial" w:hAnsi="Arial" w:cs="Arial"/>
                <w:bCs w:val="0"/>
                <w:sz w:val="24"/>
                <w:szCs w:val="24"/>
              </w:rPr>
            </w:pPr>
          </w:p>
        </w:tc>
        <w:tc>
          <w:tcPr>
            <w:tcW w:w="6799" w:type="dxa"/>
            <w:tcBorders>
              <w:bottom w:val="single" w:sz="4" w:space="0" w:color="auto"/>
            </w:tcBorders>
          </w:tcPr>
          <w:p w:rsidR="000D0D69" w:rsidRPr="00B5719A" w:rsidRDefault="000D0D69" w:rsidP="0085723B">
            <w:pPr>
              <w:pStyle w:val="Heading1"/>
              <w:spacing w:before="120" w:after="60"/>
              <w:ind w:right="183"/>
              <w:contextualSpacing/>
              <w:rPr>
                <w:rFonts w:ascii="Arial" w:hAnsi="Arial" w:cs="Arial"/>
                <w:b w:val="0"/>
                <w:sz w:val="24"/>
                <w:szCs w:val="24"/>
              </w:rPr>
            </w:pPr>
          </w:p>
        </w:tc>
      </w:tr>
    </w:tbl>
    <w:p w:rsidR="001175E5" w:rsidRPr="006421AD" w:rsidRDefault="001175E5" w:rsidP="00506517">
      <w:pPr>
        <w:pStyle w:val="Heading2"/>
        <w:ind w:left="-426" w:right="183"/>
        <w:rPr>
          <w:i w:val="0"/>
          <w:sz w:val="24"/>
          <w:szCs w:val="24"/>
        </w:rPr>
      </w:pPr>
      <w:r w:rsidRPr="006421AD">
        <w:rPr>
          <w:i w:val="0"/>
          <w:sz w:val="24"/>
          <w:szCs w:val="24"/>
        </w:rPr>
        <w:t>1</w:t>
      </w:r>
      <w:r w:rsidRPr="006421AD">
        <w:rPr>
          <w:i w:val="0"/>
          <w:sz w:val="24"/>
          <w:szCs w:val="24"/>
        </w:rPr>
        <w:tab/>
        <w:t>Background</w:t>
      </w:r>
    </w:p>
    <w:p w:rsidR="006D232B" w:rsidRPr="006421AD" w:rsidRDefault="001175E5" w:rsidP="00506517">
      <w:pPr>
        <w:ind w:left="-426" w:right="183"/>
        <w:rPr>
          <w:rFonts w:ascii="Arial" w:hAnsi="Arial" w:cs="Arial"/>
          <w:b/>
          <w:bCs/>
        </w:rPr>
      </w:pPr>
      <w:r w:rsidRPr="006421AD">
        <w:rPr>
          <w:rFonts w:ascii="Arial" w:hAnsi="Arial" w:cs="Arial"/>
          <w:b/>
          <w:bCs/>
        </w:rPr>
        <w:tab/>
      </w:r>
    </w:p>
    <w:p w:rsidR="006D232B" w:rsidRPr="006421AD" w:rsidRDefault="006D232B" w:rsidP="00506517">
      <w:pPr>
        <w:rPr>
          <w:rFonts w:ascii="Arial" w:hAnsi="Arial" w:cs="Arial"/>
        </w:rPr>
      </w:pPr>
      <w:r w:rsidRPr="006421AD">
        <w:rPr>
          <w:rFonts w:ascii="Arial" w:hAnsi="Arial" w:cs="Arial"/>
        </w:rPr>
        <w:t>The following key points were agreed at the meeting and have been split into the three high level quality ambitions of person centred, safe, and effective.</w:t>
      </w:r>
    </w:p>
    <w:p w:rsidR="0026349B" w:rsidRPr="006421AD" w:rsidRDefault="0026349B" w:rsidP="006421A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6349B" w:rsidRPr="0026349B" w:rsidTr="00DA18FB">
        <w:tc>
          <w:tcPr>
            <w:tcW w:w="9322" w:type="dxa"/>
            <w:shd w:val="clear" w:color="auto" w:fill="92CDDC"/>
          </w:tcPr>
          <w:p w:rsidR="0026349B" w:rsidRPr="00611634" w:rsidRDefault="0026349B" w:rsidP="000D0D69">
            <w:pPr>
              <w:tabs>
                <w:tab w:val="center" w:pos="4153"/>
                <w:tab w:val="right" w:pos="8306"/>
              </w:tabs>
              <w:spacing w:before="120" w:after="120"/>
              <w:contextualSpacing/>
              <w:rPr>
                <w:rFonts w:ascii="Arial" w:hAnsi="Arial" w:cs="Arial"/>
                <w:b/>
                <w:color w:val="000000"/>
              </w:rPr>
            </w:pPr>
            <w:r w:rsidRPr="00611634">
              <w:rPr>
                <w:rFonts w:ascii="Arial" w:hAnsi="Arial" w:cs="Arial"/>
                <w:b/>
                <w:color w:val="000000"/>
              </w:rPr>
              <w:t>Person Centred</w:t>
            </w:r>
          </w:p>
        </w:tc>
      </w:tr>
      <w:tr w:rsidR="0026349B" w:rsidRPr="00611634" w:rsidTr="0026349B">
        <w:tc>
          <w:tcPr>
            <w:tcW w:w="9322" w:type="dxa"/>
            <w:tcBorders>
              <w:bottom w:val="single" w:sz="4" w:space="0" w:color="auto"/>
            </w:tcBorders>
            <w:shd w:val="clear" w:color="auto" w:fill="DAEEF3"/>
          </w:tcPr>
          <w:p w:rsidR="0026349B" w:rsidRPr="00611634" w:rsidRDefault="0026349B" w:rsidP="000D0D69">
            <w:pPr>
              <w:pStyle w:val="ListParagraph"/>
              <w:spacing w:before="120" w:after="120"/>
              <w:ind w:left="0"/>
              <w:contextualSpacing/>
              <w:rPr>
                <w:b/>
                <w:color w:val="000000"/>
                <w:sz w:val="22"/>
                <w:szCs w:val="22"/>
              </w:rPr>
            </w:pPr>
            <w:r w:rsidRPr="00611634">
              <w:rPr>
                <w:b/>
                <w:color w:val="000000"/>
                <w:sz w:val="22"/>
                <w:szCs w:val="22"/>
              </w:rPr>
              <w:t>Mutually beneficial partnerships between patients, their families and those delivering healthcare services which respect individual needs and values and which demonstrate compassion, continuity, clear communication and shared decision-making.</w:t>
            </w:r>
          </w:p>
        </w:tc>
      </w:tr>
      <w:tr w:rsidR="00752CB2" w:rsidRPr="0036151B" w:rsidTr="0056181B">
        <w:trPr>
          <w:trHeight w:val="983"/>
        </w:trPr>
        <w:tc>
          <w:tcPr>
            <w:tcW w:w="9322" w:type="dxa"/>
            <w:shd w:val="clear" w:color="auto" w:fill="auto"/>
          </w:tcPr>
          <w:p w:rsidR="00196F0E" w:rsidRPr="00196F0E" w:rsidRDefault="006E6535" w:rsidP="00A5117B">
            <w:pPr>
              <w:numPr>
                <w:ilvl w:val="0"/>
                <w:numId w:val="17"/>
              </w:numPr>
              <w:spacing w:before="120" w:after="120"/>
              <w:ind w:left="426" w:hanging="426"/>
              <w:rPr>
                <w:rFonts w:ascii="Arial" w:hAnsi="Arial" w:cs="Arial"/>
                <w:color w:val="000000"/>
              </w:rPr>
            </w:pPr>
            <w:r>
              <w:rPr>
                <w:rFonts w:ascii="Arial" w:hAnsi="Arial" w:cs="Arial"/>
                <w:color w:val="000000" w:themeColor="text1"/>
              </w:rPr>
              <w:t xml:space="preserve">An update on </w:t>
            </w:r>
            <w:r w:rsidR="00196F0E">
              <w:rPr>
                <w:rFonts w:ascii="Arial" w:hAnsi="Arial" w:cs="Arial"/>
                <w:color w:val="000000" w:themeColor="text1"/>
              </w:rPr>
              <w:t xml:space="preserve">Prevention of </w:t>
            </w:r>
            <w:r w:rsidR="00196F0E" w:rsidRPr="00BE7DF1">
              <w:rPr>
                <w:rFonts w:ascii="Arial" w:hAnsi="Arial" w:cs="Arial"/>
                <w:color w:val="000000" w:themeColor="text1"/>
              </w:rPr>
              <w:t xml:space="preserve">Fraud </w:t>
            </w:r>
            <w:r>
              <w:rPr>
                <w:rFonts w:ascii="Arial" w:hAnsi="Arial" w:cs="Arial"/>
                <w:color w:val="000000" w:themeColor="text1"/>
              </w:rPr>
              <w:t xml:space="preserve">was noted by the committee </w:t>
            </w:r>
            <w:r w:rsidR="00A5117B">
              <w:rPr>
                <w:rFonts w:ascii="Arial" w:hAnsi="Arial" w:cs="Arial"/>
                <w:color w:val="000000" w:themeColor="text1"/>
              </w:rPr>
              <w:t>on</w:t>
            </w:r>
            <w:r>
              <w:rPr>
                <w:rFonts w:ascii="Arial" w:hAnsi="Arial" w:cs="Arial"/>
                <w:color w:val="000000" w:themeColor="text1"/>
              </w:rPr>
              <w:t xml:space="preserve"> work</w:t>
            </w:r>
            <w:r w:rsidR="00F57489">
              <w:rPr>
                <w:rFonts w:ascii="Arial" w:hAnsi="Arial" w:cs="Arial"/>
                <w:color w:val="000000" w:themeColor="text1"/>
              </w:rPr>
              <w:t xml:space="preserve"> </w:t>
            </w:r>
            <w:r>
              <w:rPr>
                <w:rFonts w:ascii="Arial" w:hAnsi="Arial" w:cs="Arial"/>
                <w:color w:val="000000" w:themeColor="text1"/>
              </w:rPr>
              <w:t>undertaken throughout the year</w:t>
            </w:r>
            <w:r w:rsidR="00F57489">
              <w:rPr>
                <w:rFonts w:ascii="Arial" w:hAnsi="Arial" w:cs="Arial"/>
                <w:color w:val="000000" w:themeColor="text1"/>
              </w:rPr>
              <w:t xml:space="preserve"> and forthcoming activities</w:t>
            </w:r>
            <w:r>
              <w:rPr>
                <w:rFonts w:ascii="Arial" w:hAnsi="Arial" w:cs="Arial"/>
                <w:color w:val="000000" w:themeColor="text1"/>
              </w:rPr>
              <w:t>.</w:t>
            </w:r>
          </w:p>
          <w:p w:rsidR="00196F0E" w:rsidRPr="000D0D69" w:rsidRDefault="00F57489" w:rsidP="00F57489">
            <w:pPr>
              <w:numPr>
                <w:ilvl w:val="0"/>
                <w:numId w:val="17"/>
              </w:numPr>
              <w:tabs>
                <w:tab w:val="left" w:pos="426"/>
              </w:tabs>
              <w:spacing w:before="120" w:after="120"/>
              <w:ind w:left="426" w:hanging="426"/>
              <w:rPr>
                <w:rFonts w:ascii="Arial" w:hAnsi="Arial" w:cs="Arial"/>
                <w:color w:val="000000"/>
              </w:rPr>
            </w:pPr>
            <w:r>
              <w:rPr>
                <w:rFonts w:ascii="Arial" w:hAnsi="Arial" w:cs="Arial"/>
                <w:color w:val="000000"/>
              </w:rPr>
              <w:t>National Fraud Initiative Annual report is expected to be issued soon and will be presented to the next committee meeting.</w:t>
            </w:r>
          </w:p>
        </w:tc>
      </w:tr>
      <w:tr w:rsidR="0026349B" w:rsidRPr="0026349B" w:rsidTr="00DA18FB">
        <w:tc>
          <w:tcPr>
            <w:tcW w:w="9322" w:type="dxa"/>
            <w:shd w:val="clear" w:color="auto" w:fill="92CDDC"/>
          </w:tcPr>
          <w:p w:rsidR="0026349B" w:rsidRPr="00611634" w:rsidRDefault="0026349B" w:rsidP="000D0D69">
            <w:pPr>
              <w:tabs>
                <w:tab w:val="center" w:pos="4153"/>
                <w:tab w:val="right" w:pos="8306"/>
              </w:tabs>
              <w:spacing w:before="120" w:after="120"/>
              <w:contextualSpacing/>
              <w:rPr>
                <w:rFonts w:ascii="Arial" w:hAnsi="Arial" w:cs="Arial"/>
                <w:b/>
                <w:color w:val="000000"/>
              </w:rPr>
            </w:pPr>
            <w:r w:rsidRPr="00611634">
              <w:rPr>
                <w:rFonts w:ascii="Arial" w:hAnsi="Arial" w:cs="Arial"/>
                <w:b/>
                <w:color w:val="000000"/>
              </w:rPr>
              <w:t>Safe</w:t>
            </w:r>
          </w:p>
        </w:tc>
      </w:tr>
      <w:tr w:rsidR="0026349B" w:rsidRPr="0036151B" w:rsidTr="0026349B">
        <w:tc>
          <w:tcPr>
            <w:tcW w:w="9322" w:type="dxa"/>
            <w:tcBorders>
              <w:bottom w:val="single" w:sz="4" w:space="0" w:color="auto"/>
            </w:tcBorders>
            <w:shd w:val="clear" w:color="auto" w:fill="DAEEF3"/>
          </w:tcPr>
          <w:p w:rsidR="0026349B" w:rsidRPr="00611634" w:rsidRDefault="0026349B" w:rsidP="000D0D69">
            <w:pPr>
              <w:pStyle w:val="ListParagraph"/>
              <w:spacing w:before="120" w:after="120"/>
              <w:ind w:left="0"/>
              <w:contextualSpacing/>
              <w:rPr>
                <w:b/>
                <w:color w:val="000000"/>
                <w:sz w:val="22"/>
                <w:szCs w:val="22"/>
              </w:rPr>
            </w:pPr>
            <w:r w:rsidRPr="00611634">
              <w:rPr>
                <w:b/>
                <w:color w:val="000000"/>
                <w:sz w:val="22"/>
                <w:szCs w:val="22"/>
              </w:rPr>
              <w:t>There will be no avoidable injury or harm to people from healthcare they receive, and an appropriate, clean and safe environment will be provided for the delivery of healthcare services at all times.</w:t>
            </w:r>
          </w:p>
        </w:tc>
      </w:tr>
      <w:tr w:rsidR="00A31C57" w:rsidRPr="0036151B" w:rsidTr="00741AB2">
        <w:trPr>
          <w:trHeight w:val="557"/>
        </w:trPr>
        <w:tc>
          <w:tcPr>
            <w:tcW w:w="9322" w:type="dxa"/>
            <w:shd w:val="clear" w:color="auto" w:fill="auto"/>
          </w:tcPr>
          <w:p w:rsidR="0056181B" w:rsidRPr="000113FF" w:rsidRDefault="00692DED" w:rsidP="000113FF">
            <w:pPr>
              <w:pStyle w:val="ListParagraph"/>
              <w:numPr>
                <w:ilvl w:val="0"/>
                <w:numId w:val="28"/>
              </w:numPr>
              <w:spacing w:before="120" w:after="120"/>
              <w:ind w:left="567" w:hanging="425"/>
              <w:rPr>
                <w:lang w:val="en-US"/>
              </w:rPr>
            </w:pPr>
            <w:r w:rsidRPr="00F57489">
              <w:rPr>
                <w:color w:val="000000"/>
              </w:rPr>
              <w:t xml:space="preserve">A review of the </w:t>
            </w:r>
            <w:r w:rsidR="001A7A26" w:rsidRPr="00F57489">
              <w:rPr>
                <w:color w:val="000000"/>
              </w:rPr>
              <w:t xml:space="preserve">Board Risk Register </w:t>
            </w:r>
            <w:r w:rsidR="000120BD" w:rsidRPr="00F57489">
              <w:rPr>
                <w:color w:val="000000"/>
              </w:rPr>
              <w:t xml:space="preserve">highlighted </w:t>
            </w:r>
            <w:r w:rsidR="005C5849" w:rsidRPr="00F57489">
              <w:rPr>
                <w:color w:val="000000"/>
              </w:rPr>
              <w:t xml:space="preserve">proposed </w:t>
            </w:r>
            <w:r w:rsidR="0056181B" w:rsidRPr="00F57489">
              <w:rPr>
                <w:color w:val="000000"/>
              </w:rPr>
              <w:t>changes to the following risks</w:t>
            </w:r>
            <w:r w:rsidR="005C5849" w:rsidRPr="00F57489">
              <w:rPr>
                <w:color w:val="000000"/>
              </w:rPr>
              <w:t xml:space="preserve"> and members were satisfied with recommendations</w:t>
            </w:r>
            <w:r w:rsidR="0056181B" w:rsidRPr="00F57489">
              <w:rPr>
                <w:color w:val="000000"/>
              </w:rPr>
              <w:t>:</w:t>
            </w:r>
          </w:p>
          <w:p w:rsidR="005C5849" w:rsidRPr="000113FF" w:rsidRDefault="000113FF" w:rsidP="00340EEE">
            <w:pPr>
              <w:pStyle w:val="ListParagraph"/>
              <w:numPr>
                <w:ilvl w:val="0"/>
                <w:numId w:val="34"/>
              </w:numPr>
              <w:spacing w:before="120" w:after="120"/>
              <w:ind w:left="993" w:hanging="426"/>
              <w:rPr>
                <w:lang w:val="en-US"/>
              </w:rPr>
            </w:pPr>
            <w:r w:rsidRPr="000113FF">
              <w:rPr>
                <w:lang w:val="en-US"/>
              </w:rPr>
              <w:t>E</w:t>
            </w:r>
            <w:r w:rsidR="00F57489" w:rsidRPr="000113FF">
              <w:rPr>
                <w:color w:val="000000" w:themeColor="text1"/>
              </w:rPr>
              <w:t>U Withdrawal - all contingencies as far as possible have been put in place. This risk was increased to high level</w:t>
            </w:r>
            <w:r w:rsidR="005C5849" w:rsidRPr="000113FF">
              <w:rPr>
                <w:color w:val="000000"/>
              </w:rPr>
              <w:t>.</w:t>
            </w:r>
          </w:p>
          <w:p w:rsidR="00F57489" w:rsidRPr="000113FF" w:rsidRDefault="000113FF" w:rsidP="00340EEE">
            <w:pPr>
              <w:pStyle w:val="ListParagraph"/>
              <w:numPr>
                <w:ilvl w:val="0"/>
                <w:numId w:val="34"/>
              </w:numPr>
              <w:spacing w:before="120" w:after="120"/>
              <w:ind w:left="993" w:hanging="426"/>
              <w:rPr>
                <w:lang w:val="en-US"/>
              </w:rPr>
            </w:pPr>
            <w:r w:rsidRPr="000113FF">
              <w:rPr>
                <w:lang w:val="en-US"/>
              </w:rPr>
              <w:t>W</w:t>
            </w:r>
            <w:r w:rsidR="00F57489" w:rsidRPr="000113FF">
              <w:rPr>
                <w:color w:val="000000" w:themeColor="text1"/>
              </w:rPr>
              <w:t>aiting Times - will be reviewed and discussed in detail at the Board Workshop cutting into speciality areas to reflect risks as they vary depending on speciality, in particular Cardiac Waiting Times. This was added as a new risk.</w:t>
            </w:r>
          </w:p>
          <w:p w:rsidR="00F57489" w:rsidRPr="00F57489" w:rsidRDefault="00F57489" w:rsidP="00340EEE">
            <w:pPr>
              <w:pStyle w:val="ListParagraph"/>
              <w:numPr>
                <w:ilvl w:val="0"/>
                <w:numId w:val="34"/>
              </w:numPr>
              <w:spacing w:before="120" w:after="120"/>
              <w:ind w:left="993" w:hanging="426"/>
              <w:rPr>
                <w:lang w:val="en-US"/>
              </w:rPr>
            </w:pPr>
            <w:r>
              <w:rPr>
                <w:color w:val="000000" w:themeColor="text1"/>
              </w:rPr>
              <w:t>I</w:t>
            </w:r>
            <w:r w:rsidR="006549F5">
              <w:rPr>
                <w:color w:val="000000" w:themeColor="text1"/>
              </w:rPr>
              <w:t>nfection Control Doctor s</w:t>
            </w:r>
            <w:r w:rsidRPr="004721E9">
              <w:rPr>
                <w:color w:val="000000" w:themeColor="text1"/>
              </w:rPr>
              <w:t xml:space="preserve">upport to Expansion Programme services </w:t>
            </w:r>
            <w:r>
              <w:rPr>
                <w:color w:val="000000" w:themeColor="text1"/>
              </w:rPr>
              <w:t>has been added as high risk.</w:t>
            </w:r>
          </w:p>
          <w:p w:rsidR="00F57489" w:rsidRDefault="002B502F" w:rsidP="00466660">
            <w:pPr>
              <w:pStyle w:val="ListParagraph"/>
              <w:numPr>
                <w:ilvl w:val="0"/>
                <w:numId w:val="28"/>
              </w:numPr>
              <w:spacing w:before="120" w:after="120"/>
              <w:ind w:left="567" w:hanging="425"/>
              <w:rPr>
                <w:lang w:val="en-US"/>
              </w:rPr>
            </w:pPr>
            <w:r>
              <w:rPr>
                <w:lang w:val="en-US"/>
              </w:rPr>
              <w:t>The c</w:t>
            </w:r>
            <w:r w:rsidR="000113FF">
              <w:rPr>
                <w:lang w:val="en-US"/>
              </w:rPr>
              <w:t>ommittee were informed that a National Review of Standing Orders was being undertaken with input from the Board Secretary Group aligning with Once for Scotland approach. It is anticipated that</w:t>
            </w:r>
            <w:r>
              <w:rPr>
                <w:lang w:val="en-US"/>
              </w:rPr>
              <w:t xml:space="preserve"> the new model will be implemented </w:t>
            </w:r>
            <w:r>
              <w:rPr>
                <w:lang w:val="en-US"/>
              </w:rPr>
              <w:lastRenderedPageBreak/>
              <w:t>by</w:t>
            </w:r>
            <w:r w:rsidR="000113FF">
              <w:rPr>
                <w:lang w:val="en-US"/>
              </w:rPr>
              <w:t xml:space="preserve"> the end of the financial year.</w:t>
            </w:r>
          </w:p>
          <w:p w:rsidR="00196F0E" w:rsidRPr="00466660" w:rsidRDefault="000113FF" w:rsidP="007261DF">
            <w:pPr>
              <w:pStyle w:val="ListParagraph"/>
              <w:numPr>
                <w:ilvl w:val="0"/>
                <w:numId w:val="28"/>
              </w:numPr>
              <w:spacing w:before="120" w:after="120"/>
              <w:ind w:left="567" w:hanging="425"/>
              <w:rPr>
                <w:lang w:val="en-US"/>
              </w:rPr>
            </w:pPr>
            <w:r>
              <w:rPr>
                <w:lang w:val="en-US"/>
              </w:rPr>
              <w:t xml:space="preserve">Members received assurance </w:t>
            </w:r>
            <w:r w:rsidR="00466660">
              <w:rPr>
                <w:lang w:val="en-US"/>
              </w:rPr>
              <w:t>that the Board has achieved Cyber Essentials Accreditation and Cyber Security Workshops have been delivered to staff with</w:t>
            </w:r>
            <w:r w:rsidR="007261DF">
              <w:rPr>
                <w:lang w:val="en-US"/>
              </w:rPr>
              <w:br/>
              <w:t>good attendance by staff across the Board.</w:t>
            </w:r>
            <w:r w:rsidR="00466660">
              <w:rPr>
                <w:lang w:val="en-US"/>
              </w:rPr>
              <w:t xml:space="preserve"> T</w:t>
            </w:r>
            <w:r>
              <w:rPr>
                <w:lang w:val="en-US"/>
              </w:rPr>
              <w:t xml:space="preserve">aking into account current intelligence on the threat of </w:t>
            </w:r>
            <w:r w:rsidR="00466660">
              <w:rPr>
                <w:lang w:val="en-US"/>
              </w:rPr>
              <w:t xml:space="preserve">a </w:t>
            </w:r>
            <w:r>
              <w:rPr>
                <w:lang w:val="en-US"/>
              </w:rPr>
              <w:t xml:space="preserve">cyber attack it was </w:t>
            </w:r>
            <w:r w:rsidR="00466660">
              <w:rPr>
                <w:lang w:val="en-US"/>
              </w:rPr>
              <w:t xml:space="preserve">agreed that this </w:t>
            </w:r>
            <w:r>
              <w:rPr>
                <w:lang w:val="en-US"/>
              </w:rPr>
              <w:t>would remain as</w:t>
            </w:r>
            <w:r w:rsidR="00466660">
              <w:rPr>
                <w:lang w:val="en-US"/>
              </w:rPr>
              <w:t xml:space="preserve"> a</w:t>
            </w:r>
            <w:r>
              <w:rPr>
                <w:lang w:val="en-US"/>
              </w:rPr>
              <w:t xml:space="preserve"> high level</w:t>
            </w:r>
            <w:r w:rsidR="00466660">
              <w:rPr>
                <w:lang w:val="en-US"/>
              </w:rPr>
              <w:t xml:space="preserve"> risk on the Board Risk Register</w:t>
            </w:r>
            <w:r w:rsidR="00C902E9">
              <w:rPr>
                <w:lang w:val="en-US"/>
              </w:rPr>
              <w:t>, albeit acknowledging all actions have been taken internally to mitigate this threat.</w:t>
            </w:r>
          </w:p>
        </w:tc>
      </w:tr>
      <w:tr w:rsidR="0026349B" w:rsidRPr="0026349B" w:rsidTr="00DA18FB">
        <w:tc>
          <w:tcPr>
            <w:tcW w:w="9322" w:type="dxa"/>
            <w:shd w:val="clear" w:color="auto" w:fill="92CDDC"/>
          </w:tcPr>
          <w:p w:rsidR="0026349B" w:rsidRPr="00611634" w:rsidRDefault="0026349B" w:rsidP="002D5AE1">
            <w:pPr>
              <w:tabs>
                <w:tab w:val="center" w:pos="4153"/>
                <w:tab w:val="right" w:pos="8306"/>
              </w:tabs>
              <w:spacing w:before="120" w:after="120"/>
              <w:contextualSpacing/>
              <w:rPr>
                <w:rFonts w:ascii="Arial" w:hAnsi="Arial" w:cs="Arial"/>
                <w:b/>
                <w:color w:val="000000"/>
              </w:rPr>
            </w:pPr>
            <w:r w:rsidRPr="00611634">
              <w:rPr>
                <w:rFonts w:ascii="Arial" w:hAnsi="Arial" w:cs="Arial"/>
                <w:b/>
                <w:color w:val="000000"/>
              </w:rPr>
              <w:lastRenderedPageBreak/>
              <w:t>Effective</w:t>
            </w:r>
          </w:p>
        </w:tc>
      </w:tr>
      <w:tr w:rsidR="0026349B" w:rsidRPr="0036151B" w:rsidTr="0026349B">
        <w:tc>
          <w:tcPr>
            <w:tcW w:w="9322" w:type="dxa"/>
            <w:tcBorders>
              <w:bottom w:val="single" w:sz="4" w:space="0" w:color="auto"/>
            </w:tcBorders>
            <w:shd w:val="clear" w:color="auto" w:fill="DAEEF3"/>
          </w:tcPr>
          <w:p w:rsidR="0026349B" w:rsidRPr="00611634" w:rsidRDefault="0026349B" w:rsidP="002D5AE1">
            <w:pPr>
              <w:pStyle w:val="ListParagraph"/>
              <w:spacing w:before="120" w:after="120"/>
              <w:ind w:left="0"/>
              <w:contextualSpacing/>
              <w:rPr>
                <w:b/>
                <w:color w:val="000000"/>
                <w:sz w:val="22"/>
                <w:szCs w:val="22"/>
              </w:rPr>
            </w:pPr>
            <w:r w:rsidRPr="00611634">
              <w:rPr>
                <w:b/>
                <w:color w:val="000000"/>
                <w:sz w:val="22"/>
                <w:szCs w:val="22"/>
              </w:rPr>
              <w:t>The most appropriate treatments, interventions, support and services will be provided at the right time to everyone who will benefit, and wasteful or harmful variation will be eradicated.</w:t>
            </w:r>
          </w:p>
        </w:tc>
      </w:tr>
      <w:tr w:rsidR="00A31C57" w:rsidRPr="0036151B" w:rsidTr="000D0D69">
        <w:trPr>
          <w:trHeight w:val="841"/>
        </w:trPr>
        <w:tc>
          <w:tcPr>
            <w:tcW w:w="9322" w:type="dxa"/>
            <w:shd w:val="clear" w:color="auto" w:fill="auto"/>
          </w:tcPr>
          <w:p w:rsidR="00466660" w:rsidRPr="00466660" w:rsidRDefault="00196F0E" w:rsidP="00795EF8">
            <w:pPr>
              <w:numPr>
                <w:ilvl w:val="0"/>
                <w:numId w:val="25"/>
              </w:numPr>
              <w:spacing w:before="120" w:after="120"/>
              <w:ind w:left="426" w:hanging="426"/>
              <w:contextualSpacing/>
              <w:rPr>
                <w:rFonts w:ascii="Arial" w:hAnsi="Arial" w:cs="Arial"/>
                <w:color w:val="000000"/>
                <w:sz w:val="23"/>
              </w:rPr>
            </w:pPr>
            <w:r>
              <w:rPr>
                <w:rFonts w:ascii="Arial" w:hAnsi="Arial" w:cs="Arial"/>
                <w:color w:val="000000" w:themeColor="text1"/>
              </w:rPr>
              <w:t xml:space="preserve">Internal Audit </w:t>
            </w:r>
            <w:r w:rsidR="00466660">
              <w:rPr>
                <w:rFonts w:ascii="Arial" w:hAnsi="Arial" w:cs="Arial"/>
                <w:color w:val="000000" w:themeColor="text1"/>
              </w:rPr>
              <w:t>Progress</w:t>
            </w:r>
            <w:r>
              <w:rPr>
                <w:rFonts w:ascii="Arial" w:hAnsi="Arial" w:cs="Arial"/>
                <w:color w:val="000000" w:themeColor="text1"/>
              </w:rPr>
              <w:t xml:space="preserve"> Report</w:t>
            </w:r>
            <w:r w:rsidR="00344680">
              <w:rPr>
                <w:rFonts w:ascii="Arial" w:hAnsi="Arial" w:cs="Arial"/>
                <w:color w:val="000000"/>
              </w:rPr>
              <w:t xml:space="preserve"> was </w:t>
            </w:r>
            <w:r w:rsidR="00F93FB6">
              <w:rPr>
                <w:rFonts w:ascii="Arial" w:hAnsi="Arial" w:cs="Arial"/>
                <w:color w:val="000000"/>
              </w:rPr>
              <w:t xml:space="preserve">presented </w:t>
            </w:r>
            <w:r w:rsidR="00466660">
              <w:rPr>
                <w:rFonts w:ascii="Arial" w:hAnsi="Arial" w:cs="Arial"/>
                <w:color w:val="000000"/>
              </w:rPr>
              <w:t>and members approved the following changes to the Audit Plan</w:t>
            </w:r>
            <w:r w:rsidR="00466660" w:rsidRPr="00466660">
              <w:rPr>
                <w:rFonts w:ascii="Arial" w:hAnsi="Arial" w:cs="Arial"/>
                <w:color w:val="000000" w:themeColor="text1"/>
              </w:rPr>
              <w:t>.</w:t>
            </w:r>
          </w:p>
          <w:p w:rsidR="00466660" w:rsidRPr="00DA3C78" w:rsidRDefault="00466660" w:rsidP="00DA3C78">
            <w:pPr>
              <w:pStyle w:val="ListParagraph"/>
              <w:numPr>
                <w:ilvl w:val="0"/>
                <w:numId w:val="35"/>
              </w:numPr>
              <w:spacing w:before="120" w:after="120"/>
              <w:ind w:left="851" w:hanging="284"/>
              <w:contextualSpacing/>
              <w:rPr>
                <w:color w:val="000000"/>
                <w:sz w:val="23"/>
              </w:rPr>
            </w:pPr>
            <w:r w:rsidRPr="00466660">
              <w:rPr>
                <w:color w:val="000000" w:themeColor="text1"/>
              </w:rPr>
              <w:t>Commissioning and Elective Centres review scheduled for Quarter 4 in 2020 to be moved to Quarter 1 in 2021.</w:t>
            </w:r>
          </w:p>
          <w:p w:rsidR="001A7A26" w:rsidRPr="00DA3C78" w:rsidRDefault="00DA3C78" w:rsidP="00DA3C78">
            <w:pPr>
              <w:pStyle w:val="ListParagraph"/>
              <w:numPr>
                <w:ilvl w:val="0"/>
                <w:numId w:val="35"/>
              </w:numPr>
              <w:spacing w:before="120" w:after="120"/>
              <w:ind w:left="851" w:hanging="284"/>
              <w:contextualSpacing/>
              <w:rPr>
                <w:color w:val="000000"/>
                <w:sz w:val="23"/>
              </w:rPr>
            </w:pPr>
            <w:r w:rsidRPr="00DA3C78">
              <w:rPr>
                <w:color w:val="000000" w:themeColor="text1"/>
              </w:rPr>
              <w:t>I</w:t>
            </w:r>
            <w:r w:rsidR="00466660" w:rsidRPr="00DA3C78">
              <w:rPr>
                <w:color w:val="000000" w:themeColor="text1"/>
              </w:rPr>
              <w:t xml:space="preserve">nternational Financial Reporting Standards (IFRS 16) readiness review to be undertaken in it its place as this is a new complexity which involves </w:t>
            </w:r>
            <w:r>
              <w:rPr>
                <w:color w:val="000000" w:themeColor="text1"/>
              </w:rPr>
              <w:t xml:space="preserve">a </w:t>
            </w:r>
            <w:r w:rsidR="00466660" w:rsidRPr="00DA3C78">
              <w:rPr>
                <w:color w:val="000000" w:themeColor="text1"/>
              </w:rPr>
              <w:t>significant amount of work</w:t>
            </w:r>
            <w:r w:rsidR="007261DF">
              <w:rPr>
                <w:color w:val="000000" w:themeColor="text1"/>
              </w:rPr>
              <w:t xml:space="preserve"> to implement</w:t>
            </w:r>
            <w:r>
              <w:rPr>
                <w:color w:val="000000" w:themeColor="text1"/>
              </w:rPr>
              <w:t>.</w:t>
            </w:r>
          </w:p>
          <w:p w:rsidR="001A7A26" w:rsidRPr="008B6046" w:rsidRDefault="008B6046" w:rsidP="00455FA3">
            <w:pPr>
              <w:numPr>
                <w:ilvl w:val="0"/>
                <w:numId w:val="25"/>
              </w:numPr>
              <w:spacing w:before="120" w:after="120"/>
              <w:ind w:left="426" w:hanging="426"/>
              <w:contextualSpacing/>
              <w:rPr>
                <w:rFonts w:ascii="Arial" w:hAnsi="Arial" w:cs="Arial"/>
                <w:color w:val="000000"/>
                <w:sz w:val="23"/>
              </w:rPr>
            </w:pPr>
            <w:r>
              <w:rPr>
                <w:rFonts w:ascii="Arial" w:hAnsi="Arial" w:cs="Arial"/>
                <w:color w:val="000000" w:themeColor="text1"/>
              </w:rPr>
              <w:t>Internal Audit Recommendations Follow up Report</w:t>
            </w:r>
            <w:r w:rsidR="00984A71">
              <w:rPr>
                <w:rFonts w:ascii="Arial" w:hAnsi="Arial" w:cs="Arial"/>
                <w:color w:val="000000" w:themeColor="text1"/>
              </w:rPr>
              <w:t xml:space="preserve"> was noted by members </w:t>
            </w:r>
            <w:r w:rsidR="00DA3C78">
              <w:rPr>
                <w:rFonts w:ascii="Arial" w:hAnsi="Arial" w:cs="Arial"/>
                <w:color w:val="000000" w:themeColor="text1"/>
              </w:rPr>
              <w:t>with good progress reported</w:t>
            </w:r>
            <w:r w:rsidR="002B502F">
              <w:rPr>
                <w:rFonts w:ascii="Arial" w:hAnsi="Arial" w:cs="Arial"/>
                <w:color w:val="000000" w:themeColor="text1"/>
              </w:rPr>
              <w:t>,</w:t>
            </w:r>
            <w:r w:rsidR="007261DF">
              <w:rPr>
                <w:rFonts w:ascii="Arial" w:hAnsi="Arial" w:cs="Arial"/>
                <w:color w:val="000000" w:themeColor="text1"/>
              </w:rPr>
              <w:t xml:space="preserve"> in particular it was noted that</w:t>
            </w:r>
            <w:r w:rsidR="00DA3C78">
              <w:rPr>
                <w:rFonts w:ascii="Arial" w:hAnsi="Arial" w:cs="Arial"/>
                <w:color w:val="000000" w:themeColor="text1"/>
              </w:rPr>
              <w:t xml:space="preserve"> all outstanding recommendations for 2017/18 are now closed</w:t>
            </w:r>
            <w:r w:rsidR="00984A71">
              <w:rPr>
                <w:rFonts w:ascii="Arial" w:hAnsi="Arial" w:cs="Arial"/>
                <w:color w:val="000000" w:themeColor="text1"/>
              </w:rPr>
              <w:t>.</w:t>
            </w:r>
            <w:r>
              <w:rPr>
                <w:rFonts w:ascii="Arial" w:hAnsi="Arial" w:cs="Arial"/>
                <w:color w:val="000000" w:themeColor="text1"/>
              </w:rPr>
              <w:br/>
            </w:r>
          </w:p>
          <w:p w:rsidR="00DA3C78" w:rsidRPr="00DA3C78" w:rsidRDefault="002B502F" w:rsidP="00DA3C78">
            <w:pPr>
              <w:numPr>
                <w:ilvl w:val="0"/>
                <w:numId w:val="25"/>
              </w:numPr>
              <w:spacing w:before="120" w:after="120"/>
              <w:ind w:left="426" w:hanging="426"/>
              <w:contextualSpacing/>
              <w:rPr>
                <w:rFonts w:ascii="Arial" w:hAnsi="Arial" w:cs="Arial"/>
                <w:color w:val="000000"/>
                <w:sz w:val="23"/>
              </w:rPr>
            </w:pPr>
            <w:r>
              <w:rPr>
                <w:rFonts w:ascii="Arial" w:hAnsi="Arial" w:cs="Arial"/>
                <w:color w:val="000000" w:themeColor="text1"/>
              </w:rPr>
              <w:t>The c</w:t>
            </w:r>
            <w:r w:rsidR="00DA3C78">
              <w:rPr>
                <w:rFonts w:ascii="Arial" w:hAnsi="Arial" w:cs="Arial"/>
                <w:color w:val="000000" w:themeColor="text1"/>
              </w:rPr>
              <w:t xml:space="preserve">ommittee were informed of implementation of </w:t>
            </w:r>
            <w:r w:rsidR="00DA3C78" w:rsidRPr="00DA3C78">
              <w:rPr>
                <w:rFonts w:ascii="Arial" w:hAnsi="Arial" w:cs="Arial"/>
                <w:color w:val="000000" w:themeColor="text1"/>
              </w:rPr>
              <w:t xml:space="preserve">International Financial Reporting Standard (IFRS) 16 </w:t>
            </w:r>
            <w:r w:rsidR="00DA3C78">
              <w:rPr>
                <w:rFonts w:ascii="Arial" w:hAnsi="Arial" w:cs="Arial"/>
                <w:color w:val="000000" w:themeColor="text1"/>
              </w:rPr>
              <w:t xml:space="preserve">which is being adopted for accounting period commencing 1 April 2020. </w:t>
            </w:r>
            <w:r w:rsidR="00DA3C78" w:rsidRPr="00DA3C78">
              <w:rPr>
                <w:rFonts w:ascii="Arial" w:hAnsi="Arial" w:cs="Arial"/>
                <w:color w:val="000000" w:themeColor="text1"/>
              </w:rPr>
              <w:t>The fundamental reason for this change is it removes the distinction between operating and finance leases</w:t>
            </w:r>
            <w:r w:rsidR="007261DF">
              <w:rPr>
                <w:rFonts w:ascii="Arial" w:hAnsi="Arial" w:cs="Arial"/>
                <w:color w:val="000000" w:themeColor="text1"/>
              </w:rPr>
              <w:t xml:space="preserve"> and requires all assets</w:t>
            </w:r>
            <w:r w:rsidR="00DA3C78" w:rsidRPr="00DA3C78">
              <w:rPr>
                <w:rFonts w:ascii="Arial" w:hAnsi="Arial" w:cs="Arial"/>
                <w:color w:val="000000" w:themeColor="text1"/>
              </w:rPr>
              <w:t xml:space="preserve"> </w:t>
            </w:r>
            <w:r w:rsidR="007261DF">
              <w:rPr>
                <w:rFonts w:ascii="Arial" w:hAnsi="Arial" w:cs="Arial"/>
                <w:color w:val="000000" w:themeColor="text1"/>
              </w:rPr>
              <w:t xml:space="preserve">to </w:t>
            </w:r>
            <w:r w:rsidR="00DA3C78" w:rsidRPr="00DA3C78">
              <w:rPr>
                <w:rFonts w:ascii="Arial" w:hAnsi="Arial" w:cs="Arial"/>
                <w:color w:val="000000" w:themeColor="text1"/>
              </w:rPr>
              <w:t xml:space="preserve">be publicised </w:t>
            </w:r>
            <w:r w:rsidR="00DA3C78">
              <w:rPr>
                <w:rFonts w:ascii="Arial" w:hAnsi="Arial" w:cs="Arial"/>
                <w:color w:val="000000" w:themeColor="text1"/>
              </w:rPr>
              <w:t xml:space="preserve">in </w:t>
            </w:r>
            <w:r w:rsidR="00DA3C78" w:rsidRPr="00DA3C78">
              <w:rPr>
                <w:rFonts w:ascii="Arial" w:hAnsi="Arial" w:cs="Arial"/>
                <w:color w:val="000000" w:themeColor="text1"/>
              </w:rPr>
              <w:t>annual accounts</w:t>
            </w:r>
            <w:r w:rsidR="00DA3C78">
              <w:rPr>
                <w:rFonts w:ascii="Arial" w:hAnsi="Arial" w:cs="Arial"/>
                <w:color w:val="000000" w:themeColor="text1"/>
              </w:rPr>
              <w:t xml:space="preserve">. A group has been established to oversee this work and the team will work with internal and external auditors </w:t>
            </w:r>
            <w:r w:rsidR="007261DF">
              <w:rPr>
                <w:rFonts w:ascii="Arial" w:hAnsi="Arial" w:cs="Arial"/>
                <w:color w:val="000000" w:themeColor="text1"/>
              </w:rPr>
              <w:t xml:space="preserve">to submit information to Scottish Government, the </w:t>
            </w:r>
            <w:r w:rsidR="00DA3C78">
              <w:rPr>
                <w:rFonts w:ascii="Arial" w:hAnsi="Arial" w:cs="Arial"/>
                <w:color w:val="000000" w:themeColor="text1"/>
              </w:rPr>
              <w:t>detail will be presented to the next committee meeting.</w:t>
            </w:r>
            <w:r w:rsidR="00DA3C78">
              <w:rPr>
                <w:rFonts w:ascii="Arial" w:hAnsi="Arial" w:cs="Arial"/>
                <w:color w:val="000000" w:themeColor="text1"/>
              </w:rPr>
              <w:br/>
            </w:r>
          </w:p>
          <w:p w:rsidR="00340EEE" w:rsidRPr="00340EEE" w:rsidRDefault="00DA3C78" w:rsidP="00DA3C78">
            <w:pPr>
              <w:numPr>
                <w:ilvl w:val="0"/>
                <w:numId w:val="25"/>
              </w:numPr>
              <w:spacing w:before="120" w:after="120"/>
              <w:ind w:left="426" w:hanging="426"/>
              <w:contextualSpacing/>
              <w:rPr>
                <w:rFonts w:ascii="Arial" w:hAnsi="Arial" w:cs="Arial"/>
                <w:color w:val="000000"/>
                <w:sz w:val="23"/>
              </w:rPr>
            </w:pPr>
            <w:r>
              <w:rPr>
                <w:rFonts w:ascii="Arial" w:hAnsi="Arial" w:cs="Arial"/>
                <w:color w:val="000000" w:themeColor="text1"/>
              </w:rPr>
              <w:t xml:space="preserve">Due to change in Senior Management roles </w:t>
            </w:r>
            <w:r w:rsidR="00C902E9">
              <w:rPr>
                <w:rFonts w:ascii="Arial" w:hAnsi="Arial" w:cs="Arial"/>
                <w:color w:val="000000" w:themeColor="text1"/>
              </w:rPr>
              <w:t xml:space="preserve">within Estates, </w:t>
            </w:r>
            <w:r>
              <w:rPr>
                <w:rFonts w:ascii="Arial" w:hAnsi="Arial" w:cs="Arial"/>
                <w:color w:val="000000" w:themeColor="text1"/>
              </w:rPr>
              <w:t xml:space="preserve">interim authorised </w:t>
            </w:r>
            <w:r w:rsidR="00340EEE">
              <w:rPr>
                <w:rFonts w:ascii="Arial" w:hAnsi="Arial" w:cs="Arial"/>
                <w:color w:val="000000" w:themeColor="text1"/>
              </w:rPr>
              <w:t xml:space="preserve">signatory arrangements require to be put in place. Members approved proposed changes and it was agreed </w:t>
            </w:r>
            <w:r w:rsidR="007261DF">
              <w:rPr>
                <w:rFonts w:ascii="Arial" w:hAnsi="Arial" w:cs="Arial"/>
                <w:color w:val="000000" w:themeColor="text1"/>
              </w:rPr>
              <w:t xml:space="preserve">that </w:t>
            </w:r>
            <w:r w:rsidR="00340EEE">
              <w:rPr>
                <w:rFonts w:ascii="Arial" w:hAnsi="Arial" w:cs="Arial"/>
                <w:color w:val="000000" w:themeColor="text1"/>
              </w:rPr>
              <w:t>given the new management structure all authorised signatories across the Board would be reviewed</w:t>
            </w:r>
            <w:r w:rsidR="002B502F">
              <w:rPr>
                <w:rFonts w:ascii="Arial" w:hAnsi="Arial" w:cs="Arial"/>
                <w:color w:val="000000" w:themeColor="text1"/>
              </w:rPr>
              <w:t xml:space="preserve"> </w:t>
            </w:r>
            <w:r w:rsidR="007261DF">
              <w:rPr>
                <w:rFonts w:ascii="Arial" w:hAnsi="Arial" w:cs="Arial"/>
                <w:color w:val="000000" w:themeColor="text1"/>
              </w:rPr>
              <w:t>to ensure alignment</w:t>
            </w:r>
            <w:r w:rsidR="00340EEE">
              <w:rPr>
                <w:rFonts w:ascii="Arial" w:hAnsi="Arial" w:cs="Arial"/>
                <w:color w:val="000000" w:themeColor="text1"/>
              </w:rPr>
              <w:t>.</w:t>
            </w:r>
            <w:r w:rsidR="00340EEE">
              <w:rPr>
                <w:rFonts w:ascii="Arial" w:hAnsi="Arial" w:cs="Arial"/>
                <w:color w:val="000000" w:themeColor="text1"/>
              </w:rPr>
              <w:br/>
            </w:r>
          </w:p>
          <w:p w:rsidR="008B6046" w:rsidRPr="00917AF1" w:rsidRDefault="002B502F" w:rsidP="007261DF">
            <w:pPr>
              <w:numPr>
                <w:ilvl w:val="0"/>
                <w:numId w:val="25"/>
              </w:numPr>
              <w:spacing w:before="120" w:after="120"/>
              <w:ind w:left="426" w:hanging="426"/>
              <w:contextualSpacing/>
              <w:rPr>
                <w:rFonts w:ascii="Arial" w:hAnsi="Arial" w:cs="Arial"/>
                <w:color w:val="000000"/>
                <w:sz w:val="23"/>
              </w:rPr>
            </w:pPr>
            <w:r>
              <w:rPr>
                <w:rFonts w:ascii="Arial" w:hAnsi="Arial" w:cs="Arial"/>
                <w:color w:val="000000" w:themeColor="text1"/>
              </w:rPr>
              <w:t>The c</w:t>
            </w:r>
            <w:r w:rsidR="00340EEE">
              <w:rPr>
                <w:rFonts w:ascii="Arial" w:hAnsi="Arial" w:cs="Arial"/>
                <w:color w:val="000000" w:themeColor="text1"/>
              </w:rPr>
              <w:t xml:space="preserve">ommittee was informed that </w:t>
            </w:r>
            <w:r w:rsidR="007261DF" w:rsidRPr="007261DF">
              <w:rPr>
                <w:rFonts w:ascii="Arial" w:hAnsi="Arial" w:cs="Arial"/>
                <w:lang w:val="en-US"/>
              </w:rPr>
              <w:t>Audit Scotland’s NHS in Scotland Report</w:t>
            </w:r>
            <w:r w:rsidR="007261DF">
              <w:rPr>
                <w:rFonts w:ascii="Arial" w:hAnsi="Arial" w:cs="Arial"/>
                <w:lang w:val="en-US"/>
              </w:rPr>
              <w:t xml:space="preserve"> </w:t>
            </w:r>
            <w:r w:rsidR="00340EEE" w:rsidRPr="007261DF">
              <w:rPr>
                <w:rFonts w:ascii="Arial" w:hAnsi="Arial" w:cs="Arial"/>
                <w:color w:val="000000" w:themeColor="text1"/>
              </w:rPr>
              <w:t>was due to be published</w:t>
            </w:r>
            <w:r w:rsidR="00340EEE">
              <w:rPr>
                <w:rFonts w:ascii="Arial" w:hAnsi="Arial" w:cs="Arial"/>
                <w:color w:val="000000" w:themeColor="text1"/>
              </w:rPr>
              <w:t xml:space="preserve"> imminently and would be circulated to members.</w:t>
            </w:r>
            <w:r w:rsidR="008B6046">
              <w:rPr>
                <w:rFonts w:ascii="Arial" w:hAnsi="Arial" w:cs="Arial"/>
                <w:color w:val="000000" w:themeColor="text1"/>
              </w:rPr>
              <w:br/>
            </w:r>
          </w:p>
        </w:tc>
      </w:tr>
    </w:tbl>
    <w:p w:rsidR="001A7A26" w:rsidRDefault="001A7A26" w:rsidP="0026349B">
      <w:pPr>
        <w:rPr>
          <w:rFonts w:ascii="Arial" w:hAnsi="Arial" w:cs="Arial"/>
          <w:bCs/>
        </w:rPr>
      </w:pPr>
    </w:p>
    <w:p w:rsidR="0026349B" w:rsidRDefault="0026349B" w:rsidP="0026349B">
      <w:pPr>
        <w:rPr>
          <w:rFonts w:ascii="Arial" w:hAnsi="Arial" w:cs="Arial"/>
          <w:bCs/>
        </w:rPr>
      </w:pPr>
      <w:r w:rsidRPr="006421AD">
        <w:rPr>
          <w:rFonts w:ascii="Arial" w:hAnsi="Arial" w:cs="Arial"/>
          <w:bCs/>
        </w:rPr>
        <w:t>The next meeting is scheduled for</w:t>
      </w:r>
      <w:r w:rsidR="000D0D69">
        <w:rPr>
          <w:rFonts w:ascii="Arial" w:hAnsi="Arial" w:cs="Arial"/>
          <w:bCs/>
        </w:rPr>
        <w:t>:</w:t>
      </w:r>
      <w:r>
        <w:rPr>
          <w:rFonts w:ascii="Arial" w:hAnsi="Arial" w:cs="Arial"/>
          <w:bCs/>
        </w:rPr>
        <w:t xml:space="preserve"> </w:t>
      </w:r>
      <w:r w:rsidRPr="0063024D">
        <w:rPr>
          <w:rFonts w:ascii="Arial" w:hAnsi="Arial" w:cs="Arial"/>
          <w:bCs/>
        </w:rPr>
        <w:t xml:space="preserve">Tuesday </w:t>
      </w:r>
      <w:r w:rsidR="00DA3C78">
        <w:rPr>
          <w:rFonts w:ascii="Arial" w:hAnsi="Arial" w:cs="Arial"/>
          <w:bCs/>
        </w:rPr>
        <w:t>11 February 2020</w:t>
      </w:r>
      <w:r w:rsidRPr="0063024D">
        <w:rPr>
          <w:rFonts w:ascii="Arial" w:hAnsi="Arial" w:cs="Arial"/>
          <w:bCs/>
        </w:rPr>
        <w:t>.</w:t>
      </w:r>
    </w:p>
    <w:p w:rsidR="002D5AE1" w:rsidRDefault="002D5AE1" w:rsidP="0026349B">
      <w:pPr>
        <w:rPr>
          <w:rFonts w:ascii="Arial" w:hAnsi="Arial" w:cs="Arial"/>
          <w:bCs/>
        </w:rPr>
      </w:pPr>
    </w:p>
    <w:p w:rsidR="000D0D69" w:rsidRDefault="000D0D69" w:rsidP="0026349B">
      <w:pPr>
        <w:rPr>
          <w:rFonts w:ascii="Arial" w:hAnsi="Arial" w:cs="Arial"/>
          <w:b/>
          <w:bCs/>
        </w:rPr>
      </w:pPr>
      <w:r>
        <w:rPr>
          <w:rFonts w:ascii="Arial" w:hAnsi="Arial" w:cs="Arial"/>
          <w:b/>
          <w:bCs/>
        </w:rPr>
        <w:t>Karen Kelly</w:t>
      </w:r>
    </w:p>
    <w:p w:rsidR="0026349B" w:rsidRPr="006421AD" w:rsidRDefault="0026349B" w:rsidP="0026349B">
      <w:pPr>
        <w:rPr>
          <w:rFonts w:ascii="Arial" w:hAnsi="Arial" w:cs="Arial"/>
          <w:b/>
          <w:bCs/>
        </w:rPr>
      </w:pPr>
      <w:r w:rsidRPr="006421AD">
        <w:rPr>
          <w:rFonts w:ascii="Arial" w:hAnsi="Arial" w:cs="Arial"/>
          <w:b/>
          <w:bCs/>
        </w:rPr>
        <w:t xml:space="preserve">Chair, </w:t>
      </w:r>
      <w:r w:rsidR="0063024D">
        <w:rPr>
          <w:rFonts w:ascii="Arial" w:hAnsi="Arial" w:cs="Arial"/>
          <w:b/>
          <w:bCs/>
        </w:rPr>
        <w:t xml:space="preserve">Audit and Risk </w:t>
      </w:r>
      <w:r w:rsidRPr="006421AD">
        <w:rPr>
          <w:rFonts w:ascii="Arial" w:hAnsi="Arial" w:cs="Arial"/>
          <w:b/>
          <w:bCs/>
        </w:rPr>
        <w:t>Committee</w:t>
      </w:r>
    </w:p>
    <w:p w:rsidR="000D0D69" w:rsidRDefault="00DA3C78" w:rsidP="000D0D69">
      <w:pPr>
        <w:rPr>
          <w:rFonts w:ascii="Arial" w:hAnsi="Arial" w:cs="Arial"/>
          <w:b/>
          <w:bCs/>
        </w:rPr>
      </w:pPr>
      <w:r>
        <w:rPr>
          <w:rFonts w:ascii="Arial" w:hAnsi="Arial" w:cs="Arial"/>
          <w:b/>
        </w:rPr>
        <w:t>25 October 2019</w:t>
      </w:r>
      <w:r w:rsidR="000D0D69" w:rsidRPr="000D0D69">
        <w:rPr>
          <w:rFonts w:ascii="Arial" w:hAnsi="Arial" w:cs="Arial"/>
          <w:b/>
          <w:bCs/>
        </w:rPr>
        <w:t xml:space="preserve"> </w:t>
      </w:r>
    </w:p>
    <w:p w:rsidR="000D0D69" w:rsidRDefault="000D0D69" w:rsidP="000D0D69">
      <w:pPr>
        <w:rPr>
          <w:rFonts w:ascii="Arial" w:hAnsi="Arial" w:cs="Arial"/>
          <w:b/>
          <w:bCs/>
        </w:rPr>
      </w:pPr>
      <w:r>
        <w:rPr>
          <w:rFonts w:ascii="Arial" w:hAnsi="Arial" w:cs="Arial"/>
          <w:b/>
          <w:bCs/>
        </w:rPr>
        <w:t>(</w:t>
      </w:r>
      <w:r w:rsidR="00DA3C78">
        <w:rPr>
          <w:rFonts w:ascii="Arial" w:hAnsi="Arial" w:cs="Arial"/>
          <w:b/>
          <w:bCs/>
        </w:rPr>
        <w:t>Colin Neil,</w:t>
      </w:r>
      <w:r>
        <w:rPr>
          <w:rFonts w:ascii="Arial" w:hAnsi="Arial" w:cs="Arial"/>
          <w:b/>
          <w:bCs/>
        </w:rPr>
        <w:t xml:space="preserve"> Director of Finance)</w:t>
      </w:r>
    </w:p>
    <w:sectPr w:rsidR="000D0D69" w:rsidSect="00995B7E">
      <w:headerReference w:type="default" r:id="rId9"/>
      <w:footerReference w:type="default" r:id="rId10"/>
      <w:headerReference w:type="first" r:id="rId11"/>
      <w:footerReference w:type="first" r:id="rId12"/>
      <w:pgSz w:w="11906" w:h="16838"/>
      <w:pgMar w:top="993" w:right="991"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FD" w:rsidRDefault="00CA19FD">
      <w:r>
        <w:separator/>
      </w:r>
    </w:p>
  </w:endnote>
  <w:endnote w:type="continuationSeparator" w:id="0">
    <w:p w:rsidR="00CA19FD" w:rsidRDefault="00CA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B0" w:rsidRDefault="006421AD" w:rsidP="006421AD">
    <w:pPr>
      <w:ind w:left="-540"/>
      <w:jc w:val="center"/>
      <w:rPr>
        <w:rFonts w:ascii="Arial" w:hAnsi="Arial" w:cs="Arial"/>
        <w:sz w:val="20"/>
        <w:szCs w:val="20"/>
      </w:rPr>
    </w:pPr>
    <w:r>
      <w:rPr>
        <w:rStyle w:val="PageNumber"/>
        <w:rFonts w:ascii="Arial" w:hAnsi="Arial" w:cs="Arial"/>
      </w:rPr>
      <w:br/>
    </w:r>
    <w:r>
      <w:rPr>
        <w:rStyle w:val="PageNumber"/>
        <w:rFonts w:ascii="Arial" w:hAnsi="Arial" w:cs="Arial"/>
      </w:rPr>
      <w:br/>
    </w:r>
    <w:r w:rsidR="00F1531B" w:rsidRPr="00513DB0">
      <w:rPr>
        <w:rStyle w:val="PageNumber"/>
        <w:rFonts w:ascii="Arial" w:hAnsi="Arial" w:cs="Arial"/>
      </w:rPr>
      <w:fldChar w:fldCharType="begin"/>
    </w:r>
    <w:r w:rsidR="00513DB0" w:rsidRPr="00513DB0">
      <w:rPr>
        <w:rStyle w:val="PageNumber"/>
        <w:rFonts w:ascii="Arial" w:hAnsi="Arial" w:cs="Arial"/>
      </w:rPr>
      <w:instrText xml:space="preserve"> PAGE </w:instrText>
    </w:r>
    <w:r w:rsidR="00F1531B" w:rsidRPr="00513DB0">
      <w:rPr>
        <w:rStyle w:val="PageNumber"/>
        <w:rFonts w:ascii="Arial" w:hAnsi="Arial" w:cs="Arial"/>
      </w:rPr>
      <w:fldChar w:fldCharType="separate"/>
    </w:r>
    <w:r w:rsidR="00E97A96">
      <w:rPr>
        <w:rStyle w:val="PageNumber"/>
        <w:rFonts w:ascii="Arial" w:hAnsi="Arial" w:cs="Arial"/>
        <w:noProof/>
      </w:rPr>
      <w:t>2</w:t>
    </w:r>
    <w:r w:rsidR="00F1531B" w:rsidRPr="00513DB0">
      <w:rPr>
        <w:rStyle w:val="PageNumber"/>
        <w:rFonts w:ascii="Arial" w:hAnsi="Arial" w:cs="Arial"/>
      </w:rPr>
      <w:fldChar w:fldCharType="end"/>
    </w:r>
  </w:p>
  <w:p w:rsidR="00075AAA" w:rsidRPr="001A624A" w:rsidRDefault="00075AAA" w:rsidP="00463DB0">
    <w:pPr>
      <w:pStyle w:val="Title"/>
      <w:ind w:left="-540" w:right="184"/>
      <w:jc w:val="left"/>
      <w:outlineLvl w:val="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05" w:rsidRDefault="000C3F42">
    <w:pPr>
      <w:pStyle w:val="Footer"/>
      <w:jc w:val="center"/>
    </w:pPr>
    <w:r>
      <w:fldChar w:fldCharType="begin"/>
    </w:r>
    <w:r>
      <w:instrText xml:space="preserve"> PAGE   \* MERGEFORMAT </w:instrText>
    </w:r>
    <w:r>
      <w:fldChar w:fldCharType="separate"/>
    </w:r>
    <w:r w:rsidR="00E97A96">
      <w:rPr>
        <w:noProof/>
      </w:rPr>
      <w:t>1</w:t>
    </w:r>
    <w:r>
      <w:rPr>
        <w:noProof/>
      </w:rPr>
      <w:fldChar w:fldCharType="end"/>
    </w:r>
  </w:p>
  <w:p w:rsidR="006421AD" w:rsidRPr="000D0D69" w:rsidRDefault="006421AD" w:rsidP="000D0D69">
    <w:pPr>
      <w:pStyle w:val="Title"/>
      <w:ind w:left="-567" w:right="184"/>
      <w:jc w:val="left"/>
      <w:outlineLvl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FD" w:rsidRDefault="00CA19FD">
      <w:r>
        <w:separator/>
      </w:r>
    </w:p>
  </w:footnote>
  <w:footnote w:type="continuationSeparator" w:id="0">
    <w:p w:rsidR="00CA19FD" w:rsidRDefault="00CA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AD" w:rsidRPr="006421AD" w:rsidRDefault="006421AD" w:rsidP="006421AD">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sidR="000D0D69">
      <w:rPr>
        <w:rFonts w:ascii="Arial" w:hAnsi="Arial" w:cs="Arial"/>
        <w:b/>
        <w:color w:val="0070C0"/>
        <w:sz w:val="28"/>
        <w:szCs w:val="28"/>
      </w:rPr>
      <w:t>7.7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AD" w:rsidRPr="00340EEE" w:rsidRDefault="006421AD" w:rsidP="006421AD">
    <w:pPr>
      <w:pStyle w:val="Header"/>
      <w:jc w:val="right"/>
      <w:rPr>
        <w:rFonts w:ascii="Arial" w:hAnsi="Arial" w:cs="Arial"/>
        <w:b/>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E3D"/>
    <w:multiLevelType w:val="hybridMultilevel"/>
    <w:tmpl w:val="64BAD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C00E6"/>
    <w:multiLevelType w:val="hybridMultilevel"/>
    <w:tmpl w:val="51929EB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08097E0F"/>
    <w:multiLevelType w:val="hybridMultilevel"/>
    <w:tmpl w:val="0D20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3C2BC5"/>
    <w:multiLevelType w:val="hybridMultilevel"/>
    <w:tmpl w:val="D70CA86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 w15:restartNumberingAfterBreak="0">
    <w:nsid w:val="0E6B500A"/>
    <w:multiLevelType w:val="hybridMultilevel"/>
    <w:tmpl w:val="937C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90559"/>
    <w:multiLevelType w:val="hybridMultilevel"/>
    <w:tmpl w:val="8C588C34"/>
    <w:lvl w:ilvl="0" w:tplc="08090003">
      <w:start w:val="1"/>
      <w:numFmt w:val="bullet"/>
      <w:lvlText w:val="o"/>
      <w:lvlJc w:val="left"/>
      <w:pPr>
        <w:ind w:left="1866" w:hanging="360"/>
      </w:pPr>
      <w:rPr>
        <w:rFonts w:ascii="Courier New" w:hAnsi="Courier New" w:cs="Courier New"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8"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697BED"/>
    <w:multiLevelType w:val="hybridMultilevel"/>
    <w:tmpl w:val="F90E461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930FD7"/>
    <w:multiLevelType w:val="hybridMultilevel"/>
    <w:tmpl w:val="1750D1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9030AC3"/>
    <w:multiLevelType w:val="hybridMultilevel"/>
    <w:tmpl w:val="096E1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587C1A"/>
    <w:multiLevelType w:val="hybridMultilevel"/>
    <w:tmpl w:val="4400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5DE5"/>
    <w:multiLevelType w:val="hybridMultilevel"/>
    <w:tmpl w:val="C08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86224E"/>
    <w:multiLevelType w:val="hybridMultilevel"/>
    <w:tmpl w:val="66425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A4469D"/>
    <w:multiLevelType w:val="hybridMultilevel"/>
    <w:tmpl w:val="81C6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53124"/>
    <w:multiLevelType w:val="hybridMultilevel"/>
    <w:tmpl w:val="C73E0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D45407"/>
    <w:multiLevelType w:val="hybridMultilevel"/>
    <w:tmpl w:val="95CC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8737B52"/>
    <w:multiLevelType w:val="hybridMultilevel"/>
    <w:tmpl w:val="B2F6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FB3502"/>
    <w:multiLevelType w:val="hybridMultilevel"/>
    <w:tmpl w:val="2C40FD7C"/>
    <w:lvl w:ilvl="0" w:tplc="08090003">
      <w:start w:val="1"/>
      <w:numFmt w:val="bullet"/>
      <w:lvlText w:val="o"/>
      <w:lvlJc w:val="left"/>
      <w:pPr>
        <w:ind w:left="1866" w:hanging="360"/>
      </w:pPr>
      <w:rPr>
        <w:rFonts w:ascii="Courier New" w:hAnsi="Courier New" w:cs="Courier New"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5D72281A"/>
    <w:multiLevelType w:val="hybridMultilevel"/>
    <w:tmpl w:val="3D80B9FA"/>
    <w:lvl w:ilvl="0" w:tplc="4AF64000">
      <w:start w:val="1"/>
      <w:numFmt w:val="bullet"/>
      <w:lvlText w:val=""/>
      <w:lvlJc w:val="left"/>
      <w:pPr>
        <w:tabs>
          <w:tab w:val="num" w:pos="720"/>
        </w:tabs>
        <w:ind w:left="720" w:hanging="360"/>
      </w:pPr>
      <w:rPr>
        <w:rFonts w:ascii="Wingdings" w:hAnsi="Wingdings" w:hint="default"/>
      </w:rPr>
    </w:lvl>
    <w:lvl w:ilvl="1" w:tplc="97064424" w:tentative="1">
      <w:start w:val="1"/>
      <w:numFmt w:val="bullet"/>
      <w:lvlText w:val=""/>
      <w:lvlJc w:val="left"/>
      <w:pPr>
        <w:tabs>
          <w:tab w:val="num" w:pos="1440"/>
        </w:tabs>
        <w:ind w:left="1440" w:hanging="360"/>
      </w:pPr>
      <w:rPr>
        <w:rFonts w:ascii="Wingdings" w:hAnsi="Wingdings" w:hint="default"/>
      </w:rPr>
    </w:lvl>
    <w:lvl w:ilvl="2" w:tplc="8BC0B6F0" w:tentative="1">
      <w:start w:val="1"/>
      <w:numFmt w:val="bullet"/>
      <w:lvlText w:val=""/>
      <w:lvlJc w:val="left"/>
      <w:pPr>
        <w:tabs>
          <w:tab w:val="num" w:pos="2160"/>
        </w:tabs>
        <w:ind w:left="2160" w:hanging="360"/>
      </w:pPr>
      <w:rPr>
        <w:rFonts w:ascii="Wingdings" w:hAnsi="Wingdings" w:hint="default"/>
      </w:rPr>
    </w:lvl>
    <w:lvl w:ilvl="3" w:tplc="C786D428" w:tentative="1">
      <w:start w:val="1"/>
      <w:numFmt w:val="bullet"/>
      <w:lvlText w:val=""/>
      <w:lvlJc w:val="left"/>
      <w:pPr>
        <w:tabs>
          <w:tab w:val="num" w:pos="2880"/>
        </w:tabs>
        <w:ind w:left="2880" w:hanging="360"/>
      </w:pPr>
      <w:rPr>
        <w:rFonts w:ascii="Wingdings" w:hAnsi="Wingdings" w:hint="default"/>
      </w:rPr>
    </w:lvl>
    <w:lvl w:ilvl="4" w:tplc="93521502" w:tentative="1">
      <w:start w:val="1"/>
      <w:numFmt w:val="bullet"/>
      <w:lvlText w:val=""/>
      <w:lvlJc w:val="left"/>
      <w:pPr>
        <w:tabs>
          <w:tab w:val="num" w:pos="3600"/>
        </w:tabs>
        <w:ind w:left="3600" w:hanging="360"/>
      </w:pPr>
      <w:rPr>
        <w:rFonts w:ascii="Wingdings" w:hAnsi="Wingdings" w:hint="default"/>
      </w:rPr>
    </w:lvl>
    <w:lvl w:ilvl="5" w:tplc="5B320B88" w:tentative="1">
      <w:start w:val="1"/>
      <w:numFmt w:val="bullet"/>
      <w:lvlText w:val=""/>
      <w:lvlJc w:val="left"/>
      <w:pPr>
        <w:tabs>
          <w:tab w:val="num" w:pos="4320"/>
        </w:tabs>
        <w:ind w:left="4320" w:hanging="360"/>
      </w:pPr>
      <w:rPr>
        <w:rFonts w:ascii="Wingdings" w:hAnsi="Wingdings" w:hint="default"/>
      </w:rPr>
    </w:lvl>
    <w:lvl w:ilvl="6" w:tplc="9ED25526" w:tentative="1">
      <w:start w:val="1"/>
      <w:numFmt w:val="bullet"/>
      <w:lvlText w:val=""/>
      <w:lvlJc w:val="left"/>
      <w:pPr>
        <w:tabs>
          <w:tab w:val="num" w:pos="5040"/>
        </w:tabs>
        <w:ind w:left="5040" w:hanging="360"/>
      </w:pPr>
      <w:rPr>
        <w:rFonts w:ascii="Wingdings" w:hAnsi="Wingdings" w:hint="default"/>
      </w:rPr>
    </w:lvl>
    <w:lvl w:ilvl="7" w:tplc="FE603FA0" w:tentative="1">
      <w:start w:val="1"/>
      <w:numFmt w:val="bullet"/>
      <w:lvlText w:val=""/>
      <w:lvlJc w:val="left"/>
      <w:pPr>
        <w:tabs>
          <w:tab w:val="num" w:pos="5760"/>
        </w:tabs>
        <w:ind w:left="5760" w:hanging="360"/>
      </w:pPr>
      <w:rPr>
        <w:rFonts w:ascii="Wingdings" w:hAnsi="Wingdings" w:hint="default"/>
      </w:rPr>
    </w:lvl>
    <w:lvl w:ilvl="8" w:tplc="37CC068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24DA4"/>
    <w:multiLevelType w:val="hybridMultilevel"/>
    <w:tmpl w:val="9ABA6B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7A06B3"/>
    <w:multiLevelType w:val="hybridMultilevel"/>
    <w:tmpl w:val="0EE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85FAA"/>
    <w:multiLevelType w:val="hybridMultilevel"/>
    <w:tmpl w:val="A4F4CD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84B4F1D"/>
    <w:multiLevelType w:val="hybridMultilevel"/>
    <w:tmpl w:val="95D23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A752C4"/>
    <w:multiLevelType w:val="hybridMultilevel"/>
    <w:tmpl w:val="E938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4116E"/>
    <w:multiLevelType w:val="hybridMultilevel"/>
    <w:tmpl w:val="B2BC7EF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B2C1A15"/>
    <w:multiLevelType w:val="hybridMultilevel"/>
    <w:tmpl w:val="A1CECF24"/>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5"/>
  </w:num>
  <w:num w:numId="2">
    <w:abstractNumId w:val="33"/>
  </w:num>
  <w:num w:numId="3">
    <w:abstractNumId w:val="18"/>
  </w:num>
  <w:num w:numId="4">
    <w:abstractNumId w:val="3"/>
  </w:num>
  <w:num w:numId="5">
    <w:abstractNumId w:val="8"/>
  </w:num>
  <w:num w:numId="6">
    <w:abstractNumId w:val="30"/>
  </w:num>
  <w:num w:numId="7">
    <w:abstractNumId w:val="34"/>
  </w:num>
  <w:num w:numId="8">
    <w:abstractNumId w:val="5"/>
  </w:num>
  <w:num w:numId="9">
    <w:abstractNumId w:val="32"/>
  </w:num>
  <w:num w:numId="10">
    <w:abstractNumId w:val="24"/>
  </w:num>
  <w:num w:numId="11">
    <w:abstractNumId w:val="29"/>
  </w:num>
  <w:num w:numId="12">
    <w:abstractNumId w:val="14"/>
  </w:num>
  <w:num w:numId="13">
    <w:abstractNumId w:val="19"/>
  </w:num>
  <w:num w:numId="14">
    <w:abstractNumId w:val="13"/>
  </w:num>
  <w:num w:numId="15">
    <w:abstractNumId w:val="16"/>
  </w:num>
  <w:num w:numId="16">
    <w:abstractNumId w:val="26"/>
  </w:num>
  <w:num w:numId="17">
    <w:abstractNumId w:val="2"/>
  </w:num>
  <w:num w:numId="18">
    <w:abstractNumId w:val="0"/>
  </w:num>
  <w:num w:numId="19">
    <w:abstractNumId w:val="11"/>
  </w:num>
  <w:num w:numId="20">
    <w:abstractNumId w:val="17"/>
  </w:num>
  <w:num w:numId="21">
    <w:abstractNumId w:val="23"/>
  </w:num>
  <w:num w:numId="22">
    <w:abstractNumId w:val="31"/>
  </w:num>
  <w:num w:numId="23">
    <w:abstractNumId w:val="15"/>
  </w:num>
  <w:num w:numId="24">
    <w:abstractNumId w:val="6"/>
  </w:num>
  <w:num w:numId="25">
    <w:abstractNumId w:val="12"/>
  </w:num>
  <w:num w:numId="26">
    <w:abstractNumId w:val="21"/>
  </w:num>
  <w:num w:numId="27">
    <w:abstractNumId w:val="27"/>
  </w:num>
  <w:num w:numId="28">
    <w:abstractNumId w:val="10"/>
  </w:num>
  <w:num w:numId="29">
    <w:abstractNumId w:val="28"/>
  </w:num>
  <w:num w:numId="30">
    <w:abstractNumId w:val="1"/>
  </w:num>
  <w:num w:numId="31">
    <w:abstractNumId w:val="4"/>
  </w:num>
  <w:num w:numId="32">
    <w:abstractNumId w:val="9"/>
  </w:num>
  <w:num w:numId="33">
    <w:abstractNumId w:val="7"/>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2577B"/>
    <w:rsid w:val="000113FF"/>
    <w:rsid w:val="000120BD"/>
    <w:rsid w:val="000432C0"/>
    <w:rsid w:val="00044396"/>
    <w:rsid w:val="000458AA"/>
    <w:rsid w:val="000461C8"/>
    <w:rsid w:val="00057E36"/>
    <w:rsid w:val="00075AAA"/>
    <w:rsid w:val="00086244"/>
    <w:rsid w:val="000A0F2E"/>
    <w:rsid w:val="000B046D"/>
    <w:rsid w:val="000B419E"/>
    <w:rsid w:val="000B5923"/>
    <w:rsid w:val="000C3F42"/>
    <w:rsid w:val="000D0D69"/>
    <w:rsid w:val="000D53E0"/>
    <w:rsid w:val="000E4F05"/>
    <w:rsid w:val="0010576F"/>
    <w:rsid w:val="001175E5"/>
    <w:rsid w:val="0014213C"/>
    <w:rsid w:val="00162874"/>
    <w:rsid w:val="001849E6"/>
    <w:rsid w:val="00196F0E"/>
    <w:rsid w:val="001A624A"/>
    <w:rsid w:val="001A7A26"/>
    <w:rsid w:val="001B3FD3"/>
    <w:rsid w:val="001C046B"/>
    <w:rsid w:val="00200176"/>
    <w:rsid w:val="0022588F"/>
    <w:rsid w:val="00232037"/>
    <w:rsid w:val="00233E6E"/>
    <w:rsid w:val="00235DA7"/>
    <w:rsid w:val="00262E2F"/>
    <w:rsid w:val="0026349B"/>
    <w:rsid w:val="00266FA7"/>
    <w:rsid w:val="00271671"/>
    <w:rsid w:val="002A3DC7"/>
    <w:rsid w:val="002B502F"/>
    <w:rsid w:val="002D4B40"/>
    <w:rsid w:val="002D5AE1"/>
    <w:rsid w:val="003215DD"/>
    <w:rsid w:val="00340EEE"/>
    <w:rsid w:val="003415B8"/>
    <w:rsid w:val="00344680"/>
    <w:rsid w:val="003479B7"/>
    <w:rsid w:val="00362A4C"/>
    <w:rsid w:val="00372FCE"/>
    <w:rsid w:val="00386186"/>
    <w:rsid w:val="0038621B"/>
    <w:rsid w:val="0038709A"/>
    <w:rsid w:val="003E423D"/>
    <w:rsid w:val="003F19CA"/>
    <w:rsid w:val="0040486E"/>
    <w:rsid w:val="004512CE"/>
    <w:rsid w:val="00455FA3"/>
    <w:rsid w:val="00463DB0"/>
    <w:rsid w:val="00466660"/>
    <w:rsid w:val="0046693E"/>
    <w:rsid w:val="00467A77"/>
    <w:rsid w:val="00490FB8"/>
    <w:rsid w:val="004B4753"/>
    <w:rsid w:val="004E123E"/>
    <w:rsid w:val="004E7D94"/>
    <w:rsid w:val="00506517"/>
    <w:rsid w:val="005068D3"/>
    <w:rsid w:val="00513DB0"/>
    <w:rsid w:val="00514CB5"/>
    <w:rsid w:val="0053341A"/>
    <w:rsid w:val="00546675"/>
    <w:rsid w:val="0056181B"/>
    <w:rsid w:val="00590B0A"/>
    <w:rsid w:val="00593A6A"/>
    <w:rsid w:val="005A488D"/>
    <w:rsid w:val="005A5BBE"/>
    <w:rsid w:val="005C5849"/>
    <w:rsid w:val="005E1232"/>
    <w:rsid w:val="00611634"/>
    <w:rsid w:val="00614C3A"/>
    <w:rsid w:val="00616707"/>
    <w:rsid w:val="0063024D"/>
    <w:rsid w:val="006421AD"/>
    <w:rsid w:val="006549F5"/>
    <w:rsid w:val="00672945"/>
    <w:rsid w:val="00692DED"/>
    <w:rsid w:val="006A1357"/>
    <w:rsid w:val="006B3DD9"/>
    <w:rsid w:val="006C2B1E"/>
    <w:rsid w:val="006D18C0"/>
    <w:rsid w:val="006D232B"/>
    <w:rsid w:val="006E6535"/>
    <w:rsid w:val="006E67ED"/>
    <w:rsid w:val="00713C93"/>
    <w:rsid w:val="00720EB3"/>
    <w:rsid w:val="00722DBB"/>
    <w:rsid w:val="007261DF"/>
    <w:rsid w:val="00741AB2"/>
    <w:rsid w:val="00745A4B"/>
    <w:rsid w:val="00752702"/>
    <w:rsid w:val="00752CB2"/>
    <w:rsid w:val="00795EF8"/>
    <w:rsid w:val="007A61D7"/>
    <w:rsid w:val="007E356B"/>
    <w:rsid w:val="007E5551"/>
    <w:rsid w:val="007F1091"/>
    <w:rsid w:val="007F4058"/>
    <w:rsid w:val="00815350"/>
    <w:rsid w:val="008553E2"/>
    <w:rsid w:val="0085723B"/>
    <w:rsid w:val="00867E1A"/>
    <w:rsid w:val="00882F92"/>
    <w:rsid w:val="008A6453"/>
    <w:rsid w:val="008B6046"/>
    <w:rsid w:val="008C26A2"/>
    <w:rsid w:val="008D0776"/>
    <w:rsid w:val="008D5423"/>
    <w:rsid w:val="008E76A4"/>
    <w:rsid w:val="008F381E"/>
    <w:rsid w:val="00917265"/>
    <w:rsid w:val="00925E54"/>
    <w:rsid w:val="00952AC2"/>
    <w:rsid w:val="00954B21"/>
    <w:rsid w:val="00984A71"/>
    <w:rsid w:val="00992558"/>
    <w:rsid w:val="00995B7E"/>
    <w:rsid w:val="00A2577B"/>
    <w:rsid w:val="00A31C57"/>
    <w:rsid w:val="00A5117B"/>
    <w:rsid w:val="00A63183"/>
    <w:rsid w:val="00AA44A3"/>
    <w:rsid w:val="00AB068F"/>
    <w:rsid w:val="00AB0F50"/>
    <w:rsid w:val="00AC7687"/>
    <w:rsid w:val="00AE1BE9"/>
    <w:rsid w:val="00B01AF5"/>
    <w:rsid w:val="00B31C0C"/>
    <w:rsid w:val="00B53D30"/>
    <w:rsid w:val="00B66AA2"/>
    <w:rsid w:val="00B8644A"/>
    <w:rsid w:val="00B90E33"/>
    <w:rsid w:val="00BD41A8"/>
    <w:rsid w:val="00C150AF"/>
    <w:rsid w:val="00C22BDB"/>
    <w:rsid w:val="00C63607"/>
    <w:rsid w:val="00C71271"/>
    <w:rsid w:val="00C902E9"/>
    <w:rsid w:val="00C92793"/>
    <w:rsid w:val="00C956E2"/>
    <w:rsid w:val="00C97E71"/>
    <w:rsid w:val="00CA19FD"/>
    <w:rsid w:val="00CB1281"/>
    <w:rsid w:val="00CE1E53"/>
    <w:rsid w:val="00D070E2"/>
    <w:rsid w:val="00D346C3"/>
    <w:rsid w:val="00D53503"/>
    <w:rsid w:val="00D6204F"/>
    <w:rsid w:val="00D92AA6"/>
    <w:rsid w:val="00D97CFA"/>
    <w:rsid w:val="00DA18FB"/>
    <w:rsid w:val="00DA3C78"/>
    <w:rsid w:val="00E575FA"/>
    <w:rsid w:val="00E72EB6"/>
    <w:rsid w:val="00E95856"/>
    <w:rsid w:val="00E96CA5"/>
    <w:rsid w:val="00E97A96"/>
    <w:rsid w:val="00EB2FAC"/>
    <w:rsid w:val="00EB7C07"/>
    <w:rsid w:val="00ED0B68"/>
    <w:rsid w:val="00ED3B2E"/>
    <w:rsid w:val="00EE4BDB"/>
    <w:rsid w:val="00F1531B"/>
    <w:rsid w:val="00F170BF"/>
    <w:rsid w:val="00F17C8A"/>
    <w:rsid w:val="00F31A5C"/>
    <w:rsid w:val="00F57489"/>
    <w:rsid w:val="00F609DD"/>
    <w:rsid w:val="00F6514B"/>
    <w:rsid w:val="00F65C4B"/>
    <w:rsid w:val="00F66C88"/>
    <w:rsid w:val="00F93FB6"/>
    <w:rsid w:val="00FB04A2"/>
    <w:rsid w:val="00FD0258"/>
    <w:rsid w:val="00FD2F05"/>
    <w:rsid w:val="00FD5E76"/>
    <w:rsid w:val="00FE12C4"/>
    <w:rsid w:val="00FE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D9745"/>
  <w15:docId w15:val="{5E1D42A2-CF55-4481-8E36-F5F825EE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uiPriority w:val="39"/>
    <w:rsid w:val="006D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Heading1Char">
    <w:name w:val="Heading 1 Char"/>
    <w:basedOn w:val="DefaultParagraphFont"/>
    <w:link w:val="Heading1"/>
    <w:rsid w:val="000D0D69"/>
    <w:rPr>
      <w:b/>
      <w:bCs/>
      <w:sz w:val="32"/>
      <w:szCs w:val="3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F5748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8923">
      <w:bodyDiv w:val="1"/>
      <w:marLeft w:val="0"/>
      <w:marRight w:val="0"/>
      <w:marTop w:val="0"/>
      <w:marBottom w:val="0"/>
      <w:divBdr>
        <w:top w:val="none" w:sz="0" w:space="0" w:color="auto"/>
        <w:left w:val="none" w:sz="0" w:space="0" w:color="auto"/>
        <w:bottom w:val="none" w:sz="0" w:space="0" w:color="auto"/>
        <w:right w:val="none" w:sz="0" w:space="0" w:color="auto"/>
      </w:divBdr>
      <w:divsChild>
        <w:div w:id="253172567">
          <w:marLeft w:val="504"/>
          <w:marRight w:val="0"/>
          <w:marTop w:val="140"/>
          <w:marBottom w:val="0"/>
          <w:divBdr>
            <w:top w:val="none" w:sz="0" w:space="0" w:color="auto"/>
            <w:left w:val="none" w:sz="0" w:space="0" w:color="auto"/>
            <w:bottom w:val="none" w:sz="0" w:space="0" w:color="auto"/>
            <w:right w:val="none" w:sz="0" w:space="0" w:color="auto"/>
          </w:divBdr>
        </w:div>
        <w:div w:id="849947658">
          <w:marLeft w:val="504"/>
          <w:marRight w:val="0"/>
          <w:marTop w:val="140"/>
          <w:marBottom w:val="0"/>
          <w:divBdr>
            <w:top w:val="none" w:sz="0" w:space="0" w:color="auto"/>
            <w:left w:val="none" w:sz="0" w:space="0" w:color="auto"/>
            <w:bottom w:val="none" w:sz="0" w:space="0" w:color="auto"/>
            <w:right w:val="none" w:sz="0" w:space="0" w:color="auto"/>
          </w:divBdr>
        </w:div>
        <w:div w:id="1368143726">
          <w:marLeft w:val="504"/>
          <w:marRight w:val="0"/>
          <w:marTop w:val="140"/>
          <w:marBottom w:val="0"/>
          <w:divBdr>
            <w:top w:val="none" w:sz="0" w:space="0" w:color="auto"/>
            <w:left w:val="none" w:sz="0" w:space="0" w:color="auto"/>
            <w:bottom w:val="none" w:sz="0" w:space="0" w:color="auto"/>
            <w:right w:val="none" w:sz="0" w:space="0" w:color="auto"/>
          </w:divBdr>
        </w:div>
        <w:div w:id="198577258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7256-1FB1-4151-85DE-ED5F5955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12</cp:revision>
  <cp:lastPrinted>2019-11-13T10:38:00Z</cp:lastPrinted>
  <dcterms:created xsi:type="dcterms:W3CDTF">2019-06-12T18:39:00Z</dcterms:created>
  <dcterms:modified xsi:type="dcterms:W3CDTF">2019-11-14T15:55:00Z</dcterms:modified>
</cp:coreProperties>
</file>