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34" w:type="dxa"/>
        <w:tblLayout w:type="fixed"/>
        <w:tblLook w:val="04A0" w:firstRow="1" w:lastRow="0" w:firstColumn="1" w:lastColumn="0" w:noHBand="0" w:noVBand="1"/>
      </w:tblPr>
      <w:tblGrid>
        <w:gridCol w:w="2699"/>
        <w:gridCol w:w="3822"/>
        <w:gridCol w:w="2977"/>
      </w:tblGrid>
      <w:tr w:rsidR="005B4BA8" w:rsidRPr="00B5719A" w:rsidTr="0069303A">
        <w:trPr>
          <w:trHeight w:val="490"/>
        </w:trPr>
        <w:tc>
          <w:tcPr>
            <w:tcW w:w="2699" w:type="dxa"/>
            <w:vAlign w:val="bottom"/>
          </w:tcPr>
          <w:p w:rsidR="005B4BA8" w:rsidRPr="00B5719A" w:rsidRDefault="005B4BA8" w:rsidP="0069303A">
            <w:pPr>
              <w:pStyle w:val="Heading1"/>
              <w:ind w:right="183"/>
              <w:contextualSpacing/>
              <w:rPr>
                <w:rFonts w:ascii="Arial" w:hAnsi="Arial" w:cs="Arial"/>
                <w:sz w:val="24"/>
                <w:szCs w:val="24"/>
              </w:rPr>
            </w:pPr>
            <w:r w:rsidRPr="00B5719A">
              <w:rPr>
                <w:rFonts w:ascii="Arial" w:hAnsi="Arial" w:cs="Arial"/>
                <w:sz w:val="24"/>
                <w:szCs w:val="24"/>
              </w:rPr>
              <w:t>Board Meeting:</w:t>
            </w:r>
          </w:p>
        </w:tc>
        <w:tc>
          <w:tcPr>
            <w:tcW w:w="3822" w:type="dxa"/>
            <w:vAlign w:val="bottom"/>
          </w:tcPr>
          <w:p w:rsidR="005B4BA8" w:rsidRPr="00B5719A" w:rsidRDefault="0069303A" w:rsidP="0069303A">
            <w:pPr>
              <w:pStyle w:val="Heading1"/>
              <w:ind w:right="183"/>
              <w:contextualSpacing/>
              <w:rPr>
                <w:rFonts w:ascii="Arial" w:hAnsi="Arial" w:cs="Arial"/>
                <w:b w:val="0"/>
                <w:sz w:val="24"/>
                <w:szCs w:val="24"/>
              </w:rPr>
            </w:pPr>
            <w:r>
              <w:rPr>
                <w:rFonts w:ascii="Arial" w:hAnsi="Arial" w:cs="Arial"/>
                <w:b w:val="0"/>
                <w:sz w:val="24"/>
                <w:szCs w:val="24"/>
              </w:rPr>
              <w:t>21 November</w:t>
            </w:r>
            <w:r w:rsidR="00D05B0C">
              <w:rPr>
                <w:rFonts w:ascii="Arial" w:hAnsi="Arial" w:cs="Arial"/>
                <w:b w:val="0"/>
                <w:sz w:val="24"/>
                <w:szCs w:val="24"/>
              </w:rPr>
              <w:t xml:space="preserve"> 2019</w:t>
            </w:r>
          </w:p>
        </w:tc>
        <w:tc>
          <w:tcPr>
            <w:tcW w:w="2977" w:type="dxa"/>
            <w:vMerge w:val="restart"/>
            <w:vAlign w:val="bottom"/>
          </w:tcPr>
          <w:p w:rsidR="005B4BA8" w:rsidRPr="00B5719A" w:rsidRDefault="0080001C" w:rsidP="0069303A">
            <w:pPr>
              <w:pStyle w:val="Heading1"/>
              <w:ind w:right="34"/>
              <w:contextualSpacing/>
              <w:jc w:val="right"/>
              <w:rPr>
                <w:rFonts w:ascii="Arial" w:hAnsi="Arial" w:cs="Arial"/>
                <w:sz w:val="24"/>
                <w:szCs w:val="24"/>
              </w:rPr>
            </w:pPr>
            <w:r w:rsidRPr="0080001C">
              <w:rPr>
                <w:rFonts w:ascii="Arial" w:hAnsi="Arial" w:cs="Arial"/>
                <w:noProof/>
                <w:sz w:val="24"/>
                <w:szCs w:val="24"/>
                <w:lang w:eastAsia="en-GB"/>
              </w:rPr>
              <w:drawing>
                <wp:anchor distT="0" distB="0" distL="114300" distR="114300" simplePos="0" relativeHeight="251658240" behindDoc="0" locked="0" layoutInCell="1" allowOverlap="1">
                  <wp:simplePos x="0" y="0"/>
                  <wp:positionH relativeFrom="margin">
                    <wp:posOffset>226695</wp:posOffset>
                  </wp:positionH>
                  <wp:positionV relativeFrom="margin">
                    <wp:posOffset>-463550</wp:posOffset>
                  </wp:positionV>
                  <wp:extent cx="1781175" cy="741045"/>
                  <wp:effectExtent l="19050" t="0" r="9525" b="0"/>
                  <wp:wrapSquare wrapText="bothSides"/>
                  <wp:docPr id="2" name="Picture 0" descr="dual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al branding.jpg"/>
                          <pic:cNvPicPr/>
                        </pic:nvPicPr>
                        <pic:blipFill>
                          <a:blip r:embed="rId8" cstate="print"/>
                          <a:stretch>
                            <a:fillRect/>
                          </a:stretch>
                        </pic:blipFill>
                        <pic:spPr>
                          <a:xfrm>
                            <a:off x="0" y="0"/>
                            <a:ext cx="1781175" cy="741045"/>
                          </a:xfrm>
                          <a:prstGeom prst="rect">
                            <a:avLst/>
                          </a:prstGeom>
                        </pic:spPr>
                      </pic:pic>
                    </a:graphicData>
                  </a:graphic>
                  <wp14:sizeRelH relativeFrom="margin">
                    <wp14:pctWidth>0</wp14:pctWidth>
                  </wp14:sizeRelH>
                  <wp14:sizeRelV relativeFrom="margin">
                    <wp14:pctHeight>0</wp14:pctHeight>
                  </wp14:sizeRelV>
                </wp:anchor>
              </w:drawing>
            </w:r>
          </w:p>
        </w:tc>
      </w:tr>
      <w:tr w:rsidR="005B4BA8" w:rsidRPr="00B5719A" w:rsidTr="0069303A">
        <w:trPr>
          <w:trHeight w:val="961"/>
        </w:trPr>
        <w:tc>
          <w:tcPr>
            <w:tcW w:w="2699" w:type="dxa"/>
            <w:vAlign w:val="bottom"/>
          </w:tcPr>
          <w:p w:rsidR="005B4BA8" w:rsidRPr="00B5719A" w:rsidRDefault="005B4BA8" w:rsidP="0069303A">
            <w:pPr>
              <w:pStyle w:val="Heading1"/>
              <w:ind w:right="183"/>
              <w:contextualSpacing/>
              <w:rPr>
                <w:rFonts w:ascii="Arial" w:hAnsi="Arial" w:cs="Arial"/>
                <w:sz w:val="24"/>
                <w:szCs w:val="24"/>
              </w:rPr>
            </w:pPr>
            <w:r w:rsidRPr="00B5719A">
              <w:rPr>
                <w:rFonts w:ascii="Arial" w:hAnsi="Arial" w:cs="Arial"/>
                <w:bCs w:val="0"/>
                <w:sz w:val="24"/>
                <w:szCs w:val="24"/>
              </w:rPr>
              <w:t>Subject:</w:t>
            </w:r>
          </w:p>
        </w:tc>
        <w:tc>
          <w:tcPr>
            <w:tcW w:w="3822" w:type="dxa"/>
            <w:vAlign w:val="bottom"/>
          </w:tcPr>
          <w:p w:rsidR="005B4BA8" w:rsidRPr="006B3F74" w:rsidRDefault="006B3F74" w:rsidP="0069303A">
            <w:pPr>
              <w:pStyle w:val="Heading1"/>
              <w:ind w:right="183"/>
              <w:contextualSpacing/>
              <w:rPr>
                <w:rFonts w:ascii="Arial" w:hAnsi="Arial" w:cs="Arial"/>
                <w:sz w:val="24"/>
                <w:szCs w:val="24"/>
              </w:rPr>
            </w:pPr>
            <w:r w:rsidRPr="006B3F74">
              <w:rPr>
                <w:rFonts w:ascii="Arial" w:hAnsi="Arial" w:cs="Arial"/>
                <w:sz w:val="24"/>
                <w:szCs w:val="24"/>
              </w:rPr>
              <w:t>Quality of Care Report</w:t>
            </w:r>
          </w:p>
        </w:tc>
        <w:tc>
          <w:tcPr>
            <w:tcW w:w="2977" w:type="dxa"/>
            <w:vMerge/>
            <w:vAlign w:val="bottom"/>
          </w:tcPr>
          <w:p w:rsidR="005B4BA8" w:rsidRPr="00B5719A" w:rsidRDefault="005B4BA8" w:rsidP="0069303A">
            <w:pPr>
              <w:pStyle w:val="Heading1"/>
              <w:ind w:right="183"/>
              <w:contextualSpacing/>
              <w:rPr>
                <w:rFonts w:ascii="Arial" w:hAnsi="Arial" w:cs="Arial"/>
                <w:noProof/>
                <w:sz w:val="24"/>
                <w:szCs w:val="24"/>
                <w:lang w:eastAsia="en-GB"/>
              </w:rPr>
            </w:pPr>
          </w:p>
        </w:tc>
      </w:tr>
    </w:tbl>
    <w:p w:rsidR="00067AD9" w:rsidRDefault="00067AD9" w:rsidP="00067AD9">
      <w:pPr>
        <w:ind w:right="-330"/>
        <w:rPr>
          <w:rFonts w:ascii="Arial" w:hAnsi="Arial" w:cs="Arial"/>
          <w:b/>
        </w:rPr>
      </w:pPr>
    </w:p>
    <w:tbl>
      <w:tblPr>
        <w:tblStyle w:val="TableGrid"/>
        <w:tblW w:w="9242" w:type="dxa"/>
        <w:tblLook w:val="04A0" w:firstRow="1" w:lastRow="0" w:firstColumn="1" w:lastColumn="0" w:noHBand="0" w:noVBand="1"/>
      </w:tblPr>
      <w:tblGrid>
        <w:gridCol w:w="2660"/>
        <w:gridCol w:w="5812"/>
        <w:gridCol w:w="770"/>
      </w:tblGrid>
      <w:tr w:rsidR="00C0429D" w:rsidTr="0069303A">
        <w:tc>
          <w:tcPr>
            <w:tcW w:w="2660" w:type="dxa"/>
            <w:tcBorders>
              <w:top w:val="nil"/>
              <w:left w:val="nil"/>
              <w:bottom w:val="nil"/>
              <w:right w:val="nil"/>
            </w:tcBorders>
          </w:tcPr>
          <w:p w:rsidR="00C0429D" w:rsidRDefault="00C0429D" w:rsidP="00C0429D">
            <w:pPr>
              <w:spacing w:line="360" w:lineRule="auto"/>
              <w:ind w:right="-329"/>
              <w:rPr>
                <w:rFonts w:ascii="Arial" w:hAnsi="Arial" w:cs="Arial"/>
                <w:b/>
              </w:rPr>
            </w:pPr>
            <w:r>
              <w:rPr>
                <w:rFonts w:ascii="Arial" w:hAnsi="Arial" w:cs="Arial"/>
                <w:b/>
              </w:rPr>
              <w:t>Recommendation</w:t>
            </w:r>
          </w:p>
        </w:tc>
        <w:tc>
          <w:tcPr>
            <w:tcW w:w="5812" w:type="dxa"/>
            <w:tcBorders>
              <w:top w:val="nil"/>
              <w:left w:val="nil"/>
              <w:bottom w:val="single" w:sz="4" w:space="0" w:color="auto"/>
              <w:right w:val="nil"/>
            </w:tcBorders>
          </w:tcPr>
          <w:p w:rsidR="00C0429D" w:rsidRPr="00C0429D" w:rsidRDefault="0069303A" w:rsidP="00C0429D">
            <w:pPr>
              <w:spacing w:line="360" w:lineRule="auto"/>
              <w:ind w:left="-102" w:right="-329"/>
              <w:rPr>
                <w:rFonts w:ascii="Arial" w:hAnsi="Arial" w:cs="Arial"/>
              </w:rPr>
            </w:pPr>
            <w:r>
              <w:rPr>
                <w:rFonts w:ascii="Arial" w:hAnsi="Arial" w:cs="Arial"/>
              </w:rPr>
              <w:t xml:space="preserve">  </w:t>
            </w:r>
            <w:bookmarkStart w:id="0" w:name="_GoBack"/>
            <w:bookmarkEnd w:id="0"/>
            <w:r w:rsidR="00C0429D" w:rsidRPr="00C0429D">
              <w:rPr>
                <w:rFonts w:ascii="Arial" w:hAnsi="Arial" w:cs="Arial"/>
              </w:rPr>
              <w:t>Board members are asked to:</w:t>
            </w:r>
          </w:p>
        </w:tc>
        <w:tc>
          <w:tcPr>
            <w:tcW w:w="770" w:type="dxa"/>
            <w:tcBorders>
              <w:top w:val="nil"/>
              <w:left w:val="nil"/>
              <w:bottom w:val="single" w:sz="4" w:space="0" w:color="auto"/>
              <w:right w:val="nil"/>
            </w:tcBorders>
          </w:tcPr>
          <w:p w:rsidR="00C0429D" w:rsidRDefault="00C0429D" w:rsidP="00C0429D">
            <w:pPr>
              <w:spacing w:line="360" w:lineRule="auto"/>
              <w:ind w:right="-329"/>
              <w:rPr>
                <w:rFonts w:ascii="Arial" w:hAnsi="Arial" w:cs="Arial"/>
                <w:b/>
              </w:rPr>
            </w:pPr>
          </w:p>
        </w:tc>
      </w:tr>
      <w:tr w:rsidR="00C0429D" w:rsidTr="0069303A">
        <w:tc>
          <w:tcPr>
            <w:tcW w:w="2660" w:type="dxa"/>
            <w:tcBorders>
              <w:top w:val="nil"/>
              <w:left w:val="nil"/>
              <w:bottom w:val="nil"/>
              <w:right w:val="single" w:sz="4" w:space="0" w:color="auto"/>
            </w:tcBorders>
          </w:tcPr>
          <w:p w:rsidR="00C0429D" w:rsidRDefault="00C0429D" w:rsidP="00C0429D">
            <w:pPr>
              <w:spacing w:line="360" w:lineRule="auto"/>
              <w:ind w:right="-329"/>
              <w:rPr>
                <w:rFonts w:ascii="Arial" w:hAnsi="Arial" w:cs="Arial"/>
                <w:b/>
              </w:rPr>
            </w:pPr>
          </w:p>
        </w:tc>
        <w:tc>
          <w:tcPr>
            <w:tcW w:w="5812" w:type="dxa"/>
            <w:tcBorders>
              <w:top w:val="single" w:sz="4" w:space="0" w:color="auto"/>
              <w:left w:val="single" w:sz="4" w:space="0" w:color="auto"/>
            </w:tcBorders>
            <w:vAlign w:val="center"/>
          </w:tcPr>
          <w:p w:rsidR="00C0429D" w:rsidRPr="00C0429D" w:rsidRDefault="0069303A" w:rsidP="00C0429D">
            <w:pPr>
              <w:spacing w:line="360" w:lineRule="auto"/>
              <w:ind w:right="-329"/>
              <w:rPr>
                <w:rFonts w:ascii="Arial" w:hAnsi="Arial" w:cs="Arial"/>
              </w:rPr>
            </w:pPr>
            <w:r>
              <w:rPr>
                <w:rFonts w:ascii="Arial" w:hAnsi="Arial" w:cs="Arial"/>
              </w:rPr>
              <w:t xml:space="preserve"> </w:t>
            </w:r>
            <w:r w:rsidR="00C0429D" w:rsidRPr="00C0429D">
              <w:rPr>
                <w:rFonts w:ascii="Arial" w:hAnsi="Arial" w:cs="Arial"/>
              </w:rPr>
              <w:t>Discuss and Note</w:t>
            </w:r>
          </w:p>
        </w:tc>
        <w:tc>
          <w:tcPr>
            <w:tcW w:w="770" w:type="dxa"/>
            <w:tcBorders>
              <w:top w:val="single" w:sz="4" w:space="0" w:color="auto"/>
            </w:tcBorders>
            <w:vAlign w:val="center"/>
          </w:tcPr>
          <w:p w:rsidR="00C0429D" w:rsidRDefault="006B3F74" w:rsidP="006B3F74">
            <w:pPr>
              <w:spacing w:line="360" w:lineRule="auto"/>
              <w:ind w:right="-329"/>
              <w:rPr>
                <w:rFonts w:ascii="Arial" w:hAnsi="Arial" w:cs="Arial"/>
                <w:b/>
              </w:rPr>
            </w:pPr>
            <w:r>
              <w:rPr>
                <w:rFonts w:ascii="Arial" w:hAnsi="Arial" w:cs="Arial"/>
                <w:b/>
              </w:rPr>
              <w:t xml:space="preserve">  </w:t>
            </w:r>
            <w:r>
              <w:rPr>
                <w:rFonts w:ascii="Arial" w:hAnsi="Arial" w:cs="Arial"/>
                <w:b/>
              </w:rPr>
              <w:sym w:font="Wingdings" w:char="F0FC"/>
            </w:r>
          </w:p>
        </w:tc>
      </w:tr>
      <w:tr w:rsidR="00C0429D" w:rsidTr="0069303A">
        <w:tc>
          <w:tcPr>
            <w:tcW w:w="2660" w:type="dxa"/>
            <w:tcBorders>
              <w:top w:val="nil"/>
              <w:left w:val="nil"/>
              <w:bottom w:val="nil"/>
              <w:right w:val="single" w:sz="4" w:space="0" w:color="auto"/>
            </w:tcBorders>
          </w:tcPr>
          <w:p w:rsidR="00C0429D" w:rsidRDefault="00C0429D" w:rsidP="00C0429D">
            <w:pPr>
              <w:spacing w:line="360" w:lineRule="auto"/>
              <w:ind w:right="-329"/>
              <w:rPr>
                <w:rFonts w:ascii="Arial" w:hAnsi="Arial" w:cs="Arial"/>
                <w:b/>
              </w:rPr>
            </w:pPr>
          </w:p>
        </w:tc>
        <w:tc>
          <w:tcPr>
            <w:tcW w:w="5812" w:type="dxa"/>
            <w:tcBorders>
              <w:left w:val="single" w:sz="4" w:space="0" w:color="auto"/>
            </w:tcBorders>
            <w:vAlign w:val="center"/>
          </w:tcPr>
          <w:p w:rsidR="00C0429D" w:rsidRPr="00C0429D" w:rsidRDefault="0069303A" w:rsidP="00C0429D">
            <w:pPr>
              <w:spacing w:line="360" w:lineRule="auto"/>
              <w:ind w:right="-329"/>
              <w:rPr>
                <w:rFonts w:ascii="Arial" w:hAnsi="Arial" w:cs="Arial"/>
              </w:rPr>
            </w:pPr>
            <w:r>
              <w:rPr>
                <w:rFonts w:ascii="Arial" w:hAnsi="Arial" w:cs="Arial"/>
              </w:rPr>
              <w:t xml:space="preserve"> </w:t>
            </w:r>
            <w:r w:rsidR="00C0429D" w:rsidRPr="00C0429D">
              <w:rPr>
                <w:rFonts w:ascii="Arial" w:hAnsi="Arial" w:cs="Arial"/>
              </w:rPr>
              <w:t>Discuss and Approve</w:t>
            </w:r>
          </w:p>
        </w:tc>
        <w:tc>
          <w:tcPr>
            <w:tcW w:w="770" w:type="dxa"/>
            <w:vAlign w:val="center"/>
          </w:tcPr>
          <w:p w:rsidR="00C0429D" w:rsidRDefault="00C0429D" w:rsidP="0069303A">
            <w:pPr>
              <w:ind w:right="-330"/>
              <w:rPr>
                <w:rFonts w:ascii="Arial" w:hAnsi="Arial" w:cs="Arial"/>
                <w:b/>
              </w:rPr>
            </w:pPr>
            <w:r>
              <w:rPr>
                <w:rFonts w:ascii="Arial" w:hAnsi="Arial" w:cs="Arial"/>
                <w:b/>
              </w:rPr>
              <w:t xml:space="preserve">   </w:t>
            </w:r>
          </w:p>
        </w:tc>
      </w:tr>
      <w:tr w:rsidR="00C0429D" w:rsidTr="0069303A">
        <w:tc>
          <w:tcPr>
            <w:tcW w:w="2660" w:type="dxa"/>
            <w:tcBorders>
              <w:top w:val="nil"/>
              <w:left w:val="nil"/>
              <w:bottom w:val="nil"/>
              <w:right w:val="single" w:sz="4" w:space="0" w:color="auto"/>
            </w:tcBorders>
          </w:tcPr>
          <w:p w:rsidR="00C0429D" w:rsidRDefault="00C0429D" w:rsidP="00C0429D">
            <w:pPr>
              <w:spacing w:line="360" w:lineRule="auto"/>
              <w:ind w:right="-329"/>
              <w:rPr>
                <w:rFonts w:ascii="Arial" w:hAnsi="Arial" w:cs="Arial"/>
                <w:b/>
              </w:rPr>
            </w:pPr>
          </w:p>
        </w:tc>
        <w:tc>
          <w:tcPr>
            <w:tcW w:w="5812" w:type="dxa"/>
            <w:tcBorders>
              <w:left w:val="single" w:sz="4" w:space="0" w:color="auto"/>
            </w:tcBorders>
            <w:vAlign w:val="center"/>
          </w:tcPr>
          <w:p w:rsidR="00C0429D" w:rsidRPr="00C0429D" w:rsidRDefault="0069303A" w:rsidP="00C0429D">
            <w:pPr>
              <w:spacing w:line="360" w:lineRule="auto"/>
              <w:ind w:right="-329"/>
              <w:rPr>
                <w:rFonts w:ascii="Arial" w:hAnsi="Arial" w:cs="Arial"/>
              </w:rPr>
            </w:pPr>
            <w:r>
              <w:rPr>
                <w:rFonts w:ascii="Arial" w:hAnsi="Arial" w:cs="Arial"/>
              </w:rPr>
              <w:t xml:space="preserve"> </w:t>
            </w:r>
            <w:r w:rsidR="00C0429D" w:rsidRPr="00C0429D">
              <w:rPr>
                <w:rFonts w:ascii="Arial" w:hAnsi="Arial" w:cs="Arial"/>
              </w:rPr>
              <w:t>Note for Information only</w:t>
            </w:r>
          </w:p>
        </w:tc>
        <w:tc>
          <w:tcPr>
            <w:tcW w:w="770" w:type="dxa"/>
            <w:vAlign w:val="center"/>
          </w:tcPr>
          <w:p w:rsidR="00C0429D" w:rsidRDefault="00C0429D" w:rsidP="00C0429D">
            <w:pPr>
              <w:spacing w:line="360" w:lineRule="auto"/>
              <w:ind w:right="-329"/>
              <w:rPr>
                <w:rFonts w:ascii="Arial" w:hAnsi="Arial" w:cs="Arial"/>
                <w:b/>
              </w:rPr>
            </w:pPr>
          </w:p>
        </w:tc>
      </w:tr>
    </w:tbl>
    <w:p w:rsidR="0069303A" w:rsidRDefault="0069303A" w:rsidP="00067AD9">
      <w:pPr>
        <w:ind w:right="-330"/>
        <w:rPr>
          <w:rFonts w:ascii="Arial" w:hAnsi="Arial" w:cs="Arial"/>
          <w:b/>
        </w:rPr>
      </w:pPr>
    </w:p>
    <w:p w:rsidR="0069303A" w:rsidRDefault="0069303A" w:rsidP="00067AD9">
      <w:pPr>
        <w:ind w:right="-330"/>
        <w:rPr>
          <w:rFonts w:ascii="Arial" w:hAnsi="Arial" w:cs="Arial"/>
          <w:b/>
        </w:rPr>
      </w:pPr>
    </w:p>
    <w:p w:rsidR="00B0525B" w:rsidRDefault="00067AD9" w:rsidP="00067AD9">
      <w:pPr>
        <w:ind w:right="-330"/>
        <w:rPr>
          <w:rFonts w:ascii="Arial" w:hAnsi="Arial" w:cs="Arial"/>
          <w:b/>
        </w:rPr>
      </w:pPr>
      <w:r w:rsidRPr="00067AD9">
        <w:rPr>
          <w:rFonts w:ascii="Arial" w:hAnsi="Arial" w:cs="Arial"/>
          <w:b/>
        </w:rPr>
        <w:t>1</w:t>
      </w:r>
      <w:r w:rsidRPr="00067AD9">
        <w:rPr>
          <w:rFonts w:ascii="Arial" w:hAnsi="Arial" w:cs="Arial"/>
          <w:b/>
        </w:rPr>
        <w:tab/>
      </w:r>
      <w:r w:rsidR="00B0525B" w:rsidRPr="00067AD9">
        <w:rPr>
          <w:rFonts w:ascii="Arial" w:hAnsi="Arial" w:cs="Arial"/>
          <w:b/>
        </w:rPr>
        <w:t>Background</w:t>
      </w:r>
    </w:p>
    <w:p w:rsidR="0093133E" w:rsidRPr="0093133E" w:rsidRDefault="0093133E" w:rsidP="00067AD9">
      <w:pPr>
        <w:ind w:right="-330"/>
        <w:rPr>
          <w:rFonts w:ascii="Arial" w:hAnsi="Arial" w:cs="Arial"/>
          <w:b/>
          <w:sz w:val="10"/>
          <w:szCs w:val="10"/>
        </w:rPr>
      </w:pPr>
    </w:p>
    <w:p w:rsidR="00B0525B" w:rsidRPr="006B3F74" w:rsidRDefault="00B0525B" w:rsidP="00067AD9">
      <w:pPr>
        <w:ind w:right="-330"/>
        <w:rPr>
          <w:rFonts w:ascii="Arial" w:hAnsi="Arial" w:cs="Arial"/>
          <w:sz w:val="12"/>
          <w:szCs w:val="12"/>
        </w:rPr>
      </w:pPr>
    </w:p>
    <w:p w:rsidR="006B3F74" w:rsidRDefault="006B3F74" w:rsidP="00067AD9">
      <w:pPr>
        <w:ind w:right="-330"/>
        <w:rPr>
          <w:rFonts w:ascii="Arial" w:hAnsi="Arial" w:cs="Arial"/>
        </w:rPr>
      </w:pPr>
      <w:r>
        <w:rPr>
          <w:rFonts w:ascii="Arial" w:hAnsi="Arial" w:cs="Arial"/>
        </w:rPr>
        <w:t xml:space="preserve">The Quality of Care review was undertaken in April 2019.  Healthcare Improvement Scotland (HIS) shared draft findings late September 2019 for a factual accuracy check with a two-week response time.  A final report has now been published and is presented for noting.  </w:t>
      </w:r>
    </w:p>
    <w:p w:rsidR="0069303A" w:rsidRDefault="0069303A" w:rsidP="00067AD9">
      <w:pPr>
        <w:ind w:right="-330"/>
        <w:rPr>
          <w:rFonts w:ascii="Arial" w:hAnsi="Arial" w:cs="Arial"/>
        </w:rPr>
      </w:pPr>
    </w:p>
    <w:p w:rsidR="0069303A" w:rsidRDefault="0069303A" w:rsidP="00067AD9">
      <w:pPr>
        <w:ind w:right="-330"/>
        <w:rPr>
          <w:rFonts w:ascii="Arial" w:hAnsi="Arial" w:cs="Arial"/>
        </w:rPr>
      </w:pPr>
    </w:p>
    <w:p w:rsidR="006B3F74" w:rsidRPr="001175E5" w:rsidRDefault="006B3F74" w:rsidP="006B3F74">
      <w:pPr>
        <w:ind w:right="183"/>
        <w:rPr>
          <w:rFonts w:ascii="Arial" w:hAnsi="Arial" w:cs="Arial"/>
        </w:rPr>
      </w:pPr>
      <w:r w:rsidRPr="001175E5">
        <w:rPr>
          <w:rFonts w:ascii="Arial" w:hAnsi="Arial" w:cs="Arial"/>
          <w:b/>
          <w:bCs/>
        </w:rPr>
        <w:t>2</w:t>
      </w:r>
      <w:r w:rsidRPr="001175E5">
        <w:rPr>
          <w:rFonts w:ascii="Arial" w:hAnsi="Arial" w:cs="Arial"/>
          <w:b/>
          <w:bCs/>
        </w:rPr>
        <w:tab/>
      </w:r>
      <w:r>
        <w:rPr>
          <w:rFonts w:ascii="Arial" w:hAnsi="Arial" w:cs="Arial"/>
          <w:b/>
          <w:bCs/>
        </w:rPr>
        <w:t xml:space="preserve">Assessment </w:t>
      </w:r>
    </w:p>
    <w:p w:rsidR="006B3F74" w:rsidRPr="006B3F74" w:rsidRDefault="006B3F74" w:rsidP="006B3F74">
      <w:pPr>
        <w:pStyle w:val="Footer"/>
        <w:tabs>
          <w:tab w:val="clear" w:pos="4153"/>
          <w:tab w:val="clear" w:pos="8306"/>
        </w:tabs>
        <w:ind w:right="183"/>
        <w:rPr>
          <w:rFonts w:ascii="Arial" w:hAnsi="Arial" w:cs="Arial"/>
          <w:sz w:val="12"/>
          <w:szCs w:val="12"/>
        </w:rPr>
      </w:pPr>
      <w:r>
        <w:rPr>
          <w:rFonts w:ascii="Arial" w:hAnsi="Arial" w:cs="Arial"/>
        </w:rPr>
        <w:tab/>
      </w:r>
    </w:p>
    <w:p w:rsidR="006B3F74" w:rsidRDefault="006B3F74" w:rsidP="006B3F74">
      <w:pPr>
        <w:pStyle w:val="Footer"/>
        <w:tabs>
          <w:tab w:val="clear" w:pos="4153"/>
          <w:tab w:val="clear" w:pos="8306"/>
        </w:tabs>
        <w:ind w:right="183"/>
        <w:rPr>
          <w:rFonts w:ascii="Arial" w:hAnsi="Arial" w:cs="Arial"/>
        </w:rPr>
      </w:pPr>
      <w:r>
        <w:rPr>
          <w:rFonts w:ascii="Arial" w:hAnsi="Arial" w:cs="Arial"/>
        </w:rPr>
        <w:t>The report presents the review group findings from both the self-assessment, supporting evidence and discussions held over the two-day visit.  Key strengths are presented which should be noted.  In addition, the report highlights areas for improvement on pages 11 and 12.</w:t>
      </w:r>
    </w:p>
    <w:p w:rsidR="006B3F74" w:rsidRDefault="006B3F74" w:rsidP="006B3F74">
      <w:pPr>
        <w:pStyle w:val="Footer"/>
        <w:tabs>
          <w:tab w:val="clear" w:pos="4153"/>
          <w:tab w:val="clear" w:pos="8306"/>
        </w:tabs>
        <w:ind w:right="183"/>
        <w:rPr>
          <w:rFonts w:ascii="Arial" w:hAnsi="Arial" w:cs="Arial"/>
        </w:rPr>
      </w:pPr>
    </w:p>
    <w:p w:rsidR="006B3F74" w:rsidRDefault="006B3F74" w:rsidP="006B3F74">
      <w:pPr>
        <w:pStyle w:val="Footer"/>
        <w:tabs>
          <w:tab w:val="clear" w:pos="4153"/>
          <w:tab w:val="clear" w:pos="8306"/>
        </w:tabs>
        <w:ind w:right="183"/>
        <w:rPr>
          <w:rFonts w:ascii="Arial" w:hAnsi="Arial" w:cs="Arial"/>
        </w:rPr>
      </w:pPr>
      <w:r>
        <w:rPr>
          <w:rFonts w:ascii="Arial" w:hAnsi="Arial" w:cs="Arial"/>
        </w:rPr>
        <w:t xml:space="preserve">Review of the report and discussions at the Clinical Governance Committee confirmed that the recommendations do not identify any new issues and that work is currently ongoing in response to the highlighted points.  This will be presented to Senior Management Team to map across the recommendations to ongoing actions and assure all areas are being addressed.  This will then be shared with the Board.  </w:t>
      </w:r>
    </w:p>
    <w:p w:rsidR="006B3F74" w:rsidRDefault="006B3F74" w:rsidP="006B3F74">
      <w:pPr>
        <w:pStyle w:val="Footer"/>
        <w:tabs>
          <w:tab w:val="clear" w:pos="4153"/>
          <w:tab w:val="clear" w:pos="8306"/>
        </w:tabs>
        <w:ind w:right="183"/>
        <w:rPr>
          <w:rFonts w:ascii="Arial" w:hAnsi="Arial" w:cs="Arial"/>
        </w:rPr>
      </w:pPr>
    </w:p>
    <w:p w:rsidR="006B3F74" w:rsidRDefault="006B3F74" w:rsidP="006B3F74">
      <w:pPr>
        <w:pStyle w:val="Footer"/>
        <w:tabs>
          <w:tab w:val="clear" w:pos="4153"/>
          <w:tab w:val="clear" w:pos="8306"/>
        </w:tabs>
        <w:ind w:right="183"/>
        <w:rPr>
          <w:rFonts w:ascii="Arial" w:hAnsi="Arial" w:cs="Arial"/>
        </w:rPr>
      </w:pPr>
      <w:r>
        <w:rPr>
          <w:rFonts w:ascii="Arial" w:hAnsi="Arial" w:cs="Arial"/>
        </w:rPr>
        <w:t xml:space="preserve">HIS have been in contact to begin a review of the process.  </w:t>
      </w:r>
    </w:p>
    <w:p w:rsidR="006B3F74" w:rsidRDefault="006B3F74" w:rsidP="006B3F74">
      <w:pPr>
        <w:pStyle w:val="Footer"/>
        <w:tabs>
          <w:tab w:val="clear" w:pos="4153"/>
          <w:tab w:val="clear" w:pos="8306"/>
        </w:tabs>
        <w:ind w:right="183"/>
        <w:rPr>
          <w:rFonts w:ascii="Arial" w:hAnsi="Arial" w:cs="Arial"/>
        </w:rPr>
      </w:pPr>
    </w:p>
    <w:p w:rsidR="006B3F74" w:rsidRPr="001175E5" w:rsidRDefault="006B3F74" w:rsidP="006B3F74">
      <w:pPr>
        <w:pStyle w:val="Heading2"/>
        <w:numPr>
          <w:ilvl w:val="0"/>
          <w:numId w:val="24"/>
        </w:numPr>
        <w:ind w:right="183" w:hanging="720"/>
        <w:rPr>
          <w:i w:val="0"/>
          <w:sz w:val="24"/>
          <w:szCs w:val="24"/>
        </w:rPr>
      </w:pPr>
      <w:r>
        <w:rPr>
          <w:i w:val="0"/>
          <w:sz w:val="24"/>
          <w:szCs w:val="24"/>
        </w:rPr>
        <w:t xml:space="preserve">Recommendation </w:t>
      </w:r>
    </w:p>
    <w:p w:rsidR="006B3F74" w:rsidRPr="006B3F74" w:rsidRDefault="006B3F74" w:rsidP="006B3F74">
      <w:pPr>
        <w:ind w:right="183"/>
        <w:rPr>
          <w:rFonts w:ascii="Arial" w:hAnsi="Arial" w:cs="Arial"/>
          <w:b/>
          <w:bCs/>
          <w:sz w:val="12"/>
          <w:szCs w:val="12"/>
        </w:rPr>
      </w:pPr>
    </w:p>
    <w:p w:rsidR="006B3F74" w:rsidRPr="006B3F74" w:rsidRDefault="006B3F74" w:rsidP="006B3F74">
      <w:pPr>
        <w:ind w:right="183"/>
        <w:rPr>
          <w:rFonts w:ascii="Arial" w:hAnsi="Arial" w:cs="Arial"/>
          <w:bCs/>
        </w:rPr>
      </w:pPr>
      <w:r>
        <w:rPr>
          <w:rFonts w:ascii="Arial" w:hAnsi="Arial" w:cs="Arial"/>
          <w:bCs/>
        </w:rPr>
        <w:t xml:space="preserve">Board </w:t>
      </w:r>
      <w:r w:rsidRPr="00456880">
        <w:rPr>
          <w:rFonts w:ascii="Arial" w:hAnsi="Arial" w:cs="Arial"/>
          <w:bCs/>
        </w:rPr>
        <w:t>Member</w:t>
      </w:r>
      <w:r>
        <w:rPr>
          <w:rFonts w:ascii="Arial" w:hAnsi="Arial" w:cs="Arial"/>
          <w:bCs/>
        </w:rPr>
        <w:t>s are asked to d</w:t>
      </w:r>
      <w:r w:rsidRPr="006B3F74">
        <w:rPr>
          <w:rFonts w:ascii="Arial" w:hAnsi="Arial" w:cs="Arial"/>
          <w:bCs/>
        </w:rPr>
        <w:t xml:space="preserve">iscuss the report and note the plan to take forward. </w:t>
      </w:r>
    </w:p>
    <w:p w:rsidR="0069303A" w:rsidRDefault="0069303A" w:rsidP="00067AD9">
      <w:pPr>
        <w:ind w:right="-330"/>
        <w:rPr>
          <w:rFonts w:ascii="Arial" w:hAnsi="Arial" w:cs="Arial"/>
        </w:rPr>
      </w:pPr>
    </w:p>
    <w:p w:rsidR="0069303A" w:rsidRDefault="0069303A" w:rsidP="00E94C70">
      <w:pPr>
        <w:ind w:right="-330"/>
        <w:rPr>
          <w:rFonts w:ascii="Arial" w:hAnsi="Arial" w:cs="Arial"/>
          <w:b/>
          <w:bCs/>
        </w:rPr>
      </w:pPr>
      <w:r>
        <w:rPr>
          <w:rFonts w:ascii="Arial" w:hAnsi="Arial" w:cs="Arial"/>
          <w:b/>
          <w:bCs/>
        </w:rPr>
        <w:tab/>
      </w:r>
    </w:p>
    <w:p w:rsidR="0069303A" w:rsidRDefault="0069303A" w:rsidP="00E94C70">
      <w:pPr>
        <w:ind w:right="-330"/>
        <w:rPr>
          <w:rFonts w:ascii="Arial" w:hAnsi="Arial" w:cs="Arial"/>
          <w:b/>
          <w:bCs/>
        </w:rPr>
      </w:pPr>
    </w:p>
    <w:p w:rsidR="0069303A" w:rsidRDefault="0069303A" w:rsidP="00E94C70">
      <w:pPr>
        <w:ind w:right="-330"/>
        <w:rPr>
          <w:rFonts w:ascii="Arial" w:hAnsi="Arial" w:cs="Arial"/>
          <w:b/>
          <w:bCs/>
        </w:rPr>
      </w:pPr>
    </w:p>
    <w:p w:rsidR="0069303A" w:rsidRDefault="0069303A" w:rsidP="00E94C70">
      <w:pPr>
        <w:ind w:right="-330"/>
        <w:rPr>
          <w:rFonts w:ascii="Arial" w:hAnsi="Arial" w:cs="Arial"/>
          <w:b/>
          <w:bCs/>
        </w:rPr>
      </w:pPr>
    </w:p>
    <w:p w:rsidR="0069303A" w:rsidRDefault="006B3F74" w:rsidP="00E94C70">
      <w:pPr>
        <w:ind w:right="-330"/>
        <w:rPr>
          <w:rFonts w:ascii="Arial" w:hAnsi="Arial" w:cs="Arial"/>
          <w:b/>
          <w:bCs/>
        </w:rPr>
      </w:pPr>
      <w:r>
        <w:rPr>
          <w:rFonts w:ascii="Arial" w:hAnsi="Arial" w:cs="Arial"/>
          <w:b/>
          <w:bCs/>
        </w:rPr>
        <w:t>Anne Marie Cavanagh</w:t>
      </w:r>
    </w:p>
    <w:p w:rsidR="0069303A" w:rsidRDefault="0069303A" w:rsidP="00E94C70">
      <w:pPr>
        <w:ind w:right="-330"/>
        <w:rPr>
          <w:rFonts w:ascii="Arial" w:hAnsi="Arial" w:cs="Arial"/>
          <w:b/>
          <w:bCs/>
        </w:rPr>
      </w:pPr>
      <w:r>
        <w:rPr>
          <w:rFonts w:ascii="Arial" w:hAnsi="Arial" w:cs="Arial"/>
          <w:b/>
          <w:bCs/>
        </w:rPr>
        <w:t>Exec</w:t>
      </w:r>
      <w:r w:rsidR="006B3F74">
        <w:rPr>
          <w:rFonts w:ascii="Arial" w:hAnsi="Arial" w:cs="Arial"/>
          <w:b/>
          <w:bCs/>
        </w:rPr>
        <w:t>utive Nurse Director</w:t>
      </w:r>
    </w:p>
    <w:p w:rsidR="006B3F74" w:rsidRDefault="006B3F74" w:rsidP="00E94C70">
      <w:pPr>
        <w:ind w:right="-330"/>
        <w:rPr>
          <w:rFonts w:ascii="Arial" w:hAnsi="Arial" w:cs="Arial"/>
          <w:b/>
          <w:bCs/>
        </w:rPr>
      </w:pPr>
      <w:r>
        <w:rPr>
          <w:rFonts w:ascii="Arial" w:hAnsi="Arial" w:cs="Arial"/>
          <w:b/>
          <w:bCs/>
        </w:rPr>
        <w:t>12 November 2019</w:t>
      </w:r>
    </w:p>
    <w:sectPr w:rsidR="006B3F74" w:rsidSect="005B69F4">
      <w:footerReference w:type="default" r:id="rId9"/>
      <w:headerReference w:type="first" r:id="rId10"/>
      <w:footerReference w:type="first" r:id="rId11"/>
      <w:pgSz w:w="11906" w:h="16838"/>
      <w:pgMar w:top="1440" w:right="1440" w:bottom="1440" w:left="1440" w:header="709"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6C0" w:rsidRDefault="007D76C0">
      <w:r>
        <w:separator/>
      </w:r>
    </w:p>
  </w:endnote>
  <w:endnote w:type="continuationSeparator" w:id="0">
    <w:p w:rsidR="007D76C0" w:rsidRDefault="007D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CC" w:rsidRPr="00513DB0" w:rsidRDefault="002253CC" w:rsidP="00C24B4E">
    <w:pPr>
      <w:jc w:val="center"/>
      <w:rPr>
        <w:rFonts w:ascii="Arial" w:hAnsi="Arial" w:cs="Arial"/>
        <w:sz w:val="20"/>
        <w:szCs w:val="20"/>
      </w:rPr>
    </w:pPr>
    <w:r>
      <w:rPr>
        <w:rStyle w:val="PageNumber"/>
        <w:rFonts w:ascii="Arial" w:hAnsi="Arial" w:cs="Arial"/>
      </w:rPr>
      <w:t>___________________________________________________________________</w:t>
    </w:r>
    <w:r w:rsidR="00D021D5" w:rsidRPr="00513DB0">
      <w:rPr>
        <w:rStyle w:val="PageNumber"/>
        <w:rFonts w:ascii="Arial" w:hAnsi="Arial" w:cs="Arial"/>
      </w:rPr>
      <w:fldChar w:fldCharType="begin"/>
    </w:r>
    <w:r w:rsidRPr="00513DB0">
      <w:rPr>
        <w:rStyle w:val="PageNumber"/>
        <w:rFonts w:ascii="Arial" w:hAnsi="Arial" w:cs="Arial"/>
      </w:rPr>
      <w:instrText xml:space="preserve"> PAGE </w:instrText>
    </w:r>
    <w:r w:rsidR="00D021D5" w:rsidRPr="00513DB0">
      <w:rPr>
        <w:rStyle w:val="PageNumber"/>
        <w:rFonts w:ascii="Arial" w:hAnsi="Arial" w:cs="Arial"/>
      </w:rPr>
      <w:fldChar w:fldCharType="separate"/>
    </w:r>
    <w:r w:rsidR="006B3F74">
      <w:rPr>
        <w:rStyle w:val="PageNumber"/>
        <w:rFonts w:ascii="Arial" w:hAnsi="Arial" w:cs="Arial"/>
        <w:noProof/>
      </w:rPr>
      <w:t>2</w:t>
    </w:r>
    <w:r w:rsidR="00D021D5" w:rsidRPr="00513DB0">
      <w:rPr>
        <w:rStyle w:val="PageNumber"/>
        <w:rFonts w:ascii="Arial" w:hAnsi="Arial" w:cs="Arial"/>
      </w:rPr>
      <w:fldChar w:fldCharType="end"/>
    </w:r>
  </w:p>
  <w:p w:rsidR="002253CC" w:rsidRDefault="002253CC" w:rsidP="00C24B4E">
    <w:pPr>
      <w:ind w:right="184"/>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CC" w:rsidRPr="00513DB0" w:rsidRDefault="002253CC" w:rsidP="005B69F4">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Pr>
        <w:rStyle w:val="PageNumber"/>
        <w:rFonts w:ascii="Arial" w:hAnsi="Arial" w:cs="Arial"/>
      </w:rPr>
      <w:br/>
    </w:r>
    <w:r w:rsidR="00D021D5" w:rsidRPr="00513DB0">
      <w:rPr>
        <w:rStyle w:val="PageNumber"/>
        <w:rFonts w:ascii="Arial" w:hAnsi="Arial" w:cs="Arial"/>
      </w:rPr>
      <w:fldChar w:fldCharType="begin"/>
    </w:r>
    <w:r w:rsidRPr="00513DB0">
      <w:rPr>
        <w:rStyle w:val="PageNumber"/>
        <w:rFonts w:ascii="Arial" w:hAnsi="Arial" w:cs="Arial"/>
      </w:rPr>
      <w:instrText xml:space="preserve"> PAGE </w:instrText>
    </w:r>
    <w:r w:rsidR="00D021D5" w:rsidRPr="00513DB0">
      <w:rPr>
        <w:rStyle w:val="PageNumber"/>
        <w:rFonts w:ascii="Arial" w:hAnsi="Arial" w:cs="Arial"/>
      </w:rPr>
      <w:fldChar w:fldCharType="separate"/>
    </w:r>
    <w:r w:rsidR="003728CB">
      <w:rPr>
        <w:rStyle w:val="PageNumber"/>
        <w:rFonts w:ascii="Arial" w:hAnsi="Arial" w:cs="Arial"/>
        <w:noProof/>
      </w:rPr>
      <w:t>1</w:t>
    </w:r>
    <w:r w:rsidR="00D021D5" w:rsidRPr="00513DB0">
      <w:rPr>
        <w:rStyle w:val="PageNumber"/>
        <w:rFonts w:ascii="Arial" w:hAnsi="Arial" w:cs="Arial"/>
      </w:rPr>
      <w:fldChar w:fldCharType="end"/>
    </w:r>
  </w:p>
  <w:p w:rsidR="002253CC" w:rsidRDefault="002253CC" w:rsidP="005B69F4">
    <w:pPr>
      <w:ind w:right="184"/>
      <w:jc w:val="center"/>
      <w:rPr>
        <w:rFonts w:ascii="Arial" w:hAnsi="Arial" w:cs="Arial"/>
        <w:sz w:val="20"/>
        <w:szCs w:val="20"/>
      </w:rPr>
    </w:pPr>
  </w:p>
  <w:p w:rsidR="002253CC" w:rsidRPr="005B69F4" w:rsidRDefault="002253CC" w:rsidP="0080001C">
    <w:pPr>
      <w:pStyle w:val="Title"/>
      <w:ind w:right="184"/>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brand</w:t>
    </w:r>
    <w:r w:rsidRPr="008F5DB5">
      <w:rPr>
        <w:rFonts w:ascii="Arial" w:hAnsi="Arial" w:cs="Arial"/>
        <w:sz w:val="18"/>
        <w:szCs w:val="18"/>
      </w:rPr>
      <w:t xml:space="preserve"> name for the NHS National Waiting Times Centre</w:t>
    </w:r>
    <w:r>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6C0" w:rsidRDefault="007D76C0">
      <w:r>
        <w:separator/>
      </w:r>
    </w:p>
  </w:footnote>
  <w:footnote w:type="continuationSeparator" w:id="0">
    <w:p w:rsidR="007D76C0" w:rsidRDefault="007D7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C70" w:rsidRPr="00E94C70" w:rsidRDefault="00E94C70" w:rsidP="00E94C70">
    <w:pPr>
      <w:pStyle w:val="Header"/>
      <w:jc w:val="right"/>
      <w:rPr>
        <w:rFonts w:ascii="Arial" w:hAnsi="Arial" w:cs="Arial"/>
        <w:b/>
        <w:color w:val="0070C0"/>
      </w:rPr>
    </w:pPr>
    <w:r w:rsidRPr="00E94C70">
      <w:rPr>
        <w:rFonts w:ascii="Arial" w:hAnsi="Arial" w:cs="Arial"/>
        <w:b/>
        <w:color w:val="0070C0"/>
      </w:rPr>
      <w:t xml:space="preserve">Item </w:t>
    </w:r>
    <w:r w:rsidR="003728CB">
      <w:rPr>
        <w:rFonts w:ascii="Arial" w:hAnsi="Arial" w:cs="Arial"/>
        <w:b/>
        <w:color w:val="0070C0"/>
      </w:rPr>
      <w:t>5.5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DC4"/>
    <w:multiLevelType w:val="hybridMultilevel"/>
    <w:tmpl w:val="6F4AD3AC"/>
    <w:lvl w:ilvl="0" w:tplc="CBB0A67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A4154"/>
    <w:multiLevelType w:val="hybridMultilevel"/>
    <w:tmpl w:val="42D44F4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4" w15:restartNumberingAfterBreak="0">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01F2008"/>
    <w:multiLevelType w:val="hybridMultilevel"/>
    <w:tmpl w:val="BE1E0FE2"/>
    <w:lvl w:ilvl="0" w:tplc="675A86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E07E74"/>
    <w:multiLevelType w:val="hybridMultilevel"/>
    <w:tmpl w:val="EA66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F1AD7"/>
    <w:multiLevelType w:val="hybridMultilevel"/>
    <w:tmpl w:val="730E3B08"/>
    <w:lvl w:ilvl="0" w:tplc="08090001">
      <w:start w:val="1"/>
      <w:numFmt w:val="bullet"/>
      <w:lvlText w:val=""/>
      <w:lvlJc w:val="left"/>
      <w:pPr>
        <w:ind w:left="99" w:hanging="360"/>
      </w:pPr>
      <w:rPr>
        <w:rFonts w:ascii="Symbol" w:hAnsi="Symbol" w:hint="default"/>
      </w:rPr>
    </w:lvl>
    <w:lvl w:ilvl="1" w:tplc="08090003" w:tentative="1">
      <w:start w:val="1"/>
      <w:numFmt w:val="bullet"/>
      <w:lvlText w:val="o"/>
      <w:lvlJc w:val="left"/>
      <w:pPr>
        <w:ind w:left="819" w:hanging="360"/>
      </w:pPr>
      <w:rPr>
        <w:rFonts w:ascii="Courier New" w:hAnsi="Courier New" w:cs="Courier New" w:hint="default"/>
      </w:rPr>
    </w:lvl>
    <w:lvl w:ilvl="2" w:tplc="08090005" w:tentative="1">
      <w:start w:val="1"/>
      <w:numFmt w:val="bullet"/>
      <w:lvlText w:val=""/>
      <w:lvlJc w:val="left"/>
      <w:pPr>
        <w:ind w:left="1539" w:hanging="360"/>
      </w:pPr>
      <w:rPr>
        <w:rFonts w:ascii="Wingdings" w:hAnsi="Wingdings" w:hint="default"/>
      </w:rPr>
    </w:lvl>
    <w:lvl w:ilvl="3" w:tplc="08090001" w:tentative="1">
      <w:start w:val="1"/>
      <w:numFmt w:val="bullet"/>
      <w:lvlText w:val=""/>
      <w:lvlJc w:val="left"/>
      <w:pPr>
        <w:ind w:left="2259" w:hanging="360"/>
      </w:pPr>
      <w:rPr>
        <w:rFonts w:ascii="Symbol" w:hAnsi="Symbol" w:hint="default"/>
      </w:rPr>
    </w:lvl>
    <w:lvl w:ilvl="4" w:tplc="08090003" w:tentative="1">
      <w:start w:val="1"/>
      <w:numFmt w:val="bullet"/>
      <w:lvlText w:val="o"/>
      <w:lvlJc w:val="left"/>
      <w:pPr>
        <w:ind w:left="2979" w:hanging="360"/>
      </w:pPr>
      <w:rPr>
        <w:rFonts w:ascii="Courier New" w:hAnsi="Courier New" w:cs="Courier New" w:hint="default"/>
      </w:rPr>
    </w:lvl>
    <w:lvl w:ilvl="5" w:tplc="08090005" w:tentative="1">
      <w:start w:val="1"/>
      <w:numFmt w:val="bullet"/>
      <w:lvlText w:val=""/>
      <w:lvlJc w:val="left"/>
      <w:pPr>
        <w:ind w:left="3699" w:hanging="360"/>
      </w:pPr>
      <w:rPr>
        <w:rFonts w:ascii="Wingdings" w:hAnsi="Wingdings" w:hint="default"/>
      </w:rPr>
    </w:lvl>
    <w:lvl w:ilvl="6" w:tplc="08090001" w:tentative="1">
      <w:start w:val="1"/>
      <w:numFmt w:val="bullet"/>
      <w:lvlText w:val=""/>
      <w:lvlJc w:val="left"/>
      <w:pPr>
        <w:ind w:left="4419" w:hanging="360"/>
      </w:pPr>
      <w:rPr>
        <w:rFonts w:ascii="Symbol" w:hAnsi="Symbol" w:hint="default"/>
      </w:rPr>
    </w:lvl>
    <w:lvl w:ilvl="7" w:tplc="08090003" w:tentative="1">
      <w:start w:val="1"/>
      <w:numFmt w:val="bullet"/>
      <w:lvlText w:val="o"/>
      <w:lvlJc w:val="left"/>
      <w:pPr>
        <w:ind w:left="5139" w:hanging="360"/>
      </w:pPr>
      <w:rPr>
        <w:rFonts w:ascii="Courier New" w:hAnsi="Courier New" w:cs="Courier New" w:hint="default"/>
      </w:rPr>
    </w:lvl>
    <w:lvl w:ilvl="8" w:tplc="08090005" w:tentative="1">
      <w:start w:val="1"/>
      <w:numFmt w:val="bullet"/>
      <w:lvlText w:val=""/>
      <w:lvlJc w:val="left"/>
      <w:pPr>
        <w:ind w:left="5859" w:hanging="360"/>
      </w:pPr>
      <w:rPr>
        <w:rFonts w:ascii="Wingdings" w:hAnsi="Wingdings" w:hint="default"/>
      </w:rPr>
    </w:lvl>
  </w:abstractNum>
  <w:abstractNum w:abstractNumId="8" w15:restartNumberingAfterBreak="0">
    <w:nsid w:val="2DC81DD6"/>
    <w:multiLevelType w:val="hybridMultilevel"/>
    <w:tmpl w:val="28FC99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EA1059A"/>
    <w:multiLevelType w:val="hybridMultilevel"/>
    <w:tmpl w:val="25B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20099"/>
    <w:multiLevelType w:val="hybridMultilevel"/>
    <w:tmpl w:val="2EA2638E"/>
    <w:lvl w:ilvl="0" w:tplc="91EA5A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442BA0"/>
    <w:multiLevelType w:val="hybridMultilevel"/>
    <w:tmpl w:val="A044F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F656EC"/>
    <w:multiLevelType w:val="hybridMultilevel"/>
    <w:tmpl w:val="67220760"/>
    <w:lvl w:ilvl="0" w:tplc="7A4E63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7D53D0"/>
    <w:multiLevelType w:val="hybridMultilevel"/>
    <w:tmpl w:val="2836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7F0AA9"/>
    <w:multiLevelType w:val="hybridMultilevel"/>
    <w:tmpl w:val="120A69AC"/>
    <w:lvl w:ilvl="0" w:tplc="5B2628E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cs="Aria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5" w15:restartNumberingAfterBreak="0">
    <w:nsid w:val="3E307352"/>
    <w:multiLevelType w:val="hybridMultilevel"/>
    <w:tmpl w:val="46A69D02"/>
    <w:lvl w:ilvl="0" w:tplc="1246859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CC6891"/>
    <w:multiLevelType w:val="hybridMultilevel"/>
    <w:tmpl w:val="C46A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04A4B09"/>
    <w:multiLevelType w:val="hybridMultilevel"/>
    <w:tmpl w:val="CE38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B4035F"/>
    <w:multiLevelType w:val="hybridMultilevel"/>
    <w:tmpl w:val="20B41944"/>
    <w:lvl w:ilvl="0" w:tplc="D5C207B0">
      <w:start w:val="1"/>
      <w:numFmt w:val="decimal"/>
      <w:lvlText w:val="%1"/>
      <w:lvlJc w:val="left"/>
      <w:pPr>
        <w:tabs>
          <w:tab w:val="num" w:pos="1080"/>
        </w:tabs>
        <w:ind w:left="1080" w:hanging="720"/>
      </w:pPr>
      <w:rPr>
        <w:rFonts w:hint="default"/>
      </w:rPr>
    </w:lvl>
    <w:lvl w:ilvl="1" w:tplc="7EB44FFC">
      <w:start w:val="1"/>
      <w:numFmt w:val="bullet"/>
      <w:lvlText w:val=""/>
      <w:lvlJc w:val="left"/>
      <w:pPr>
        <w:tabs>
          <w:tab w:val="num" w:pos="796"/>
        </w:tabs>
        <w:ind w:left="1080" w:firstLine="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DF35F55"/>
    <w:multiLevelType w:val="hybridMultilevel"/>
    <w:tmpl w:val="0220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6F6036"/>
    <w:multiLevelType w:val="hybridMultilevel"/>
    <w:tmpl w:val="FE882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0"/>
  </w:num>
  <w:num w:numId="2">
    <w:abstractNumId w:val="23"/>
  </w:num>
  <w:num w:numId="3">
    <w:abstractNumId w:val="17"/>
  </w:num>
  <w:num w:numId="4">
    <w:abstractNumId w:val="2"/>
  </w:num>
  <w:num w:numId="5">
    <w:abstractNumId w:val="4"/>
  </w:num>
  <w:num w:numId="6">
    <w:abstractNumId w:val="14"/>
  </w:num>
  <w:num w:numId="7">
    <w:abstractNumId w:val="22"/>
  </w:num>
  <w:num w:numId="8">
    <w:abstractNumId w:val="1"/>
  </w:num>
  <w:num w:numId="9">
    <w:abstractNumId w:val="21"/>
  </w:num>
  <w:num w:numId="10">
    <w:abstractNumId w:val="12"/>
  </w:num>
  <w:num w:numId="11">
    <w:abstractNumId w:val="10"/>
  </w:num>
  <w:num w:numId="12">
    <w:abstractNumId w:val="18"/>
  </w:num>
  <w:num w:numId="13">
    <w:abstractNumId w:val="6"/>
  </w:num>
  <w:num w:numId="14">
    <w:abstractNumId w:val="5"/>
  </w:num>
  <w:num w:numId="15">
    <w:abstractNumId w:val="13"/>
  </w:num>
  <w:num w:numId="16">
    <w:abstractNumId w:val="9"/>
  </w:num>
  <w:num w:numId="17">
    <w:abstractNumId w:val="16"/>
  </w:num>
  <w:num w:numId="18">
    <w:abstractNumId w:val="3"/>
  </w:num>
  <w:num w:numId="19">
    <w:abstractNumId w:val="19"/>
  </w:num>
  <w:num w:numId="20">
    <w:abstractNumId w:val="8"/>
  </w:num>
  <w:num w:numId="21">
    <w:abstractNumId w:val="7"/>
  </w:num>
  <w:num w:numId="22">
    <w:abstractNumId w:val="11"/>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A2577B"/>
    <w:rsid w:val="0002036A"/>
    <w:rsid w:val="00061CDE"/>
    <w:rsid w:val="00067AD9"/>
    <w:rsid w:val="00075AAA"/>
    <w:rsid w:val="00097EAE"/>
    <w:rsid w:val="000B5923"/>
    <w:rsid w:val="000D0952"/>
    <w:rsid w:val="00115F97"/>
    <w:rsid w:val="001175E5"/>
    <w:rsid w:val="002253CC"/>
    <w:rsid w:val="00237CBD"/>
    <w:rsid w:val="002A42DD"/>
    <w:rsid w:val="0031078B"/>
    <w:rsid w:val="003728CB"/>
    <w:rsid w:val="003D03FE"/>
    <w:rsid w:val="003E423D"/>
    <w:rsid w:val="003E5C49"/>
    <w:rsid w:val="003F19CA"/>
    <w:rsid w:val="004512CE"/>
    <w:rsid w:val="004A2F97"/>
    <w:rsid w:val="004A3FA6"/>
    <w:rsid w:val="005124C2"/>
    <w:rsid w:val="00513AB1"/>
    <w:rsid w:val="00513DB0"/>
    <w:rsid w:val="005239DB"/>
    <w:rsid w:val="00526532"/>
    <w:rsid w:val="005B4BA8"/>
    <w:rsid w:val="005B69F4"/>
    <w:rsid w:val="005D4745"/>
    <w:rsid w:val="005F02B7"/>
    <w:rsid w:val="0060634D"/>
    <w:rsid w:val="00661EF1"/>
    <w:rsid w:val="0069303A"/>
    <w:rsid w:val="006A1357"/>
    <w:rsid w:val="006B3F74"/>
    <w:rsid w:val="006D6F99"/>
    <w:rsid w:val="00711E7A"/>
    <w:rsid w:val="007B4090"/>
    <w:rsid w:val="007D76C0"/>
    <w:rsid w:val="0080001C"/>
    <w:rsid w:val="00815350"/>
    <w:rsid w:val="00825B2D"/>
    <w:rsid w:val="00844E0E"/>
    <w:rsid w:val="008A07AE"/>
    <w:rsid w:val="008B23D9"/>
    <w:rsid w:val="008C26A2"/>
    <w:rsid w:val="0093133E"/>
    <w:rsid w:val="0093700B"/>
    <w:rsid w:val="00937BE5"/>
    <w:rsid w:val="009742FA"/>
    <w:rsid w:val="00974594"/>
    <w:rsid w:val="00993155"/>
    <w:rsid w:val="009E6A39"/>
    <w:rsid w:val="00A2577B"/>
    <w:rsid w:val="00A3124D"/>
    <w:rsid w:val="00A560AF"/>
    <w:rsid w:val="00B0525B"/>
    <w:rsid w:val="00B5719A"/>
    <w:rsid w:val="00BC668C"/>
    <w:rsid w:val="00BF3405"/>
    <w:rsid w:val="00C0017D"/>
    <w:rsid w:val="00C0429D"/>
    <w:rsid w:val="00C24B4E"/>
    <w:rsid w:val="00C36974"/>
    <w:rsid w:val="00C956E2"/>
    <w:rsid w:val="00CA6DDF"/>
    <w:rsid w:val="00CD171D"/>
    <w:rsid w:val="00CE4B72"/>
    <w:rsid w:val="00CF6461"/>
    <w:rsid w:val="00D021D5"/>
    <w:rsid w:val="00D05B0C"/>
    <w:rsid w:val="00D05F2C"/>
    <w:rsid w:val="00D306B6"/>
    <w:rsid w:val="00D92AA6"/>
    <w:rsid w:val="00DD7115"/>
    <w:rsid w:val="00DE5902"/>
    <w:rsid w:val="00E24BFC"/>
    <w:rsid w:val="00E94C70"/>
    <w:rsid w:val="00E95856"/>
    <w:rsid w:val="00EA4869"/>
    <w:rsid w:val="00EB7C07"/>
    <w:rsid w:val="00F12826"/>
    <w:rsid w:val="00F459C0"/>
    <w:rsid w:val="00F7206C"/>
    <w:rsid w:val="00FD5E76"/>
    <w:rsid w:val="00FE14F0"/>
    <w:rsid w:val="00FE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D8295C5"/>
  <w15:docId w15:val="{4269752A-21DF-45F7-8B6B-6E13444A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basedOn w:val="Normal"/>
    <w:uiPriority w:val="34"/>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rsid w:val="005B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4090"/>
    <w:rPr>
      <w:rFonts w:ascii="Tahoma" w:hAnsi="Tahoma" w:cs="Tahoma"/>
      <w:sz w:val="16"/>
      <w:szCs w:val="16"/>
    </w:rPr>
  </w:style>
  <w:style w:type="character" w:customStyle="1" w:styleId="BalloonTextChar">
    <w:name w:val="Balloon Text Char"/>
    <w:basedOn w:val="DefaultParagraphFont"/>
    <w:link w:val="BalloonText"/>
    <w:rsid w:val="007B4090"/>
    <w:rPr>
      <w:rFonts w:ascii="Tahoma" w:hAnsi="Tahoma" w:cs="Tahoma"/>
      <w:sz w:val="16"/>
      <w:szCs w:val="16"/>
      <w:lang w:eastAsia="en-US"/>
    </w:rPr>
  </w:style>
  <w:style w:type="character" w:customStyle="1" w:styleId="Heading3Char">
    <w:name w:val="Heading 3 Char"/>
    <w:basedOn w:val="DefaultParagraphFont"/>
    <w:link w:val="Heading3"/>
    <w:rsid w:val="00237CBD"/>
    <w:rPr>
      <w:rFonts w:ascii="Arial" w:hAnsi="Arial" w:cs="Arial"/>
      <w:b/>
      <w:bCs/>
      <w:sz w:val="26"/>
      <w:szCs w:val="26"/>
      <w:lang w:eastAsia="en-US"/>
    </w:rPr>
  </w:style>
  <w:style w:type="character" w:customStyle="1" w:styleId="FooterChar">
    <w:name w:val="Footer Char"/>
    <w:basedOn w:val="DefaultParagraphFont"/>
    <w:link w:val="Footer"/>
    <w:rsid w:val="00237CB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1EF26-0AFB-42A2-A020-C582606F1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Liane McGrath</cp:lastModifiedBy>
  <cp:revision>3</cp:revision>
  <cp:lastPrinted>2019-11-12T10:21:00Z</cp:lastPrinted>
  <dcterms:created xsi:type="dcterms:W3CDTF">2019-11-12T12:00:00Z</dcterms:created>
  <dcterms:modified xsi:type="dcterms:W3CDTF">2019-11-14T15:49:00Z</dcterms:modified>
</cp:coreProperties>
</file>