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D3" w:rsidRPr="001175E5" w:rsidRDefault="003058D3" w:rsidP="003058D3">
      <w:pPr>
        <w:pStyle w:val="Heading1"/>
        <w:ind w:left="-426" w:right="18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</w:t>
      </w:r>
      <w:r w:rsidRPr="001175E5">
        <w:rPr>
          <w:rFonts w:ascii="Arial" w:hAnsi="Arial" w:cs="Arial"/>
          <w:sz w:val="24"/>
          <w:szCs w:val="24"/>
        </w:rPr>
        <w:t>eeting</w:t>
      </w:r>
      <w:r w:rsidRPr="001175E5">
        <w:rPr>
          <w:rFonts w:ascii="Arial" w:hAnsi="Arial" w:cs="Arial"/>
          <w:b w:val="0"/>
          <w:sz w:val="24"/>
          <w:szCs w:val="24"/>
        </w:rPr>
        <w:t>:</w:t>
      </w:r>
      <w:r w:rsidRPr="001175E5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016511">
        <w:rPr>
          <w:rFonts w:ascii="Arial" w:hAnsi="Arial" w:cs="Arial"/>
          <w:b w:val="0"/>
          <w:sz w:val="24"/>
          <w:szCs w:val="24"/>
        </w:rPr>
        <w:t>26 September 2019</w:t>
      </w:r>
    </w:p>
    <w:p w:rsidR="003058D3" w:rsidRPr="00682309" w:rsidRDefault="003058D3" w:rsidP="003058D3">
      <w:pPr>
        <w:ind w:left="-426" w:right="183"/>
        <w:rPr>
          <w:rFonts w:ascii="Arial" w:hAnsi="Arial" w:cs="Arial"/>
        </w:rPr>
      </w:pPr>
    </w:p>
    <w:p w:rsidR="003058D3" w:rsidRPr="00682309" w:rsidRDefault="003058D3" w:rsidP="003058D3">
      <w:pPr>
        <w:ind w:left="-426" w:right="183"/>
        <w:rPr>
          <w:rFonts w:ascii="Arial" w:hAnsi="Arial" w:cs="Arial"/>
        </w:rPr>
      </w:pPr>
      <w:r w:rsidRPr="00682309">
        <w:rPr>
          <w:rFonts w:ascii="Arial" w:hAnsi="Arial" w:cs="Arial"/>
          <w:b/>
          <w:bCs/>
        </w:rPr>
        <w:t xml:space="preserve">Subject: </w:t>
      </w:r>
      <w:r w:rsidRPr="00682309">
        <w:rPr>
          <w:rFonts w:ascii="Arial" w:hAnsi="Arial" w:cs="Arial"/>
          <w:b/>
          <w:bCs/>
        </w:rPr>
        <w:tab/>
      </w:r>
      <w:r w:rsidRPr="0068230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Clinical Governance Committee Update 5 September 2019</w:t>
      </w:r>
    </w:p>
    <w:p w:rsidR="003058D3" w:rsidRPr="00682309" w:rsidRDefault="003058D3" w:rsidP="003058D3">
      <w:pPr>
        <w:ind w:left="-426" w:right="183"/>
        <w:rPr>
          <w:rFonts w:ascii="Arial" w:hAnsi="Arial" w:cs="Arial"/>
          <w:b/>
          <w:bCs/>
        </w:rPr>
      </w:pPr>
      <w:r w:rsidRPr="00682309">
        <w:rPr>
          <w:rFonts w:ascii="Arial" w:hAnsi="Arial" w:cs="Arial"/>
          <w:b/>
          <w:bCs/>
        </w:rPr>
        <w:tab/>
      </w:r>
    </w:p>
    <w:p w:rsidR="003058D3" w:rsidRPr="00506517" w:rsidRDefault="003058D3" w:rsidP="003058D3">
      <w:pPr>
        <w:ind w:left="2154" w:right="183" w:hanging="2580"/>
        <w:rPr>
          <w:rFonts w:ascii="Arial" w:hAnsi="Arial" w:cs="Arial"/>
          <w:sz w:val="18"/>
          <w:szCs w:val="18"/>
        </w:rPr>
      </w:pPr>
      <w:r w:rsidRPr="00682309">
        <w:rPr>
          <w:rFonts w:ascii="Arial" w:hAnsi="Arial" w:cs="Arial"/>
          <w:b/>
          <w:bCs/>
        </w:rPr>
        <w:t>Recommendation:</w:t>
      </w:r>
      <w:r w:rsidRPr="00682309">
        <w:rPr>
          <w:rFonts w:ascii="Arial" w:hAnsi="Arial" w:cs="Arial"/>
          <w:b/>
          <w:bCs/>
        </w:rPr>
        <w:tab/>
      </w:r>
      <w:r w:rsidRPr="00C92710">
        <w:rPr>
          <w:rFonts w:ascii="Arial" w:hAnsi="Arial" w:cs="Arial"/>
        </w:rPr>
        <w:t xml:space="preserve">Board members are asked to </w:t>
      </w:r>
      <w:r>
        <w:rPr>
          <w:rFonts w:ascii="Arial" w:hAnsi="Arial" w:cs="Arial"/>
        </w:rPr>
        <w:t xml:space="preserve">note discussions </w:t>
      </w:r>
    </w:p>
    <w:p w:rsidR="003058D3" w:rsidRPr="00506517" w:rsidRDefault="003058D3" w:rsidP="003058D3">
      <w:pPr>
        <w:ind w:left="-426" w:right="183"/>
        <w:rPr>
          <w:rFonts w:ascii="Arial" w:hAnsi="Arial" w:cs="Arial"/>
          <w:b/>
          <w:bCs/>
          <w:sz w:val="18"/>
          <w:szCs w:val="18"/>
        </w:rPr>
      </w:pPr>
    </w:p>
    <w:p w:rsidR="003058D3" w:rsidRPr="00682309" w:rsidRDefault="003058D3" w:rsidP="003058D3">
      <w:pPr>
        <w:ind w:left="-426"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</w:t>
      </w:r>
    </w:p>
    <w:p w:rsidR="003058D3" w:rsidRDefault="003058D3" w:rsidP="003058D3">
      <w:pPr>
        <w:pStyle w:val="BodyTextIndent"/>
        <w:ind w:left="-426" w:right="183" w:firstLine="0"/>
        <w:rPr>
          <w:rFonts w:ascii="Arial" w:hAnsi="Arial" w:cs="Arial"/>
          <w:b/>
          <w:bCs/>
        </w:rPr>
      </w:pPr>
    </w:p>
    <w:p w:rsidR="003058D3" w:rsidRPr="001175E5" w:rsidRDefault="003058D3" w:rsidP="003058D3">
      <w:pPr>
        <w:pStyle w:val="Heading2"/>
        <w:ind w:left="-426"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3058D3" w:rsidRDefault="003058D3" w:rsidP="003058D3">
      <w:pPr>
        <w:ind w:left="-426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3058D3" w:rsidRPr="006D232B" w:rsidRDefault="003058D3" w:rsidP="003058D3">
      <w:pPr>
        <w:rPr>
          <w:rFonts w:ascii="Arial" w:hAnsi="Arial" w:cs="Arial"/>
        </w:rPr>
      </w:pPr>
      <w:r w:rsidRPr="006D232B">
        <w:rPr>
          <w:rFonts w:ascii="Arial" w:hAnsi="Arial" w:cs="Arial"/>
        </w:rPr>
        <w:t>The following key points were agreed at the meeting and have been split into the three high level quality ambitions of person centred, safe, and effective.</w:t>
      </w:r>
    </w:p>
    <w:p w:rsidR="003058D3" w:rsidRPr="006D232B" w:rsidRDefault="003058D3" w:rsidP="003058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7929"/>
      </w:tblGrid>
      <w:tr w:rsidR="003058D3" w:rsidRPr="00745A4B" w:rsidTr="00B61658">
        <w:trPr>
          <w:trHeight w:val="388"/>
        </w:trPr>
        <w:tc>
          <w:tcPr>
            <w:tcW w:w="1217" w:type="dxa"/>
            <w:shd w:val="clear" w:color="auto" w:fill="0000FF"/>
          </w:tcPr>
          <w:p w:rsidR="003058D3" w:rsidRPr="00745A4B" w:rsidRDefault="003058D3" w:rsidP="00B61658">
            <w:pPr>
              <w:ind w:left="34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745A4B">
              <w:rPr>
                <w:rFonts w:ascii="Arial" w:hAnsi="Arial"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shd w:val="clear" w:color="auto" w:fill="0000FF"/>
          </w:tcPr>
          <w:p w:rsidR="003058D3" w:rsidRPr="00745A4B" w:rsidRDefault="003058D3" w:rsidP="00B61658">
            <w:pPr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745A4B">
              <w:rPr>
                <w:rFonts w:ascii="Arial" w:hAnsi="Arial"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3058D3" w:rsidRPr="00745A4B" w:rsidTr="00B61658">
        <w:tc>
          <w:tcPr>
            <w:tcW w:w="1217" w:type="dxa"/>
          </w:tcPr>
          <w:p w:rsidR="003058D3" w:rsidRDefault="003058D3" w:rsidP="00B61658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  <w:r w:rsidRPr="00745A4B">
              <w:rPr>
                <w:rFonts w:ascii="Arial" w:hAnsi="Arial" w:cs="Arial"/>
                <w:b/>
                <w:bCs/>
                <w:lang w:val="en-US"/>
              </w:rPr>
              <w:t>Person Centred</w:t>
            </w: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Cs/>
                <w:lang w:val="en-US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Cs/>
                <w:lang w:val="en-US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7963" w:type="dxa"/>
          </w:tcPr>
          <w:p w:rsidR="003058D3" w:rsidRDefault="003058D3" w:rsidP="00B61658">
            <w:pPr>
              <w:rPr>
                <w:rFonts w:ascii="Arial" w:hAnsi="Arial" w:cs="Arial"/>
                <w:b/>
                <w:color w:val="000000"/>
              </w:rPr>
            </w:pPr>
          </w:p>
          <w:p w:rsidR="00755D11" w:rsidRPr="00755D11" w:rsidRDefault="00755D11" w:rsidP="00B61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755D1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nnual </w:t>
            </w:r>
            <w:r w:rsidRPr="00755D11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 xml:space="preserve">eedback </w:t>
            </w:r>
            <w:r w:rsidRPr="00755D11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eport</w:t>
            </w:r>
            <w:r w:rsidRPr="00755D11">
              <w:rPr>
                <w:rFonts w:ascii="Arial" w:hAnsi="Arial" w:cs="Arial"/>
                <w:color w:val="000000"/>
              </w:rPr>
              <w:t xml:space="preserve"> was received together with the first Quarter Feedback report.  The overall increase in feedback was welcomed. 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755D11">
              <w:rPr>
                <w:rFonts w:ascii="Arial" w:hAnsi="Arial" w:cs="Arial"/>
                <w:color w:val="000000"/>
              </w:rPr>
              <w:t xml:space="preserve">ome discussion </w:t>
            </w:r>
            <w:r>
              <w:rPr>
                <w:rFonts w:ascii="Arial" w:hAnsi="Arial" w:cs="Arial"/>
                <w:color w:val="000000"/>
              </w:rPr>
              <w:t xml:space="preserve">took place regarding </w:t>
            </w:r>
            <w:r w:rsidR="00361985">
              <w:rPr>
                <w:rFonts w:ascii="Arial" w:hAnsi="Arial" w:cs="Arial"/>
                <w:color w:val="000000"/>
              </w:rPr>
              <w:t xml:space="preserve">constraints to </w:t>
            </w:r>
            <w:r>
              <w:rPr>
                <w:rFonts w:ascii="Arial" w:hAnsi="Arial" w:cs="Arial"/>
                <w:color w:val="000000"/>
              </w:rPr>
              <w:t xml:space="preserve">meeting response targets in </w:t>
            </w:r>
            <w:r w:rsidR="00361985">
              <w:rPr>
                <w:rFonts w:ascii="Arial" w:hAnsi="Arial" w:cs="Arial"/>
                <w:color w:val="000000"/>
              </w:rPr>
              <w:t xml:space="preserve">complex complaints.  The Committee </w:t>
            </w:r>
            <w:r w:rsidRPr="00755D11">
              <w:rPr>
                <w:rFonts w:ascii="Arial" w:hAnsi="Arial" w:cs="Arial"/>
                <w:color w:val="000000"/>
              </w:rPr>
              <w:t xml:space="preserve">accepted quality of review was </w:t>
            </w:r>
            <w:r w:rsidR="00FD0383">
              <w:rPr>
                <w:rFonts w:ascii="Arial" w:hAnsi="Arial" w:cs="Arial"/>
                <w:color w:val="000000"/>
              </w:rPr>
              <w:t xml:space="preserve">an </w:t>
            </w:r>
            <w:r w:rsidRPr="00755D11">
              <w:rPr>
                <w:rFonts w:ascii="Arial" w:hAnsi="Arial" w:cs="Arial"/>
                <w:color w:val="000000"/>
              </w:rPr>
              <w:t>important</w:t>
            </w:r>
            <w:r w:rsidR="00FD0383">
              <w:rPr>
                <w:rFonts w:ascii="Arial" w:hAnsi="Arial" w:cs="Arial"/>
                <w:color w:val="000000"/>
              </w:rPr>
              <w:t xml:space="preserve"> factor</w:t>
            </w:r>
            <w:r w:rsidRPr="00755D11">
              <w:rPr>
                <w:rFonts w:ascii="Arial" w:hAnsi="Arial" w:cs="Arial"/>
                <w:color w:val="000000"/>
              </w:rPr>
              <w:t>.</w:t>
            </w:r>
          </w:p>
          <w:p w:rsidR="003058D3" w:rsidRPr="00745A4B" w:rsidRDefault="003058D3" w:rsidP="00B61658">
            <w:pPr>
              <w:rPr>
                <w:rFonts w:ascii="Arial" w:hAnsi="Arial" w:cs="Arial"/>
                <w:bCs/>
                <w:lang w:val="en-US"/>
              </w:rPr>
            </w:pPr>
          </w:p>
          <w:p w:rsidR="003058D3" w:rsidRPr="00C27980" w:rsidRDefault="003058D3" w:rsidP="00B61658">
            <w:pPr>
              <w:pStyle w:val="ListParagraph"/>
              <w:spacing w:line="276" w:lineRule="auto"/>
              <w:ind w:left="0"/>
              <w:contextualSpacing/>
              <w:rPr>
                <w:b/>
              </w:rPr>
            </w:pPr>
          </w:p>
        </w:tc>
      </w:tr>
      <w:tr w:rsidR="003058D3" w:rsidRPr="00745A4B" w:rsidTr="00B61658">
        <w:tc>
          <w:tcPr>
            <w:tcW w:w="1217" w:type="dxa"/>
          </w:tcPr>
          <w:p w:rsidR="003058D3" w:rsidRDefault="003058D3" w:rsidP="00B61658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</w:p>
          <w:p w:rsidR="003058D3" w:rsidRDefault="003058D3" w:rsidP="00B61658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  <w:r w:rsidRPr="00745A4B">
              <w:rPr>
                <w:rFonts w:ascii="Arial" w:hAnsi="Arial" w:cs="Arial"/>
                <w:b/>
                <w:bCs/>
                <w:lang w:val="en-US"/>
              </w:rPr>
              <w:t>Safe</w:t>
            </w: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3058D3" w:rsidRDefault="003058D3" w:rsidP="00B61658">
            <w:pPr>
              <w:pStyle w:val="ListParagraph"/>
              <w:ind w:left="0"/>
              <w:rPr>
                <w:b/>
                <w:color w:val="000000"/>
              </w:rPr>
            </w:pPr>
          </w:p>
          <w:p w:rsidR="003058D3" w:rsidRPr="001239FC" w:rsidRDefault="00603F59" w:rsidP="00CC5F9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1239FC">
              <w:rPr>
                <w:color w:val="000000"/>
              </w:rPr>
              <w:t xml:space="preserve">The </w:t>
            </w:r>
            <w:r w:rsidR="003058D3" w:rsidRPr="001239FC">
              <w:rPr>
                <w:color w:val="000000"/>
              </w:rPr>
              <w:t xml:space="preserve">Surgical Services division </w:t>
            </w:r>
            <w:r w:rsidRPr="001239FC">
              <w:rPr>
                <w:color w:val="000000"/>
              </w:rPr>
              <w:t xml:space="preserve">revised </w:t>
            </w:r>
            <w:r w:rsidR="003058D3" w:rsidRPr="001239FC">
              <w:rPr>
                <w:color w:val="000000"/>
              </w:rPr>
              <w:t xml:space="preserve">report </w:t>
            </w:r>
            <w:r w:rsidRPr="001239FC">
              <w:rPr>
                <w:color w:val="000000"/>
              </w:rPr>
              <w:t xml:space="preserve">was presented with real live data.  However, the group requested </w:t>
            </w:r>
            <w:r w:rsidR="001239FC" w:rsidRPr="001239FC">
              <w:rPr>
                <w:color w:val="000000"/>
              </w:rPr>
              <w:t>the data is incorporated within the report with narrative to allow Committee members adequate preparation and familiarisation of the data presented.  D</w:t>
            </w:r>
            <w:r w:rsidR="003058D3" w:rsidRPr="001239FC">
              <w:rPr>
                <w:color w:val="000000"/>
              </w:rPr>
              <w:t xml:space="preserve">iscussion </w:t>
            </w:r>
            <w:r w:rsidR="001239FC" w:rsidRPr="001239FC">
              <w:rPr>
                <w:color w:val="000000"/>
              </w:rPr>
              <w:t xml:space="preserve">also took place regarding the </w:t>
            </w:r>
            <w:r w:rsidR="003058D3" w:rsidRPr="001239FC">
              <w:rPr>
                <w:color w:val="000000"/>
              </w:rPr>
              <w:t xml:space="preserve">M&amp;M meetings and how </w:t>
            </w:r>
            <w:r w:rsidR="001239FC" w:rsidRPr="001239FC">
              <w:rPr>
                <w:color w:val="000000"/>
              </w:rPr>
              <w:t xml:space="preserve">they </w:t>
            </w:r>
            <w:r w:rsidR="003058D3" w:rsidRPr="001239FC">
              <w:rPr>
                <w:color w:val="000000"/>
              </w:rPr>
              <w:t>feed into Clinical Governance.</w:t>
            </w:r>
          </w:p>
          <w:p w:rsidR="003058D3" w:rsidRDefault="003058D3" w:rsidP="00B61658">
            <w:pPr>
              <w:pStyle w:val="ListParagraph"/>
              <w:spacing w:line="276" w:lineRule="auto"/>
              <w:contextualSpacing/>
            </w:pPr>
          </w:p>
          <w:p w:rsidR="003058D3" w:rsidRDefault="00361985" w:rsidP="00CC5F9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</w:pPr>
            <w:r>
              <w:t>A p</w:t>
            </w:r>
            <w:r w:rsidR="003058D3">
              <w:t xml:space="preserve">aper </w:t>
            </w:r>
            <w:r w:rsidR="00817AB6">
              <w:t xml:space="preserve">was </w:t>
            </w:r>
            <w:r w:rsidR="003058D3">
              <w:t xml:space="preserve">received </w:t>
            </w:r>
            <w:r>
              <w:t xml:space="preserve">regarding the </w:t>
            </w:r>
            <w:r w:rsidR="003058D3">
              <w:t xml:space="preserve">management of </w:t>
            </w:r>
            <w:r>
              <w:t xml:space="preserve">emergency </w:t>
            </w:r>
            <w:r w:rsidR="003058D3">
              <w:t>obstetrics in women with Cardiac disease focus</w:t>
            </w:r>
            <w:r>
              <w:t>ing</w:t>
            </w:r>
            <w:r w:rsidR="003058D3">
              <w:t xml:space="preserve"> on </w:t>
            </w:r>
            <w:r w:rsidR="00817AB6">
              <w:t xml:space="preserve">the </w:t>
            </w:r>
            <w:r w:rsidR="003058D3">
              <w:t xml:space="preserve">rare but serious need to deliver </w:t>
            </w:r>
            <w:r>
              <w:t xml:space="preserve">the </w:t>
            </w:r>
            <w:r w:rsidR="003058D3">
              <w:t xml:space="preserve">baby in the context </w:t>
            </w:r>
            <w:r>
              <w:t xml:space="preserve">of </w:t>
            </w:r>
            <w:r w:rsidR="003058D3">
              <w:t xml:space="preserve">cardiac arrest.  Four options </w:t>
            </w:r>
            <w:r w:rsidR="00603F59">
              <w:t>were</w:t>
            </w:r>
            <w:r w:rsidR="003058D3">
              <w:t xml:space="preserve"> reviewed </w:t>
            </w:r>
            <w:r>
              <w:t xml:space="preserve">with </w:t>
            </w:r>
            <w:r w:rsidR="003058D3">
              <w:t xml:space="preserve">one agreed by </w:t>
            </w:r>
            <w:r>
              <w:t xml:space="preserve">the </w:t>
            </w:r>
            <w:r w:rsidR="003058D3">
              <w:t>CMO advisor to be progressed.</w:t>
            </w:r>
          </w:p>
          <w:p w:rsidR="003058D3" w:rsidRPr="00C27980" w:rsidRDefault="003058D3" w:rsidP="00B61658">
            <w:pPr>
              <w:pStyle w:val="ListParagraph"/>
              <w:spacing w:line="276" w:lineRule="auto"/>
              <w:contextualSpacing/>
            </w:pPr>
          </w:p>
        </w:tc>
      </w:tr>
      <w:tr w:rsidR="003058D3" w:rsidRPr="00745A4B" w:rsidTr="00B61658">
        <w:tc>
          <w:tcPr>
            <w:tcW w:w="1217" w:type="dxa"/>
          </w:tcPr>
          <w:p w:rsidR="003058D3" w:rsidRDefault="003058D3" w:rsidP="00B61658">
            <w:pPr>
              <w:ind w:left="34"/>
              <w:rPr>
                <w:rFonts w:ascii="Arial" w:hAnsi="Arial" w:cs="Arial"/>
                <w:b/>
                <w:lang w:val="en-US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  <w:b/>
                <w:lang w:val="en-US"/>
              </w:rPr>
            </w:pPr>
            <w:r w:rsidRPr="00745A4B">
              <w:rPr>
                <w:rFonts w:ascii="Arial" w:hAnsi="Arial" w:cs="Arial"/>
                <w:b/>
                <w:lang w:val="en-US"/>
              </w:rPr>
              <w:t>Effective</w:t>
            </w: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  <w:p w:rsidR="003058D3" w:rsidRPr="00745A4B" w:rsidRDefault="003058D3" w:rsidP="00B61658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3058D3" w:rsidRPr="00817AB6" w:rsidRDefault="00817AB6" w:rsidP="00817AB6">
            <w:pPr>
              <w:pStyle w:val="Heading1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>HAIRT report was presented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 xml:space="preserve"> C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>hange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 in </w:t>
            </w:r>
            <w:r w:rsidR="008420FA"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>ational def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>inition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420FA">
              <w:rPr>
                <w:rFonts w:ascii="Arial" w:hAnsi="Arial" w:cs="Arial"/>
                <w:b w:val="0"/>
                <w:sz w:val="24"/>
                <w:szCs w:val="24"/>
              </w:rPr>
              <w:t xml:space="preserve">for the 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 xml:space="preserve">eporting </w:t>
            </w:r>
            <w:r w:rsidR="008420FA">
              <w:rPr>
                <w:rFonts w:ascii="Arial" w:hAnsi="Arial" w:cs="Arial"/>
                <w:b w:val="0"/>
                <w:sz w:val="24"/>
                <w:szCs w:val="24"/>
              </w:rPr>
              <w:t xml:space="preserve">on SAB 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>infection was discussed</w:t>
            </w:r>
            <w:r w:rsidR="008420FA">
              <w:rPr>
                <w:rFonts w:ascii="Arial" w:hAnsi="Arial" w:cs="Arial"/>
                <w:b w:val="0"/>
                <w:sz w:val="24"/>
                <w:szCs w:val="24"/>
              </w:rPr>
              <w:t xml:space="preserve">.  Now measuring </w:t>
            </w:r>
            <w:r w:rsidR="00112C6B">
              <w:rPr>
                <w:rFonts w:ascii="Arial" w:hAnsi="Arial" w:cs="Arial"/>
                <w:b w:val="0"/>
                <w:sz w:val="24"/>
                <w:szCs w:val="24"/>
              </w:rPr>
              <w:t>“Acute Occupied Bed Days” to “Total Occupied Bed Days”.  This may cause differences in</w:t>
            </w:r>
            <w:r w:rsidR="003058D3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 benchmarking with the Golden Jubilee National Hospital </w:t>
            </w:r>
            <w:r w:rsidR="00755D11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specifically.  </w:t>
            </w:r>
            <w:r w:rsidR="00CC5F9D">
              <w:rPr>
                <w:rFonts w:ascii="Arial" w:hAnsi="Arial" w:cs="Arial"/>
                <w:b w:val="0"/>
                <w:sz w:val="24"/>
                <w:szCs w:val="24"/>
              </w:rPr>
              <w:t xml:space="preserve"> C</w:t>
            </w:r>
            <w:r w:rsidR="00755D11" w:rsidRPr="00817AB6">
              <w:rPr>
                <w:rFonts w:ascii="Arial" w:hAnsi="Arial" w:cs="Arial"/>
                <w:b w:val="0"/>
                <w:sz w:val="24"/>
                <w:szCs w:val="24"/>
              </w:rPr>
              <w:t>ont</w:t>
            </w:r>
            <w:r w:rsidR="00CC5F9D">
              <w:rPr>
                <w:rFonts w:ascii="Arial" w:hAnsi="Arial" w:cs="Arial"/>
                <w:b w:val="0"/>
                <w:sz w:val="24"/>
                <w:szCs w:val="24"/>
              </w:rPr>
              <w:t xml:space="preserve">inued </w:t>
            </w:r>
            <w:r w:rsidR="00755D11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improvement </w:t>
            </w:r>
            <w:r w:rsidR="009532E9">
              <w:rPr>
                <w:rFonts w:ascii="Arial" w:hAnsi="Arial" w:cs="Arial"/>
                <w:b w:val="0"/>
                <w:sz w:val="24"/>
                <w:szCs w:val="24"/>
              </w:rPr>
              <w:t>in C</w:t>
            </w:r>
            <w:r w:rsidR="00755D11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ardiothoracic SSI </w:t>
            </w:r>
            <w:r w:rsidR="009532E9">
              <w:rPr>
                <w:rFonts w:ascii="Arial" w:hAnsi="Arial" w:cs="Arial"/>
                <w:b w:val="0"/>
                <w:sz w:val="24"/>
                <w:szCs w:val="24"/>
              </w:rPr>
              <w:t xml:space="preserve">rates were </w:t>
            </w:r>
            <w:r w:rsidR="00755D11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welcomed. </w:t>
            </w:r>
          </w:p>
          <w:p w:rsidR="00755D11" w:rsidRPr="00817AB6" w:rsidRDefault="00755D11" w:rsidP="00817AB6">
            <w:pPr>
              <w:pStyle w:val="Heading1"/>
              <w:numPr>
                <w:ilvl w:val="0"/>
                <w:numId w:val="3"/>
              </w:numPr>
            </w:pP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817AB6" w:rsidRPr="00817AB6">
              <w:rPr>
                <w:rFonts w:ascii="Arial" w:hAnsi="Arial" w:cs="Arial"/>
                <w:b w:val="0"/>
                <w:sz w:val="24"/>
                <w:szCs w:val="24"/>
              </w:rPr>
              <w:t>new Integrated P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>erf</w:t>
            </w:r>
            <w:r w:rsidR="00817AB6" w:rsidRPr="00817AB6">
              <w:rPr>
                <w:rFonts w:ascii="Arial" w:hAnsi="Arial" w:cs="Arial"/>
                <w:b w:val="0"/>
                <w:sz w:val="24"/>
                <w:szCs w:val="24"/>
              </w:rPr>
              <w:t>ormance R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eport was received and some comments on the structure </w:t>
            </w:r>
            <w:r w:rsidR="00817AB6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was noted, however, overall the Committee acknowledged the document was 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clear and useful.  No concerns </w:t>
            </w:r>
            <w:r w:rsidR="00817AB6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were identified 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with the data </w:t>
            </w:r>
            <w:r w:rsidR="00817AB6" w:rsidRPr="00817AB6">
              <w:rPr>
                <w:rFonts w:ascii="Arial" w:hAnsi="Arial" w:cs="Arial"/>
                <w:b w:val="0"/>
                <w:sz w:val="24"/>
                <w:szCs w:val="24"/>
              </w:rPr>
              <w:t xml:space="preserve">within the </w:t>
            </w:r>
            <w:r w:rsidRPr="00817AB6">
              <w:rPr>
                <w:rFonts w:ascii="Arial" w:hAnsi="Arial" w:cs="Arial"/>
                <w:b w:val="0"/>
                <w:sz w:val="24"/>
                <w:szCs w:val="24"/>
              </w:rPr>
              <w:t>report.</w:t>
            </w:r>
          </w:p>
        </w:tc>
      </w:tr>
    </w:tbl>
    <w:p w:rsidR="003058D3" w:rsidRDefault="003058D3" w:rsidP="003058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ind w:left="-426"/>
        <w:rPr>
          <w:rFonts w:eastAsia="Times New Roman" w:hAnsi="Arial" w:cs="Arial"/>
          <w:b/>
          <w:color w:val="auto"/>
          <w:u w:val="single"/>
          <w:lang w:eastAsia="en-US"/>
        </w:rPr>
      </w:pPr>
    </w:p>
    <w:p w:rsidR="003058D3" w:rsidRPr="00C20A60" w:rsidRDefault="003058D3" w:rsidP="003058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</w:rPr>
      </w:pPr>
      <w:r>
        <w:rPr>
          <w:rFonts w:ascii="Arial Bold"/>
          <w:lang w:val="en-US"/>
        </w:rPr>
        <w:lastRenderedPageBreak/>
        <w:t xml:space="preserve">The next meeting is scheduled for </w:t>
      </w:r>
      <w:r w:rsidR="008420FA">
        <w:rPr>
          <w:rFonts w:ascii="Arial Bold"/>
          <w:lang w:val="en-US"/>
        </w:rPr>
        <w:t>6 November 2019</w:t>
      </w:r>
    </w:p>
    <w:p w:rsidR="003058D3" w:rsidRPr="00162874" w:rsidRDefault="003058D3" w:rsidP="003058D3">
      <w:pPr>
        <w:ind w:right="183"/>
        <w:rPr>
          <w:rFonts w:ascii="Arial" w:hAnsi="Arial" w:cs="Arial"/>
          <w:bCs/>
        </w:rPr>
      </w:pPr>
    </w:p>
    <w:p w:rsidR="003058D3" w:rsidRDefault="003058D3" w:rsidP="003058D3">
      <w:pPr>
        <w:ind w:left="-540" w:right="183"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Mark McGregor </w:t>
      </w:r>
    </w:p>
    <w:p w:rsidR="003058D3" w:rsidRPr="00C92710" w:rsidRDefault="003058D3" w:rsidP="003058D3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Chair, Clinical Governance Committee</w:t>
      </w:r>
    </w:p>
    <w:p w:rsidR="003058D3" w:rsidRPr="00C92710" w:rsidRDefault="008420FA" w:rsidP="003058D3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September 2019</w:t>
      </w:r>
    </w:p>
    <w:p w:rsidR="003058D3" w:rsidRDefault="003058D3" w:rsidP="003058D3">
      <w:pPr>
        <w:ind w:right="183"/>
        <w:rPr>
          <w:rFonts w:ascii="Arial" w:hAnsi="Arial" w:cs="Arial"/>
          <w:b/>
          <w:bCs/>
        </w:rPr>
      </w:pPr>
    </w:p>
    <w:p w:rsidR="005C57C8" w:rsidRDefault="003058D3" w:rsidP="003058D3">
      <w:r>
        <w:rPr>
          <w:rFonts w:ascii="Arial" w:hAnsi="Arial" w:cs="Arial"/>
          <w:b/>
          <w:bCs/>
        </w:rPr>
        <w:t>Alistair Macfie, Interim Medical Director</w:t>
      </w:r>
      <w:r>
        <w:tab/>
      </w:r>
    </w:p>
    <w:sectPr w:rsidR="005C57C8" w:rsidSect="005C5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A3" w:rsidRDefault="00DC69A3" w:rsidP="00DC69A3">
      <w:r>
        <w:separator/>
      </w:r>
    </w:p>
  </w:endnote>
  <w:endnote w:type="continuationSeparator" w:id="0">
    <w:p w:rsidR="00DC69A3" w:rsidRDefault="00DC69A3" w:rsidP="00DC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Default="00DC6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Default="00DC6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Default="00DC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A3" w:rsidRDefault="00DC69A3" w:rsidP="00DC69A3">
      <w:r>
        <w:separator/>
      </w:r>
    </w:p>
  </w:footnote>
  <w:footnote w:type="continuationSeparator" w:id="0">
    <w:p w:rsidR="00DC69A3" w:rsidRDefault="00DC69A3" w:rsidP="00DC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Default="00DC6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Pr="00DC69A3" w:rsidRDefault="00DC69A3" w:rsidP="00DC69A3">
    <w:pPr>
      <w:pStyle w:val="Header"/>
      <w:jc w:val="right"/>
      <w:rPr>
        <w:rFonts w:ascii="Arial" w:hAnsi="Arial" w:cs="Arial"/>
        <w:b/>
        <w:color w:val="0070C0"/>
      </w:rPr>
    </w:pPr>
    <w:r w:rsidRPr="00DC69A3">
      <w:rPr>
        <w:rFonts w:ascii="Arial" w:hAnsi="Arial" w:cs="Arial"/>
        <w:b/>
        <w:color w:val="0070C0"/>
      </w:rPr>
      <w:t>Item 5.</w:t>
    </w:r>
    <w:r w:rsidR="006C31F5">
      <w:rPr>
        <w:rFonts w:ascii="Arial" w:hAnsi="Arial" w:cs="Arial"/>
        <w:b/>
        <w:color w:val="0070C0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A3" w:rsidRDefault="00DC6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A01"/>
    <w:multiLevelType w:val="hybridMultilevel"/>
    <w:tmpl w:val="DBD2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7BF8"/>
    <w:multiLevelType w:val="hybridMultilevel"/>
    <w:tmpl w:val="A1942B16"/>
    <w:lvl w:ilvl="0" w:tplc="A3A21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39C"/>
    <w:multiLevelType w:val="hybridMultilevel"/>
    <w:tmpl w:val="DA24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8D3"/>
    <w:rsid w:val="00016511"/>
    <w:rsid w:val="00112C6B"/>
    <w:rsid w:val="001239FC"/>
    <w:rsid w:val="003058D3"/>
    <w:rsid w:val="00361985"/>
    <w:rsid w:val="00471F2C"/>
    <w:rsid w:val="005C57C8"/>
    <w:rsid w:val="00603F59"/>
    <w:rsid w:val="006230C3"/>
    <w:rsid w:val="006A60BF"/>
    <w:rsid w:val="006C31F5"/>
    <w:rsid w:val="00755D11"/>
    <w:rsid w:val="00764CA0"/>
    <w:rsid w:val="00817AB6"/>
    <w:rsid w:val="008420FA"/>
    <w:rsid w:val="008A6342"/>
    <w:rsid w:val="00925100"/>
    <w:rsid w:val="009532E9"/>
    <w:rsid w:val="00C74236"/>
    <w:rsid w:val="00CC5F9D"/>
    <w:rsid w:val="00DC69A3"/>
    <w:rsid w:val="00DE7BFB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AF68"/>
  <w15:docId w15:val="{CF44F363-E98A-46E1-9B96-287B7BA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8D3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58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8D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58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3058D3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3058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8D3"/>
    <w:pPr>
      <w:ind w:left="720"/>
    </w:pPr>
    <w:rPr>
      <w:rFonts w:ascii="Arial" w:hAnsi="Arial" w:cs="Arial"/>
    </w:rPr>
  </w:style>
  <w:style w:type="paragraph" w:customStyle="1" w:styleId="Body">
    <w:name w:val="Body"/>
    <w:rsid w:val="003058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6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Mackay</dc:creator>
  <cp:keywords/>
  <dc:description/>
  <cp:lastModifiedBy>Liane McGrath</cp:lastModifiedBy>
  <cp:revision>3</cp:revision>
  <dcterms:created xsi:type="dcterms:W3CDTF">2019-09-19T09:15:00Z</dcterms:created>
  <dcterms:modified xsi:type="dcterms:W3CDTF">2019-09-19T15:04:00Z</dcterms:modified>
</cp:coreProperties>
</file>