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647423" w:rsidRPr="00647423" w14:paraId="105C7AB4" w14:textId="77777777" w:rsidTr="00647423">
        <w:trPr>
          <w:trHeight w:val="557"/>
        </w:trPr>
        <w:tc>
          <w:tcPr>
            <w:tcW w:w="2557" w:type="dxa"/>
            <w:shd w:val="clear" w:color="auto" w:fill="auto"/>
          </w:tcPr>
          <w:p w14:paraId="0F1E97C8" w14:textId="77777777" w:rsidR="00647423" w:rsidRPr="00647423" w:rsidRDefault="00647423" w:rsidP="00647423">
            <w:pPr>
              <w:rPr>
                <w:sz w:val="24"/>
                <w:szCs w:val="24"/>
              </w:rPr>
            </w:pPr>
            <w:r w:rsidRPr="00647423">
              <w:rPr>
                <w:sz w:val="24"/>
                <w:szCs w:val="24"/>
              </w:rPr>
              <w:t>Board Meeting:</w:t>
            </w:r>
          </w:p>
        </w:tc>
        <w:tc>
          <w:tcPr>
            <w:tcW w:w="4814" w:type="dxa"/>
            <w:shd w:val="clear" w:color="auto" w:fill="auto"/>
          </w:tcPr>
          <w:p w14:paraId="23B1961F" w14:textId="77777777" w:rsidR="00647423" w:rsidRPr="00647423" w:rsidRDefault="00647423" w:rsidP="00647423">
            <w:pPr>
              <w:rPr>
                <w:b/>
                <w:sz w:val="24"/>
                <w:szCs w:val="24"/>
              </w:rPr>
            </w:pPr>
            <w:r w:rsidRPr="00647423">
              <w:rPr>
                <w:sz w:val="24"/>
                <w:szCs w:val="24"/>
              </w:rPr>
              <w:t>26 September 2019</w:t>
            </w:r>
          </w:p>
        </w:tc>
        <w:tc>
          <w:tcPr>
            <w:tcW w:w="1985" w:type="dxa"/>
            <w:vMerge w:val="restart"/>
            <w:shd w:val="clear" w:color="auto" w:fill="auto"/>
          </w:tcPr>
          <w:p w14:paraId="6ED8DB28" w14:textId="77777777" w:rsidR="00647423" w:rsidRPr="00647423" w:rsidRDefault="00647423" w:rsidP="00647423">
            <w:pPr>
              <w:rPr>
                <w:sz w:val="24"/>
                <w:szCs w:val="24"/>
              </w:rPr>
            </w:pPr>
            <w:r w:rsidRPr="00647423">
              <w:rPr>
                <w:noProof/>
                <w:sz w:val="24"/>
                <w:szCs w:val="24"/>
                <w:lang w:eastAsia="en-GB"/>
              </w:rPr>
              <w:drawing>
                <wp:inline distT="0" distB="0" distL="0" distR="0" wp14:anchorId="3506A397" wp14:editId="5ABEA554">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647423" w:rsidRPr="00647423" w14:paraId="3E13B12F" w14:textId="77777777" w:rsidTr="00647423">
        <w:trPr>
          <w:trHeight w:val="1091"/>
        </w:trPr>
        <w:tc>
          <w:tcPr>
            <w:tcW w:w="2557" w:type="dxa"/>
            <w:shd w:val="clear" w:color="auto" w:fill="auto"/>
          </w:tcPr>
          <w:p w14:paraId="46DC17E4" w14:textId="77777777" w:rsidR="00647423" w:rsidRPr="00647423" w:rsidRDefault="00647423" w:rsidP="00647423">
            <w:pPr>
              <w:rPr>
                <w:sz w:val="24"/>
                <w:szCs w:val="24"/>
              </w:rPr>
            </w:pPr>
            <w:r w:rsidRPr="00647423">
              <w:rPr>
                <w:sz w:val="24"/>
                <w:szCs w:val="24"/>
              </w:rPr>
              <w:t>Subject:</w:t>
            </w:r>
          </w:p>
        </w:tc>
        <w:tc>
          <w:tcPr>
            <w:tcW w:w="4814" w:type="dxa"/>
            <w:shd w:val="clear" w:color="auto" w:fill="auto"/>
          </w:tcPr>
          <w:p w14:paraId="048D7121" w14:textId="77777777" w:rsidR="00647423" w:rsidRPr="00647423" w:rsidRDefault="00647423" w:rsidP="00647423">
            <w:pPr>
              <w:rPr>
                <w:b/>
                <w:sz w:val="24"/>
                <w:szCs w:val="24"/>
              </w:rPr>
            </w:pPr>
            <w:r w:rsidRPr="00647423">
              <w:rPr>
                <w:sz w:val="24"/>
                <w:szCs w:val="24"/>
              </w:rPr>
              <w:t>Integrated Performance Report</w:t>
            </w:r>
          </w:p>
          <w:p w14:paraId="4139B6A9" w14:textId="77777777" w:rsidR="00647423" w:rsidRPr="00647423" w:rsidRDefault="00647423" w:rsidP="00647423">
            <w:pPr>
              <w:rPr>
                <w:sz w:val="24"/>
                <w:szCs w:val="24"/>
              </w:rPr>
            </w:pPr>
            <w:r w:rsidRPr="00647423">
              <w:rPr>
                <w:sz w:val="24"/>
                <w:szCs w:val="24"/>
              </w:rPr>
              <w:t>Board Summary Report</w:t>
            </w:r>
          </w:p>
        </w:tc>
        <w:tc>
          <w:tcPr>
            <w:tcW w:w="1985" w:type="dxa"/>
            <w:vMerge/>
            <w:shd w:val="clear" w:color="auto" w:fill="auto"/>
          </w:tcPr>
          <w:p w14:paraId="5E2149A9" w14:textId="77777777" w:rsidR="00647423" w:rsidRPr="00647423" w:rsidRDefault="00647423" w:rsidP="00647423">
            <w:pPr>
              <w:rPr>
                <w:noProof/>
                <w:sz w:val="24"/>
                <w:szCs w:val="24"/>
                <w:lang w:eastAsia="en-GB"/>
              </w:rPr>
            </w:pPr>
          </w:p>
        </w:tc>
      </w:tr>
      <w:tr w:rsidR="00647423" w:rsidRPr="00647423" w14:paraId="08B3616E" w14:textId="77777777" w:rsidTr="00647423">
        <w:trPr>
          <w:trHeight w:val="499"/>
        </w:trPr>
        <w:tc>
          <w:tcPr>
            <w:tcW w:w="2557" w:type="dxa"/>
            <w:shd w:val="clear" w:color="auto" w:fill="auto"/>
          </w:tcPr>
          <w:p w14:paraId="14813B48" w14:textId="77777777" w:rsidR="00647423" w:rsidRPr="00647423" w:rsidRDefault="00647423" w:rsidP="00647423">
            <w:pPr>
              <w:rPr>
                <w:sz w:val="24"/>
                <w:szCs w:val="24"/>
              </w:rPr>
            </w:pPr>
            <w:r w:rsidRPr="00647423">
              <w:rPr>
                <w:sz w:val="24"/>
                <w:szCs w:val="24"/>
              </w:rPr>
              <w:t>Recommendation:</w:t>
            </w:r>
            <w:r w:rsidRPr="00647423">
              <w:rPr>
                <w:sz w:val="24"/>
                <w:szCs w:val="24"/>
              </w:rPr>
              <w:tab/>
            </w:r>
          </w:p>
        </w:tc>
        <w:tc>
          <w:tcPr>
            <w:tcW w:w="6799" w:type="dxa"/>
            <w:gridSpan w:val="2"/>
            <w:shd w:val="clear" w:color="auto" w:fill="auto"/>
          </w:tcPr>
          <w:p w14:paraId="3CCBFF84" w14:textId="77777777" w:rsidR="00647423" w:rsidRPr="00647423" w:rsidRDefault="00647423" w:rsidP="00647423">
            <w:pPr>
              <w:rPr>
                <w:b/>
                <w:sz w:val="24"/>
                <w:szCs w:val="24"/>
              </w:rPr>
            </w:pPr>
            <w:r w:rsidRPr="00647423">
              <w:rPr>
                <w:sz w:val="24"/>
                <w:szCs w:val="24"/>
              </w:rPr>
              <w:t>Committee members are asked to:</w:t>
            </w:r>
          </w:p>
          <w:p w14:paraId="791633EE" w14:textId="77777777" w:rsidR="00647423" w:rsidRPr="00647423" w:rsidRDefault="00647423" w:rsidP="00647423">
            <w:pPr>
              <w:rPr>
                <w:sz w:val="24"/>
                <w:szCs w:val="24"/>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647423" w:rsidRPr="00647423" w14:paraId="6A9C8DD0" w14:textId="77777777" w:rsidTr="00F7223F">
              <w:tc>
                <w:tcPr>
                  <w:tcW w:w="5694" w:type="dxa"/>
                </w:tcPr>
                <w:p w14:paraId="63D32E84" w14:textId="77777777" w:rsidR="00647423" w:rsidRPr="00647423" w:rsidRDefault="00647423" w:rsidP="00647423">
                  <w:pPr>
                    <w:rPr>
                      <w:b/>
                      <w:sz w:val="24"/>
                      <w:szCs w:val="24"/>
                    </w:rPr>
                  </w:pPr>
                  <w:r w:rsidRPr="00647423">
                    <w:rPr>
                      <w:sz w:val="24"/>
                      <w:szCs w:val="24"/>
                    </w:rPr>
                    <w:t>Discuss and Note</w:t>
                  </w:r>
                </w:p>
              </w:tc>
              <w:tc>
                <w:tcPr>
                  <w:tcW w:w="850" w:type="dxa"/>
                </w:tcPr>
                <w:p w14:paraId="37AC5DF0" w14:textId="77777777" w:rsidR="00647423" w:rsidRPr="00647423" w:rsidRDefault="00647423" w:rsidP="00647423">
                  <w:pPr>
                    <w:rPr>
                      <w:sz w:val="24"/>
                      <w:szCs w:val="24"/>
                    </w:rPr>
                  </w:pPr>
                </w:p>
              </w:tc>
            </w:tr>
            <w:tr w:rsidR="00647423" w:rsidRPr="00647423" w14:paraId="71BFA4AF" w14:textId="77777777" w:rsidTr="00F7223F">
              <w:tc>
                <w:tcPr>
                  <w:tcW w:w="5694" w:type="dxa"/>
                </w:tcPr>
                <w:p w14:paraId="12F9454C" w14:textId="77777777" w:rsidR="00647423" w:rsidRPr="00647423" w:rsidRDefault="00647423" w:rsidP="00647423">
                  <w:pPr>
                    <w:rPr>
                      <w:b/>
                      <w:sz w:val="24"/>
                      <w:szCs w:val="24"/>
                    </w:rPr>
                  </w:pPr>
                  <w:r w:rsidRPr="00647423">
                    <w:rPr>
                      <w:sz w:val="24"/>
                      <w:szCs w:val="24"/>
                    </w:rPr>
                    <w:t>Discuss and Approve</w:t>
                  </w:r>
                </w:p>
              </w:tc>
              <w:tc>
                <w:tcPr>
                  <w:tcW w:w="850" w:type="dxa"/>
                </w:tcPr>
                <w:p w14:paraId="7FE43B30" w14:textId="77777777" w:rsidR="00647423" w:rsidRPr="00647423" w:rsidRDefault="00647423" w:rsidP="00647423">
                  <w:pPr>
                    <w:rPr>
                      <w:sz w:val="24"/>
                      <w:szCs w:val="24"/>
                    </w:rPr>
                  </w:pPr>
                  <w:r w:rsidRPr="00647423">
                    <w:rPr>
                      <w:sz w:val="24"/>
                      <w:szCs w:val="24"/>
                    </w:rPr>
                    <w:t>x</w:t>
                  </w:r>
                </w:p>
              </w:tc>
            </w:tr>
            <w:tr w:rsidR="00647423" w:rsidRPr="00647423" w14:paraId="7BF9B383" w14:textId="77777777" w:rsidTr="00F7223F">
              <w:tc>
                <w:tcPr>
                  <w:tcW w:w="5694" w:type="dxa"/>
                </w:tcPr>
                <w:p w14:paraId="601DBE57" w14:textId="77777777" w:rsidR="00647423" w:rsidRPr="00647423" w:rsidRDefault="00647423" w:rsidP="00647423">
                  <w:pPr>
                    <w:rPr>
                      <w:b/>
                      <w:sz w:val="24"/>
                      <w:szCs w:val="24"/>
                    </w:rPr>
                  </w:pPr>
                  <w:r w:rsidRPr="00647423">
                    <w:rPr>
                      <w:sz w:val="24"/>
                      <w:szCs w:val="24"/>
                    </w:rPr>
                    <w:t>Note for Information only</w:t>
                  </w:r>
                </w:p>
              </w:tc>
              <w:tc>
                <w:tcPr>
                  <w:tcW w:w="850" w:type="dxa"/>
                </w:tcPr>
                <w:p w14:paraId="701BF7AE" w14:textId="77777777" w:rsidR="00647423" w:rsidRPr="00647423" w:rsidRDefault="00647423" w:rsidP="00647423">
                  <w:pPr>
                    <w:rPr>
                      <w:sz w:val="24"/>
                      <w:szCs w:val="24"/>
                    </w:rPr>
                  </w:pPr>
                </w:p>
              </w:tc>
            </w:tr>
          </w:tbl>
          <w:p w14:paraId="3568989C" w14:textId="77777777" w:rsidR="00647423" w:rsidRPr="00647423" w:rsidRDefault="00647423" w:rsidP="00647423">
            <w:pPr>
              <w:rPr>
                <w:sz w:val="24"/>
                <w:szCs w:val="24"/>
              </w:rPr>
            </w:pPr>
          </w:p>
        </w:tc>
      </w:tr>
      <w:tr w:rsidR="00647423" w:rsidRPr="00647423" w14:paraId="492661EE" w14:textId="77777777" w:rsidTr="00647423">
        <w:trPr>
          <w:trHeight w:val="499"/>
        </w:trPr>
        <w:tc>
          <w:tcPr>
            <w:tcW w:w="2557" w:type="dxa"/>
            <w:tcBorders>
              <w:bottom w:val="single" w:sz="4" w:space="0" w:color="auto"/>
            </w:tcBorders>
            <w:shd w:val="clear" w:color="auto" w:fill="auto"/>
          </w:tcPr>
          <w:p w14:paraId="64AD7ABF" w14:textId="77777777" w:rsidR="00647423" w:rsidRPr="00647423" w:rsidRDefault="00647423" w:rsidP="00647423">
            <w:pPr>
              <w:rPr>
                <w:bCs/>
                <w:sz w:val="24"/>
                <w:szCs w:val="24"/>
              </w:rPr>
            </w:pPr>
          </w:p>
        </w:tc>
        <w:tc>
          <w:tcPr>
            <w:tcW w:w="6799" w:type="dxa"/>
            <w:gridSpan w:val="2"/>
            <w:tcBorders>
              <w:bottom w:val="single" w:sz="4" w:space="0" w:color="auto"/>
            </w:tcBorders>
            <w:shd w:val="clear" w:color="auto" w:fill="auto"/>
          </w:tcPr>
          <w:p w14:paraId="6E4ADDA8" w14:textId="77777777" w:rsidR="00647423" w:rsidRPr="00647423" w:rsidRDefault="00647423" w:rsidP="00647423">
            <w:pPr>
              <w:rPr>
                <w:b/>
                <w:sz w:val="24"/>
                <w:szCs w:val="24"/>
              </w:rPr>
            </w:pPr>
          </w:p>
        </w:tc>
      </w:tr>
    </w:tbl>
    <w:p w14:paraId="6087B084" w14:textId="77777777" w:rsidR="00647423" w:rsidRPr="00647423" w:rsidRDefault="00647423" w:rsidP="00647423">
      <w:pPr>
        <w:pStyle w:val="Heading2"/>
        <w:numPr>
          <w:ilvl w:val="0"/>
          <w:numId w:val="13"/>
        </w:numPr>
        <w:spacing w:before="240"/>
        <w:ind w:right="183"/>
        <w:rPr>
          <w:color w:val="auto"/>
          <w:sz w:val="24"/>
          <w:szCs w:val="24"/>
        </w:rPr>
      </w:pPr>
      <w:r w:rsidRPr="00647423">
        <w:rPr>
          <w:color w:val="auto"/>
          <w:sz w:val="24"/>
          <w:szCs w:val="24"/>
        </w:rPr>
        <w:t>Background</w:t>
      </w:r>
    </w:p>
    <w:p w14:paraId="508B959D" w14:textId="77777777" w:rsidR="00647423" w:rsidRPr="00647423" w:rsidRDefault="00647423" w:rsidP="00647423">
      <w:pPr>
        <w:rPr>
          <w:rFonts w:cs="Arial"/>
          <w:sz w:val="24"/>
          <w:szCs w:val="24"/>
        </w:rPr>
      </w:pPr>
      <w:r w:rsidRPr="00647423">
        <w:rPr>
          <w:rFonts w:cs="Arial"/>
          <w:sz w:val="24"/>
          <w:szCs w:val="24"/>
        </w:rPr>
        <w:t xml:space="preserve">Following a review of corporate governance at the Golden Jubilee Foundation, which aligned to the Blueprint for Governance developed by Scottish Government, we have realigned our performance reporting cycle. </w:t>
      </w:r>
    </w:p>
    <w:p w14:paraId="15F783D3" w14:textId="77777777" w:rsidR="00647423" w:rsidRPr="00647423" w:rsidRDefault="00647423" w:rsidP="00647423">
      <w:pPr>
        <w:ind w:right="183"/>
        <w:rPr>
          <w:rFonts w:cs="Arial"/>
          <w:color w:val="000000" w:themeColor="text1"/>
          <w:sz w:val="24"/>
          <w:szCs w:val="24"/>
        </w:rPr>
      </w:pPr>
    </w:p>
    <w:p w14:paraId="5388FCAF" w14:textId="77777777" w:rsidR="00647423" w:rsidRPr="00647423" w:rsidRDefault="00647423" w:rsidP="00647423">
      <w:pPr>
        <w:ind w:right="183"/>
        <w:rPr>
          <w:rFonts w:cs="Arial"/>
          <w:color w:val="000000" w:themeColor="text1"/>
          <w:sz w:val="24"/>
          <w:szCs w:val="24"/>
        </w:rPr>
      </w:pPr>
      <w:r w:rsidRPr="00647423">
        <w:rPr>
          <w:rFonts w:cs="Arial"/>
          <w:color w:val="000000" w:themeColor="text1"/>
          <w:sz w:val="24"/>
          <w:szCs w:val="24"/>
        </w:rPr>
        <w:t xml:space="preserve">New Governance Committee structures commence in September 2019 and each committee will be supported with accurate and current information to support scrutiny and enable assurance of their compliance with the statutory obligations. </w:t>
      </w:r>
    </w:p>
    <w:p w14:paraId="4952A6E8" w14:textId="77777777" w:rsidR="00647423" w:rsidRPr="00647423" w:rsidRDefault="00647423" w:rsidP="00647423">
      <w:pPr>
        <w:ind w:right="183"/>
        <w:rPr>
          <w:rFonts w:cs="Arial"/>
          <w:color w:val="000000" w:themeColor="text1"/>
          <w:sz w:val="24"/>
          <w:szCs w:val="24"/>
        </w:rPr>
      </w:pPr>
      <w:r w:rsidRPr="00647423">
        <w:rPr>
          <w:rFonts w:cs="Arial"/>
          <w:color w:val="000000" w:themeColor="text1"/>
          <w:sz w:val="24"/>
          <w:szCs w:val="24"/>
        </w:rPr>
        <w:t>This will enable Board members to be confident that the desired level of quality is being delivered in the development and delivery of Foundation services and objectives are being met.</w:t>
      </w:r>
    </w:p>
    <w:p w14:paraId="02D9EA40" w14:textId="77777777" w:rsidR="00647423" w:rsidRPr="00647423" w:rsidRDefault="00647423" w:rsidP="00647423">
      <w:pPr>
        <w:ind w:right="183"/>
        <w:rPr>
          <w:rFonts w:cs="Arial"/>
          <w:color w:val="000000" w:themeColor="text1"/>
          <w:sz w:val="24"/>
          <w:szCs w:val="24"/>
        </w:rPr>
      </w:pPr>
    </w:p>
    <w:p w14:paraId="7CFC562A" w14:textId="77777777" w:rsidR="00647423" w:rsidRPr="00647423" w:rsidRDefault="00647423" w:rsidP="00647423">
      <w:pPr>
        <w:ind w:right="183"/>
        <w:jc w:val="center"/>
        <w:rPr>
          <w:rFonts w:cs="Arial"/>
          <w:b/>
          <w:bCs/>
          <w:sz w:val="24"/>
          <w:szCs w:val="24"/>
        </w:rPr>
      </w:pPr>
      <w:r w:rsidRPr="00647423">
        <w:rPr>
          <w:rFonts w:cs="Arial"/>
          <w:b/>
          <w:bCs/>
          <w:noProof/>
          <w:sz w:val="24"/>
          <w:szCs w:val="24"/>
          <w:lang w:eastAsia="en-GB"/>
        </w:rPr>
        <w:drawing>
          <wp:inline distT="0" distB="0" distL="0" distR="0" wp14:anchorId="5ED980AC" wp14:editId="592A3BAC">
            <wp:extent cx="4013200" cy="1810954"/>
            <wp:effectExtent l="19050" t="0" r="6350" b="0"/>
            <wp:docPr id="4" name="Picture 3" descr="governance structure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ance structure simple.jpg"/>
                    <pic:cNvPicPr/>
                  </pic:nvPicPr>
                  <pic:blipFill>
                    <a:blip r:embed="rId9" cstate="print"/>
                    <a:srcRect t="24800" b="7454"/>
                    <a:stretch>
                      <a:fillRect/>
                    </a:stretch>
                  </pic:blipFill>
                  <pic:spPr>
                    <a:xfrm>
                      <a:off x="0" y="0"/>
                      <a:ext cx="4021568" cy="1814730"/>
                    </a:xfrm>
                    <a:prstGeom prst="rect">
                      <a:avLst/>
                    </a:prstGeom>
                  </pic:spPr>
                </pic:pic>
              </a:graphicData>
            </a:graphic>
          </wp:inline>
        </w:drawing>
      </w:r>
    </w:p>
    <w:p w14:paraId="77827CF2" w14:textId="77777777" w:rsidR="00647423" w:rsidRPr="00647423" w:rsidRDefault="00647423" w:rsidP="00647423">
      <w:pPr>
        <w:ind w:right="183"/>
        <w:rPr>
          <w:rFonts w:cs="Arial"/>
          <w:sz w:val="24"/>
          <w:szCs w:val="24"/>
        </w:rPr>
      </w:pPr>
    </w:p>
    <w:p w14:paraId="07BA383B" w14:textId="77777777" w:rsidR="00BD2379" w:rsidRDefault="00BD2379" w:rsidP="00BD2379">
      <w:pPr>
        <w:ind w:right="183"/>
        <w:rPr>
          <w:rFonts w:cs="Arial"/>
          <w:sz w:val="16"/>
          <w:szCs w:val="16"/>
        </w:rPr>
      </w:pPr>
      <w:r w:rsidRPr="00D80D8C">
        <w:rPr>
          <w:rFonts w:cs="Arial"/>
          <w:b/>
          <w:sz w:val="16"/>
          <w:szCs w:val="16"/>
        </w:rPr>
        <w:t>Figure 1</w:t>
      </w:r>
      <w:r w:rsidRPr="00D80D8C">
        <w:rPr>
          <w:rFonts w:cs="Arial"/>
          <w:sz w:val="16"/>
          <w:szCs w:val="16"/>
        </w:rPr>
        <w:t xml:space="preserve">: Board Sub-Committee structure commencing from Sept 2019 </w:t>
      </w:r>
      <w:r>
        <w:rPr>
          <w:rFonts w:cs="Arial"/>
          <w:sz w:val="16"/>
          <w:szCs w:val="16"/>
        </w:rPr>
        <w:t>N</w:t>
      </w:r>
    </w:p>
    <w:p w14:paraId="0E0BDF17" w14:textId="77777777" w:rsidR="00BD2379" w:rsidRDefault="00BD2379" w:rsidP="00BD2379">
      <w:pPr>
        <w:ind w:right="183" w:firstLine="720"/>
        <w:rPr>
          <w:rFonts w:cs="Arial"/>
          <w:sz w:val="16"/>
          <w:szCs w:val="16"/>
        </w:rPr>
      </w:pPr>
      <w:r>
        <w:rPr>
          <w:rFonts w:cs="Arial"/>
          <w:sz w:val="16"/>
          <w:szCs w:val="16"/>
        </w:rPr>
        <w:t>N</w:t>
      </w:r>
      <w:r w:rsidRPr="00D80D8C">
        <w:rPr>
          <w:rFonts w:cs="Arial"/>
          <w:sz w:val="16"/>
          <w:szCs w:val="16"/>
        </w:rPr>
        <w:t>ew com</w:t>
      </w:r>
      <w:r>
        <w:rPr>
          <w:rFonts w:cs="Arial"/>
          <w:sz w:val="16"/>
          <w:szCs w:val="16"/>
        </w:rPr>
        <w:t>mittees are indicated with an *</w:t>
      </w:r>
    </w:p>
    <w:p w14:paraId="787A3CE9" w14:textId="77777777" w:rsidR="00BD2379" w:rsidRDefault="00BD2379" w:rsidP="00BD2379">
      <w:pPr>
        <w:ind w:right="183" w:firstLine="720"/>
        <w:rPr>
          <w:rFonts w:cs="Arial"/>
          <w:sz w:val="16"/>
          <w:szCs w:val="16"/>
        </w:rPr>
      </w:pPr>
      <w:r>
        <w:rPr>
          <w:rFonts w:cs="Arial"/>
          <w:sz w:val="16"/>
          <w:szCs w:val="16"/>
        </w:rPr>
        <w:t>Commissioning Committee is under review</w:t>
      </w:r>
    </w:p>
    <w:p w14:paraId="7B5EDD05" w14:textId="161C4857" w:rsidR="00647423" w:rsidRDefault="00647423" w:rsidP="00647423">
      <w:pPr>
        <w:ind w:right="183"/>
        <w:rPr>
          <w:rFonts w:cs="Arial"/>
          <w:sz w:val="24"/>
          <w:szCs w:val="24"/>
        </w:rPr>
      </w:pPr>
    </w:p>
    <w:p w14:paraId="560FDFC3" w14:textId="77777777" w:rsidR="00BD2379" w:rsidRPr="00647423" w:rsidRDefault="00BD2379" w:rsidP="00647423">
      <w:pPr>
        <w:ind w:right="183"/>
        <w:rPr>
          <w:rFonts w:cs="Arial"/>
          <w:sz w:val="24"/>
          <w:szCs w:val="24"/>
        </w:rPr>
      </w:pPr>
    </w:p>
    <w:p w14:paraId="258E9C55" w14:textId="77777777" w:rsidR="00BD2379" w:rsidRPr="007E7A61" w:rsidRDefault="00BD2379" w:rsidP="00BD2379">
      <w:pPr>
        <w:pStyle w:val="ListParagraph"/>
        <w:numPr>
          <w:ilvl w:val="0"/>
          <w:numId w:val="13"/>
        </w:numPr>
        <w:ind w:right="183"/>
        <w:rPr>
          <w:rFonts w:cs="Arial"/>
          <w:b/>
          <w:bCs/>
        </w:rPr>
      </w:pPr>
      <w:r>
        <w:rPr>
          <w:rFonts w:cs="Arial"/>
          <w:b/>
          <w:bCs/>
        </w:rPr>
        <w:t>New Function</w:t>
      </w:r>
    </w:p>
    <w:p w14:paraId="6B1039A6" w14:textId="77777777" w:rsidR="00BD2379" w:rsidRDefault="00BD2379" w:rsidP="00BD2379">
      <w:pPr>
        <w:pStyle w:val="Footer"/>
        <w:ind w:right="183"/>
        <w:rPr>
          <w:rFonts w:cs="Arial"/>
          <w:color w:val="000000" w:themeColor="text1"/>
        </w:rPr>
      </w:pPr>
      <w:r>
        <w:rPr>
          <w:rFonts w:cs="Arial"/>
          <w:color w:val="000000" w:themeColor="text1"/>
        </w:rPr>
        <w:t>In order to support the functions of the Clinical Governance, Person-Centred (Staff Governance) and Finance, Performance and Planning Committees an Integrated Performance Report (IPR) has been developed. Development of the report has been led by the Performance and Planning team in collaboration with other departments.</w:t>
      </w:r>
    </w:p>
    <w:p w14:paraId="68808E29" w14:textId="77777777" w:rsidR="00BD2379" w:rsidRDefault="00BD2379" w:rsidP="00BD2379">
      <w:pPr>
        <w:pStyle w:val="Footer"/>
        <w:ind w:right="183"/>
        <w:rPr>
          <w:rFonts w:cs="Arial"/>
          <w:color w:val="000000" w:themeColor="text1"/>
        </w:rPr>
      </w:pPr>
    </w:p>
    <w:p w14:paraId="26DABAA6" w14:textId="34488D28" w:rsidR="00BD2379" w:rsidRDefault="00BD2379" w:rsidP="00BD2379">
      <w:pPr>
        <w:pStyle w:val="Footer"/>
        <w:ind w:right="183"/>
        <w:rPr>
          <w:rFonts w:cs="Arial"/>
          <w:color w:val="000000" w:themeColor="text1"/>
        </w:rPr>
      </w:pPr>
      <w:r>
        <w:rPr>
          <w:rFonts w:cs="Arial"/>
          <w:color w:val="000000" w:themeColor="text1"/>
        </w:rPr>
        <w:t xml:space="preserve">The data included forms the basis of the information that is issued to ISD and also includes </w:t>
      </w:r>
      <w:r w:rsidR="007B57F5">
        <w:rPr>
          <w:rFonts w:cs="Arial"/>
          <w:color w:val="000000" w:themeColor="text1"/>
        </w:rPr>
        <w:t xml:space="preserve">the Hospital Associated Infection Report, Business Update Report and </w:t>
      </w:r>
      <w:r>
        <w:rPr>
          <w:rFonts w:cs="Arial"/>
          <w:color w:val="000000" w:themeColor="text1"/>
        </w:rPr>
        <w:t>local performance information.</w:t>
      </w:r>
    </w:p>
    <w:p w14:paraId="30374088" w14:textId="400721F7" w:rsidR="00BD2379" w:rsidRDefault="00BD2379" w:rsidP="00BD2379">
      <w:pPr>
        <w:pStyle w:val="Footer"/>
        <w:ind w:right="183"/>
        <w:rPr>
          <w:rFonts w:cs="Arial"/>
          <w:color w:val="000000" w:themeColor="text1"/>
        </w:rPr>
      </w:pPr>
      <w:bookmarkStart w:id="0" w:name="_GoBack"/>
      <w:bookmarkEnd w:id="0"/>
    </w:p>
    <w:p w14:paraId="6CAED313" w14:textId="0FC9F848" w:rsidR="00BD2379" w:rsidRDefault="00BD2379" w:rsidP="00BD2379">
      <w:pPr>
        <w:pStyle w:val="Footer"/>
        <w:ind w:right="183"/>
        <w:rPr>
          <w:rFonts w:cs="Arial"/>
          <w:color w:val="000000" w:themeColor="text1"/>
        </w:rPr>
      </w:pPr>
    </w:p>
    <w:p w14:paraId="52469B07" w14:textId="056DEB0D" w:rsidR="00BD2379" w:rsidRDefault="00BD2379" w:rsidP="00BD2379">
      <w:pPr>
        <w:pStyle w:val="Footer"/>
        <w:ind w:right="183"/>
        <w:rPr>
          <w:rFonts w:cs="Arial"/>
          <w:color w:val="000000" w:themeColor="text1"/>
        </w:rPr>
      </w:pPr>
    </w:p>
    <w:p w14:paraId="64DF1395" w14:textId="77777777" w:rsidR="00BD2379" w:rsidRDefault="00BD2379" w:rsidP="00BD2379">
      <w:pPr>
        <w:pStyle w:val="Footer"/>
        <w:ind w:right="183"/>
        <w:rPr>
          <w:rFonts w:cs="Arial"/>
          <w:color w:val="000000" w:themeColor="text1"/>
        </w:rPr>
      </w:pPr>
    </w:p>
    <w:p w14:paraId="52B36D28" w14:textId="77777777" w:rsidR="00BD2379" w:rsidRPr="00D2030B" w:rsidRDefault="00BD2379" w:rsidP="00BD2379">
      <w:pPr>
        <w:pStyle w:val="Footer"/>
        <w:numPr>
          <w:ilvl w:val="0"/>
          <w:numId w:val="13"/>
        </w:numPr>
        <w:tabs>
          <w:tab w:val="clear" w:pos="4320"/>
          <w:tab w:val="clear" w:pos="8640"/>
        </w:tabs>
        <w:ind w:right="183"/>
        <w:rPr>
          <w:rFonts w:cs="Arial"/>
          <w:b/>
          <w:color w:val="000000" w:themeColor="text1"/>
        </w:rPr>
      </w:pPr>
      <w:r w:rsidRPr="00D2030B">
        <w:rPr>
          <w:rFonts w:cs="Arial"/>
          <w:b/>
          <w:color w:val="000000" w:themeColor="text1"/>
        </w:rPr>
        <w:lastRenderedPageBreak/>
        <w:t>Report Cycle</w:t>
      </w:r>
    </w:p>
    <w:p w14:paraId="486F89DF" w14:textId="77777777" w:rsidR="00BD2379" w:rsidRDefault="00BD2379" w:rsidP="00BD2379">
      <w:pPr>
        <w:pStyle w:val="Footer"/>
        <w:ind w:right="183"/>
        <w:rPr>
          <w:rFonts w:cs="Arial"/>
          <w:color w:val="000000" w:themeColor="text1"/>
        </w:rPr>
      </w:pPr>
      <w:r>
        <w:rPr>
          <w:rFonts w:cs="Arial"/>
          <w:color w:val="000000" w:themeColor="text1"/>
        </w:rPr>
        <w:t>This report is produced monthly as part of a two monthly performance cycle.  The key elements are:</w:t>
      </w:r>
    </w:p>
    <w:p w14:paraId="7A0910E4" w14:textId="77777777" w:rsidR="00BD2379" w:rsidRPr="00D2030B" w:rsidRDefault="00BD2379" w:rsidP="00BD2379">
      <w:pPr>
        <w:pStyle w:val="Footer"/>
        <w:numPr>
          <w:ilvl w:val="0"/>
          <w:numId w:val="15"/>
        </w:numPr>
        <w:tabs>
          <w:tab w:val="clear" w:pos="4320"/>
          <w:tab w:val="clear" w:pos="8640"/>
        </w:tabs>
        <w:ind w:right="183"/>
        <w:rPr>
          <w:rFonts w:cs="Arial"/>
        </w:rPr>
      </w:pPr>
      <w:r>
        <w:rPr>
          <w:rFonts w:cs="Arial"/>
          <w:color w:val="000000" w:themeColor="text1"/>
        </w:rPr>
        <w:t>IPR produced and shared with Board members monthly.</w:t>
      </w:r>
    </w:p>
    <w:p w14:paraId="48D9F5B6" w14:textId="77777777" w:rsidR="00BD2379" w:rsidRPr="00D2030B" w:rsidRDefault="00BD2379" w:rsidP="00BD2379">
      <w:pPr>
        <w:pStyle w:val="Footer"/>
        <w:numPr>
          <w:ilvl w:val="0"/>
          <w:numId w:val="15"/>
        </w:numPr>
        <w:tabs>
          <w:tab w:val="clear" w:pos="4320"/>
          <w:tab w:val="clear" w:pos="8640"/>
        </w:tabs>
        <w:ind w:right="183"/>
        <w:rPr>
          <w:rFonts w:cs="Arial"/>
        </w:rPr>
      </w:pPr>
      <w:r>
        <w:rPr>
          <w:rFonts w:cs="Arial"/>
          <w:color w:val="000000" w:themeColor="text1"/>
        </w:rPr>
        <w:t>IPR on second month considered by three Committees.</w:t>
      </w:r>
    </w:p>
    <w:p w14:paraId="6CB41CC2" w14:textId="77777777" w:rsidR="00BD2379" w:rsidRDefault="00BD2379" w:rsidP="00BD2379">
      <w:pPr>
        <w:pStyle w:val="Footer"/>
        <w:numPr>
          <w:ilvl w:val="0"/>
          <w:numId w:val="15"/>
        </w:numPr>
        <w:tabs>
          <w:tab w:val="clear" w:pos="4320"/>
          <w:tab w:val="clear" w:pos="8640"/>
        </w:tabs>
        <w:ind w:right="183"/>
        <w:rPr>
          <w:rFonts w:cs="Arial"/>
        </w:rPr>
      </w:pPr>
      <w:r>
        <w:rPr>
          <w:rFonts w:cs="Arial"/>
        </w:rPr>
        <w:t>Board Summary Report produced including Chairs comments for Board consideration.</w:t>
      </w:r>
      <w:r>
        <w:rPr>
          <w:rFonts w:cs="Arial"/>
        </w:rPr>
        <w:tab/>
      </w:r>
    </w:p>
    <w:p w14:paraId="54C02FEB" w14:textId="77777777" w:rsidR="00BD2379" w:rsidRDefault="00BD2379" w:rsidP="00BD2379">
      <w:pPr>
        <w:pStyle w:val="Footer"/>
        <w:ind w:right="183"/>
        <w:rPr>
          <w:rFonts w:cs="Arial"/>
        </w:rPr>
      </w:pPr>
    </w:p>
    <w:p w14:paraId="14182136" w14:textId="77777777" w:rsidR="00BD2379" w:rsidRDefault="00BD2379" w:rsidP="00BD2379">
      <w:pPr>
        <w:pStyle w:val="Footer"/>
        <w:ind w:right="183"/>
        <w:rPr>
          <w:rFonts w:cs="Arial"/>
        </w:rPr>
      </w:pPr>
    </w:p>
    <w:p w14:paraId="7CBECA0A" w14:textId="77777777" w:rsidR="00BD2379" w:rsidRPr="00D2030B" w:rsidRDefault="00BD2379" w:rsidP="00BD2379">
      <w:pPr>
        <w:pStyle w:val="Footer"/>
        <w:numPr>
          <w:ilvl w:val="0"/>
          <w:numId w:val="13"/>
        </w:numPr>
        <w:tabs>
          <w:tab w:val="clear" w:pos="4320"/>
          <w:tab w:val="clear" w:pos="8640"/>
        </w:tabs>
        <w:ind w:right="183"/>
        <w:rPr>
          <w:rFonts w:cs="Arial"/>
          <w:b/>
        </w:rPr>
      </w:pPr>
      <w:r>
        <w:rPr>
          <w:rFonts w:cs="Arial"/>
          <w:b/>
        </w:rPr>
        <w:t>Report Content</w:t>
      </w:r>
    </w:p>
    <w:p w14:paraId="3E59CF07" w14:textId="77777777" w:rsidR="00BD2379" w:rsidRDefault="00BD2379" w:rsidP="00BD2379">
      <w:pPr>
        <w:pStyle w:val="Footer"/>
        <w:ind w:right="183"/>
        <w:rPr>
          <w:rFonts w:cs="Arial"/>
        </w:rPr>
      </w:pPr>
      <w:r>
        <w:rPr>
          <w:rFonts w:cs="Arial"/>
        </w:rPr>
        <w:t xml:space="preserve">The current iteration of the IPR comprises four main sections: </w:t>
      </w:r>
    </w:p>
    <w:p w14:paraId="166820E1" w14:textId="77777777" w:rsidR="00BD2379" w:rsidRDefault="00BD2379" w:rsidP="00BD2379">
      <w:pPr>
        <w:pStyle w:val="Footer"/>
        <w:ind w:right="183"/>
        <w:rPr>
          <w:rFonts w:cs="Arial"/>
        </w:rPr>
      </w:pPr>
    </w:p>
    <w:p w14:paraId="33C20958" w14:textId="77777777" w:rsidR="00BD2379" w:rsidRDefault="00BD2379" w:rsidP="00BD2379">
      <w:pPr>
        <w:pStyle w:val="Footer"/>
        <w:numPr>
          <w:ilvl w:val="0"/>
          <w:numId w:val="14"/>
        </w:numPr>
        <w:tabs>
          <w:tab w:val="clear" w:pos="4320"/>
          <w:tab w:val="clear" w:pos="8640"/>
        </w:tabs>
        <w:ind w:right="183"/>
        <w:rPr>
          <w:rFonts w:cs="Arial"/>
        </w:rPr>
      </w:pPr>
      <w:r>
        <w:rPr>
          <w:rFonts w:cs="Arial"/>
        </w:rPr>
        <w:t xml:space="preserve">An overall summary section; </w:t>
      </w:r>
    </w:p>
    <w:p w14:paraId="35ED31E3" w14:textId="77777777" w:rsidR="00BD2379" w:rsidRDefault="00BD2379" w:rsidP="00BD2379">
      <w:pPr>
        <w:pStyle w:val="Footer"/>
        <w:numPr>
          <w:ilvl w:val="0"/>
          <w:numId w:val="14"/>
        </w:numPr>
        <w:tabs>
          <w:tab w:val="clear" w:pos="4320"/>
          <w:tab w:val="clear" w:pos="8640"/>
        </w:tabs>
        <w:ind w:right="183"/>
        <w:rPr>
          <w:rFonts w:cs="Arial"/>
        </w:rPr>
      </w:pPr>
      <w:r w:rsidRPr="00D80D8C">
        <w:rPr>
          <w:rFonts w:cs="Arial"/>
        </w:rPr>
        <w:t>A section to support and inform th</w:t>
      </w:r>
      <w:r>
        <w:rPr>
          <w:rFonts w:cs="Arial"/>
        </w:rPr>
        <w:t>e Clinical Governance Committee;</w:t>
      </w:r>
    </w:p>
    <w:p w14:paraId="679F9ECA" w14:textId="77777777" w:rsidR="00BD2379" w:rsidRDefault="00BD2379" w:rsidP="00BD2379">
      <w:pPr>
        <w:pStyle w:val="Footer"/>
        <w:numPr>
          <w:ilvl w:val="0"/>
          <w:numId w:val="14"/>
        </w:numPr>
        <w:tabs>
          <w:tab w:val="clear" w:pos="4320"/>
          <w:tab w:val="clear" w:pos="8640"/>
        </w:tabs>
        <w:ind w:right="183"/>
        <w:rPr>
          <w:rFonts w:cs="Arial"/>
        </w:rPr>
      </w:pPr>
      <w:r w:rsidRPr="00D80D8C">
        <w:rPr>
          <w:rFonts w:cs="Arial"/>
        </w:rPr>
        <w:t>A section to support and inform</w:t>
      </w:r>
      <w:r>
        <w:rPr>
          <w:rFonts w:cs="Arial"/>
        </w:rPr>
        <w:t xml:space="preserve"> the Staff Governance Committee; and</w:t>
      </w:r>
    </w:p>
    <w:p w14:paraId="719B969A" w14:textId="77777777" w:rsidR="00BD2379" w:rsidRPr="00D80D8C" w:rsidRDefault="00BD2379" w:rsidP="00BD2379">
      <w:pPr>
        <w:pStyle w:val="Footer"/>
        <w:numPr>
          <w:ilvl w:val="0"/>
          <w:numId w:val="14"/>
        </w:numPr>
        <w:tabs>
          <w:tab w:val="clear" w:pos="4320"/>
          <w:tab w:val="clear" w:pos="8640"/>
        </w:tabs>
        <w:ind w:right="183"/>
        <w:rPr>
          <w:rFonts w:cs="Arial"/>
        </w:rPr>
      </w:pPr>
      <w:r w:rsidRPr="00D80D8C">
        <w:rPr>
          <w:rFonts w:cs="Arial"/>
        </w:rPr>
        <w:t>A section to support and inform the Finance, Performance and Planning Committee.</w:t>
      </w:r>
    </w:p>
    <w:p w14:paraId="78ED8F5F" w14:textId="77777777" w:rsidR="00BD2379" w:rsidRDefault="00BD2379" w:rsidP="00BD2379">
      <w:pPr>
        <w:pStyle w:val="Footer"/>
        <w:ind w:right="183"/>
        <w:rPr>
          <w:rFonts w:cs="Arial"/>
        </w:rPr>
      </w:pPr>
    </w:p>
    <w:p w14:paraId="4CA23269" w14:textId="77777777" w:rsidR="00BD2379" w:rsidRDefault="00BD2379" w:rsidP="00BD2379">
      <w:pPr>
        <w:pStyle w:val="Footer"/>
        <w:ind w:right="183"/>
        <w:rPr>
          <w:rFonts w:cs="Arial"/>
        </w:rPr>
      </w:pPr>
      <w:r>
        <w:rPr>
          <w:rFonts w:cs="Arial"/>
        </w:rPr>
        <w:t>The attached IPR Board Summary Report highlights the key priority areas identified in the IPR and outlines an Executive Summary of the three governance sections; Clinical Governance, Staff Governance and Finance &amp; Performance.</w:t>
      </w:r>
    </w:p>
    <w:p w14:paraId="0574CC93" w14:textId="77777777" w:rsidR="00BD2379" w:rsidRDefault="00BD2379" w:rsidP="00BD2379">
      <w:pPr>
        <w:ind w:right="183"/>
        <w:rPr>
          <w:rFonts w:cs="Arial"/>
          <w:bCs/>
        </w:rPr>
      </w:pPr>
    </w:p>
    <w:p w14:paraId="6CD8E27D" w14:textId="77777777" w:rsidR="00BD2379" w:rsidRPr="006F5F1C" w:rsidRDefault="00BD2379" w:rsidP="00BD2379">
      <w:pPr>
        <w:ind w:right="183"/>
        <w:rPr>
          <w:rFonts w:cs="Arial"/>
          <w:bCs/>
        </w:rPr>
      </w:pPr>
      <w:r>
        <w:rPr>
          <w:rFonts w:cs="Arial"/>
          <w:bCs/>
        </w:rPr>
        <w:t>Further refinement o</w:t>
      </w:r>
      <w:r w:rsidRPr="00D064EB">
        <w:rPr>
          <w:rFonts w:cs="Arial"/>
          <w:bCs/>
        </w:rPr>
        <w:t xml:space="preserve">f the </w:t>
      </w:r>
      <w:r>
        <w:rPr>
          <w:rFonts w:cs="Arial"/>
          <w:bCs/>
        </w:rPr>
        <w:t>IPR</w:t>
      </w:r>
      <w:r w:rsidRPr="00D064EB">
        <w:rPr>
          <w:rFonts w:cs="Arial"/>
          <w:bCs/>
        </w:rPr>
        <w:t xml:space="preserve"> </w:t>
      </w:r>
      <w:r>
        <w:rPr>
          <w:rFonts w:cs="Arial"/>
          <w:bCs/>
        </w:rPr>
        <w:t xml:space="preserve">and Board Summary Report </w:t>
      </w:r>
      <w:r w:rsidRPr="00D064EB">
        <w:rPr>
          <w:rFonts w:cs="Arial"/>
          <w:bCs/>
        </w:rPr>
        <w:t xml:space="preserve">will be an iterative process based on feedback </w:t>
      </w:r>
      <w:r>
        <w:rPr>
          <w:rFonts w:cs="Arial"/>
          <w:bCs/>
        </w:rPr>
        <w:t>and usage by the Committees and the Board</w:t>
      </w:r>
      <w:r w:rsidRPr="00D064EB">
        <w:rPr>
          <w:rFonts w:cs="Arial"/>
          <w:bCs/>
        </w:rPr>
        <w:t>.</w:t>
      </w:r>
      <w:r>
        <w:rPr>
          <w:rFonts w:cs="Arial"/>
          <w:b/>
          <w:bCs/>
        </w:rPr>
        <w:tab/>
      </w:r>
    </w:p>
    <w:p w14:paraId="5775D35D" w14:textId="77777777" w:rsidR="00BD2379" w:rsidRDefault="00BD2379" w:rsidP="00BD2379">
      <w:pPr>
        <w:ind w:left="540" w:right="183"/>
        <w:rPr>
          <w:rFonts w:cs="Arial"/>
          <w:b/>
          <w:bCs/>
        </w:rPr>
      </w:pPr>
    </w:p>
    <w:p w14:paraId="5E3A7DA9" w14:textId="77777777" w:rsidR="00BD2379" w:rsidRPr="001175E5" w:rsidRDefault="00BD2379" w:rsidP="00BD2379">
      <w:pPr>
        <w:ind w:left="540" w:right="183"/>
        <w:rPr>
          <w:rFonts w:cs="Arial"/>
          <w:b/>
          <w:bCs/>
        </w:rPr>
      </w:pPr>
    </w:p>
    <w:p w14:paraId="04F3A54C" w14:textId="77777777" w:rsidR="00BD2379" w:rsidRPr="001175E5" w:rsidRDefault="00BD2379" w:rsidP="00BD2379">
      <w:pPr>
        <w:ind w:right="183"/>
        <w:rPr>
          <w:rFonts w:cs="Arial"/>
          <w:b/>
          <w:bCs/>
        </w:rPr>
      </w:pPr>
      <w:r>
        <w:rPr>
          <w:rFonts w:cs="Arial"/>
          <w:b/>
          <w:bCs/>
        </w:rPr>
        <w:t>4</w:t>
      </w:r>
      <w:r w:rsidRPr="001175E5">
        <w:rPr>
          <w:rFonts w:cs="Arial"/>
          <w:b/>
          <w:bCs/>
        </w:rPr>
        <w:tab/>
        <w:t>Conclusion</w:t>
      </w:r>
      <w:r>
        <w:rPr>
          <w:rFonts w:cs="Arial"/>
          <w:b/>
          <w:bCs/>
        </w:rPr>
        <w:t>/Recommendation</w:t>
      </w:r>
    </w:p>
    <w:p w14:paraId="1219137A" w14:textId="77777777" w:rsidR="00BD2379" w:rsidRDefault="00BD2379" w:rsidP="00BD2379">
      <w:pPr>
        <w:ind w:right="183"/>
        <w:rPr>
          <w:rFonts w:cs="Arial"/>
          <w:bCs/>
        </w:rPr>
      </w:pPr>
      <w:r>
        <w:rPr>
          <w:rFonts w:cs="Arial"/>
          <w:bCs/>
        </w:rPr>
        <w:t>Members are asked to discuss and consider the content of the IPR Board Summary Report.</w:t>
      </w:r>
    </w:p>
    <w:p w14:paraId="670CF201" w14:textId="77777777" w:rsidR="00BD2379" w:rsidRDefault="00BD2379" w:rsidP="00BD2379">
      <w:pPr>
        <w:ind w:right="183"/>
        <w:rPr>
          <w:rFonts w:cs="Arial"/>
          <w:bCs/>
        </w:rPr>
      </w:pPr>
    </w:p>
    <w:p w14:paraId="76AD0386" w14:textId="0990A027" w:rsidR="00BD2379" w:rsidRDefault="00BD2379" w:rsidP="00BD2379">
      <w:pPr>
        <w:ind w:right="183"/>
        <w:rPr>
          <w:rFonts w:cs="Arial"/>
          <w:bCs/>
        </w:rPr>
      </w:pPr>
    </w:p>
    <w:p w14:paraId="0C5CB53D" w14:textId="77777777" w:rsidR="00BD2379" w:rsidRDefault="00BD2379" w:rsidP="00BD2379">
      <w:pPr>
        <w:ind w:right="183"/>
        <w:rPr>
          <w:rFonts w:cs="Arial"/>
          <w:bCs/>
        </w:rPr>
      </w:pPr>
    </w:p>
    <w:p w14:paraId="666D32D9" w14:textId="77777777" w:rsidR="00BD2379" w:rsidRPr="00162874" w:rsidRDefault="00BD2379" w:rsidP="00BD2379">
      <w:pPr>
        <w:ind w:right="183"/>
        <w:rPr>
          <w:rFonts w:cs="Arial"/>
          <w:bCs/>
        </w:rPr>
      </w:pPr>
    </w:p>
    <w:p w14:paraId="0644A2C0" w14:textId="434983E9" w:rsidR="00BD2379" w:rsidRDefault="00BD2379" w:rsidP="00BD2379">
      <w:pPr>
        <w:pStyle w:val="BodyTextIndent"/>
        <w:spacing w:after="0"/>
        <w:ind w:left="0" w:right="183"/>
        <w:rPr>
          <w:rFonts w:cs="Arial"/>
          <w:b/>
          <w:bCs/>
        </w:rPr>
      </w:pPr>
      <w:r>
        <w:rPr>
          <w:rFonts w:cs="Arial"/>
          <w:b/>
          <w:bCs/>
        </w:rPr>
        <w:t>Jann Gardner</w:t>
      </w:r>
      <w:r>
        <w:rPr>
          <w:rFonts w:cs="Arial"/>
          <w:b/>
          <w:bCs/>
        </w:rPr>
        <w:tab/>
      </w:r>
      <w:r>
        <w:rPr>
          <w:rFonts w:cs="Arial"/>
          <w:b/>
          <w:bCs/>
        </w:rPr>
        <w:tab/>
      </w:r>
      <w:r>
        <w:rPr>
          <w:rFonts w:cs="Arial"/>
          <w:b/>
          <w:bCs/>
        </w:rPr>
        <w:tab/>
      </w:r>
      <w:r>
        <w:rPr>
          <w:rFonts w:cs="Arial"/>
          <w:b/>
          <w:bCs/>
        </w:rPr>
        <w:t>Colin Neil</w:t>
      </w:r>
      <w:r>
        <w:rPr>
          <w:rFonts w:cs="Arial"/>
          <w:b/>
          <w:bCs/>
        </w:rPr>
        <w:tab/>
      </w:r>
      <w:r>
        <w:rPr>
          <w:rFonts w:cs="Arial"/>
          <w:b/>
          <w:bCs/>
        </w:rPr>
        <w:tab/>
      </w:r>
      <w:r>
        <w:rPr>
          <w:rFonts w:cs="Arial"/>
          <w:b/>
          <w:bCs/>
        </w:rPr>
        <w:tab/>
        <w:t>June Rogers</w:t>
      </w:r>
    </w:p>
    <w:p w14:paraId="12245327" w14:textId="6582DABE" w:rsidR="00BD2379" w:rsidRDefault="00BD2379" w:rsidP="00BD2379">
      <w:pPr>
        <w:pStyle w:val="BodyTextIndent"/>
        <w:spacing w:after="0"/>
        <w:ind w:left="0" w:right="183"/>
        <w:rPr>
          <w:rFonts w:cs="Arial"/>
          <w:b/>
          <w:bCs/>
        </w:rPr>
      </w:pPr>
      <w:r>
        <w:rPr>
          <w:rFonts w:cs="Arial"/>
          <w:b/>
          <w:bCs/>
        </w:rPr>
        <w:t>Chief Executive</w:t>
      </w:r>
      <w:r>
        <w:rPr>
          <w:rFonts w:cs="Arial"/>
          <w:b/>
          <w:bCs/>
        </w:rPr>
        <w:tab/>
      </w:r>
      <w:r>
        <w:rPr>
          <w:rFonts w:cs="Arial"/>
          <w:b/>
          <w:bCs/>
        </w:rPr>
        <w:tab/>
        <w:t>Director of Finance</w:t>
      </w:r>
      <w:r>
        <w:rPr>
          <w:rFonts w:cs="Arial"/>
          <w:b/>
          <w:bCs/>
        </w:rPr>
        <w:tab/>
      </w:r>
      <w:r>
        <w:rPr>
          <w:rFonts w:cs="Arial"/>
          <w:b/>
          <w:bCs/>
        </w:rPr>
        <w:tab/>
      </w:r>
      <w:r>
        <w:rPr>
          <w:rFonts w:cs="Arial"/>
          <w:b/>
          <w:bCs/>
        </w:rPr>
        <w:t>Deputy Chief Executive</w:t>
      </w:r>
    </w:p>
    <w:p w14:paraId="1696C9E0" w14:textId="77777777" w:rsidR="00BD2379" w:rsidRDefault="00BD2379" w:rsidP="00BD2379">
      <w:pPr>
        <w:pStyle w:val="BodyTextIndent"/>
        <w:ind w:left="0" w:right="183"/>
        <w:rPr>
          <w:rFonts w:cs="Arial"/>
          <w:b/>
          <w:bCs/>
        </w:rPr>
      </w:pPr>
    </w:p>
    <w:p w14:paraId="31CB4D86" w14:textId="77777777" w:rsidR="00BD2379" w:rsidRDefault="00BD2379" w:rsidP="00BD2379">
      <w:pPr>
        <w:pStyle w:val="BodyTextIndent"/>
        <w:ind w:left="0" w:right="183"/>
        <w:rPr>
          <w:rFonts w:cs="Arial"/>
          <w:b/>
          <w:bCs/>
        </w:rPr>
      </w:pPr>
      <w:r>
        <w:rPr>
          <w:rFonts w:cs="Arial"/>
          <w:b/>
          <w:bCs/>
        </w:rPr>
        <w:t>19 September 2019</w:t>
      </w:r>
    </w:p>
    <w:p w14:paraId="33A235B3" w14:textId="77777777" w:rsidR="00647423" w:rsidRPr="00647423" w:rsidRDefault="00647423" w:rsidP="00647423">
      <w:pPr>
        <w:pStyle w:val="BodyTextIndent"/>
        <w:ind w:left="0" w:right="183"/>
        <w:rPr>
          <w:rFonts w:cs="Arial"/>
          <w:b/>
          <w:bCs/>
          <w:sz w:val="24"/>
          <w:szCs w:val="24"/>
        </w:rPr>
      </w:pPr>
    </w:p>
    <w:p w14:paraId="5FCC2079" w14:textId="77777777" w:rsidR="00647423" w:rsidRPr="00647423" w:rsidRDefault="00647423" w:rsidP="00647423">
      <w:pPr>
        <w:pStyle w:val="BodyTextIndent"/>
        <w:ind w:left="0" w:right="183"/>
        <w:rPr>
          <w:rFonts w:cs="Arial"/>
          <w:b/>
          <w:bCs/>
          <w:sz w:val="24"/>
          <w:szCs w:val="24"/>
        </w:rPr>
      </w:pPr>
    </w:p>
    <w:p w14:paraId="059005BE" w14:textId="2414679C" w:rsidR="00647423" w:rsidRDefault="00647423">
      <w:pPr>
        <w:spacing w:after="200" w:line="276" w:lineRule="auto"/>
        <w:rPr>
          <w:rFonts w:ascii="Stone Sans Semi Bold" w:hAnsi="Stone Sans Semi Bold"/>
          <w:b/>
          <w:color w:val="004380"/>
        </w:rPr>
      </w:pPr>
      <w:r>
        <w:rPr>
          <w:rFonts w:ascii="Stone Sans Semi Bold" w:hAnsi="Stone Sans Semi Bold"/>
          <w:b/>
          <w:color w:val="004380"/>
        </w:rPr>
        <w:br w:type="page"/>
      </w:r>
    </w:p>
    <w:p w14:paraId="3DD7A151" w14:textId="77777777" w:rsidR="00647423" w:rsidRDefault="00647423">
      <w:pPr>
        <w:spacing w:after="200" w:line="276" w:lineRule="auto"/>
        <w:rPr>
          <w:rFonts w:ascii="Stone Sans Semi Bold" w:hAnsi="Stone Sans Semi Bold"/>
          <w:b/>
          <w:color w:val="004380"/>
        </w:rPr>
      </w:pPr>
    </w:p>
    <w:p w14:paraId="3652D851" w14:textId="77777777" w:rsidR="00647423" w:rsidRDefault="00647423">
      <w:pPr>
        <w:spacing w:after="200" w:line="276" w:lineRule="auto"/>
        <w:rPr>
          <w:rFonts w:ascii="Stone Sans Semi Bold" w:hAnsi="Stone Sans Semi Bold"/>
          <w:b/>
          <w:color w:val="004380"/>
        </w:rPr>
      </w:pPr>
    </w:p>
    <w:p w14:paraId="742A0801" w14:textId="508125B2" w:rsidR="00E06B43" w:rsidRDefault="00BE711C" w:rsidP="00E06B43">
      <w:pPr>
        <w:jc w:val="center"/>
        <w:rPr>
          <w:rFonts w:ascii="Stone Sans Semi Bold" w:hAnsi="Stone Sans Semi Bold"/>
          <w:b/>
          <w:color w:val="004380"/>
        </w:rPr>
      </w:pPr>
      <w:r>
        <w:rPr>
          <w:rFonts w:ascii="Stone Sans Semi Bold" w:hAnsi="Stone Sans Semi Bold"/>
          <w:b/>
          <w:noProof/>
          <w:color w:val="004380"/>
          <w:lang w:eastAsia="en-GB"/>
        </w:rPr>
        <w:drawing>
          <wp:anchor distT="0" distB="0" distL="114300" distR="114300" simplePos="0" relativeHeight="252657152" behindDoc="1" locked="0" layoutInCell="1" allowOverlap="1" wp14:anchorId="73F72983" wp14:editId="6C008BE3">
            <wp:simplePos x="0" y="0"/>
            <wp:positionH relativeFrom="column">
              <wp:posOffset>4843145</wp:posOffset>
            </wp:positionH>
            <wp:positionV relativeFrom="paragraph">
              <wp:posOffset>-405765</wp:posOffset>
            </wp:positionV>
            <wp:extent cx="1386840" cy="1333500"/>
            <wp:effectExtent l="19050" t="0" r="3810" b="0"/>
            <wp:wrapTight wrapText="bothSides">
              <wp:wrapPolygon edited="0">
                <wp:start x="-297" y="0"/>
                <wp:lineTo x="-297" y="21291"/>
                <wp:lineTo x="21659" y="21291"/>
                <wp:lineTo x="21659" y="0"/>
                <wp:lineTo x="-297" y="0"/>
              </wp:wrapPolygon>
            </wp:wrapTight>
            <wp:docPr id="539" name="Picture 539" descr="Golden Jubile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Golden Jubilee Foundation"/>
                    <pic:cNvPicPr>
                      <a:picLocks noChangeAspect="1" noChangeArrowheads="1"/>
                    </pic:cNvPicPr>
                  </pic:nvPicPr>
                  <pic:blipFill>
                    <a:blip r:embed="rId10" cstate="print"/>
                    <a:srcRect l="15587" t="15985" r="15587" b="15985"/>
                    <a:stretch>
                      <a:fillRect/>
                    </a:stretch>
                  </pic:blipFill>
                  <pic:spPr bwMode="auto">
                    <a:xfrm>
                      <a:off x="0" y="0"/>
                      <a:ext cx="1386840" cy="1333500"/>
                    </a:xfrm>
                    <a:prstGeom prst="rect">
                      <a:avLst/>
                    </a:prstGeom>
                    <a:noFill/>
                    <a:ln w="9525">
                      <a:noFill/>
                      <a:miter lim="800000"/>
                      <a:headEnd/>
                      <a:tailEnd/>
                    </a:ln>
                  </pic:spPr>
                </pic:pic>
              </a:graphicData>
            </a:graphic>
          </wp:anchor>
        </w:drawing>
      </w:r>
    </w:p>
    <w:p w14:paraId="0B81F28C" w14:textId="77777777" w:rsidR="00E06B43" w:rsidRDefault="00E06B43" w:rsidP="00E06B43">
      <w:pPr>
        <w:jc w:val="center"/>
        <w:rPr>
          <w:rFonts w:ascii="Stone Sans Semi Bold" w:hAnsi="Stone Sans Semi Bold"/>
          <w:b/>
          <w:color w:val="004380"/>
        </w:rPr>
      </w:pPr>
    </w:p>
    <w:p w14:paraId="134292CB" w14:textId="77777777" w:rsidR="00E06B43" w:rsidRDefault="00E06B43" w:rsidP="00E06B43">
      <w:pPr>
        <w:jc w:val="center"/>
        <w:rPr>
          <w:rFonts w:ascii="Stone Sans Semi Bold" w:hAnsi="Stone Sans Semi Bold"/>
          <w:b/>
          <w:color w:val="004380"/>
        </w:rPr>
      </w:pPr>
    </w:p>
    <w:p w14:paraId="7C06367B" w14:textId="77777777" w:rsidR="00E06B43" w:rsidRDefault="00E06B43" w:rsidP="00E06B43">
      <w:pPr>
        <w:jc w:val="center"/>
        <w:rPr>
          <w:rFonts w:ascii="Stone Sans Semi Bold" w:hAnsi="Stone Sans Semi Bold"/>
          <w:b/>
          <w:color w:val="004380"/>
        </w:rPr>
      </w:pPr>
    </w:p>
    <w:p w14:paraId="15650A7E" w14:textId="77777777" w:rsidR="00E06B43" w:rsidRDefault="00E06B43" w:rsidP="00E06B43">
      <w:pPr>
        <w:jc w:val="center"/>
        <w:rPr>
          <w:rFonts w:ascii="Stone Sans Semi Bold" w:hAnsi="Stone Sans Semi Bold"/>
          <w:b/>
          <w:color w:val="004380"/>
        </w:rPr>
      </w:pPr>
    </w:p>
    <w:p w14:paraId="60503659" w14:textId="77777777" w:rsidR="00E06B43" w:rsidRDefault="00E06B43" w:rsidP="00E06B43">
      <w:pPr>
        <w:jc w:val="center"/>
        <w:rPr>
          <w:rFonts w:ascii="Stone Sans Semi Bold" w:hAnsi="Stone Sans Semi Bold"/>
          <w:b/>
          <w:color w:val="004380"/>
        </w:rPr>
      </w:pPr>
    </w:p>
    <w:p w14:paraId="0041E57A" w14:textId="77777777" w:rsidR="00E06B43" w:rsidRDefault="00E06B43" w:rsidP="00E06B43">
      <w:pPr>
        <w:jc w:val="center"/>
        <w:rPr>
          <w:rFonts w:ascii="Stone Sans Semi Bold" w:hAnsi="Stone Sans Semi Bold"/>
          <w:b/>
          <w:color w:val="004380"/>
        </w:rPr>
      </w:pPr>
    </w:p>
    <w:p w14:paraId="7B0D376F" w14:textId="77777777" w:rsidR="00E06B43" w:rsidRDefault="00E06B43" w:rsidP="00E06B43">
      <w:pPr>
        <w:jc w:val="center"/>
        <w:rPr>
          <w:rFonts w:ascii="Stone Sans Semi Bold" w:hAnsi="Stone Sans Semi Bold"/>
          <w:b/>
          <w:color w:val="004380"/>
        </w:rPr>
      </w:pPr>
    </w:p>
    <w:p w14:paraId="7B8EB2C7" w14:textId="77777777" w:rsidR="00647423" w:rsidRDefault="00647423" w:rsidP="00E06B43">
      <w:pPr>
        <w:jc w:val="center"/>
        <w:rPr>
          <w:rFonts w:cs="Arial"/>
          <w:b/>
          <w:color w:val="004380"/>
          <w:sz w:val="56"/>
          <w:szCs w:val="56"/>
        </w:rPr>
        <w:sectPr w:rsidR="00647423" w:rsidSect="00647423">
          <w:footerReference w:type="default" r:id="rId11"/>
          <w:pgSz w:w="11906" w:h="16838" w:code="9"/>
          <w:pgMar w:top="1134" w:right="1418" w:bottom="1134" w:left="1418" w:header="709" w:footer="709" w:gutter="0"/>
          <w:pgNumType w:start="1"/>
          <w:cols w:space="708"/>
          <w:titlePg/>
          <w:docGrid w:linePitch="360"/>
        </w:sectPr>
      </w:pPr>
    </w:p>
    <w:p w14:paraId="037DE762" w14:textId="77777777" w:rsidR="00647423" w:rsidRDefault="00647423" w:rsidP="00E06B43">
      <w:pPr>
        <w:jc w:val="center"/>
        <w:rPr>
          <w:rFonts w:cs="Arial"/>
          <w:b/>
          <w:color w:val="004380"/>
          <w:sz w:val="56"/>
          <w:szCs w:val="56"/>
        </w:rPr>
        <w:sectPr w:rsidR="00647423" w:rsidSect="00647423">
          <w:type w:val="continuous"/>
          <w:pgSz w:w="11906" w:h="16838" w:code="9"/>
          <w:pgMar w:top="1134" w:right="1418" w:bottom="1134" w:left="1418" w:header="709" w:footer="709" w:gutter="0"/>
          <w:cols w:space="708"/>
          <w:titlePg/>
          <w:docGrid w:linePitch="360"/>
        </w:sectPr>
      </w:pPr>
    </w:p>
    <w:p w14:paraId="102421C3" w14:textId="77777777" w:rsidR="00647423" w:rsidRDefault="00647423" w:rsidP="00E06B43">
      <w:pPr>
        <w:jc w:val="center"/>
        <w:rPr>
          <w:rFonts w:cs="Arial"/>
          <w:b/>
          <w:color w:val="004380"/>
          <w:sz w:val="56"/>
          <w:szCs w:val="56"/>
        </w:rPr>
        <w:sectPr w:rsidR="00647423" w:rsidSect="00647423">
          <w:type w:val="continuous"/>
          <w:pgSz w:w="11906" w:h="16838" w:code="9"/>
          <w:pgMar w:top="1134" w:right="1418" w:bottom="1134" w:left="1418" w:header="709" w:footer="709" w:gutter="0"/>
          <w:cols w:space="708"/>
          <w:titlePg/>
          <w:docGrid w:linePitch="360"/>
        </w:sectPr>
      </w:pPr>
    </w:p>
    <w:p w14:paraId="5B0EDF8C" w14:textId="20E51A06" w:rsidR="00E06B43" w:rsidRDefault="00E06B43" w:rsidP="00E06B43">
      <w:pPr>
        <w:jc w:val="center"/>
        <w:rPr>
          <w:rFonts w:cs="Arial"/>
          <w:b/>
          <w:color w:val="004380"/>
          <w:sz w:val="56"/>
          <w:szCs w:val="56"/>
        </w:rPr>
      </w:pPr>
      <w:r w:rsidRPr="00E92537">
        <w:rPr>
          <w:rFonts w:cs="Arial"/>
          <w:b/>
          <w:color w:val="004380"/>
          <w:sz w:val="56"/>
          <w:szCs w:val="56"/>
        </w:rPr>
        <w:t>Integrated</w:t>
      </w:r>
      <w:r w:rsidR="00F32C11" w:rsidRPr="00E92537">
        <w:rPr>
          <w:rFonts w:cs="Arial"/>
          <w:b/>
          <w:color w:val="004380"/>
          <w:sz w:val="56"/>
          <w:szCs w:val="56"/>
        </w:rPr>
        <w:t xml:space="preserve"> </w:t>
      </w:r>
      <w:r w:rsidRPr="00E92537">
        <w:rPr>
          <w:rFonts w:cs="Arial"/>
          <w:b/>
          <w:color w:val="004380"/>
          <w:sz w:val="56"/>
          <w:szCs w:val="56"/>
        </w:rPr>
        <w:t>Performance</w:t>
      </w:r>
      <w:r w:rsidR="00F32C11" w:rsidRPr="00E92537">
        <w:rPr>
          <w:rFonts w:cs="Arial"/>
          <w:b/>
          <w:color w:val="004380"/>
          <w:sz w:val="56"/>
          <w:szCs w:val="56"/>
        </w:rPr>
        <w:t xml:space="preserve"> </w:t>
      </w:r>
      <w:r w:rsidRPr="00E92537">
        <w:rPr>
          <w:rFonts w:cs="Arial"/>
          <w:b/>
          <w:color w:val="004380"/>
          <w:sz w:val="56"/>
          <w:szCs w:val="56"/>
        </w:rPr>
        <w:t>Report</w:t>
      </w:r>
    </w:p>
    <w:p w14:paraId="52A4EE94" w14:textId="19263C92" w:rsidR="00E82FF9" w:rsidRDefault="00E82FF9" w:rsidP="00E06B43">
      <w:pPr>
        <w:jc w:val="center"/>
        <w:rPr>
          <w:rFonts w:cs="Arial"/>
          <w:b/>
          <w:color w:val="004380"/>
          <w:sz w:val="56"/>
          <w:szCs w:val="56"/>
        </w:rPr>
      </w:pPr>
      <w:r>
        <w:rPr>
          <w:rFonts w:cs="Arial"/>
          <w:b/>
          <w:color w:val="004380"/>
          <w:sz w:val="56"/>
          <w:szCs w:val="56"/>
        </w:rPr>
        <w:t>Board Summary Report</w:t>
      </w:r>
    </w:p>
    <w:p w14:paraId="0B61C2B2" w14:textId="6972B4BA" w:rsidR="00E82FF9" w:rsidRDefault="00E82FF9" w:rsidP="00E06B43">
      <w:pPr>
        <w:jc w:val="center"/>
        <w:rPr>
          <w:rFonts w:cs="Arial"/>
          <w:b/>
          <w:color w:val="004380"/>
          <w:sz w:val="56"/>
          <w:szCs w:val="56"/>
        </w:rPr>
      </w:pPr>
    </w:p>
    <w:p w14:paraId="708C2D24" w14:textId="2197D544" w:rsidR="00E82FF9" w:rsidRPr="00F4224D" w:rsidRDefault="00E82FF9" w:rsidP="00E06B43">
      <w:pPr>
        <w:jc w:val="center"/>
        <w:rPr>
          <w:rFonts w:cs="Arial"/>
          <w:b/>
          <w:color w:val="004380"/>
          <w:sz w:val="40"/>
          <w:szCs w:val="40"/>
        </w:rPr>
      </w:pPr>
      <w:r w:rsidRPr="00F4224D">
        <w:rPr>
          <w:rFonts w:cs="Arial"/>
          <w:b/>
          <w:color w:val="004380"/>
          <w:sz w:val="40"/>
          <w:szCs w:val="40"/>
        </w:rPr>
        <w:t>(for NHS Golden Jubilee Foundation Board Meeting 26 Sept 2019)</w:t>
      </w:r>
    </w:p>
    <w:p w14:paraId="64A2D6A6" w14:textId="10160BBC" w:rsidR="00E06B43" w:rsidRDefault="00E06B43" w:rsidP="00E06B43">
      <w:pPr>
        <w:jc w:val="center"/>
        <w:rPr>
          <w:rFonts w:cs="Arial"/>
          <w:b/>
          <w:color w:val="004380"/>
          <w:sz w:val="56"/>
          <w:szCs w:val="56"/>
        </w:rPr>
      </w:pPr>
    </w:p>
    <w:p w14:paraId="38CCD33C" w14:textId="77777777" w:rsidR="00F4224D" w:rsidRPr="00E92537" w:rsidRDefault="00F4224D" w:rsidP="00E06B43">
      <w:pPr>
        <w:jc w:val="center"/>
        <w:rPr>
          <w:rFonts w:cs="Arial"/>
          <w:b/>
          <w:color w:val="004380"/>
          <w:sz w:val="56"/>
          <w:szCs w:val="56"/>
        </w:rPr>
      </w:pPr>
    </w:p>
    <w:p w14:paraId="56118182" w14:textId="77777777" w:rsidR="00F374AB" w:rsidRPr="00E92537" w:rsidRDefault="003427A0" w:rsidP="000B38A4">
      <w:pPr>
        <w:jc w:val="center"/>
        <w:rPr>
          <w:rFonts w:cs="Arial"/>
          <w:b/>
          <w:color w:val="004380"/>
          <w:sz w:val="56"/>
          <w:szCs w:val="56"/>
        </w:rPr>
      </w:pPr>
      <w:r w:rsidRPr="00E92537">
        <w:rPr>
          <w:rFonts w:cs="Arial"/>
          <w:b/>
          <w:color w:val="004380"/>
          <w:sz w:val="56"/>
          <w:szCs w:val="56"/>
        </w:rPr>
        <w:t>Produced</w:t>
      </w:r>
      <w:r w:rsidR="00F32C11" w:rsidRPr="00E92537">
        <w:rPr>
          <w:rFonts w:cs="Arial"/>
          <w:b/>
          <w:color w:val="004380"/>
          <w:sz w:val="56"/>
          <w:szCs w:val="56"/>
        </w:rPr>
        <w:t xml:space="preserve"> </w:t>
      </w:r>
      <w:r w:rsidRPr="00E92537">
        <w:rPr>
          <w:rFonts w:cs="Arial"/>
          <w:b/>
          <w:color w:val="004380"/>
          <w:sz w:val="56"/>
          <w:szCs w:val="56"/>
        </w:rPr>
        <w:t>in</w:t>
      </w:r>
      <w:r w:rsidR="00F32C11" w:rsidRPr="00E92537">
        <w:rPr>
          <w:rFonts w:cs="Arial"/>
          <w:b/>
          <w:color w:val="004380"/>
          <w:sz w:val="56"/>
          <w:szCs w:val="56"/>
        </w:rPr>
        <w:t xml:space="preserve"> </w:t>
      </w:r>
      <w:r w:rsidR="00B923C8" w:rsidRPr="00E92537">
        <w:rPr>
          <w:rFonts w:cs="Arial"/>
          <w:b/>
          <w:color w:val="004380"/>
          <w:sz w:val="56"/>
          <w:szCs w:val="56"/>
        </w:rPr>
        <w:t>August</w:t>
      </w:r>
      <w:r w:rsidR="00F32C11" w:rsidRPr="00E92537">
        <w:rPr>
          <w:rFonts w:cs="Arial"/>
          <w:b/>
          <w:color w:val="004380"/>
          <w:sz w:val="56"/>
          <w:szCs w:val="56"/>
        </w:rPr>
        <w:t xml:space="preserve"> </w:t>
      </w:r>
      <w:r w:rsidR="00BE711C" w:rsidRPr="00E92537">
        <w:rPr>
          <w:rFonts w:cs="Arial"/>
          <w:b/>
          <w:color w:val="004380"/>
          <w:sz w:val="56"/>
          <w:szCs w:val="56"/>
        </w:rPr>
        <w:t>2019</w:t>
      </w:r>
    </w:p>
    <w:p w14:paraId="78A244F2" w14:textId="77777777" w:rsidR="00234ABE" w:rsidRPr="00E92537" w:rsidRDefault="00234ABE" w:rsidP="00234ABE">
      <w:pPr>
        <w:rPr>
          <w:rFonts w:cs="Arial"/>
        </w:rPr>
      </w:pPr>
    </w:p>
    <w:p w14:paraId="043BE743" w14:textId="77777777" w:rsidR="00234ABE" w:rsidRPr="00E92537" w:rsidRDefault="00234ABE" w:rsidP="00234ABE">
      <w:pPr>
        <w:rPr>
          <w:rFonts w:cs="Arial"/>
        </w:rPr>
      </w:pPr>
    </w:p>
    <w:p w14:paraId="0923A5D2" w14:textId="77777777" w:rsidR="00234ABE" w:rsidRPr="00E92537" w:rsidRDefault="00234ABE" w:rsidP="00234ABE">
      <w:pPr>
        <w:rPr>
          <w:rFonts w:cs="Arial"/>
        </w:rPr>
      </w:pPr>
    </w:p>
    <w:p w14:paraId="379D30C6" w14:textId="77777777" w:rsidR="00234ABE" w:rsidRPr="00E92537" w:rsidRDefault="00234ABE" w:rsidP="00234ABE">
      <w:pPr>
        <w:rPr>
          <w:rFonts w:cs="Arial"/>
        </w:rPr>
      </w:pPr>
    </w:p>
    <w:p w14:paraId="4C194792" w14:textId="77777777" w:rsidR="00234ABE" w:rsidRPr="00E92537" w:rsidRDefault="00234ABE" w:rsidP="00234ABE">
      <w:pPr>
        <w:rPr>
          <w:rFonts w:cs="Arial"/>
          <w:sz w:val="40"/>
          <w:szCs w:val="40"/>
        </w:rPr>
      </w:pPr>
    </w:p>
    <w:p w14:paraId="00DB9192" w14:textId="77777777" w:rsidR="00234ABE" w:rsidRPr="00E92537" w:rsidRDefault="00234ABE" w:rsidP="00234ABE">
      <w:pPr>
        <w:rPr>
          <w:rFonts w:cs="Arial"/>
          <w:sz w:val="40"/>
          <w:szCs w:val="40"/>
        </w:rPr>
      </w:pPr>
    </w:p>
    <w:p w14:paraId="026C463D" w14:textId="77777777" w:rsidR="00234ABE" w:rsidRPr="00E92537" w:rsidRDefault="00234ABE" w:rsidP="00234ABE">
      <w:pPr>
        <w:rPr>
          <w:rFonts w:cs="Arial"/>
          <w:sz w:val="40"/>
          <w:szCs w:val="40"/>
        </w:rPr>
      </w:pPr>
    </w:p>
    <w:p w14:paraId="0ECF4E7B" w14:textId="77777777" w:rsidR="00713CB8" w:rsidRPr="00E92537" w:rsidRDefault="00713CB8" w:rsidP="00FE4D5B">
      <w:pPr>
        <w:jc w:val="center"/>
        <w:rPr>
          <w:rFonts w:cs="Arial"/>
          <w:sz w:val="24"/>
          <w:szCs w:val="24"/>
        </w:rPr>
      </w:pPr>
    </w:p>
    <w:p w14:paraId="42028C20" w14:textId="77777777" w:rsidR="00187E38" w:rsidRPr="00E92537" w:rsidRDefault="00187E38" w:rsidP="00187E38">
      <w:pPr>
        <w:spacing w:after="200" w:line="276" w:lineRule="auto"/>
        <w:jc w:val="both"/>
        <w:rPr>
          <w:rFonts w:cs="Arial"/>
          <w:b/>
          <w:sz w:val="24"/>
          <w:szCs w:val="24"/>
          <w:highlight w:val="yellow"/>
        </w:rPr>
      </w:pPr>
    </w:p>
    <w:p w14:paraId="76C68518" w14:textId="77777777" w:rsidR="008303CF" w:rsidRPr="00E92537" w:rsidRDefault="008303CF" w:rsidP="00187E38">
      <w:pPr>
        <w:spacing w:after="200" w:line="276" w:lineRule="auto"/>
        <w:jc w:val="both"/>
        <w:rPr>
          <w:rFonts w:cs="Arial"/>
          <w:b/>
          <w:sz w:val="24"/>
          <w:szCs w:val="24"/>
        </w:rPr>
      </w:pPr>
    </w:p>
    <w:p w14:paraId="4ED0F9BC" w14:textId="77777777" w:rsidR="008303CF" w:rsidRPr="00E92537" w:rsidRDefault="008303CF" w:rsidP="00187E38">
      <w:pPr>
        <w:spacing w:after="200" w:line="276" w:lineRule="auto"/>
        <w:jc w:val="both"/>
        <w:rPr>
          <w:rFonts w:cs="Arial"/>
          <w:b/>
          <w:sz w:val="24"/>
          <w:szCs w:val="24"/>
        </w:rPr>
      </w:pPr>
    </w:p>
    <w:p w14:paraId="420983C1" w14:textId="77777777" w:rsidR="008303CF" w:rsidRPr="00E92537" w:rsidRDefault="008303CF" w:rsidP="00187E38">
      <w:pPr>
        <w:spacing w:after="200" w:line="276" w:lineRule="auto"/>
        <w:jc w:val="both"/>
        <w:rPr>
          <w:rFonts w:cs="Arial"/>
          <w:b/>
          <w:sz w:val="24"/>
          <w:szCs w:val="24"/>
        </w:rPr>
      </w:pPr>
    </w:p>
    <w:p w14:paraId="02105085" w14:textId="77777777" w:rsidR="008303CF" w:rsidRPr="00E92537" w:rsidRDefault="008303CF" w:rsidP="00187E38">
      <w:pPr>
        <w:spacing w:after="200" w:line="276" w:lineRule="auto"/>
        <w:jc w:val="both"/>
        <w:rPr>
          <w:rFonts w:cs="Arial"/>
          <w:b/>
          <w:color w:val="1F497D" w:themeColor="text2"/>
          <w:sz w:val="24"/>
          <w:szCs w:val="24"/>
        </w:rPr>
      </w:pPr>
      <w:r w:rsidRPr="00E92537">
        <w:rPr>
          <w:rFonts w:cs="Arial"/>
          <w:b/>
          <w:color w:val="1F497D" w:themeColor="text2"/>
          <w:sz w:val="24"/>
          <w:szCs w:val="24"/>
        </w:rPr>
        <w:t>Performance and Planning Department</w:t>
      </w:r>
    </w:p>
    <w:p w14:paraId="25B1029B" w14:textId="48C09476" w:rsidR="00234ABE" w:rsidRPr="00E92537" w:rsidRDefault="00234ABE" w:rsidP="00647423">
      <w:pPr>
        <w:spacing w:after="200" w:line="276" w:lineRule="auto"/>
        <w:jc w:val="both"/>
        <w:rPr>
          <w:rFonts w:cs="Arial"/>
          <w:b/>
          <w:color w:val="17365D" w:themeColor="text2" w:themeShade="BF"/>
          <w:sz w:val="32"/>
          <w:szCs w:val="32"/>
        </w:rPr>
      </w:pPr>
      <w:r w:rsidRPr="00B0435F">
        <w:rPr>
          <w:rFonts w:cs="Arial"/>
          <w:b/>
          <w:color w:val="17365D" w:themeColor="text2" w:themeShade="BF"/>
          <w:sz w:val="32"/>
          <w:szCs w:val="32"/>
          <w:u w:val="single"/>
        </w:rPr>
        <w:lastRenderedPageBreak/>
        <w:t>Contents</w:t>
      </w:r>
      <w:r w:rsidRPr="00E92537">
        <w:rPr>
          <w:rFonts w:cs="Arial"/>
          <w:b/>
          <w:color w:val="17365D" w:themeColor="text2" w:themeShade="BF"/>
          <w:sz w:val="32"/>
          <w:szCs w:val="32"/>
        </w:rPr>
        <w:tab/>
      </w:r>
      <w:r w:rsidRPr="00E92537">
        <w:rPr>
          <w:rFonts w:cs="Arial"/>
          <w:b/>
          <w:color w:val="17365D" w:themeColor="text2" w:themeShade="BF"/>
          <w:sz w:val="32"/>
          <w:szCs w:val="32"/>
        </w:rPr>
        <w:tab/>
      </w:r>
    </w:p>
    <w:p w14:paraId="12BDC1B6" w14:textId="77777777" w:rsidR="0061763D" w:rsidRPr="00E92537" w:rsidRDefault="007B57F5" w:rsidP="00882B57">
      <w:pPr>
        <w:rPr>
          <w:rFonts w:cs="Arial"/>
          <w:b/>
          <w:color w:val="17365D" w:themeColor="text2" w:themeShade="BF"/>
          <w:sz w:val="32"/>
          <w:szCs w:val="32"/>
        </w:rPr>
      </w:pPr>
      <w:r>
        <w:rPr>
          <w:rFonts w:cs="Arial"/>
          <w:b/>
          <w:noProof/>
          <w:color w:val="17365D" w:themeColor="text2" w:themeShade="BF"/>
          <w:szCs w:val="22"/>
          <w:highlight w:val="yellow"/>
          <w:lang w:eastAsia="en-GB"/>
        </w:rPr>
        <w:pict w14:anchorId="6C0362B2">
          <v:rect id="_x0000_s1028" style="position:absolute;margin-left:-12.15pt;margin-top:17pt;width:508.5pt;height:131.25pt;z-index:251718144" fillcolor="#f2dbdb [661]">
            <v:textbox style="mso-next-textbox:#_x0000_s1028">
              <w:txbxContent>
                <w:p w14:paraId="7F1A74A9" w14:textId="77777777" w:rsidR="00F4224D" w:rsidRPr="00B0435F" w:rsidRDefault="00F4224D" w:rsidP="0061763D">
                  <w:pPr>
                    <w:tabs>
                      <w:tab w:val="left" w:pos="1418"/>
                      <w:tab w:val="left" w:pos="1701"/>
                      <w:tab w:val="left" w:pos="1985"/>
                      <w:tab w:val="left" w:pos="2268"/>
                      <w:tab w:val="right" w:pos="9072"/>
                    </w:tabs>
                    <w:rPr>
                      <w:b/>
                      <w:color w:val="17365D" w:themeColor="text2" w:themeShade="BF"/>
                      <w:sz w:val="24"/>
                      <w:szCs w:val="24"/>
                    </w:rPr>
                  </w:pPr>
                </w:p>
                <w:p w14:paraId="1B8C133C" w14:textId="77777777" w:rsidR="00B0435F" w:rsidRPr="00B0435F" w:rsidRDefault="00B0435F" w:rsidP="0061763D">
                  <w:pPr>
                    <w:tabs>
                      <w:tab w:val="left" w:pos="1418"/>
                      <w:tab w:val="left" w:pos="1701"/>
                      <w:tab w:val="left" w:pos="1985"/>
                      <w:tab w:val="left" w:pos="2268"/>
                      <w:tab w:val="right" w:pos="9072"/>
                    </w:tabs>
                    <w:rPr>
                      <w:b/>
                      <w:color w:val="17365D" w:themeColor="text2" w:themeShade="BF"/>
                      <w:sz w:val="24"/>
                      <w:szCs w:val="24"/>
                    </w:rPr>
                  </w:pPr>
                </w:p>
                <w:p w14:paraId="61D3E116" w14:textId="31F83EC0" w:rsidR="00F4224D" w:rsidRPr="00B0435F" w:rsidRDefault="00F4224D" w:rsidP="0061763D">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Introduction</w:t>
                  </w:r>
                  <w:r w:rsidR="00B0435F" w:rsidRPr="00B0435F">
                    <w:rPr>
                      <w:b/>
                      <w:color w:val="17365D" w:themeColor="text2" w:themeShade="BF"/>
                      <w:sz w:val="24"/>
                      <w:szCs w:val="24"/>
                    </w:rPr>
                    <w:tab/>
                  </w:r>
                  <w:r w:rsidR="00B0435F" w:rsidRPr="00B0435F">
                    <w:rPr>
                      <w:b/>
                      <w:color w:val="17365D" w:themeColor="text2" w:themeShade="BF"/>
                      <w:sz w:val="24"/>
                      <w:szCs w:val="24"/>
                    </w:rPr>
                    <w:tab/>
                  </w:r>
                  <w:r w:rsidR="00B0435F" w:rsidRPr="00B0435F">
                    <w:rPr>
                      <w:b/>
                      <w:color w:val="17365D" w:themeColor="text2" w:themeShade="BF"/>
                      <w:sz w:val="24"/>
                      <w:szCs w:val="24"/>
                    </w:rPr>
                    <w:tab/>
                  </w:r>
                  <w:r w:rsidR="00B0435F" w:rsidRPr="00B0435F">
                    <w:rPr>
                      <w:b/>
                      <w:color w:val="17365D" w:themeColor="text2" w:themeShade="BF"/>
                      <w:sz w:val="24"/>
                      <w:szCs w:val="24"/>
                    </w:rPr>
                    <w:tab/>
                  </w:r>
                  <w:r w:rsidR="00B0435F" w:rsidRPr="00B0435F">
                    <w:rPr>
                      <w:b/>
                      <w:color w:val="17365D" w:themeColor="text2" w:themeShade="BF"/>
                      <w:sz w:val="24"/>
                      <w:szCs w:val="24"/>
                    </w:rPr>
                    <w:tab/>
                    <w:t>3</w:t>
                  </w:r>
                </w:p>
                <w:p w14:paraId="58937CA8" w14:textId="77777777" w:rsidR="00F4224D" w:rsidRPr="00B0435F" w:rsidRDefault="00F4224D" w:rsidP="0061763D">
                  <w:pPr>
                    <w:tabs>
                      <w:tab w:val="left" w:pos="1418"/>
                      <w:tab w:val="left" w:pos="1701"/>
                      <w:tab w:val="left" w:pos="1985"/>
                      <w:tab w:val="left" w:pos="2268"/>
                      <w:tab w:val="right" w:pos="9072"/>
                    </w:tabs>
                    <w:rPr>
                      <w:b/>
                      <w:color w:val="17365D" w:themeColor="text2" w:themeShade="BF"/>
                      <w:sz w:val="24"/>
                      <w:szCs w:val="24"/>
                    </w:rPr>
                  </w:pPr>
                </w:p>
                <w:p w14:paraId="53466C34" w14:textId="753E39C7" w:rsidR="00F4224D" w:rsidRPr="00B0435F" w:rsidRDefault="00F4224D" w:rsidP="0061763D">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Performance Summary Dashboard</w:t>
                  </w:r>
                  <w:r w:rsidR="00B0435F" w:rsidRPr="00B0435F">
                    <w:rPr>
                      <w:b/>
                      <w:color w:val="17365D" w:themeColor="text2" w:themeShade="BF"/>
                      <w:sz w:val="24"/>
                      <w:szCs w:val="24"/>
                    </w:rPr>
                    <w:tab/>
                    <w:t>4</w:t>
                  </w:r>
                </w:p>
                <w:p w14:paraId="41FC4C65" w14:textId="77777777" w:rsidR="00F4224D" w:rsidRPr="00B0435F" w:rsidRDefault="00F4224D" w:rsidP="0061763D">
                  <w:pPr>
                    <w:tabs>
                      <w:tab w:val="left" w:pos="1418"/>
                      <w:tab w:val="left" w:pos="1701"/>
                      <w:tab w:val="left" w:pos="1985"/>
                      <w:tab w:val="left" w:pos="2268"/>
                      <w:tab w:val="right" w:pos="9072"/>
                    </w:tabs>
                    <w:rPr>
                      <w:b/>
                      <w:color w:val="17365D" w:themeColor="text2" w:themeShade="BF"/>
                      <w:sz w:val="24"/>
                      <w:szCs w:val="24"/>
                    </w:rPr>
                  </w:pPr>
                </w:p>
                <w:p w14:paraId="491E0D51" w14:textId="58F4F25A" w:rsidR="00394C7B" w:rsidRPr="00B0435F" w:rsidRDefault="00E82FF9" w:rsidP="0061763D">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Integrated Performance Report: Executive Summary</w:t>
                  </w:r>
                  <w:r w:rsidR="00B0435F" w:rsidRPr="00B0435F">
                    <w:rPr>
                      <w:b/>
                      <w:color w:val="17365D" w:themeColor="text2" w:themeShade="BF"/>
                      <w:sz w:val="24"/>
                      <w:szCs w:val="24"/>
                    </w:rPr>
                    <w:tab/>
                    <w:t>8</w:t>
                  </w:r>
                </w:p>
              </w:txbxContent>
            </v:textbox>
          </v:rect>
        </w:pict>
      </w:r>
    </w:p>
    <w:p w14:paraId="14BD2EF3" w14:textId="77777777" w:rsidR="0061763D" w:rsidRPr="00E92537" w:rsidRDefault="0061763D" w:rsidP="00882B57">
      <w:pPr>
        <w:rPr>
          <w:rFonts w:cs="Arial"/>
          <w:color w:val="17365D" w:themeColor="text2" w:themeShade="BF"/>
          <w:szCs w:val="22"/>
        </w:rPr>
      </w:pPr>
    </w:p>
    <w:p w14:paraId="38BECCDC" w14:textId="77777777" w:rsidR="0040438D" w:rsidRPr="00E92537" w:rsidRDefault="0040438D" w:rsidP="001B4295">
      <w:pPr>
        <w:tabs>
          <w:tab w:val="left" w:pos="1418"/>
          <w:tab w:val="left" w:pos="1701"/>
          <w:tab w:val="left" w:pos="1985"/>
          <w:tab w:val="left" w:pos="2268"/>
          <w:tab w:val="right" w:pos="9072"/>
        </w:tabs>
        <w:rPr>
          <w:rFonts w:cs="Arial"/>
          <w:color w:val="17365D" w:themeColor="text2" w:themeShade="BF"/>
          <w:szCs w:val="22"/>
        </w:rPr>
      </w:pPr>
    </w:p>
    <w:p w14:paraId="0AC5F0B0" w14:textId="77777777" w:rsidR="0061763D" w:rsidRPr="00E92537" w:rsidRDefault="0061763D" w:rsidP="001B4295">
      <w:pPr>
        <w:tabs>
          <w:tab w:val="left" w:pos="1418"/>
          <w:tab w:val="left" w:pos="1701"/>
          <w:tab w:val="left" w:pos="1985"/>
          <w:tab w:val="left" w:pos="2268"/>
          <w:tab w:val="right" w:pos="9072"/>
        </w:tabs>
        <w:rPr>
          <w:rFonts w:cs="Arial"/>
          <w:b/>
          <w:color w:val="17365D" w:themeColor="text2" w:themeShade="BF"/>
          <w:szCs w:val="22"/>
        </w:rPr>
      </w:pPr>
    </w:p>
    <w:p w14:paraId="66AF3E77" w14:textId="4D067B96" w:rsidR="00ED7630" w:rsidRPr="00E92537" w:rsidRDefault="00ED7630" w:rsidP="001B4295">
      <w:pPr>
        <w:tabs>
          <w:tab w:val="left" w:pos="1418"/>
          <w:tab w:val="left" w:pos="1701"/>
          <w:tab w:val="left" w:pos="1985"/>
          <w:tab w:val="left" w:pos="2268"/>
          <w:tab w:val="right" w:pos="9072"/>
        </w:tabs>
        <w:rPr>
          <w:rFonts w:cs="Arial"/>
          <w:b/>
          <w:color w:val="17365D" w:themeColor="text2" w:themeShade="BF"/>
          <w:szCs w:val="22"/>
        </w:rPr>
      </w:pPr>
    </w:p>
    <w:p w14:paraId="6BFC53B6" w14:textId="77777777" w:rsidR="001B3EC4" w:rsidRPr="00E92537" w:rsidRDefault="001B3EC4" w:rsidP="001B4295">
      <w:pPr>
        <w:tabs>
          <w:tab w:val="left" w:pos="1418"/>
          <w:tab w:val="left" w:pos="1701"/>
          <w:tab w:val="left" w:pos="1985"/>
          <w:tab w:val="left" w:pos="2268"/>
          <w:tab w:val="right" w:pos="9072"/>
        </w:tabs>
        <w:rPr>
          <w:rFonts w:cs="Arial"/>
          <w:color w:val="17365D" w:themeColor="text2" w:themeShade="BF"/>
          <w:szCs w:val="22"/>
        </w:rPr>
      </w:pPr>
    </w:p>
    <w:p w14:paraId="4A247051" w14:textId="77777777" w:rsidR="0061763D" w:rsidRPr="00E92537" w:rsidRDefault="0061763D" w:rsidP="001B4295">
      <w:pPr>
        <w:tabs>
          <w:tab w:val="left" w:pos="1418"/>
          <w:tab w:val="left" w:pos="1701"/>
          <w:tab w:val="left" w:pos="1985"/>
          <w:tab w:val="left" w:pos="2268"/>
          <w:tab w:val="right" w:pos="9072"/>
        </w:tabs>
        <w:rPr>
          <w:rFonts w:cs="Arial"/>
          <w:color w:val="17365D" w:themeColor="text2" w:themeShade="BF"/>
          <w:szCs w:val="22"/>
        </w:rPr>
      </w:pPr>
    </w:p>
    <w:p w14:paraId="72F5AF5C" w14:textId="77777777" w:rsidR="001B4295" w:rsidRPr="00E92537" w:rsidRDefault="001B3EC4" w:rsidP="00EE40D1">
      <w:pPr>
        <w:tabs>
          <w:tab w:val="left" w:pos="1418"/>
          <w:tab w:val="left" w:pos="1701"/>
          <w:tab w:val="left" w:pos="1985"/>
          <w:tab w:val="left" w:pos="2268"/>
          <w:tab w:val="right" w:pos="9072"/>
        </w:tabs>
        <w:rPr>
          <w:rFonts w:cs="Arial"/>
          <w:color w:val="17365D" w:themeColor="text2" w:themeShade="BF"/>
          <w:szCs w:val="22"/>
        </w:rPr>
      </w:pPr>
      <w:r w:rsidRPr="00E92537">
        <w:rPr>
          <w:rFonts w:cs="Arial"/>
          <w:color w:val="17365D" w:themeColor="text2" w:themeShade="BF"/>
          <w:szCs w:val="22"/>
        </w:rPr>
        <w:tab/>
      </w:r>
      <w:r w:rsidRPr="00E92537">
        <w:rPr>
          <w:rFonts w:cs="Arial"/>
          <w:color w:val="17365D" w:themeColor="text2" w:themeShade="BF"/>
          <w:szCs w:val="22"/>
        </w:rPr>
        <w:tab/>
      </w:r>
    </w:p>
    <w:p w14:paraId="565557C1" w14:textId="77777777" w:rsidR="0061763D" w:rsidRPr="00E92537" w:rsidRDefault="001B4295" w:rsidP="00EE40D1">
      <w:pPr>
        <w:tabs>
          <w:tab w:val="left" w:pos="1418"/>
          <w:tab w:val="left" w:pos="1701"/>
          <w:tab w:val="left" w:pos="1985"/>
          <w:tab w:val="left" w:pos="2268"/>
          <w:tab w:val="right" w:pos="9072"/>
        </w:tabs>
        <w:rPr>
          <w:rFonts w:cs="Arial"/>
          <w:color w:val="17365D" w:themeColor="text2" w:themeShade="BF"/>
          <w:szCs w:val="22"/>
        </w:rPr>
      </w:pPr>
      <w:r w:rsidRPr="00E92537">
        <w:rPr>
          <w:rFonts w:cs="Arial"/>
          <w:color w:val="17365D" w:themeColor="text2" w:themeShade="BF"/>
          <w:szCs w:val="22"/>
        </w:rPr>
        <w:tab/>
      </w:r>
      <w:r w:rsidRPr="00E92537">
        <w:rPr>
          <w:rFonts w:cs="Arial"/>
          <w:color w:val="17365D" w:themeColor="text2" w:themeShade="BF"/>
          <w:szCs w:val="22"/>
        </w:rPr>
        <w:tab/>
      </w:r>
      <w:r w:rsidRPr="00E92537">
        <w:rPr>
          <w:rFonts w:cs="Arial"/>
          <w:color w:val="17365D" w:themeColor="text2" w:themeShade="BF"/>
          <w:szCs w:val="22"/>
        </w:rPr>
        <w:tab/>
      </w:r>
      <w:r w:rsidRPr="00E92537">
        <w:rPr>
          <w:rFonts w:cs="Arial"/>
          <w:color w:val="17365D" w:themeColor="text2" w:themeShade="BF"/>
          <w:szCs w:val="22"/>
        </w:rPr>
        <w:tab/>
      </w:r>
    </w:p>
    <w:p w14:paraId="2314605B" w14:textId="77777777" w:rsidR="009E0B90" w:rsidRPr="00E92537" w:rsidRDefault="009E0B90" w:rsidP="001B4295">
      <w:pPr>
        <w:tabs>
          <w:tab w:val="left" w:pos="1418"/>
          <w:tab w:val="left" w:pos="1701"/>
          <w:tab w:val="left" w:pos="1985"/>
          <w:tab w:val="left" w:pos="2268"/>
          <w:tab w:val="right" w:pos="9072"/>
        </w:tabs>
        <w:rPr>
          <w:rFonts w:cs="Arial"/>
          <w:color w:val="17365D" w:themeColor="text2" w:themeShade="BF"/>
          <w:szCs w:val="22"/>
        </w:rPr>
      </w:pPr>
    </w:p>
    <w:p w14:paraId="5FC14358" w14:textId="2B942E7B" w:rsidR="005B2FA1" w:rsidRPr="00E92537" w:rsidRDefault="005B2FA1" w:rsidP="001B4295">
      <w:pPr>
        <w:tabs>
          <w:tab w:val="left" w:pos="1418"/>
          <w:tab w:val="left" w:pos="1701"/>
          <w:tab w:val="left" w:pos="1985"/>
          <w:tab w:val="left" w:pos="2268"/>
          <w:tab w:val="right" w:pos="9072"/>
        </w:tabs>
        <w:rPr>
          <w:rFonts w:cs="Arial"/>
          <w:color w:val="17365D" w:themeColor="text2" w:themeShade="BF"/>
          <w:szCs w:val="22"/>
        </w:rPr>
      </w:pPr>
    </w:p>
    <w:p w14:paraId="14418154" w14:textId="77777777" w:rsidR="005B2FA1" w:rsidRPr="00E92537" w:rsidRDefault="005B2FA1" w:rsidP="001B4295">
      <w:pPr>
        <w:tabs>
          <w:tab w:val="left" w:pos="1418"/>
          <w:tab w:val="left" w:pos="1701"/>
          <w:tab w:val="left" w:pos="1985"/>
          <w:tab w:val="left" w:pos="2268"/>
          <w:tab w:val="right" w:pos="9072"/>
        </w:tabs>
        <w:rPr>
          <w:rFonts w:cs="Arial"/>
          <w:color w:val="17365D" w:themeColor="text2" w:themeShade="BF"/>
          <w:szCs w:val="22"/>
        </w:rPr>
      </w:pPr>
    </w:p>
    <w:p w14:paraId="300B3EBF" w14:textId="77777777" w:rsidR="005B2FA1" w:rsidRPr="00E92537" w:rsidRDefault="005B2FA1" w:rsidP="001B4295">
      <w:pPr>
        <w:tabs>
          <w:tab w:val="left" w:pos="1418"/>
          <w:tab w:val="left" w:pos="1701"/>
          <w:tab w:val="left" w:pos="1985"/>
          <w:tab w:val="left" w:pos="2268"/>
          <w:tab w:val="right" w:pos="9072"/>
        </w:tabs>
        <w:rPr>
          <w:rFonts w:cs="Arial"/>
          <w:color w:val="17365D" w:themeColor="text2" w:themeShade="BF"/>
          <w:szCs w:val="22"/>
        </w:rPr>
      </w:pPr>
    </w:p>
    <w:p w14:paraId="3A72E6F3" w14:textId="77777777" w:rsidR="005B2FA1" w:rsidRPr="00E92537" w:rsidRDefault="005B2FA1" w:rsidP="001B4295">
      <w:pPr>
        <w:tabs>
          <w:tab w:val="left" w:pos="1418"/>
          <w:tab w:val="left" w:pos="1701"/>
          <w:tab w:val="left" w:pos="1985"/>
          <w:tab w:val="left" w:pos="2268"/>
          <w:tab w:val="right" w:pos="9072"/>
        </w:tabs>
        <w:rPr>
          <w:rFonts w:cs="Arial"/>
          <w:color w:val="17365D" w:themeColor="text2" w:themeShade="BF"/>
          <w:szCs w:val="22"/>
        </w:rPr>
      </w:pPr>
    </w:p>
    <w:p w14:paraId="6512CFA4" w14:textId="259FF873" w:rsidR="0023158A" w:rsidRPr="00E92537" w:rsidRDefault="0023158A" w:rsidP="00882B57">
      <w:pPr>
        <w:rPr>
          <w:rFonts w:cs="Arial"/>
          <w:b/>
        </w:rPr>
      </w:pPr>
    </w:p>
    <w:p w14:paraId="1DB4BED7" w14:textId="77777777" w:rsidR="0023158A" w:rsidRPr="00E92537" w:rsidRDefault="0023158A" w:rsidP="00882B57">
      <w:pPr>
        <w:rPr>
          <w:rFonts w:cs="Arial"/>
          <w:b/>
        </w:rPr>
      </w:pPr>
    </w:p>
    <w:p w14:paraId="3A0A060A" w14:textId="77777777" w:rsidR="0023158A" w:rsidRPr="00E92537" w:rsidRDefault="0023158A" w:rsidP="00882B57">
      <w:pPr>
        <w:rPr>
          <w:rFonts w:cs="Arial"/>
          <w:b/>
        </w:rPr>
      </w:pPr>
    </w:p>
    <w:p w14:paraId="2D966F7F" w14:textId="77777777" w:rsidR="0023158A" w:rsidRPr="00E92537" w:rsidRDefault="0023158A" w:rsidP="00882B57">
      <w:pPr>
        <w:rPr>
          <w:rFonts w:cs="Arial"/>
          <w:b/>
        </w:rPr>
      </w:pPr>
    </w:p>
    <w:p w14:paraId="7F402802" w14:textId="77777777" w:rsidR="0023158A" w:rsidRPr="00E92537" w:rsidRDefault="0023158A" w:rsidP="00882B57">
      <w:pPr>
        <w:rPr>
          <w:rFonts w:cs="Arial"/>
          <w:b/>
        </w:rPr>
      </w:pPr>
    </w:p>
    <w:p w14:paraId="5B4BE2DD" w14:textId="77777777" w:rsidR="0023158A" w:rsidRPr="00E92537" w:rsidRDefault="0023158A" w:rsidP="00882B57">
      <w:pPr>
        <w:rPr>
          <w:rFonts w:cs="Arial"/>
          <w:b/>
        </w:rPr>
      </w:pPr>
    </w:p>
    <w:p w14:paraId="094B2828" w14:textId="77777777" w:rsidR="0023158A" w:rsidRPr="00E92537" w:rsidRDefault="0023158A" w:rsidP="00882B57">
      <w:pPr>
        <w:rPr>
          <w:rFonts w:cs="Arial"/>
          <w:b/>
        </w:rPr>
      </w:pPr>
    </w:p>
    <w:p w14:paraId="23504147" w14:textId="77777777" w:rsidR="00FA6850" w:rsidRPr="00E92537" w:rsidRDefault="00A2447A" w:rsidP="00882B57">
      <w:pPr>
        <w:rPr>
          <w:rFonts w:eastAsiaTheme="minorEastAsia" w:cs="Arial"/>
          <w:b/>
        </w:rPr>
      </w:pPr>
      <w:r w:rsidRPr="00E92537">
        <w:rPr>
          <w:rFonts w:cs="Arial"/>
          <w:b/>
        </w:rPr>
        <w:fldChar w:fldCharType="begin"/>
      </w:r>
      <w:r w:rsidR="00234ABE" w:rsidRPr="00E92537">
        <w:rPr>
          <w:rFonts w:cs="Arial"/>
          <w:b/>
        </w:rPr>
        <w:instrText xml:space="preserve"> TOC \o "1-3" \h \z \u </w:instrText>
      </w:r>
      <w:r w:rsidRPr="00E92537">
        <w:rPr>
          <w:rFonts w:cs="Arial"/>
          <w:b/>
        </w:rPr>
        <w:fldChar w:fldCharType="separate"/>
      </w:r>
    </w:p>
    <w:p w14:paraId="58E503DA" w14:textId="040DDEB4" w:rsidR="006D65C2" w:rsidRPr="00E92537" w:rsidRDefault="00A2447A" w:rsidP="002E330D">
      <w:pPr>
        <w:rPr>
          <w:rFonts w:cs="Arial"/>
        </w:rPr>
      </w:pPr>
      <w:r w:rsidRPr="00E92537">
        <w:rPr>
          <w:rFonts w:cs="Arial"/>
          <w:b/>
        </w:rPr>
        <w:fldChar w:fldCharType="end"/>
      </w:r>
      <w:r w:rsidR="006D65C2" w:rsidRPr="00E92537">
        <w:rPr>
          <w:rFonts w:cs="Arial"/>
          <w:color w:val="365F91" w:themeColor="accent1" w:themeShade="BF"/>
          <w:szCs w:val="22"/>
        </w:rPr>
        <w:br w:type="page"/>
      </w:r>
    </w:p>
    <w:p w14:paraId="64D1B1D6" w14:textId="2CB4E1EC" w:rsidR="00234ABE" w:rsidRPr="00F60C01" w:rsidRDefault="007B57F5" w:rsidP="00F60C01">
      <w:pPr>
        <w:pStyle w:val="Heading1"/>
      </w:pPr>
      <w:r>
        <w:rPr>
          <w:szCs w:val="22"/>
        </w:rPr>
        <w:lastRenderedPageBreak/>
        <w:pict w14:anchorId="74B29720">
          <v:rect id="_x0000_s1034" style="position:absolute;margin-left:547.5pt;margin-top:-6pt;width:39.1pt;height:853.55pt;flip:y;z-index:251756032;mso-wrap-distance-left:36pt;mso-wrap-distance-top:7.2pt;mso-wrap-distance-right:7.2pt;mso-wrap-distance-bottom:7.2pt;mso-position-horizontal-relative:page;mso-position-vertical-relative:page"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034" inset="1mm,1in,1mm,1in">
              <w:txbxContent>
                <w:p w14:paraId="4A072327" w14:textId="77777777" w:rsidR="00394C7B" w:rsidRPr="0058159D" w:rsidRDefault="00394C7B" w:rsidP="009C157D">
                  <w:pPr>
                    <w:spacing w:before="240"/>
                    <w:rPr>
                      <w:b/>
                      <w:color w:val="17365D" w:themeColor="text2" w:themeShade="BF"/>
                      <w:szCs w:val="24"/>
                    </w:rPr>
                  </w:pPr>
                  <w:r>
                    <w:rPr>
                      <w:b/>
                      <w:color w:val="17365D" w:themeColor="text2" w:themeShade="BF"/>
                      <w:szCs w:val="24"/>
                    </w:rPr>
                    <w:t>Overview and Executive Summary</w:t>
                  </w:r>
                </w:p>
              </w:txbxContent>
            </v:textbox>
            <w10:wrap type="square" anchorx="page" anchory="page"/>
          </v:rect>
        </w:pict>
      </w:r>
      <w:r w:rsidR="00ED7630" w:rsidRPr="00F60C01">
        <w:t>Introduction</w:t>
      </w:r>
      <w:r w:rsidR="002668C8" w:rsidRPr="00F60C01">
        <w:tab/>
      </w:r>
    </w:p>
    <w:p w14:paraId="7D20E740" w14:textId="77777777" w:rsidR="00B0435F" w:rsidRDefault="00B0435F" w:rsidP="009F2724">
      <w:pPr>
        <w:spacing w:after="180"/>
        <w:jc w:val="both"/>
        <w:rPr>
          <w:rFonts w:cs="Arial"/>
          <w:szCs w:val="22"/>
        </w:rPr>
      </w:pPr>
    </w:p>
    <w:p w14:paraId="305C1320" w14:textId="54D7FD65" w:rsidR="009F2724" w:rsidRPr="00E92537" w:rsidRDefault="009F2724" w:rsidP="009F2724">
      <w:pPr>
        <w:spacing w:after="180"/>
        <w:jc w:val="both"/>
        <w:rPr>
          <w:rFonts w:cs="Arial"/>
          <w:szCs w:val="22"/>
        </w:rPr>
      </w:pPr>
      <w:r w:rsidRPr="00E92537">
        <w:rPr>
          <w:rFonts w:cs="Arial"/>
          <w:szCs w:val="22"/>
        </w:rPr>
        <w:t>The</w:t>
      </w:r>
      <w:r w:rsidR="00F32C11" w:rsidRPr="00E92537">
        <w:rPr>
          <w:rFonts w:cs="Arial"/>
          <w:szCs w:val="22"/>
        </w:rPr>
        <w:t xml:space="preserve"> </w:t>
      </w:r>
      <w:r w:rsidRPr="00E92537">
        <w:rPr>
          <w:rFonts w:cs="Arial"/>
          <w:szCs w:val="22"/>
        </w:rPr>
        <w:t>purpose</w:t>
      </w:r>
      <w:r w:rsidR="00F32C11" w:rsidRPr="00E92537">
        <w:rPr>
          <w:rFonts w:cs="Arial"/>
          <w:szCs w:val="22"/>
        </w:rPr>
        <w:t xml:space="preserve"> </w:t>
      </w:r>
      <w:r w:rsidRPr="00E92537">
        <w:rPr>
          <w:rFonts w:cs="Arial"/>
          <w:szCs w:val="22"/>
        </w:rPr>
        <w:t>of</w:t>
      </w:r>
      <w:r w:rsidR="00F32C11" w:rsidRPr="00E92537">
        <w:rPr>
          <w:rFonts w:cs="Arial"/>
          <w:szCs w:val="22"/>
        </w:rPr>
        <w:t xml:space="preserve"> </w:t>
      </w:r>
      <w:r w:rsidRPr="00E92537">
        <w:rPr>
          <w:rFonts w:cs="Arial"/>
          <w:szCs w:val="22"/>
        </w:rPr>
        <w:t>the</w:t>
      </w:r>
      <w:r w:rsidR="00F32C11" w:rsidRPr="00E92537">
        <w:rPr>
          <w:rFonts w:cs="Arial"/>
          <w:szCs w:val="22"/>
        </w:rPr>
        <w:t xml:space="preserve"> </w:t>
      </w:r>
      <w:r w:rsidRPr="00E92537">
        <w:rPr>
          <w:rFonts w:cs="Arial"/>
          <w:szCs w:val="22"/>
        </w:rPr>
        <w:t>Integrated</w:t>
      </w:r>
      <w:r w:rsidR="00F32C11" w:rsidRPr="00E92537">
        <w:rPr>
          <w:rFonts w:cs="Arial"/>
          <w:szCs w:val="22"/>
        </w:rPr>
        <w:t xml:space="preserve"> </w:t>
      </w:r>
      <w:r w:rsidRPr="00E92537">
        <w:rPr>
          <w:rFonts w:cs="Arial"/>
          <w:szCs w:val="22"/>
        </w:rPr>
        <w:t>Performance</w:t>
      </w:r>
      <w:r w:rsidR="00F32C11" w:rsidRPr="00E92537">
        <w:rPr>
          <w:rFonts w:cs="Arial"/>
          <w:szCs w:val="22"/>
        </w:rPr>
        <w:t xml:space="preserve"> </w:t>
      </w:r>
      <w:r w:rsidRPr="00E92537">
        <w:rPr>
          <w:rFonts w:cs="Arial"/>
          <w:szCs w:val="22"/>
        </w:rPr>
        <w:t>Report</w:t>
      </w:r>
      <w:r w:rsidR="00F32C11" w:rsidRPr="00E92537">
        <w:rPr>
          <w:rFonts w:cs="Arial"/>
          <w:szCs w:val="22"/>
        </w:rPr>
        <w:t xml:space="preserve"> </w:t>
      </w:r>
      <w:r w:rsidRPr="00E92537">
        <w:rPr>
          <w:rFonts w:cs="Arial"/>
          <w:szCs w:val="22"/>
        </w:rPr>
        <w:t>(IPR)</w:t>
      </w:r>
      <w:r w:rsidR="00F32C11" w:rsidRPr="00E92537">
        <w:rPr>
          <w:rFonts w:cs="Arial"/>
          <w:szCs w:val="22"/>
        </w:rPr>
        <w:t xml:space="preserve"> </w:t>
      </w:r>
      <w:r w:rsidRPr="00E92537">
        <w:rPr>
          <w:rFonts w:cs="Arial"/>
          <w:szCs w:val="22"/>
        </w:rPr>
        <w:t>is</w:t>
      </w:r>
      <w:r w:rsidR="00F32C11" w:rsidRPr="00E92537">
        <w:rPr>
          <w:rFonts w:cs="Arial"/>
          <w:szCs w:val="22"/>
        </w:rPr>
        <w:t xml:space="preserve"> </w:t>
      </w:r>
      <w:r w:rsidRPr="00E92537">
        <w:rPr>
          <w:rFonts w:cs="Arial"/>
          <w:szCs w:val="22"/>
        </w:rPr>
        <w:t>to</w:t>
      </w:r>
      <w:r w:rsidR="00F32C11" w:rsidRPr="00E92537">
        <w:rPr>
          <w:rFonts w:cs="Arial"/>
          <w:szCs w:val="22"/>
        </w:rPr>
        <w:t xml:space="preserve"> </w:t>
      </w:r>
      <w:r w:rsidRPr="00E92537">
        <w:rPr>
          <w:rFonts w:cs="Arial"/>
          <w:szCs w:val="22"/>
        </w:rPr>
        <w:t>provide</w:t>
      </w:r>
      <w:r w:rsidR="00F32C11" w:rsidRPr="00E92537">
        <w:rPr>
          <w:rFonts w:cs="Arial"/>
          <w:szCs w:val="22"/>
        </w:rPr>
        <w:t xml:space="preserve"> </w:t>
      </w:r>
      <w:r w:rsidRPr="00E92537">
        <w:rPr>
          <w:rFonts w:cs="Arial"/>
          <w:szCs w:val="22"/>
        </w:rPr>
        <w:t>assurance</w:t>
      </w:r>
      <w:r w:rsidR="00F32C11" w:rsidRPr="00E92537">
        <w:rPr>
          <w:rFonts w:cs="Arial"/>
          <w:szCs w:val="22"/>
        </w:rPr>
        <w:t xml:space="preserve"> </w:t>
      </w:r>
      <w:r w:rsidRPr="00E92537">
        <w:rPr>
          <w:rFonts w:cs="Arial"/>
          <w:szCs w:val="22"/>
        </w:rPr>
        <w:t>on</w:t>
      </w:r>
      <w:r w:rsidR="00F32C11" w:rsidRPr="00E92537">
        <w:rPr>
          <w:rFonts w:cs="Arial"/>
          <w:szCs w:val="22"/>
        </w:rPr>
        <w:t xml:space="preserve"> </w:t>
      </w:r>
      <w:r w:rsidRPr="00E92537">
        <w:rPr>
          <w:rFonts w:cs="Arial"/>
          <w:szCs w:val="22"/>
        </w:rPr>
        <w:t>NHS</w:t>
      </w:r>
      <w:r w:rsidR="00F32C11" w:rsidRPr="00E92537">
        <w:rPr>
          <w:rFonts w:cs="Arial"/>
          <w:szCs w:val="22"/>
        </w:rPr>
        <w:t xml:space="preserve"> </w:t>
      </w:r>
      <w:r w:rsidR="005B2FA1" w:rsidRPr="00E92537">
        <w:rPr>
          <w:rFonts w:cs="Arial"/>
          <w:szCs w:val="22"/>
        </w:rPr>
        <w:t>Golden Jubilee</w:t>
      </w:r>
      <w:r w:rsidR="008303CF" w:rsidRPr="00E92537">
        <w:rPr>
          <w:rFonts w:cs="Arial"/>
          <w:szCs w:val="22"/>
        </w:rPr>
        <w:t>’s</w:t>
      </w:r>
      <w:r w:rsidR="00F32C11" w:rsidRPr="00E92537">
        <w:rPr>
          <w:rFonts w:cs="Arial"/>
          <w:szCs w:val="22"/>
        </w:rPr>
        <w:t xml:space="preserve"> </w:t>
      </w:r>
      <w:r w:rsidRPr="00E92537">
        <w:rPr>
          <w:rFonts w:cs="Arial"/>
          <w:szCs w:val="22"/>
        </w:rPr>
        <w:t>pe</w:t>
      </w:r>
      <w:r w:rsidR="001C71B6" w:rsidRPr="00E92537">
        <w:rPr>
          <w:rFonts w:cs="Arial"/>
          <w:szCs w:val="22"/>
        </w:rPr>
        <w:t>rformance</w:t>
      </w:r>
      <w:r w:rsidR="00F32C11" w:rsidRPr="00E92537">
        <w:rPr>
          <w:rFonts w:cs="Arial"/>
          <w:szCs w:val="22"/>
        </w:rPr>
        <w:t xml:space="preserve"> </w:t>
      </w:r>
      <w:r w:rsidR="001C71B6" w:rsidRPr="00E92537">
        <w:rPr>
          <w:rFonts w:cs="Arial"/>
          <w:szCs w:val="22"/>
        </w:rPr>
        <w:t>relating</w:t>
      </w:r>
      <w:r w:rsidR="00F32C11" w:rsidRPr="00E92537">
        <w:rPr>
          <w:rFonts w:cs="Arial"/>
          <w:szCs w:val="22"/>
        </w:rPr>
        <w:t xml:space="preserve"> </w:t>
      </w:r>
      <w:r w:rsidR="001C71B6" w:rsidRPr="00E92537">
        <w:rPr>
          <w:rFonts w:cs="Arial"/>
          <w:szCs w:val="22"/>
        </w:rPr>
        <w:t>to</w:t>
      </w:r>
      <w:r w:rsidR="00F32C11" w:rsidRPr="00E92537">
        <w:rPr>
          <w:rFonts w:cs="Arial"/>
          <w:szCs w:val="22"/>
        </w:rPr>
        <w:t xml:space="preserve"> </w:t>
      </w:r>
      <w:r w:rsidR="001C71B6" w:rsidRPr="00E92537">
        <w:rPr>
          <w:rFonts w:cs="Arial"/>
          <w:szCs w:val="22"/>
        </w:rPr>
        <w:t>National</w:t>
      </w:r>
      <w:r w:rsidR="00F32C11" w:rsidRPr="00E92537">
        <w:rPr>
          <w:rFonts w:cs="Arial"/>
          <w:szCs w:val="22"/>
        </w:rPr>
        <w:t xml:space="preserve"> </w:t>
      </w:r>
      <w:r w:rsidR="009E7A8B" w:rsidRPr="00E92537">
        <w:rPr>
          <w:rFonts w:cs="Arial"/>
          <w:szCs w:val="22"/>
        </w:rPr>
        <w:t>Standard</w:t>
      </w:r>
      <w:r w:rsidRPr="00E92537">
        <w:rPr>
          <w:rFonts w:cs="Arial"/>
          <w:szCs w:val="22"/>
        </w:rPr>
        <w:t>s,</w:t>
      </w:r>
      <w:r w:rsidR="00F32C11" w:rsidRPr="00E92537">
        <w:rPr>
          <w:rFonts w:cs="Arial"/>
          <w:szCs w:val="22"/>
        </w:rPr>
        <w:t xml:space="preserve"> </w:t>
      </w:r>
      <w:r w:rsidRPr="00E92537">
        <w:rPr>
          <w:rFonts w:cs="Arial"/>
          <w:szCs w:val="22"/>
        </w:rPr>
        <w:t>local</w:t>
      </w:r>
      <w:r w:rsidR="00F32C11" w:rsidRPr="00E92537">
        <w:rPr>
          <w:rFonts w:cs="Arial"/>
          <w:szCs w:val="22"/>
        </w:rPr>
        <w:t xml:space="preserve"> </w:t>
      </w:r>
      <w:r w:rsidRPr="00E92537">
        <w:rPr>
          <w:rFonts w:cs="Arial"/>
          <w:szCs w:val="22"/>
        </w:rPr>
        <w:t>priorities</w:t>
      </w:r>
      <w:r w:rsidR="00F32C11" w:rsidRPr="00E92537">
        <w:rPr>
          <w:rFonts w:cs="Arial"/>
          <w:szCs w:val="22"/>
        </w:rPr>
        <w:t xml:space="preserve"> </w:t>
      </w:r>
      <w:r w:rsidRPr="00E92537">
        <w:rPr>
          <w:rFonts w:cs="Arial"/>
          <w:szCs w:val="22"/>
        </w:rPr>
        <w:t>and</w:t>
      </w:r>
      <w:r w:rsidR="00F32C11" w:rsidRPr="00E92537">
        <w:rPr>
          <w:rFonts w:cs="Arial"/>
          <w:szCs w:val="22"/>
        </w:rPr>
        <w:t xml:space="preserve"> </w:t>
      </w:r>
      <w:r w:rsidRPr="00E92537">
        <w:rPr>
          <w:rFonts w:cs="Arial"/>
          <w:szCs w:val="22"/>
        </w:rPr>
        <w:t>significant</w:t>
      </w:r>
      <w:r w:rsidR="00F32C11" w:rsidRPr="00E92537">
        <w:rPr>
          <w:rFonts w:cs="Arial"/>
          <w:szCs w:val="22"/>
        </w:rPr>
        <w:t xml:space="preserve"> </w:t>
      </w:r>
      <w:r w:rsidRPr="00E92537">
        <w:rPr>
          <w:rFonts w:cs="Arial"/>
          <w:szCs w:val="22"/>
        </w:rPr>
        <w:t>risks.</w:t>
      </w:r>
    </w:p>
    <w:p w14:paraId="57567AC8" w14:textId="7CDC8F66" w:rsidR="009F2724" w:rsidRPr="00E92537" w:rsidRDefault="009F2724" w:rsidP="009F2724">
      <w:pPr>
        <w:spacing w:after="180"/>
        <w:jc w:val="both"/>
        <w:rPr>
          <w:rFonts w:cs="Arial"/>
          <w:szCs w:val="22"/>
        </w:rPr>
      </w:pPr>
      <w:r w:rsidRPr="00E92537">
        <w:rPr>
          <w:rFonts w:cs="Arial"/>
          <w:szCs w:val="22"/>
        </w:rPr>
        <w:t>The</w:t>
      </w:r>
      <w:r w:rsidR="00F32C11" w:rsidRPr="00E92537">
        <w:rPr>
          <w:rFonts w:cs="Arial"/>
          <w:szCs w:val="22"/>
        </w:rPr>
        <w:t xml:space="preserve"> </w:t>
      </w:r>
      <w:r w:rsidRPr="00E92537">
        <w:rPr>
          <w:rFonts w:cs="Arial"/>
          <w:szCs w:val="22"/>
        </w:rPr>
        <w:t>IPR</w:t>
      </w:r>
      <w:r w:rsidR="00F32C11" w:rsidRPr="00E92537">
        <w:rPr>
          <w:rFonts w:cs="Arial"/>
          <w:szCs w:val="22"/>
        </w:rPr>
        <w:t xml:space="preserve"> </w:t>
      </w:r>
      <w:r w:rsidRPr="00E92537">
        <w:rPr>
          <w:rFonts w:cs="Arial"/>
          <w:szCs w:val="22"/>
        </w:rPr>
        <w:t>comprises</w:t>
      </w:r>
      <w:r w:rsidR="00F32C11" w:rsidRPr="00E92537">
        <w:rPr>
          <w:rFonts w:cs="Arial"/>
          <w:szCs w:val="22"/>
        </w:rPr>
        <w:t xml:space="preserve"> </w:t>
      </w:r>
      <w:r w:rsidR="00E82FF9">
        <w:rPr>
          <w:rFonts w:cs="Arial"/>
          <w:szCs w:val="22"/>
        </w:rPr>
        <w:t>four section with each section being considered in detail by the appropriate Standing Committee</w:t>
      </w:r>
      <w:r w:rsidRPr="00E92537">
        <w:rPr>
          <w:rFonts w:cs="Arial"/>
          <w:szCs w:val="22"/>
        </w:rPr>
        <w:t>:</w:t>
      </w:r>
    </w:p>
    <w:p w14:paraId="2BB1216D" w14:textId="77777777" w:rsidR="009F2724" w:rsidRPr="00E92537" w:rsidRDefault="009F2724" w:rsidP="00A27C6F">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w:t>
      </w:r>
      <w:r w:rsidR="00F32C11" w:rsidRPr="00E92537">
        <w:rPr>
          <w:rFonts w:cs="Arial"/>
          <w:sz w:val="22"/>
          <w:szCs w:val="22"/>
        </w:rPr>
        <w:t xml:space="preserve"> </w:t>
      </w:r>
      <w:r w:rsidRPr="00E92537">
        <w:rPr>
          <w:rFonts w:cs="Arial"/>
          <w:sz w:val="22"/>
          <w:szCs w:val="22"/>
        </w:rPr>
        <w:t>A</w:t>
      </w:r>
      <w:r w:rsidRPr="00E92537">
        <w:rPr>
          <w:rFonts w:cs="Arial"/>
          <w:sz w:val="22"/>
          <w:szCs w:val="22"/>
        </w:rPr>
        <w:tab/>
        <w:t>Introduction</w:t>
      </w:r>
    </w:p>
    <w:p w14:paraId="455C131C" w14:textId="77777777" w:rsidR="009F2724" w:rsidRPr="00E92537" w:rsidRDefault="009F2724" w:rsidP="00A27C6F">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w:t>
      </w:r>
      <w:r w:rsidR="00F32C11" w:rsidRPr="00E92537">
        <w:rPr>
          <w:rFonts w:cs="Arial"/>
          <w:sz w:val="22"/>
          <w:szCs w:val="22"/>
        </w:rPr>
        <w:t xml:space="preserve"> </w:t>
      </w:r>
      <w:r w:rsidRPr="00E92537">
        <w:rPr>
          <w:rFonts w:cs="Arial"/>
          <w:sz w:val="22"/>
          <w:szCs w:val="22"/>
        </w:rPr>
        <w:t>B:1</w:t>
      </w:r>
      <w:r w:rsidRPr="00E92537">
        <w:rPr>
          <w:rFonts w:cs="Arial"/>
          <w:sz w:val="22"/>
          <w:szCs w:val="22"/>
        </w:rPr>
        <w:tab/>
        <w:t>Clinical</w:t>
      </w:r>
      <w:r w:rsidR="00F32C11" w:rsidRPr="00E92537">
        <w:rPr>
          <w:rFonts w:cs="Arial"/>
          <w:sz w:val="22"/>
          <w:szCs w:val="22"/>
        </w:rPr>
        <w:t xml:space="preserve"> </w:t>
      </w:r>
      <w:r w:rsidRPr="00E92537">
        <w:rPr>
          <w:rFonts w:cs="Arial"/>
          <w:sz w:val="22"/>
          <w:szCs w:val="22"/>
        </w:rPr>
        <w:t>Governance</w:t>
      </w:r>
    </w:p>
    <w:p w14:paraId="78560212" w14:textId="77777777" w:rsidR="009F2724" w:rsidRPr="00E92537" w:rsidRDefault="009F2724" w:rsidP="00AC07A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w:t>
      </w:r>
      <w:r w:rsidR="00F32C11" w:rsidRPr="00E92537">
        <w:rPr>
          <w:rFonts w:cs="Arial"/>
          <w:sz w:val="22"/>
          <w:szCs w:val="22"/>
        </w:rPr>
        <w:t xml:space="preserve"> </w:t>
      </w:r>
      <w:r w:rsidRPr="00E92537">
        <w:rPr>
          <w:rFonts w:cs="Arial"/>
          <w:sz w:val="22"/>
          <w:szCs w:val="22"/>
        </w:rPr>
        <w:t>B:2</w:t>
      </w:r>
      <w:r w:rsidRPr="00E92537">
        <w:rPr>
          <w:rFonts w:cs="Arial"/>
          <w:sz w:val="22"/>
          <w:szCs w:val="22"/>
        </w:rPr>
        <w:tab/>
      </w:r>
      <w:r w:rsidR="00AC07A2" w:rsidRPr="00E92537">
        <w:rPr>
          <w:rFonts w:cs="Arial"/>
          <w:sz w:val="22"/>
          <w:szCs w:val="22"/>
        </w:rPr>
        <w:t>Staff Governance</w:t>
      </w:r>
    </w:p>
    <w:p w14:paraId="169A51C5" w14:textId="77777777" w:rsidR="00696DCA" w:rsidRPr="00E92537" w:rsidRDefault="00696DCA" w:rsidP="00A27C6F">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B:3</w:t>
      </w:r>
      <w:r w:rsidRPr="00E92537">
        <w:rPr>
          <w:rFonts w:cs="Arial"/>
          <w:sz w:val="22"/>
          <w:szCs w:val="22"/>
        </w:rPr>
        <w:tab/>
      </w:r>
      <w:r w:rsidR="00AC07A2" w:rsidRPr="00E92537">
        <w:rPr>
          <w:rFonts w:cs="Arial"/>
          <w:sz w:val="22"/>
          <w:szCs w:val="22"/>
        </w:rPr>
        <w:t>Finance, Performance &amp; Planning</w:t>
      </w:r>
    </w:p>
    <w:p w14:paraId="5C1C2B49" w14:textId="35A1B272" w:rsidR="003440C2" w:rsidRDefault="003440C2" w:rsidP="004C0D07">
      <w:pPr>
        <w:spacing w:after="180"/>
        <w:jc w:val="both"/>
        <w:rPr>
          <w:rFonts w:cs="Arial"/>
          <w:szCs w:val="22"/>
        </w:rPr>
      </w:pPr>
    </w:p>
    <w:p w14:paraId="17478C38" w14:textId="1E6A0238" w:rsidR="00E82FF9" w:rsidRDefault="00E82FF9" w:rsidP="004C0D07">
      <w:pPr>
        <w:spacing w:after="180"/>
        <w:jc w:val="both"/>
        <w:rPr>
          <w:rFonts w:cs="Arial"/>
          <w:szCs w:val="22"/>
        </w:rPr>
      </w:pPr>
      <w:r>
        <w:rPr>
          <w:rFonts w:cs="Arial"/>
          <w:szCs w:val="22"/>
        </w:rPr>
        <w:t>This Board Summary Report of the IPR is presented to the Board and contains the summaries from each section of the full IPR.</w:t>
      </w:r>
    </w:p>
    <w:p w14:paraId="701BFDE2" w14:textId="53702AD2" w:rsidR="00E82FF9" w:rsidRPr="00E92537" w:rsidRDefault="00E82FF9" w:rsidP="004C0D07">
      <w:pPr>
        <w:spacing w:after="180"/>
        <w:jc w:val="both"/>
        <w:rPr>
          <w:rFonts w:cs="Arial"/>
          <w:szCs w:val="22"/>
        </w:rPr>
      </w:pPr>
    </w:p>
    <w:p w14:paraId="3FB56C35" w14:textId="219EAAAE" w:rsidR="005148A3" w:rsidRDefault="005148A3" w:rsidP="004C0D07">
      <w:pPr>
        <w:spacing w:after="180"/>
        <w:jc w:val="both"/>
        <w:rPr>
          <w:rFonts w:cs="Arial"/>
          <w:szCs w:val="22"/>
        </w:rPr>
      </w:pPr>
    </w:p>
    <w:p w14:paraId="5F06987F" w14:textId="6B93E887" w:rsidR="00BD2379" w:rsidRDefault="00BD2379" w:rsidP="004C0D07">
      <w:pPr>
        <w:spacing w:after="180"/>
        <w:jc w:val="both"/>
        <w:rPr>
          <w:rFonts w:cs="Arial"/>
          <w:szCs w:val="22"/>
        </w:rPr>
      </w:pPr>
    </w:p>
    <w:p w14:paraId="327BAAA9" w14:textId="77777777" w:rsidR="00BD2379" w:rsidRDefault="00BD2379" w:rsidP="00BD2379">
      <w:pPr>
        <w:pStyle w:val="BodyTextIndent"/>
        <w:spacing w:after="0"/>
        <w:ind w:left="0" w:right="183"/>
        <w:rPr>
          <w:rFonts w:cs="Arial"/>
          <w:b/>
          <w:bCs/>
        </w:rPr>
      </w:pPr>
      <w:r>
        <w:rPr>
          <w:rFonts w:cs="Arial"/>
          <w:b/>
          <w:bCs/>
        </w:rPr>
        <w:t>Jann Gardner</w:t>
      </w:r>
      <w:r>
        <w:rPr>
          <w:rFonts w:cs="Arial"/>
          <w:b/>
          <w:bCs/>
        </w:rPr>
        <w:tab/>
      </w:r>
      <w:r>
        <w:rPr>
          <w:rFonts w:cs="Arial"/>
          <w:b/>
          <w:bCs/>
        </w:rPr>
        <w:tab/>
      </w:r>
      <w:r>
        <w:rPr>
          <w:rFonts w:cs="Arial"/>
          <w:b/>
          <w:bCs/>
        </w:rPr>
        <w:tab/>
        <w:t>Colin Neil</w:t>
      </w:r>
      <w:r>
        <w:rPr>
          <w:rFonts w:cs="Arial"/>
          <w:b/>
          <w:bCs/>
        </w:rPr>
        <w:tab/>
      </w:r>
      <w:r>
        <w:rPr>
          <w:rFonts w:cs="Arial"/>
          <w:b/>
          <w:bCs/>
        </w:rPr>
        <w:tab/>
      </w:r>
      <w:r>
        <w:rPr>
          <w:rFonts w:cs="Arial"/>
          <w:b/>
          <w:bCs/>
        </w:rPr>
        <w:tab/>
        <w:t>June Rogers</w:t>
      </w:r>
    </w:p>
    <w:p w14:paraId="4D4ED6CE" w14:textId="77777777" w:rsidR="00BD2379" w:rsidRDefault="00BD2379" w:rsidP="00BD2379">
      <w:pPr>
        <w:pStyle w:val="BodyTextIndent"/>
        <w:spacing w:after="0"/>
        <w:ind w:left="0" w:right="183"/>
        <w:rPr>
          <w:rFonts w:cs="Arial"/>
          <w:b/>
          <w:bCs/>
        </w:rPr>
      </w:pPr>
      <w:r>
        <w:rPr>
          <w:rFonts w:cs="Arial"/>
          <w:b/>
          <w:bCs/>
        </w:rPr>
        <w:t>Chief Executive</w:t>
      </w:r>
      <w:r>
        <w:rPr>
          <w:rFonts w:cs="Arial"/>
          <w:b/>
          <w:bCs/>
        </w:rPr>
        <w:tab/>
      </w:r>
      <w:r>
        <w:rPr>
          <w:rFonts w:cs="Arial"/>
          <w:b/>
          <w:bCs/>
        </w:rPr>
        <w:tab/>
        <w:t>Director of Finance</w:t>
      </w:r>
      <w:r>
        <w:rPr>
          <w:rFonts w:cs="Arial"/>
          <w:b/>
          <w:bCs/>
        </w:rPr>
        <w:tab/>
      </w:r>
      <w:r>
        <w:rPr>
          <w:rFonts w:cs="Arial"/>
          <w:b/>
          <w:bCs/>
        </w:rPr>
        <w:tab/>
        <w:t>Deputy Chief Executive</w:t>
      </w:r>
    </w:p>
    <w:p w14:paraId="244C827F" w14:textId="77777777" w:rsidR="00BD2379" w:rsidRPr="00E92537" w:rsidRDefault="00BD2379" w:rsidP="004C0D07">
      <w:pPr>
        <w:spacing w:after="180"/>
        <w:jc w:val="both"/>
        <w:rPr>
          <w:rFonts w:cs="Arial"/>
          <w:szCs w:val="22"/>
        </w:rPr>
        <w:sectPr w:rsidR="00BD2379" w:rsidRPr="00E92537" w:rsidSect="00D51EF3">
          <w:footerReference w:type="default" r:id="rId12"/>
          <w:type w:val="continuous"/>
          <w:pgSz w:w="11906" w:h="16838" w:code="9"/>
          <w:pgMar w:top="1134" w:right="1418" w:bottom="1134" w:left="1418" w:header="709" w:footer="709" w:gutter="0"/>
          <w:pgNumType w:start="1"/>
          <w:cols w:space="708"/>
          <w:titlePg/>
          <w:docGrid w:linePitch="360"/>
        </w:sectPr>
      </w:pPr>
    </w:p>
    <w:p w14:paraId="2E04FB2E" w14:textId="77777777" w:rsidR="00B42B0C" w:rsidRPr="00E92537" w:rsidRDefault="007B57F5" w:rsidP="00B42B0C">
      <w:pPr>
        <w:spacing w:after="180"/>
        <w:jc w:val="center"/>
        <w:rPr>
          <w:rFonts w:cs="Arial"/>
          <w:bCs/>
          <w:sz w:val="36"/>
          <w:szCs w:val="36"/>
        </w:rPr>
      </w:pPr>
      <w:r>
        <w:rPr>
          <w:rFonts w:cs="Arial"/>
          <w:noProof/>
          <w:lang w:eastAsia="en-GB"/>
        </w:rPr>
        <w:lastRenderedPageBreak/>
        <w:pict w14:anchorId="025C8A22">
          <v:rect id="_x0000_s1622" style="position:absolute;left:0;text-align:left;margin-left:12pt;margin-top:0;width:34.6pt;height:853.55pt;flip:y;z-index:252694016;mso-width-percent:60;mso-wrap-distance-left:36pt;mso-wrap-distance-top:7.2pt;mso-wrap-distance-right:7.2pt;mso-wrap-distance-bottom:7.2pt;mso-position-horizontal-relative:page;mso-position-vertical-relative:page;mso-width-percent:60"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622" inset="1mm,1in,1mm,1in">
              <w:txbxContent>
                <w:p w14:paraId="39591C07" w14:textId="77777777" w:rsidR="00394C7B" w:rsidRPr="0058159D" w:rsidRDefault="00394C7B" w:rsidP="00A34826">
                  <w:pPr>
                    <w:spacing w:before="240"/>
                    <w:rPr>
                      <w:b/>
                      <w:color w:val="17365D" w:themeColor="text2" w:themeShade="BF"/>
                      <w:szCs w:val="24"/>
                    </w:rPr>
                  </w:pPr>
                  <w:r>
                    <w:rPr>
                      <w:b/>
                      <w:color w:val="17365D" w:themeColor="text2" w:themeShade="BF"/>
                      <w:szCs w:val="24"/>
                    </w:rPr>
                    <w:t>Overview and Executive Summary</w:t>
                  </w:r>
                </w:p>
              </w:txbxContent>
            </v:textbox>
            <w10:wrap type="square" anchorx="page" anchory="page"/>
          </v:rect>
        </w:pict>
      </w:r>
      <w:r w:rsidR="0008461C" w:rsidRPr="00E92537">
        <w:rPr>
          <w:rFonts w:cs="Arial"/>
          <w:bCs/>
          <w:sz w:val="36"/>
          <w:szCs w:val="36"/>
        </w:rPr>
        <w:t>Performance Summary</w:t>
      </w:r>
      <w:r w:rsidR="002341CE" w:rsidRPr="00E92537">
        <w:rPr>
          <w:rFonts w:cs="Arial"/>
          <w:bCs/>
          <w:sz w:val="36"/>
          <w:szCs w:val="36"/>
        </w:rPr>
        <w:t xml:space="preserve"> </w:t>
      </w:r>
      <w:r w:rsidR="00CB2BFA" w:rsidRPr="00E92537">
        <w:rPr>
          <w:rFonts w:cs="Arial"/>
          <w:bCs/>
          <w:sz w:val="36"/>
          <w:szCs w:val="36"/>
        </w:rPr>
        <w:t>Dashboard</w:t>
      </w:r>
      <w:r w:rsidR="00247F73" w:rsidRPr="00E92537">
        <w:rPr>
          <w:rFonts w:cs="Arial"/>
          <w:bCs/>
          <w:sz w:val="36"/>
          <w:szCs w:val="36"/>
        </w:rPr>
        <w:t xml:space="preserve"> – Guidance</w:t>
      </w:r>
    </w:p>
    <w:p w14:paraId="1024E9F5" w14:textId="77777777" w:rsidR="00247F73" w:rsidRPr="00E92537" w:rsidRDefault="00942B09" w:rsidP="00B42B0C">
      <w:pPr>
        <w:spacing w:after="180"/>
        <w:jc w:val="center"/>
        <w:rPr>
          <w:rFonts w:cs="Arial"/>
          <w:bCs/>
          <w:sz w:val="36"/>
          <w:szCs w:val="36"/>
        </w:rPr>
      </w:pPr>
      <w:r w:rsidRPr="00E92537">
        <w:rPr>
          <w:rFonts w:cs="Arial"/>
          <w:noProof/>
          <w:lang w:eastAsia="en-GB"/>
        </w:rPr>
        <w:drawing>
          <wp:inline distT="0" distB="0" distL="0" distR="0" wp14:anchorId="332BF638" wp14:editId="3891A135">
            <wp:extent cx="8891270" cy="4181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1270" cy="4181148"/>
                    </a:xfrm>
                    <a:prstGeom prst="rect">
                      <a:avLst/>
                    </a:prstGeom>
                    <a:noFill/>
                    <a:ln>
                      <a:noFill/>
                    </a:ln>
                  </pic:spPr>
                </pic:pic>
              </a:graphicData>
            </a:graphic>
          </wp:inline>
        </w:drawing>
      </w:r>
    </w:p>
    <w:p w14:paraId="73301219" w14:textId="77777777" w:rsidR="00247F73" w:rsidRPr="00E92537" w:rsidRDefault="00976AF6" w:rsidP="00247F73">
      <w:pPr>
        <w:spacing w:after="180"/>
        <w:rPr>
          <w:rFonts w:cs="Arial"/>
          <w:bCs/>
          <w:color w:val="FF0000"/>
          <w:sz w:val="36"/>
          <w:szCs w:val="36"/>
        </w:rPr>
      </w:pPr>
      <w:r w:rsidRPr="00E92537">
        <w:rPr>
          <w:rFonts w:cs="Arial"/>
          <w:noProof/>
          <w:lang w:eastAsia="en-GB"/>
        </w:rPr>
        <w:drawing>
          <wp:inline distT="0" distB="0" distL="0" distR="0" wp14:anchorId="45E23716" wp14:editId="12680FC0">
            <wp:extent cx="4865739" cy="12728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2992" cy="1293054"/>
                    </a:xfrm>
                    <a:prstGeom prst="rect">
                      <a:avLst/>
                    </a:prstGeom>
                    <a:noFill/>
                    <a:ln>
                      <a:noFill/>
                    </a:ln>
                  </pic:spPr>
                </pic:pic>
              </a:graphicData>
            </a:graphic>
          </wp:inline>
        </w:drawing>
      </w:r>
      <w:r w:rsidR="00894CA6" w:rsidRPr="00E92537">
        <w:rPr>
          <w:rFonts w:cs="Arial"/>
          <w:bCs/>
          <w:sz w:val="36"/>
          <w:szCs w:val="36"/>
        </w:rPr>
        <w:t xml:space="preserve"> </w:t>
      </w:r>
    </w:p>
    <w:p w14:paraId="16334ED5" w14:textId="77777777" w:rsidR="00247F73" w:rsidRPr="00E92537" w:rsidRDefault="007B57F5" w:rsidP="00247F73">
      <w:pPr>
        <w:spacing w:after="180"/>
        <w:jc w:val="center"/>
        <w:rPr>
          <w:rFonts w:cs="Arial"/>
          <w:bCs/>
          <w:color w:val="000000" w:themeColor="text1"/>
          <w:sz w:val="36"/>
          <w:szCs w:val="36"/>
        </w:rPr>
      </w:pPr>
      <w:r>
        <w:rPr>
          <w:rFonts w:cs="Arial"/>
          <w:bCs/>
          <w:noProof/>
          <w:color w:val="000000" w:themeColor="text1"/>
          <w:sz w:val="36"/>
          <w:szCs w:val="36"/>
          <w:lang w:eastAsia="en-GB"/>
        </w:rPr>
        <w:lastRenderedPageBreak/>
        <w:pict w14:anchorId="3D30FA8A">
          <v:rect id="_x0000_s1623" style="position:absolute;left:0;text-align:left;margin-left:786.75pt;margin-top:.75pt;width:42.75pt;height:853.55pt;flip:y;z-index:252695040;mso-wrap-distance-left:36pt;mso-wrap-distance-top:7.2pt;mso-wrap-distance-right:7.2pt;mso-wrap-distance-bottom:7.2pt;mso-position-horizontal-relative:page;mso-position-vertical-relative:page"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623" inset="1mm,1in,1mm,1in">
              <w:txbxContent>
                <w:p w14:paraId="3328B433" w14:textId="77777777" w:rsidR="00394C7B" w:rsidRPr="0058159D" w:rsidRDefault="00394C7B" w:rsidP="00A34826">
                  <w:pPr>
                    <w:spacing w:before="240"/>
                    <w:rPr>
                      <w:b/>
                      <w:color w:val="17365D" w:themeColor="text2" w:themeShade="BF"/>
                      <w:szCs w:val="24"/>
                    </w:rPr>
                  </w:pPr>
                  <w:r>
                    <w:rPr>
                      <w:b/>
                      <w:color w:val="17365D" w:themeColor="text2" w:themeShade="BF"/>
                      <w:szCs w:val="24"/>
                    </w:rPr>
                    <w:t>Overview and Executive Summary</w:t>
                  </w:r>
                </w:p>
              </w:txbxContent>
            </v:textbox>
            <w10:wrap type="square" anchorx="page" anchory="page"/>
          </v:rect>
        </w:pict>
      </w:r>
      <w:r w:rsidR="008303CF" w:rsidRPr="00E92537">
        <w:rPr>
          <w:rFonts w:cs="Arial"/>
          <w:bCs/>
          <w:color w:val="000000" w:themeColor="text1"/>
          <w:sz w:val="36"/>
          <w:szCs w:val="36"/>
        </w:rPr>
        <w:t>Board</w:t>
      </w:r>
      <w:r w:rsidR="00247F73" w:rsidRPr="00E92537">
        <w:rPr>
          <w:rFonts w:cs="Arial"/>
          <w:bCs/>
          <w:color w:val="000000" w:themeColor="text1"/>
          <w:sz w:val="36"/>
          <w:szCs w:val="36"/>
        </w:rPr>
        <w:t xml:space="preserve"> Performance Dashboard</w:t>
      </w:r>
      <w:r w:rsidR="00133250" w:rsidRPr="00E92537">
        <w:rPr>
          <w:rFonts w:cs="Arial"/>
          <w:bCs/>
          <w:color w:val="000000" w:themeColor="text1"/>
          <w:sz w:val="36"/>
          <w:szCs w:val="36"/>
        </w:rPr>
        <w:t xml:space="preserve"> – P</w:t>
      </w:r>
      <w:r w:rsidR="00D4735B" w:rsidRPr="00E92537">
        <w:rPr>
          <w:rFonts w:cs="Arial"/>
          <w:bCs/>
          <w:color w:val="000000" w:themeColor="text1"/>
          <w:sz w:val="36"/>
          <w:szCs w:val="36"/>
        </w:rPr>
        <w:t xml:space="preserve">art </w:t>
      </w:r>
      <w:r w:rsidR="00133250" w:rsidRPr="00E92537">
        <w:rPr>
          <w:rFonts w:cs="Arial"/>
          <w:bCs/>
          <w:color w:val="000000" w:themeColor="text1"/>
          <w:sz w:val="36"/>
          <w:szCs w:val="36"/>
        </w:rPr>
        <w:t>1</w:t>
      </w:r>
    </w:p>
    <w:p w14:paraId="4963FDB2" w14:textId="77777777" w:rsidR="000F1DB5" w:rsidRPr="00E92537" w:rsidRDefault="000E66BE" w:rsidP="0036191E">
      <w:pPr>
        <w:rPr>
          <w:rFonts w:cs="Arial"/>
          <w:bCs/>
          <w:sz w:val="14"/>
          <w:szCs w:val="16"/>
        </w:rPr>
      </w:pPr>
      <w:r w:rsidRPr="00E92537">
        <w:rPr>
          <w:rFonts w:cs="Arial"/>
          <w:noProof/>
          <w:lang w:eastAsia="en-GB"/>
        </w:rPr>
        <w:drawing>
          <wp:inline distT="0" distB="0" distL="0" distR="0" wp14:anchorId="1B08460B" wp14:editId="2773D988">
            <wp:extent cx="8891270" cy="112785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1270" cy="1127852"/>
                    </a:xfrm>
                    <a:prstGeom prst="rect">
                      <a:avLst/>
                    </a:prstGeom>
                    <a:noFill/>
                    <a:ln>
                      <a:noFill/>
                    </a:ln>
                  </pic:spPr>
                </pic:pic>
              </a:graphicData>
            </a:graphic>
          </wp:inline>
        </w:drawing>
      </w:r>
    </w:p>
    <w:p w14:paraId="1C0877F9" w14:textId="0E5EF33E" w:rsidR="004B18A9" w:rsidRPr="00E92537" w:rsidRDefault="009500C4" w:rsidP="00967FD1">
      <w:pPr>
        <w:spacing w:after="180"/>
        <w:rPr>
          <w:rFonts w:cs="Arial"/>
          <w:bCs/>
          <w:sz w:val="36"/>
          <w:szCs w:val="36"/>
        </w:rPr>
      </w:pPr>
      <w:r w:rsidRPr="009500C4">
        <w:rPr>
          <w:noProof/>
          <w:lang w:eastAsia="en-GB"/>
        </w:rPr>
        <w:drawing>
          <wp:inline distT="0" distB="0" distL="0" distR="0" wp14:anchorId="16558063" wp14:editId="73A05397">
            <wp:extent cx="8891270" cy="242131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2421318"/>
                    </a:xfrm>
                    <a:prstGeom prst="rect">
                      <a:avLst/>
                    </a:prstGeom>
                    <a:noFill/>
                    <a:ln>
                      <a:noFill/>
                    </a:ln>
                  </pic:spPr>
                </pic:pic>
              </a:graphicData>
            </a:graphic>
          </wp:inline>
        </w:drawing>
      </w:r>
    </w:p>
    <w:p w14:paraId="0BEF4AED" w14:textId="77777777" w:rsidR="000E66BE" w:rsidRPr="00E92537" w:rsidRDefault="000E66BE" w:rsidP="00967FD1">
      <w:pPr>
        <w:spacing w:after="180"/>
        <w:rPr>
          <w:rFonts w:cs="Arial"/>
          <w:szCs w:val="22"/>
        </w:rPr>
      </w:pPr>
    </w:p>
    <w:p w14:paraId="761A13CD" w14:textId="77777777" w:rsidR="00005B93" w:rsidRPr="00E92537" w:rsidRDefault="00005B93" w:rsidP="00133250">
      <w:pPr>
        <w:spacing w:after="180"/>
        <w:jc w:val="center"/>
        <w:rPr>
          <w:rFonts w:cs="Arial"/>
          <w:bCs/>
          <w:sz w:val="36"/>
          <w:szCs w:val="36"/>
        </w:rPr>
      </w:pPr>
    </w:p>
    <w:p w14:paraId="61769808" w14:textId="77777777" w:rsidR="00400409" w:rsidRPr="00E92537" w:rsidRDefault="00400409" w:rsidP="00133250">
      <w:pPr>
        <w:spacing w:after="180"/>
        <w:jc w:val="center"/>
        <w:rPr>
          <w:rFonts w:cs="Arial"/>
          <w:bCs/>
          <w:sz w:val="36"/>
          <w:szCs w:val="36"/>
        </w:rPr>
      </w:pPr>
    </w:p>
    <w:p w14:paraId="1DB34ECA" w14:textId="77777777" w:rsidR="00400409" w:rsidRPr="00E92537" w:rsidRDefault="00400409" w:rsidP="00133250">
      <w:pPr>
        <w:spacing w:after="180"/>
        <w:jc w:val="center"/>
        <w:rPr>
          <w:rFonts w:cs="Arial"/>
          <w:bCs/>
          <w:sz w:val="36"/>
          <w:szCs w:val="36"/>
        </w:rPr>
      </w:pPr>
    </w:p>
    <w:p w14:paraId="02E253BC" w14:textId="77777777" w:rsidR="00976AF6" w:rsidRPr="00E92537" w:rsidRDefault="00976AF6" w:rsidP="00133250">
      <w:pPr>
        <w:spacing w:after="180"/>
        <w:jc w:val="center"/>
        <w:rPr>
          <w:rFonts w:cs="Arial"/>
          <w:bCs/>
          <w:sz w:val="36"/>
          <w:szCs w:val="36"/>
        </w:rPr>
      </w:pPr>
    </w:p>
    <w:p w14:paraId="3FB2F730" w14:textId="77777777" w:rsidR="00133250" w:rsidRPr="00E92537" w:rsidRDefault="007B57F5" w:rsidP="00133250">
      <w:pPr>
        <w:spacing w:after="180"/>
        <w:jc w:val="center"/>
        <w:rPr>
          <w:rFonts w:cs="Arial"/>
          <w:bCs/>
          <w:color w:val="000000" w:themeColor="text1"/>
          <w:sz w:val="36"/>
          <w:szCs w:val="36"/>
        </w:rPr>
      </w:pPr>
      <w:r>
        <w:rPr>
          <w:rFonts w:cs="Arial"/>
          <w:noProof/>
          <w:color w:val="000000" w:themeColor="text1"/>
          <w:szCs w:val="22"/>
          <w:lang w:eastAsia="en-GB"/>
        </w:rPr>
        <w:lastRenderedPageBreak/>
        <w:pict w14:anchorId="3ED929D5">
          <v:rect id="_x0000_s1625" style="position:absolute;left:0;text-align:left;margin-left:11.25pt;margin-top:-4.5pt;width:40.6pt;height:863.5pt;flip:y;z-index:252697088;mso-wrap-distance-left:36pt;mso-wrap-distance-top:7.2pt;mso-wrap-distance-right:7.2pt;mso-wrap-distance-bottom:7.2pt;mso-position-horizontal-relative:page;mso-position-vertical-relative:page"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625" inset="1mm,1in,1mm,1in">
              <w:txbxContent>
                <w:p w14:paraId="7CA78985" w14:textId="77777777" w:rsidR="00394C7B" w:rsidRPr="0058159D" w:rsidRDefault="00394C7B" w:rsidP="00A34826">
                  <w:pPr>
                    <w:spacing w:before="240"/>
                    <w:rPr>
                      <w:b/>
                      <w:color w:val="17365D" w:themeColor="text2" w:themeShade="BF"/>
                      <w:szCs w:val="24"/>
                    </w:rPr>
                  </w:pPr>
                  <w:r>
                    <w:rPr>
                      <w:b/>
                      <w:color w:val="17365D" w:themeColor="text2" w:themeShade="BF"/>
                      <w:szCs w:val="24"/>
                    </w:rPr>
                    <w:t>Overview and Executive Summary</w:t>
                  </w:r>
                </w:p>
              </w:txbxContent>
            </v:textbox>
            <w10:wrap type="square" anchorx="page" anchory="page"/>
          </v:rect>
        </w:pict>
      </w:r>
      <w:r w:rsidR="008303CF" w:rsidRPr="00E92537">
        <w:rPr>
          <w:rFonts w:cs="Arial"/>
          <w:bCs/>
          <w:color w:val="000000" w:themeColor="text1"/>
          <w:sz w:val="36"/>
          <w:szCs w:val="36"/>
        </w:rPr>
        <w:t>Board</w:t>
      </w:r>
      <w:r w:rsidR="00133250" w:rsidRPr="00E92537">
        <w:rPr>
          <w:rFonts w:cs="Arial"/>
          <w:bCs/>
          <w:color w:val="000000" w:themeColor="text1"/>
          <w:sz w:val="36"/>
          <w:szCs w:val="36"/>
        </w:rPr>
        <w:t xml:space="preserve"> Performance Dashboard – P</w:t>
      </w:r>
      <w:r w:rsidR="00D4735B" w:rsidRPr="00E92537">
        <w:rPr>
          <w:rFonts w:cs="Arial"/>
          <w:bCs/>
          <w:color w:val="000000" w:themeColor="text1"/>
          <w:sz w:val="36"/>
          <w:szCs w:val="36"/>
        </w:rPr>
        <w:t xml:space="preserve">art </w:t>
      </w:r>
      <w:r w:rsidR="00133250" w:rsidRPr="00E92537">
        <w:rPr>
          <w:rFonts w:cs="Arial"/>
          <w:bCs/>
          <w:color w:val="000000" w:themeColor="text1"/>
          <w:sz w:val="36"/>
          <w:szCs w:val="36"/>
        </w:rPr>
        <w:t>2</w:t>
      </w:r>
    </w:p>
    <w:p w14:paraId="4FC1C681" w14:textId="77777777" w:rsidR="000E66BE" w:rsidRPr="00E92537" w:rsidRDefault="000E66BE" w:rsidP="00967FD1">
      <w:pPr>
        <w:spacing w:after="180"/>
        <w:rPr>
          <w:rFonts w:cs="Arial"/>
          <w:szCs w:val="22"/>
        </w:rPr>
      </w:pPr>
      <w:r w:rsidRPr="00E92537">
        <w:rPr>
          <w:rFonts w:cs="Arial"/>
          <w:noProof/>
          <w:lang w:eastAsia="en-GB"/>
        </w:rPr>
        <w:drawing>
          <wp:inline distT="0" distB="0" distL="0" distR="0" wp14:anchorId="2C26976A" wp14:editId="5F8B787A">
            <wp:extent cx="8891270" cy="112785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1270" cy="1127852"/>
                    </a:xfrm>
                    <a:prstGeom prst="rect">
                      <a:avLst/>
                    </a:prstGeom>
                    <a:noFill/>
                    <a:ln>
                      <a:noFill/>
                    </a:ln>
                  </pic:spPr>
                </pic:pic>
              </a:graphicData>
            </a:graphic>
          </wp:inline>
        </w:drawing>
      </w:r>
    </w:p>
    <w:p w14:paraId="57E91A14" w14:textId="0C19A49C" w:rsidR="00CB6810" w:rsidRPr="00E92537" w:rsidRDefault="00B526B5" w:rsidP="00967FD1">
      <w:pPr>
        <w:spacing w:after="180"/>
        <w:rPr>
          <w:rFonts w:cs="Arial"/>
          <w:szCs w:val="22"/>
        </w:rPr>
      </w:pPr>
      <w:r w:rsidRPr="00B526B5">
        <w:rPr>
          <w:noProof/>
          <w:lang w:eastAsia="en-GB"/>
        </w:rPr>
        <w:drawing>
          <wp:inline distT="0" distB="0" distL="0" distR="0" wp14:anchorId="63001AD7" wp14:editId="72A05F78">
            <wp:extent cx="8891270" cy="2719911"/>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2719911"/>
                    </a:xfrm>
                    <a:prstGeom prst="rect">
                      <a:avLst/>
                    </a:prstGeom>
                    <a:noFill/>
                    <a:ln>
                      <a:noFill/>
                    </a:ln>
                  </pic:spPr>
                </pic:pic>
              </a:graphicData>
            </a:graphic>
          </wp:inline>
        </w:drawing>
      </w:r>
    </w:p>
    <w:p w14:paraId="249A5B97" w14:textId="77777777" w:rsidR="000E66BE" w:rsidRPr="00E92537" w:rsidRDefault="000E66BE" w:rsidP="00967FD1">
      <w:pPr>
        <w:spacing w:after="180"/>
        <w:rPr>
          <w:rFonts w:cs="Arial"/>
          <w:szCs w:val="22"/>
        </w:rPr>
      </w:pPr>
    </w:p>
    <w:p w14:paraId="50B88007" w14:textId="77777777" w:rsidR="000E66BE" w:rsidRPr="00E92537" w:rsidRDefault="000E66BE" w:rsidP="00967FD1">
      <w:pPr>
        <w:spacing w:after="180"/>
        <w:rPr>
          <w:rFonts w:cs="Arial"/>
          <w:szCs w:val="22"/>
        </w:rPr>
      </w:pPr>
    </w:p>
    <w:p w14:paraId="51147405" w14:textId="77777777" w:rsidR="000E66BE" w:rsidRPr="00E92537" w:rsidRDefault="000E66BE" w:rsidP="00967FD1">
      <w:pPr>
        <w:spacing w:after="180"/>
        <w:rPr>
          <w:rFonts w:cs="Arial"/>
          <w:szCs w:val="22"/>
        </w:rPr>
      </w:pPr>
    </w:p>
    <w:p w14:paraId="18B3B7BD" w14:textId="77777777" w:rsidR="00400409" w:rsidRPr="00E92537" w:rsidRDefault="00400409" w:rsidP="00967FD1">
      <w:pPr>
        <w:spacing w:after="180"/>
        <w:rPr>
          <w:rFonts w:cs="Arial"/>
          <w:szCs w:val="22"/>
        </w:rPr>
      </w:pPr>
    </w:p>
    <w:p w14:paraId="419C91EC" w14:textId="77777777" w:rsidR="00976AF6" w:rsidRPr="00E92537" w:rsidRDefault="00976AF6" w:rsidP="00133250">
      <w:pPr>
        <w:spacing w:after="180"/>
        <w:jc w:val="center"/>
        <w:rPr>
          <w:rFonts w:cs="Arial"/>
          <w:bCs/>
          <w:color w:val="FF0000"/>
          <w:sz w:val="36"/>
          <w:szCs w:val="36"/>
        </w:rPr>
      </w:pPr>
    </w:p>
    <w:p w14:paraId="2E96D06B" w14:textId="77777777" w:rsidR="00133250" w:rsidRPr="00E92537" w:rsidRDefault="007B57F5" w:rsidP="00133250">
      <w:pPr>
        <w:spacing w:after="180"/>
        <w:jc w:val="center"/>
        <w:rPr>
          <w:rFonts w:cs="Arial"/>
          <w:bCs/>
          <w:color w:val="000000" w:themeColor="text1"/>
          <w:sz w:val="36"/>
          <w:szCs w:val="36"/>
        </w:rPr>
      </w:pPr>
      <w:r>
        <w:rPr>
          <w:rFonts w:cs="Arial"/>
          <w:bCs/>
          <w:noProof/>
          <w:color w:val="000000" w:themeColor="text1"/>
          <w:sz w:val="36"/>
          <w:szCs w:val="36"/>
          <w:lang w:eastAsia="en-GB"/>
        </w:rPr>
        <w:lastRenderedPageBreak/>
        <w:pict w14:anchorId="5DAEA4CC">
          <v:rect id="_x0000_s1642" style="position:absolute;left:0;text-align:left;margin-left:797.25pt;margin-top:.75pt;width:36.1pt;height:853.55pt;flip:y;z-index:252699136;mso-wrap-distance-left:36pt;mso-wrap-distance-top:7.2pt;mso-wrap-distance-right:7.2pt;mso-wrap-distance-bottom:7.2pt;mso-position-horizontal-relative:page;mso-position-vertical-relative:page"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642" inset="1mm,1in,1mm,1in">
              <w:txbxContent>
                <w:p w14:paraId="1FE9E957" w14:textId="77777777" w:rsidR="00394C7B" w:rsidRPr="0058159D" w:rsidRDefault="00394C7B" w:rsidP="002D30A9">
                  <w:pPr>
                    <w:spacing w:before="240"/>
                    <w:rPr>
                      <w:b/>
                      <w:color w:val="17365D" w:themeColor="text2" w:themeShade="BF"/>
                      <w:szCs w:val="24"/>
                    </w:rPr>
                  </w:pPr>
                  <w:r>
                    <w:rPr>
                      <w:b/>
                      <w:color w:val="17365D" w:themeColor="text2" w:themeShade="BF"/>
                      <w:szCs w:val="24"/>
                    </w:rPr>
                    <w:t>Overview and Executive Summary</w:t>
                  </w:r>
                </w:p>
              </w:txbxContent>
            </v:textbox>
            <w10:wrap type="square" anchorx="page" anchory="page"/>
          </v:rect>
        </w:pict>
      </w:r>
      <w:r w:rsidR="008303CF" w:rsidRPr="00E92537">
        <w:rPr>
          <w:rFonts w:cs="Arial"/>
          <w:bCs/>
          <w:color w:val="000000" w:themeColor="text1"/>
          <w:sz w:val="36"/>
          <w:szCs w:val="36"/>
        </w:rPr>
        <w:t xml:space="preserve">Board </w:t>
      </w:r>
      <w:r w:rsidR="00133250" w:rsidRPr="00E92537">
        <w:rPr>
          <w:rFonts w:cs="Arial"/>
          <w:bCs/>
          <w:color w:val="000000" w:themeColor="text1"/>
          <w:sz w:val="36"/>
          <w:szCs w:val="36"/>
        </w:rPr>
        <w:t>Performance Dashboard – P</w:t>
      </w:r>
      <w:r w:rsidR="00D4735B" w:rsidRPr="00E92537">
        <w:rPr>
          <w:rFonts w:cs="Arial"/>
          <w:bCs/>
          <w:color w:val="000000" w:themeColor="text1"/>
          <w:sz w:val="36"/>
          <w:szCs w:val="36"/>
        </w:rPr>
        <w:t xml:space="preserve">art </w:t>
      </w:r>
      <w:r w:rsidR="00133250" w:rsidRPr="00E92537">
        <w:rPr>
          <w:rFonts w:cs="Arial"/>
          <w:bCs/>
          <w:color w:val="000000" w:themeColor="text1"/>
          <w:sz w:val="36"/>
          <w:szCs w:val="36"/>
        </w:rPr>
        <w:t>3</w:t>
      </w:r>
    </w:p>
    <w:p w14:paraId="6AC66FDC" w14:textId="77777777" w:rsidR="000E66BE" w:rsidRPr="00E92537" w:rsidRDefault="000E66BE" w:rsidP="00967FD1">
      <w:pPr>
        <w:spacing w:after="180"/>
        <w:rPr>
          <w:rFonts w:cs="Arial"/>
          <w:szCs w:val="22"/>
        </w:rPr>
      </w:pPr>
      <w:r w:rsidRPr="00E92537">
        <w:rPr>
          <w:rFonts w:cs="Arial"/>
          <w:noProof/>
          <w:lang w:eastAsia="en-GB"/>
        </w:rPr>
        <w:drawing>
          <wp:inline distT="0" distB="0" distL="0" distR="0" wp14:anchorId="0FF51156" wp14:editId="47A6C0F2">
            <wp:extent cx="8891270" cy="112785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1270" cy="1127852"/>
                    </a:xfrm>
                    <a:prstGeom prst="rect">
                      <a:avLst/>
                    </a:prstGeom>
                    <a:noFill/>
                    <a:ln>
                      <a:noFill/>
                    </a:ln>
                  </pic:spPr>
                </pic:pic>
              </a:graphicData>
            </a:graphic>
          </wp:inline>
        </w:drawing>
      </w:r>
    </w:p>
    <w:p w14:paraId="59BE46B4" w14:textId="10343F8D" w:rsidR="00A32056" w:rsidRPr="00E92537" w:rsidRDefault="009500C4" w:rsidP="00A32056">
      <w:pPr>
        <w:spacing w:after="180"/>
        <w:rPr>
          <w:rFonts w:cs="Arial"/>
          <w:szCs w:val="22"/>
        </w:rPr>
      </w:pPr>
      <w:r w:rsidRPr="009500C4">
        <w:rPr>
          <w:noProof/>
          <w:lang w:eastAsia="en-GB"/>
        </w:rPr>
        <w:drawing>
          <wp:inline distT="0" distB="0" distL="0" distR="0" wp14:anchorId="0F696F18" wp14:editId="78B1340E">
            <wp:extent cx="8891270" cy="289188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1270" cy="2891881"/>
                    </a:xfrm>
                    <a:prstGeom prst="rect">
                      <a:avLst/>
                    </a:prstGeom>
                    <a:noFill/>
                    <a:ln>
                      <a:noFill/>
                    </a:ln>
                  </pic:spPr>
                </pic:pic>
              </a:graphicData>
            </a:graphic>
          </wp:inline>
        </w:drawing>
      </w:r>
    </w:p>
    <w:p w14:paraId="73AB43ED" w14:textId="77777777" w:rsidR="00A32056" w:rsidRPr="00E92537" w:rsidRDefault="00A32056" w:rsidP="00A32056">
      <w:pPr>
        <w:spacing w:after="180"/>
        <w:rPr>
          <w:rFonts w:cs="Arial"/>
          <w:szCs w:val="22"/>
        </w:rPr>
      </w:pPr>
    </w:p>
    <w:p w14:paraId="0C59C174" w14:textId="77777777" w:rsidR="00A32056" w:rsidRPr="00E92537" w:rsidRDefault="00A32056" w:rsidP="00A32056">
      <w:pPr>
        <w:spacing w:after="180"/>
        <w:rPr>
          <w:rFonts w:cs="Arial"/>
          <w:szCs w:val="22"/>
        </w:rPr>
        <w:sectPr w:rsidR="00A32056" w:rsidRPr="00E92537" w:rsidSect="00551C36">
          <w:footerReference w:type="first" r:id="rId21"/>
          <w:pgSz w:w="16838" w:h="11906" w:orient="landscape" w:code="9"/>
          <w:pgMar w:top="1134" w:right="1418" w:bottom="1134" w:left="1418" w:header="709" w:footer="709" w:gutter="0"/>
          <w:cols w:space="708"/>
          <w:titlePg/>
          <w:docGrid w:linePitch="360"/>
        </w:sectPr>
      </w:pPr>
    </w:p>
    <w:p w14:paraId="54BB579E" w14:textId="0D8D1667" w:rsidR="00F60C01" w:rsidRPr="00F60C01" w:rsidRDefault="007B57F5" w:rsidP="00F60C01">
      <w:pPr>
        <w:pStyle w:val="Heading1"/>
      </w:pPr>
      <w:r>
        <w:rPr>
          <w:szCs w:val="22"/>
        </w:rPr>
        <w:lastRenderedPageBreak/>
        <w:pict w14:anchorId="38BA8186">
          <v:rect id="_x0000_s1833" style="position:absolute;margin-left:12pt;margin-top:0;width:34.6pt;height:853.55pt;flip:y;z-index:252774912;mso-width-percent:60;mso-wrap-distance-left:36pt;mso-wrap-distance-top:7.2pt;mso-wrap-distance-right:7.2pt;mso-wrap-distance-bottom:7.2pt;mso-position-horizontal-relative:page;mso-position-vertical-relative:page;mso-width-percent:60"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833" inset="1mm,1in,1mm,1in">
              <w:txbxContent>
                <w:p w14:paraId="6607CFCA" w14:textId="77777777" w:rsidR="00F60C01" w:rsidRPr="0058159D" w:rsidRDefault="00F60C01" w:rsidP="00F60C01">
                  <w:pPr>
                    <w:spacing w:before="240"/>
                    <w:rPr>
                      <w:b/>
                      <w:color w:val="17365D" w:themeColor="text2" w:themeShade="BF"/>
                      <w:szCs w:val="24"/>
                    </w:rPr>
                  </w:pPr>
                  <w:r>
                    <w:rPr>
                      <w:b/>
                      <w:color w:val="17365D" w:themeColor="text2" w:themeShade="BF"/>
                      <w:szCs w:val="24"/>
                    </w:rPr>
                    <w:t>Overview and Executive Summary</w:t>
                  </w:r>
                </w:p>
              </w:txbxContent>
            </v:textbox>
            <w10:wrap type="square" anchorx="page" anchory="page"/>
          </v:rect>
        </w:pict>
      </w:r>
      <w:r w:rsidR="00696DCA" w:rsidRPr="00E92537">
        <w:rPr>
          <w:szCs w:val="22"/>
        </w:rPr>
        <w:t xml:space="preserve"> </w:t>
      </w:r>
      <w:r w:rsidR="00F60C01">
        <w:t>Executive Summary</w:t>
      </w:r>
    </w:p>
    <w:p w14:paraId="0E6E69EF" w14:textId="073DCDA9" w:rsidR="002737D1" w:rsidRDefault="00F60C01" w:rsidP="00EB0302">
      <w:pPr>
        <w:spacing w:after="180"/>
        <w:jc w:val="both"/>
        <w:rPr>
          <w:rFonts w:cs="Arial"/>
          <w:color w:val="000000" w:themeColor="text1"/>
          <w:szCs w:val="22"/>
        </w:rPr>
      </w:pPr>
      <w:r>
        <w:rPr>
          <w:rFonts w:cs="Arial"/>
          <w:color w:val="000000" w:themeColor="text1"/>
          <w:szCs w:val="22"/>
        </w:rPr>
        <w:t>A</w:t>
      </w:r>
      <w:r w:rsidR="00EB0302" w:rsidRPr="00E92537">
        <w:rPr>
          <w:rFonts w:cs="Arial"/>
          <w:color w:val="000000" w:themeColor="text1"/>
          <w:szCs w:val="22"/>
        </w:rPr>
        <w:t xml:space="preserve">t each meeting, the Standing Committees of </w:t>
      </w:r>
      <w:r w:rsidR="008303CF" w:rsidRPr="00E92537">
        <w:rPr>
          <w:rFonts w:cs="Arial"/>
          <w:color w:val="000000" w:themeColor="text1"/>
          <w:szCs w:val="22"/>
        </w:rPr>
        <w:t xml:space="preserve">NHS </w:t>
      </w:r>
      <w:r w:rsidR="00EB0302" w:rsidRPr="00E92537">
        <w:rPr>
          <w:rFonts w:cs="Arial"/>
          <w:color w:val="000000" w:themeColor="text1"/>
          <w:szCs w:val="22"/>
        </w:rPr>
        <w:t xml:space="preserve">Golden Jubilee consider targets and Standards specific to their area of remit. </w:t>
      </w:r>
      <w:r w:rsidR="00D375E8" w:rsidRPr="00E92537">
        <w:rPr>
          <w:rFonts w:cs="Arial"/>
          <w:color w:val="000000" w:themeColor="text1"/>
          <w:szCs w:val="22"/>
        </w:rPr>
        <w:t xml:space="preserve">This section of the IPR provides a summary of performance Standards and targets </w:t>
      </w:r>
      <w:r w:rsidR="00860185" w:rsidRPr="00E92537">
        <w:rPr>
          <w:rFonts w:cs="Arial"/>
          <w:color w:val="000000" w:themeColor="text1"/>
          <w:szCs w:val="22"/>
        </w:rPr>
        <w:t xml:space="preserve">identified as areas of </w:t>
      </w:r>
      <w:r w:rsidR="00BD49DF" w:rsidRPr="00E92537">
        <w:rPr>
          <w:rFonts w:cs="Arial"/>
          <w:color w:val="000000" w:themeColor="text1"/>
          <w:szCs w:val="22"/>
        </w:rPr>
        <w:t>note</w:t>
      </w:r>
      <w:r w:rsidR="00552C8A" w:rsidRPr="00E92537">
        <w:rPr>
          <w:rFonts w:cs="Arial"/>
          <w:color w:val="000000" w:themeColor="text1"/>
          <w:szCs w:val="22"/>
        </w:rPr>
        <w:t xml:space="preserve">. </w:t>
      </w:r>
      <w:r w:rsidR="00D375E8" w:rsidRPr="00E92537">
        <w:rPr>
          <w:rFonts w:cs="Arial"/>
          <w:color w:val="000000" w:themeColor="text1"/>
          <w:szCs w:val="22"/>
        </w:rPr>
        <w:t>Topics are grouped under the heading of the Committee responsible for scrutiny of performance.</w:t>
      </w:r>
    </w:p>
    <w:p w14:paraId="73632307" w14:textId="63406A50" w:rsidR="00FE0FCD" w:rsidRDefault="00FE0FCD" w:rsidP="00EB0302">
      <w:pPr>
        <w:spacing w:after="180"/>
        <w:jc w:val="both"/>
        <w:rPr>
          <w:rFonts w:cs="Arial"/>
          <w:color w:val="000000" w:themeColor="text1"/>
          <w:szCs w:val="22"/>
        </w:rPr>
      </w:pPr>
      <w:r w:rsidRPr="007B6130">
        <w:rPr>
          <w:rFonts w:cs="Arial"/>
          <w:color w:val="000000" w:themeColor="text1"/>
          <w:szCs w:val="22"/>
        </w:rPr>
        <w:t>This section also provides a summary of the Capital Programme and Financial position.</w:t>
      </w:r>
    </w:p>
    <w:p w14:paraId="7A5EAADC" w14:textId="2F2529A7" w:rsidR="00FE0FCD" w:rsidRPr="00582E9C" w:rsidRDefault="00582E9C" w:rsidP="00EB0302">
      <w:pPr>
        <w:spacing w:after="180"/>
        <w:jc w:val="both"/>
        <w:rPr>
          <w:rFonts w:cs="Arial"/>
          <w:b/>
          <w:color w:val="1F497D" w:themeColor="text2"/>
          <w:sz w:val="28"/>
          <w:szCs w:val="28"/>
        </w:rPr>
      </w:pPr>
      <w:r w:rsidRPr="00582E9C">
        <w:rPr>
          <w:rFonts w:cs="Arial"/>
          <w:b/>
          <w:color w:val="1F497D" w:themeColor="text2"/>
          <w:sz w:val="28"/>
          <w:szCs w:val="28"/>
        </w:rPr>
        <w:t>CLINICAL GOVERNANCE</w:t>
      </w:r>
    </w:p>
    <w:tbl>
      <w:tblPr>
        <w:tblStyle w:val="TableGrid"/>
        <w:tblW w:w="9286" w:type="dxa"/>
        <w:tblLayout w:type="fixed"/>
        <w:tblLook w:val="04A0" w:firstRow="1" w:lastRow="0" w:firstColumn="1" w:lastColumn="0" w:noHBand="0" w:noVBand="1"/>
      </w:tblPr>
      <w:tblGrid>
        <w:gridCol w:w="2802"/>
        <w:gridCol w:w="567"/>
        <w:gridCol w:w="5917"/>
      </w:tblGrid>
      <w:tr w:rsidR="004C1112" w:rsidRPr="00E92537" w14:paraId="60600B4E" w14:textId="77777777" w:rsidTr="009500C4">
        <w:tc>
          <w:tcPr>
            <w:tcW w:w="9286" w:type="dxa"/>
            <w:gridSpan w:val="3"/>
            <w:shd w:val="clear" w:color="auto" w:fill="B8CCE4" w:themeFill="accent1" w:themeFillTint="66"/>
          </w:tcPr>
          <w:p w14:paraId="3CE2B5AA" w14:textId="77777777" w:rsidR="004C1112" w:rsidRPr="00E92537" w:rsidRDefault="004C1112" w:rsidP="00431DA3">
            <w:pPr>
              <w:spacing w:after="180"/>
              <w:jc w:val="both"/>
              <w:rPr>
                <w:rFonts w:cs="Arial"/>
                <w:b/>
                <w:color w:val="0F243E" w:themeColor="text2" w:themeShade="80"/>
                <w:szCs w:val="22"/>
              </w:rPr>
            </w:pPr>
            <w:r w:rsidRPr="00E92537">
              <w:rPr>
                <w:rFonts w:cs="Arial"/>
                <w:b/>
                <w:color w:val="0F243E" w:themeColor="text2" w:themeShade="80"/>
                <w:szCs w:val="22"/>
              </w:rPr>
              <w:t>Clinical Governance</w:t>
            </w:r>
          </w:p>
        </w:tc>
      </w:tr>
      <w:tr w:rsidR="004C1112" w:rsidRPr="00E92537" w14:paraId="78C65CD9" w14:textId="77777777" w:rsidTr="009500C4">
        <w:tc>
          <w:tcPr>
            <w:tcW w:w="2802" w:type="dxa"/>
          </w:tcPr>
          <w:p w14:paraId="5F9E934A" w14:textId="77777777" w:rsidR="004C1112" w:rsidRPr="00E92537" w:rsidRDefault="004C1112" w:rsidP="00431DA3">
            <w:pPr>
              <w:spacing w:after="180"/>
              <w:jc w:val="both"/>
              <w:rPr>
                <w:rFonts w:cs="Arial"/>
                <w:b/>
                <w:color w:val="000000" w:themeColor="text1"/>
                <w:szCs w:val="22"/>
              </w:rPr>
            </w:pPr>
            <w:r w:rsidRPr="00E92537">
              <w:rPr>
                <w:rFonts w:cs="Arial"/>
                <w:b/>
                <w:color w:val="000000" w:themeColor="text1"/>
                <w:szCs w:val="22"/>
              </w:rPr>
              <w:t>KPI</w:t>
            </w:r>
          </w:p>
        </w:tc>
        <w:tc>
          <w:tcPr>
            <w:tcW w:w="567" w:type="dxa"/>
          </w:tcPr>
          <w:p w14:paraId="6185638F" w14:textId="77777777" w:rsidR="004C1112" w:rsidRPr="00E92537" w:rsidRDefault="004C1112" w:rsidP="00431DA3">
            <w:pPr>
              <w:spacing w:after="180"/>
              <w:jc w:val="both"/>
              <w:rPr>
                <w:rFonts w:cs="Arial"/>
                <w:b/>
                <w:color w:val="000000" w:themeColor="text1"/>
                <w:szCs w:val="22"/>
              </w:rPr>
            </w:pPr>
            <w:r w:rsidRPr="00E92537">
              <w:rPr>
                <w:rFonts w:cs="Arial"/>
                <w:b/>
                <w:color w:val="000000" w:themeColor="text1"/>
                <w:sz w:val="14"/>
                <w:szCs w:val="22"/>
              </w:rPr>
              <w:t>RAG</w:t>
            </w:r>
          </w:p>
        </w:tc>
        <w:tc>
          <w:tcPr>
            <w:tcW w:w="5917" w:type="dxa"/>
          </w:tcPr>
          <w:p w14:paraId="55495172" w14:textId="77777777" w:rsidR="004C1112" w:rsidRPr="00E92537" w:rsidRDefault="004C1112" w:rsidP="00431DA3">
            <w:pPr>
              <w:spacing w:after="180"/>
              <w:jc w:val="both"/>
              <w:rPr>
                <w:rFonts w:cs="Arial"/>
                <w:b/>
                <w:color w:val="000000" w:themeColor="text1"/>
                <w:szCs w:val="22"/>
              </w:rPr>
            </w:pPr>
            <w:r w:rsidRPr="00E92537">
              <w:rPr>
                <w:rFonts w:cs="Arial"/>
                <w:b/>
                <w:color w:val="000000" w:themeColor="text1"/>
                <w:szCs w:val="22"/>
              </w:rPr>
              <w:t>Position:</w:t>
            </w:r>
          </w:p>
        </w:tc>
      </w:tr>
      <w:tr w:rsidR="004C1112" w:rsidRPr="00E92537" w14:paraId="5B9A355E" w14:textId="77777777" w:rsidTr="009500C4">
        <w:trPr>
          <w:trHeight w:val="601"/>
        </w:trPr>
        <w:tc>
          <w:tcPr>
            <w:tcW w:w="2802" w:type="dxa"/>
          </w:tcPr>
          <w:p w14:paraId="6CE4FA40" w14:textId="77777777" w:rsidR="004C1112" w:rsidRPr="00E92537" w:rsidRDefault="004C1112" w:rsidP="00431DA3">
            <w:pPr>
              <w:rPr>
                <w:rFonts w:cs="Arial"/>
                <w:color w:val="000000" w:themeColor="text1"/>
                <w:szCs w:val="22"/>
              </w:rPr>
            </w:pPr>
            <w:r w:rsidRPr="00E92537">
              <w:rPr>
                <w:rFonts w:cs="Arial"/>
                <w:color w:val="000000" w:themeColor="text1"/>
                <w:szCs w:val="22"/>
              </w:rPr>
              <w:t>Total complaints (Stage 1 and 2) as a percentage of activity.</w:t>
            </w:r>
          </w:p>
        </w:tc>
        <w:tc>
          <w:tcPr>
            <w:tcW w:w="567" w:type="dxa"/>
            <w:shd w:val="clear" w:color="auto" w:fill="FBD4B4" w:themeFill="accent6" w:themeFillTint="66"/>
          </w:tcPr>
          <w:p w14:paraId="27614830" w14:textId="77777777" w:rsidR="004C1112" w:rsidRPr="00E92537" w:rsidRDefault="004C1112" w:rsidP="00431DA3">
            <w:pPr>
              <w:jc w:val="both"/>
              <w:rPr>
                <w:rFonts w:cs="Arial"/>
                <w:color w:val="000000" w:themeColor="text1"/>
                <w:szCs w:val="22"/>
              </w:rPr>
            </w:pPr>
          </w:p>
        </w:tc>
        <w:tc>
          <w:tcPr>
            <w:tcW w:w="5917" w:type="dxa"/>
          </w:tcPr>
          <w:p w14:paraId="5A1B124F" w14:textId="77777777" w:rsidR="004C1112" w:rsidRPr="00E92537" w:rsidRDefault="004C1112" w:rsidP="00B774DE">
            <w:pPr>
              <w:jc w:val="both"/>
              <w:rPr>
                <w:rFonts w:cs="Arial"/>
                <w:color w:val="000000" w:themeColor="text1"/>
                <w:szCs w:val="22"/>
              </w:rPr>
            </w:pPr>
            <w:r w:rsidRPr="00E92537">
              <w:rPr>
                <w:rFonts w:cs="Arial"/>
                <w:color w:val="000000" w:themeColor="text1"/>
                <w:szCs w:val="22"/>
              </w:rPr>
              <w:t>Position deterior</w:t>
            </w:r>
            <w:r w:rsidR="00AD3F76">
              <w:rPr>
                <w:rFonts w:cs="Arial"/>
                <w:color w:val="000000" w:themeColor="text1"/>
                <w:szCs w:val="22"/>
              </w:rPr>
              <w:t xml:space="preserve">ated slightly from 0.16% in May </w:t>
            </w:r>
            <w:r w:rsidRPr="00E92537">
              <w:rPr>
                <w:rFonts w:cs="Arial"/>
                <w:color w:val="000000" w:themeColor="text1"/>
                <w:szCs w:val="22"/>
              </w:rPr>
              <w:t>19 to 0.17% in Jun</w:t>
            </w:r>
            <w:r w:rsidR="00B774DE" w:rsidRPr="00E92537">
              <w:rPr>
                <w:rFonts w:cs="Arial"/>
                <w:color w:val="000000" w:themeColor="text1"/>
                <w:szCs w:val="22"/>
              </w:rPr>
              <w:t>e 1</w:t>
            </w:r>
            <w:r w:rsidRPr="00E92537">
              <w:rPr>
                <w:rFonts w:cs="Arial"/>
                <w:color w:val="000000" w:themeColor="text1"/>
                <w:szCs w:val="22"/>
              </w:rPr>
              <w:t>9 which was worse than the threshold of &lt;=10% for the fourth month in succession.</w:t>
            </w:r>
          </w:p>
        </w:tc>
      </w:tr>
      <w:tr w:rsidR="004C1112" w:rsidRPr="00E92537" w14:paraId="33B192E7" w14:textId="77777777" w:rsidTr="009500C4">
        <w:tc>
          <w:tcPr>
            <w:tcW w:w="2802" w:type="dxa"/>
          </w:tcPr>
          <w:p w14:paraId="45FE3ABA" w14:textId="77777777" w:rsidR="004C1112" w:rsidRPr="00E92537" w:rsidRDefault="004C1112" w:rsidP="00431DA3">
            <w:pPr>
              <w:rPr>
                <w:rFonts w:cs="Arial"/>
                <w:color w:val="000000" w:themeColor="text1"/>
                <w:szCs w:val="22"/>
              </w:rPr>
            </w:pPr>
            <w:r w:rsidRPr="00E92537">
              <w:rPr>
                <w:rFonts w:cs="Arial"/>
                <w:color w:val="000000" w:themeColor="text1"/>
                <w:szCs w:val="22"/>
              </w:rPr>
              <w:t>Stage 1 complaints response time</w:t>
            </w:r>
          </w:p>
        </w:tc>
        <w:tc>
          <w:tcPr>
            <w:tcW w:w="567" w:type="dxa"/>
            <w:shd w:val="clear" w:color="auto" w:fill="D6E3BC" w:themeFill="accent3" w:themeFillTint="66"/>
          </w:tcPr>
          <w:p w14:paraId="451FDAC5" w14:textId="77777777" w:rsidR="004C1112" w:rsidRPr="00E92537" w:rsidRDefault="004C1112" w:rsidP="00431DA3">
            <w:pPr>
              <w:jc w:val="both"/>
              <w:rPr>
                <w:rFonts w:cs="Arial"/>
                <w:color w:val="FF0000"/>
                <w:szCs w:val="22"/>
              </w:rPr>
            </w:pPr>
          </w:p>
        </w:tc>
        <w:tc>
          <w:tcPr>
            <w:tcW w:w="5917" w:type="dxa"/>
          </w:tcPr>
          <w:p w14:paraId="7218924D" w14:textId="77777777" w:rsidR="004C1112" w:rsidRPr="00E92537" w:rsidRDefault="004C1112" w:rsidP="00B774DE">
            <w:pPr>
              <w:jc w:val="both"/>
              <w:rPr>
                <w:rFonts w:cs="Arial"/>
                <w:color w:val="000000" w:themeColor="text1"/>
                <w:szCs w:val="22"/>
              </w:rPr>
            </w:pPr>
            <w:r w:rsidRPr="00E92537">
              <w:rPr>
                <w:rFonts w:cs="Arial"/>
                <w:color w:val="000000" w:themeColor="text1"/>
                <w:szCs w:val="22"/>
              </w:rPr>
              <w:t>Standard was met in Jun</w:t>
            </w:r>
            <w:r w:rsidR="00B774DE" w:rsidRPr="00E92537">
              <w:rPr>
                <w:rFonts w:cs="Arial"/>
                <w:color w:val="000000" w:themeColor="text1"/>
                <w:szCs w:val="22"/>
              </w:rPr>
              <w:t xml:space="preserve">e </w:t>
            </w:r>
            <w:r w:rsidRPr="00E92537">
              <w:rPr>
                <w:rFonts w:cs="Arial"/>
                <w:color w:val="000000" w:themeColor="text1"/>
                <w:szCs w:val="22"/>
              </w:rPr>
              <w:t>19 with four out of five responses within the threshold.</w:t>
            </w:r>
          </w:p>
        </w:tc>
      </w:tr>
      <w:tr w:rsidR="004C1112" w:rsidRPr="00E92537" w14:paraId="30F6B592" w14:textId="77777777" w:rsidTr="009500C4">
        <w:trPr>
          <w:trHeight w:val="321"/>
        </w:trPr>
        <w:tc>
          <w:tcPr>
            <w:tcW w:w="2802" w:type="dxa"/>
          </w:tcPr>
          <w:p w14:paraId="3E5D765E" w14:textId="77777777" w:rsidR="004C1112" w:rsidRPr="00E92537" w:rsidRDefault="004C1112" w:rsidP="00431DA3">
            <w:pPr>
              <w:rPr>
                <w:rFonts w:cs="Arial"/>
                <w:color w:val="000000" w:themeColor="text1"/>
                <w:szCs w:val="22"/>
              </w:rPr>
            </w:pPr>
            <w:r w:rsidRPr="00E92537">
              <w:rPr>
                <w:rFonts w:cs="Arial"/>
                <w:color w:val="000000" w:themeColor="text1"/>
                <w:szCs w:val="22"/>
              </w:rPr>
              <w:t xml:space="preserve">Stage 2 complaints response time </w:t>
            </w:r>
          </w:p>
        </w:tc>
        <w:tc>
          <w:tcPr>
            <w:tcW w:w="567" w:type="dxa"/>
            <w:shd w:val="clear" w:color="auto" w:fill="E5B8B7" w:themeFill="accent2" w:themeFillTint="66"/>
          </w:tcPr>
          <w:p w14:paraId="2292D4CF" w14:textId="77777777" w:rsidR="004C1112" w:rsidRPr="00E92537" w:rsidRDefault="004C1112" w:rsidP="00431DA3">
            <w:pPr>
              <w:jc w:val="both"/>
              <w:rPr>
                <w:rFonts w:cs="Arial"/>
                <w:color w:val="FF0000"/>
                <w:szCs w:val="22"/>
              </w:rPr>
            </w:pPr>
          </w:p>
        </w:tc>
        <w:tc>
          <w:tcPr>
            <w:tcW w:w="5917" w:type="dxa"/>
          </w:tcPr>
          <w:p w14:paraId="75FAC8CF" w14:textId="77777777" w:rsidR="004C1112" w:rsidRPr="00E92537" w:rsidRDefault="004C1112" w:rsidP="00B774DE">
            <w:pPr>
              <w:jc w:val="both"/>
              <w:rPr>
                <w:rFonts w:cs="Arial"/>
                <w:color w:val="000000" w:themeColor="text1"/>
                <w:szCs w:val="22"/>
              </w:rPr>
            </w:pPr>
            <w:r w:rsidRPr="00E92537">
              <w:rPr>
                <w:rFonts w:cs="Arial"/>
                <w:color w:val="000000" w:themeColor="text1"/>
                <w:szCs w:val="22"/>
              </w:rPr>
              <w:t>Standard was not met in Jun</w:t>
            </w:r>
            <w:r w:rsidR="00B774DE" w:rsidRPr="00E92537">
              <w:rPr>
                <w:rFonts w:cs="Arial"/>
                <w:color w:val="000000" w:themeColor="text1"/>
                <w:szCs w:val="22"/>
              </w:rPr>
              <w:t xml:space="preserve">e </w:t>
            </w:r>
            <w:r w:rsidRPr="00E92537">
              <w:rPr>
                <w:rFonts w:cs="Arial"/>
                <w:color w:val="000000" w:themeColor="text1"/>
                <w:szCs w:val="22"/>
              </w:rPr>
              <w:t>19 with zero out of eight responses within the threshold.</w:t>
            </w:r>
          </w:p>
        </w:tc>
      </w:tr>
      <w:tr w:rsidR="004C1112" w:rsidRPr="00E92537" w14:paraId="34580402" w14:textId="77777777" w:rsidTr="009500C4">
        <w:trPr>
          <w:trHeight w:val="321"/>
        </w:trPr>
        <w:tc>
          <w:tcPr>
            <w:tcW w:w="2802" w:type="dxa"/>
          </w:tcPr>
          <w:p w14:paraId="03A06BFF" w14:textId="77777777" w:rsidR="004C1112" w:rsidRPr="00E92537" w:rsidRDefault="004C1112" w:rsidP="00431DA3">
            <w:pPr>
              <w:rPr>
                <w:rFonts w:cs="Arial"/>
                <w:color w:val="000000" w:themeColor="text1"/>
                <w:szCs w:val="22"/>
              </w:rPr>
            </w:pPr>
            <w:r w:rsidRPr="00E92537">
              <w:rPr>
                <w:rFonts w:cs="Arial"/>
                <w:color w:val="000000" w:themeColor="text1"/>
                <w:szCs w:val="22"/>
              </w:rPr>
              <w:t>Mortality</w:t>
            </w:r>
          </w:p>
        </w:tc>
        <w:tc>
          <w:tcPr>
            <w:tcW w:w="567" w:type="dxa"/>
            <w:shd w:val="clear" w:color="auto" w:fill="D6E3BC" w:themeFill="accent3" w:themeFillTint="66"/>
          </w:tcPr>
          <w:p w14:paraId="3C5BD3D4" w14:textId="77777777" w:rsidR="004C1112" w:rsidRPr="00E92537" w:rsidRDefault="004C1112" w:rsidP="00431DA3">
            <w:pPr>
              <w:jc w:val="both"/>
              <w:rPr>
                <w:rFonts w:cs="Arial"/>
                <w:color w:val="000000" w:themeColor="text1"/>
                <w:szCs w:val="22"/>
              </w:rPr>
            </w:pPr>
          </w:p>
        </w:tc>
        <w:tc>
          <w:tcPr>
            <w:tcW w:w="5917" w:type="dxa"/>
          </w:tcPr>
          <w:p w14:paraId="29DA3CB7" w14:textId="77777777" w:rsidR="004C1112" w:rsidRPr="00E92537" w:rsidRDefault="004C1112" w:rsidP="00B774DE">
            <w:pPr>
              <w:jc w:val="both"/>
              <w:rPr>
                <w:rFonts w:cs="Arial"/>
                <w:color w:val="000000" w:themeColor="text1"/>
                <w:szCs w:val="22"/>
              </w:rPr>
            </w:pPr>
            <w:r w:rsidRPr="00E92537">
              <w:rPr>
                <w:rFonts w:cs="Arial"/>
                <w:color w:val="000000" w:themeColor="text1"/>
                <w:szCs w:val="22"/>
              </w:rPr>
              <w:t>A crude mortality standard is reported for the first time as part of the IPR. Mortality at hospital level was within calculated confidence limits for Jul</w:t>
            </w:r>
            <w:r w:rsidR="00B774DE" w:rsidRPr="00E92537">
              <w:rPr>
                <w:rFonts w:cs="Arial"/>
                <w:color w:val="000000" w:themeColor="text1"/>
                <w:szCs w:val="22"/>
              </w:rPr>
              <w:t xml:space="preserve">y </w:t>
            </w:r>
            <w:r w:rsidRPr="00E92537">
              <w:rPr>
                <w:rFonts w:cs="Arial"/>
                <w:color w:val="000000" w:themeColor="text1"/>
                <w:szCs w:val="22"/>
              </w:rPr>
              <w:t>19</w:t>
            </w:r>
            <w:r w:rsidR="00F57B29">
              <w:rPr>
                <w:rFonts w:cs="Arial"/>
                <w:color w:val="000000" w:themeColor="text1"/>
                <w:szCs w:val="22"/>
              </w:rPr>
              <w:t>.</w:t>
            </w:r>
          </w:p>
        </w:tc>
      </w:tr>
      <w:tr w:rsidR="004C1112" w:rsidRPr="00E92537" w14:paraId="7CD9923D" w14:textId="77777777" w:rsidTr="009500C4">
        <w:trPr>
          <w:trHeight w:val="321"/>
        </w:trPr>
        <w:tc>
          <w:tcPr>
            <w:tcW w:w="2802" w:type="dxa"/>
          </w:tcPr>
          <w:p w14:paraId="2F9E9E2A" w14:textId="77777777" w:rsidR="004C1112" w:rsidRPr="00E92537" w:rsidRDefault="004C1112" w:rsidP="00431DA3">
            <w:pPr>
              <w:rPr>
                <w:rFonts w:cs="Arial"/>
                <w:color w:val="000000" w:themeColor="text1"/>
                <w:szCs w:val="22"/>
              </w:rPr>
            </w:pPr>
            <w:r w:rsidRPr="00E92537">
              <w:rPr>
                <w:rFonts w:cs="Arial"/>
                <w:color w:val="000000" w:themeColor="text1"/>
                <w:szCs w:val="22"/>
              </w:rPr>
              <w:t>Significant adverse events</w:t>
            </w:r>
          </w:p>
        </w:tc>
        <w:tc>
          <w:tcPr>
            <w:tcW w:w="567" w:type="dxa"/>
            <w:shd w:val="clear" w:color="auto" w:fill="D6E3BC" w:themeFill="accent3" w:themeFillTint="66"/>
          </w:tcPr>
          <w:p w14:paraId="73267823" w14:textId="77777777" w:rsidR="004C1112" w:rsidRPr="00E92537" w:rsidRDefault="004C1112" w:rsidP="00431DA3">
            <w:pPr>
              <w:jc w:val="both"/>
              <w:rPr>
                <w:rFonts w:cs="Arial"/>
                <w:color w:val="000000" w:themeColor="text1"/>
                <w:szCs w:val="22"/>
              </w:rPr>
            </w:pPr>
          </w:p>
        </w:tc>
        <w:tc>
          <w:tcPr>
            <w:tcW w:w="5917" w:type="dxa"/>
          </w:tcPr>
          <w:p w14:paraId="25DBD07A" w14:textId="77777777" w:rsidR="004C1112" w:rsidRPr="00E92537" w:rsidRDefault="004C1112" w:rsidP="00B774DE">
            <w:pPr>
              <w:jc w:val="both"/>
              <w:rPr>
                <w:rFonts w:cs="Arial"/>
                <w:color w:val="000000" w:themeColor="text1"/>
                <w:szCs w:val="22"/>
              </w:rPr>
            </w:pPr>
            <w:r w:rsidRPr="00E92537">
              <w:rPr>
                <w:rFonts w:cs="Arial"/>
                <w:color w:val="000000" w:themeColor="text1"/>
                <w:szCs w:val="22"/>
              </w:rPr>
              <w:t>The number of events reported in Jul</w:t>
            </w:r>
            <w:r w:rsidR="00B774DE" w:rsidRPr="00E92537">
              <w:rPr>
                <w:rFonts w:cs="Arial"/>
                <w:color w:val="000000" w:themeColor="text1"/>
                <w:szCs w:val="22"/>
              </w:rPr>
              <w:t>y</w:t>
            </w:r>
            <w:r w:rsidR="00F57B29">
              <w:rPr>
                <w:rFonts w:cs="Arial"/>
                <w:color w:val="000000" w:themeColor="text1"/>
                <w:szCs w:val="22"/>
              </w:rPr>
              <w:t xml:space="preserve"> </w:t>
            </w:r>
            <w:r w:rsidRPr="00E92537">
              <w:rPr>
                <w:rFonts w:cs="Arial"/>
                <w:color w:val="000000" w:themeColor="text1"/>
                <w:szCs w:val="22"/>
              </w:rPr>
              <w:t>19 (8) was better than the calculated upper confidence limit.</w:t>
            </w:r>
          </w:p>
        </w:tc>
      </w:tr>
      <w:tr w:rsidR="004C1112" w:rsidRPr="00E92537" w14:paraId="4EB6DDFA" w14:textId="77777777" w:rsidTr="009500C4">
        <w:trPr>
          <w:trHeight w:val="321"/>
        </w:trPr>
        <w:tc>
          <w:tcPr>
            <w:tcW w:w="2802" w:type="dxa"/>
          </w:tcPr>
          <w:p w14:paraId="595D78A3" w14:textId="77777777" w:rsidR="00B23822" w:rsidRPr="00B23822" w:rsidRDefault="00B23822" w:rsidP="00B23822">
            <w:pPr>
              <w:rPr>
                <w:rFonts w:cs="Arial"/>
                <w:color w:val="000000" w:themeColor="text1"/>
                <w:szCs w:val="22"/>
              </w:rPr>
            </w:pPr>
            <w:r w:rsidRPr="00B23822">
              <w:rPr>
                <w:rFonts w:cs="Arial"/>
                <w:color w:val="000000" w:themeColor="text1"/>
                <w:szCs w:val="22"/>
              </w:rPr>
              <w:t>MRSA/MSSA cases</w:t>
            </w:r>
          </w:p>
          <w:p w14:paraId="41CC17A9" w14:textId="06FC4F16" w:rsidR="004C1112" w:rsidRPr="00E92537" w:rsidRDefault="004C1112" w:rsidP="00B23822">
            <w:pPr>
              <w:rPr>
                <w:rFonts w:cs="Arial"/>
                <w:color w:val="000000" w:themeColor="text1"/>
                <w:szCs w:val="22"/>
              </w:rPr>
            </w:pPr>
          </w:p>
        </w:tc>
        <w:tc>
          <w:tcPr>
            <w:tcW w:w="567" w:type="dxa"/>
            <w:shd w:val="clear" w:color="auto" w:fill="D6E3BC" w:themeFill="accent3" w:themeFillTint="66"/>
          </w:tcPr>
          <w:p w14:paraId="4DB47EA4" w14:textId="77777777" w:rsidR="004C1112" w:rsidRPr="00E92537" w:rsidRDefault="004C1112" w:rsidP="00431DA3">
            <w:pPr>
              <w:jc w:val="both"/>
              <w:rPr>
                <w:rFonts w:cs="Arial"/>
                <w:color w:val="000000" w:themeColor="text1"/>
                <w:szCs w:val="22"/>
              </w:rPr>
            </w:pPr>
          </w:p>
        </w:tc>
        <w:tc>
          <w:tcPr>
            <w:tcW w:w="5917" w:type="dxa"/>
          </w:tcPr>
          <w:p w14:paraId="206B4806" w14:textId="4D09021F" w:rsidR="004C1112" w:rsidRPr="00E92537" w:rsidRDefault="004C1112" w:rsidP="00B23822">
            <w:pPr>
              <w:jc w:val="both"/>
              <w:rPr>
                <w:rFonts w:cs="Arial"/>
                <w:color w:val="000000" w:themeColor="text1"/>
                <w:szCs w:val="22"/>
              </w:rPr>
            </w:pPr>
            <w:r w:rsidRPr="00E92537">
              <w:rPr>
                <w:rFonts w:cs="Arial"/>
                <w:color w:val="000000" w:themeColor="text1"/>
                <w:szCs w:val="22"/>
              </w:rPr>
              <w:t xml:space="preserve">Two </w:t>
            </w:r>
            <w:r w:rsidR="00B774DE" w:rsidRPr="00E92537">
              <w:rPr>
                <w:rFonts w:cs="Arial"/>
                <w:color w:val="000000" w:themeColor="text1"/>
                <w:szCs w:val="22"/>
              </w:rPr>
              <w:t>M</w:t>
            </w:r>
            <w:r w:rsidR="00B23822">
              <w:rPr>
                <w:rFonts w:cs="Arial"/>
                <w:color w:val="000000" w:themeColor="text1"/>
                <w:szCs w:val="22"/>
              </w:rPr>
              <w:t xml:space="preserve">SSA </w:t>
            </w:r>
            <w:r w:rsidR="00B774DE" w:rsidRPr="00E92537">
              <w:rPr>
                <w:rFonts w:cs="Arial"/>
                <w:color w:val="000000" w:themeColor="text1"/>
                <w:szCs w:val="22"/>
              </w:rPr>
              <w:t xml:space="preserve">cases were reported in June </w:t>
            </w:r>
            <w:r w:rsidRPr="00E92537">
              <w:rPr>
                <w:rFonts w:cs="Arial"/>
                <w:color w:val="000000" w:themeColor="text1"/>
                <w:szCs w:val="22"/>
              </w:rPr>
              <w:t>19 which breaches the threshold for the month but would achieve the threshold for Quarter 1 as a whole. Zero cases were reported in Jul</w:t>
            </w:r>
            <w:r w:rsidR="00B774DE" w:rsidRPr="00E92537">
              <w:rPr>
                <w:rFonts w:cs="Arial"/>
                <w:color w:val="000000" w:themeColor="text1"/>
                <w:szCs w:val="22"/>
              </w:rPr>
              <w:t xml:space="preserve">y </w:t>
            </w:r>
            <w:r w:rsidRPr="00E92537">
              <w:rPr>
                <w:rFonts w:cs="Arial"/>
                <w:color w:val="000000" w:themeColor="text1"/>
                <w:szCs w:val="22"/>
              </w:rPr>
              <w:t>19.</w:t>
            </w:r>
          </w:p>
        </w:tc>
      </w:tr>
      <w:tr w:rsidR="004C1112" w:rsidRPr="00E92537" w14:paraId="7DF10255" w14:textId="77777777" w:rsidTr="009500C4">
        <w:trPr>
          <w:trHeight w:val="321"/>
        </w:trPr>
        <w:tc>
          <w:tcPr>
            <w:tcW w:w="2802" w:type="dxa"/>
          </w:tcPr>
          <w:p w14:paraId="586EAAD1" w14:textId="77777777" w:rsidR="004C1112" w:rsidRPr="00E92537" w:rsidRDefault="004C1112" w:rsidP="00431DA3">
            <w:pPr>
              <w:rPr>
                <w:rFonts w:cs="Arial"/>
                <w:color w:val="000000" w:themeColor="text1"/>
                <w:szCs w:val="22"/>
              </w:rPr>
            </w:pPr>
            <w:r w:rsidRPr="00E92537">
              <w:rPr>
                <w:rFonts w:cs="Arial"/>
                <w:color w:val="000000" w:themeColor="text1"/>
                <w:szCs w:val="22"/>
              </w:rPr>
              <w:t>C Difficile</w:t>
            </w:r>
          </w:p>
        </w:tc>
        <w:tc>
          <w:tcPr>
            <w:tcW w:w="567" w:type="dxa"/>
            <w:shd w:val="clear" w:color="auto" w:fill="D6E3BC" w:themeFill="accent3" w:themeFillTint="66"/>
          </w:tcPr>
          <w:p w14:paraId="289BFC74" w14:textId="77777777" w:rsidR="004C1112" w:rsidRPr="00E92537" w:rsidRDefault="004C1112" w:rsidP="00431DA3">
            <w:pPr>
              <w:jc w:val="both"/>
              <w:rPr>
                <w:rFonts w:cs="Arial"/>
                <w:color w:val="000000" w:themeColor="text1"/>
                <w:szCs w:val="22"/>
              </w:rPr>
            </w:pPr>
          </w:p>
        </w:tc>
        <w:tc>
          <w:tcPr>
            <w:tcW w:w="5917" w:type="dxa"/>
          </w:tcPr>
          <w:p w14:paraId="0330B088" w14:textId="77777777" w:rsidR="004C1112" w:rsidRPr="00E92537" w:rsidRDefault="004C1112" w:rsidP="00431DA3">
            <w:pPr>
              <w:jc w:val="both"/>
              <w:rPr>
                <w:rFonts w:cs="Arial"/>
                <w:color w:val="000000" w:themeColor="text1"/>
                <w:szCs w:val="22"/>
              </w:rPr>
            </w:pPr>
            <w:r w:rsidRPr="00E92537">
              <w:rPr>
                <w:rFonts w:cs="Arial"/>
                <w:color w:val="000000" w:themeColor="text1"/>
                <w:szCs w:val="22"/>
              </w:rPr>
              <w:t>No Clostridiodes Difficile cases were reported in Jul</w:t>
            </w:r>
            <w:r w:rsidR="00B774DE" w:rsidRPr="00E92537">
              <w:rPr>
                <w:rFonts w:cs="Arial"/>
                <w:color w:val="000000" w:themeColor="text1"/>
                <w:szCs w:val="22"/>
              </w:rPr>
              <w:t xml:space="preserve">y </w:t>
            </w:r>
            <w:r w:rsidRPr="00E92537">
              <w:rPr>
                <w:rFonts w:cs="Arial"/>
                <w:color w:val="000000" w:themeColor="text1"/>
                <w:szCs w:val="22"/>
              </w:rPr>
              <w:t>19.</w:t>
            </w:r>
          </w:p>
        </w:tc>
      </w:tr>
    </w:tbl>
    <w:p w14:paraId="02634A28" w14:textId="39C18E18" w:rsidR="00FE0FCD" w:rsidRDefault="00FE0FCD"/>
    <w:p w14:paraId="5174F06E" w14:textId="0F37EBCE" w:rsidR="00582E9C" w:rsidRPr="00582E9C" w:rsidRDefault="00582E9C">
      <w:pPr>
        <w:rPr>
          <w:b/>
          <w:szCs w:val="22"/>
        </w:rPr>
      </w:pPr>
      <w:r w:rsidRPr="00582E9C">
        <w:rPr>
          <w:b/>
          <w:szCs w:val="22"/>
        </w:rPr>
        <w:t>Hospital Acquired Infection (HAI)</w:t>
      </w:r>
    </w:p>
    <w:p w14:paraId="6F5DEEC3" w14:textId="433087C5" w:rsidR="00582E9C" w:rsidRPr="00582E9C" w:rsidRDefault="00582E9C" w:rsidP="00582E9C">
      <w:pPr>
        <w:rPr>
          <w:b/>
          <w:szCs w:val="22"/>
        </w:rPr>
      </w:pPr>
    </w:p>
    <w:p w14:paraId="073360B9" w14:textId="77777777" w:rsidR="00582E9C" w:rsidRPr="00582E9C" w:rsidRDefault="00582E9C" w:rsidP="007B6130">
      <w:pPr>
        <w:pStyle w:val="ListParagraph"/>
        <w:numPr>
          <w:ilvl w:val="0"/>
          <w:numId w:val="4"/>
        </w:numPr>
        <w:contextualSpacing/>
        <w:rPr>
          <w:rFonts w:cs="Arial"/>
          <w:sz w:val="22"/>
          <w:szCs w:val="22"/>
        </w:rPr>
      </w:pPr>
      <w:r w:rsidRPr="00582E9C">
        <w:rPr>
          <w:rFonts w:cs="Arial"/>
          <w:b/>
          <w:i/>
          <w:iCs/>
          <w:sz w:val="22"/>
          <w:szCs w:val="22"/>
        </w:rPr>
        <w:t>Staphylococcus aureus</w:t>
      </w:r>
      <w:r w:rsidRPr="00582E9C">
        <w:rPr>
          <w:rFonts w:cs="Arial"/>
          <w:b/>
          <w:sz w:val="22"/>
          <w:szCs w:val="22"/>
        </w:rPr>
        <w:t xml:space="preserve"> Bacteraemia</w:t>
      </w:r>
    </w:p>
    <w:p w14:paraId="25771C64" w14:textId="5D11F9E4" w:rsidR="00582E9C" w:rsidRPr="00582E9C" w:rsidRDefault="00582E9C" w:rsidP="007B6130">
      <w:pPr>
        <w:pStyle w:val="ListParagraph"/>
        <w:numPr>
          <w:ilvl w:val="0"/>
          <w:numId w:val="8"/>
        </w:numPr>
        <w:contextualSpacing/>
        <w:rPr>
          <w:rFonts w:cs="Arial"/>
          <w:sz w:val="22"/>
          <w:szCs w:val="22"/>
        </w:rPr>
      </w:pPr>
      <w:r w:rsidRPr="00582E9C">
        <w:rPr>
          <w:rFonts w:cs="Arial"/>
          <w:sz w:val="22"/>
          <w:szCs w:val="22"/>
        </w:rPr>
        <w:t xml:space="preserve">Two cases of SAB to report in June. </w:t>
      </w:r>
    </w:p>
    <w:p w14:paraId="619FC08B" w14:textId="77777777" w:rsidR="00582E9C" w:rsidRPr="00582E9C" w:rsidRDefault="00582E9C" w:rsidP="00582E9C">
      <w:pPr>
        <w:pStyle w:val="ListParagraph"/>
        <w:contextualSpacing/>
        <w:rPr>
          <w:rFonts w:cs="Arial"/>
          <w:sz w:val="22"/>
          <w:szCs w:val="22"/>
        </w:rPr>
      </w:pPr>
    </w:p>
    <w:p w14:paraId="6588F919" w14:textId="77777777" w:rsidR="00582E9C" w:rsidRPr="00582E9C" w:rsidRDefault="00582E9C" w:rsidP="007B6130">
      <w:pPr>
        <w:pStyle w:val="ListParagraph"/>
        <w:numPr>
          <w:ilvl w:val="0"/>
          <w:numId w:val="4"/>
        </w:numPr>
        <w:contextualSpacing/>
        <w:rPr>
          <w:rFonts w:cs="Arial"/>
          <w:b/>
          <w:i/>
          <w:sz w:val="22"/>
          <w:szCs w:val="22"/>
        </w:rPr>
      </w:pPr>
      <w:r w:rsidRPr="00582E9C">
        <w:rPr>
          <w:rFonts w:cs="Arial"/>
          <w:b/>
          <w:i/>
          <w:sz w:val="22"/>
          <w:szCs w:val="22"/>
        </w:rPr>
        <w:t>Clostridioides difficile</w:t>
      </w:r>
      <w:r w:rsidRPr="00582E9C">
        <w:rPr>
          <w:rFonts w:cs="Arial"/>
          <w:b/>
          <w:sz w:val="22"/>
          <w:szCs w:val="22"/>
        </w:rPr>
        <w:t xml:space="preserve"> infection (previously known as </w:t>
      </w:r>
      <w:r w:rsidRPr="00582E9C">
        <w:rPr>
          <w:rFonts w:cs="Arial"/>
          <w:b/>
          <w:i/>
          <w:sz w:val="22"/>
          <w:szCs w:val="22"/>
        </w:rPr>
        <w:t>Clostridium difficile)</w:t>
      </w:r>
    </w:p>
    <w:p w14:paraId="52C92CF1" w14:textId="214C5E43" w:rsidR="00582E9C" w:rsidRPr="00582E9C" w:rsidRDefault="00582E9C" w:rsidP="007B6130">
      <w:pPr>
        <w:pStyle w:val="ListParagraph"/>
        <w:numPr>
          <w:ilvl w:val="0"/>
          <w:numId w:val="8"/>
        </w:numPr>
        <w:rPr>
          <w:rFonts w:cs="Arial"/>
          <w:b/>
          <w:sz w:val="22"/>
          <w:szCs w:val="22"/>
        </w:rPr>
      </w:pPr>
      <w:r w:rsidRPr="00582E9C">
        <w:rPr>
          <w:rFonts w:cs="Arial"/>
          <w:sz w:val="22"/>
          <w:szCs w:val="22"/>
        </w:rPr>
        <w:t>No CDI to report since June 18.</w:t>
      </w:r>
      <w:r w:rsidRPr="00582E9C">
        <w:rPr>
          <w:rFonts w:cs="Arial"/>
          <w:b/>
          <w:sz w:val="22"/>
          <w:szCs w:val="22"/>
        </w:rPr>
        <w:t xml:space="preserve"> </w:t>
      </w:r>
    </w:p>
    <w:p w14:paraId="0ACDF2DE" w14:textId="77777777" w:rsidR="00582E9C" w:rsidRPr="00582E9C" w:rsidRDefault="00582E9C" w:rsidP="00F60C01">
      <w:pPr>
        <w:pStyle w:val="ListParagraph"/>
        <w:rPr>
          <w:rFonts w:cs="Arial"/>
          <w:b/>
          <w:sz w:val="22"/>
          <w:szCs w:val="22"/>
        </w:rPr>
      </w:pPr>
    </w:p>
    <w:p w14:paraId="7DA52E15" w14:textId="77777777" w:rsidR="00582E9C" w:rsidRPr="00582E9C" w:rsidRDefault="00582E9C" w:rsidP="007B6130">
      <w:pPr>
        <w:pStyle w:val="ListParagraph"/>
        <w:numPr>
          <w:ilvl w:val="0"/>
          <w:numId w:val="4"/>
        </w:numPr>
        <w:contextualSpacing/>
        <w:rPr>
          <w:rFonts w:cs="Arial"/>
          <w:color w:val="000000"/>
          <w:sz w:val="22"/>
          <w:szCs w:val="22"/>
        </w:rPr>
      </w:pPr>
      <w:r w:rsidRPr="00582E9C">
        <w:rPr>
          <w:rFonts w:cs="Arial"/>
          <w:b/>
          <w:sz w:val="22"/>
          <w:szCs w:val="22"/>
        </w:rPr>
        <w:t>Hand Hygiene</w:t>
      </w:r>
    </w:p>
    <w:p w14:paraId="19EAF5E8" w14:textId="439BE78A" w:rsidR="00582E9C" w:rsidRPr="00582E9C" w:rsidRDefault="00582E9C" w:rsidP="007B6130">
      <w:pPr>
        <w:pStyle w:val="ListParagraph"/>
        <w:numPr>
          <w:ilvl w:val="0"/>
          <w:numId w:val="7"/>
        </w:numPr>
        <w:contextualSpacing/>
        <w:rPr>
          <w:rFonts w:cs="Arial"/>
          <w:color w:val="000000"/>
          <w:sz w:val="22"/>
          <w:szCs w:val="22"/>
        </w:rPr>
      </w:pPr>
      <w:r w:rsidRPr="00582E9C">
        <w:rPr>
          <w:rFonts w:cs="Arial"/>
          <w:color w:val="000000"/>
          <w:sz w:val="22"/>
          <w:szCs w:val="22"/>
        </w:rPr>
        <w:t>The bimonthly report from May demonstrates an overall Board compliance rate of 98%. Medical staff compliance reduced from 96% to 94%.</w:t>
      </w:r>
    </w:p>
    <w:p w14:paraId="65E89527" w14:textId="77777777" w:rsidR="00582E9C" w:rsidRPr="00582E9C" w:rsidRDefault="00582E9C" w:rsidP="00F60C01">
      <w:pPr>
        <w:rPr>
          <w:rFonts w:cs="Arial"/>
          <w:color w:val="000000"/>
          <w:szCs w:val="22"/>
        </w:rPr>
      </w:pPr>
    </w:p>
    <w:p w14:paraId="26AEEB23" w14:textId="119BFBD4" w:rsidR="00582E9C" w:rsidRPr="00582E9C" w:rsidRDefault="00582E9C" w:rsidP="007B6130">
      <w:pPr>
        <w:pStyle w:val="ListParagraph"/>
        <w:numPr>
          <w:ilvl w:val="0"/>
          <w:numId w:val="7"/>
        </w:numPr>
        <w:rPr>
          <w:rFonts w:cs="Arial"/>
          <w:color w:val="000000"/>
          <w:sz w:val="22"/>
          <w:szCs w:val="22"/>
        </w:rPr>
      </w:pPr>
      <w:r w:rsidRPr="00582E9C">
        <w:rPr>
          <w:rFonts w:cs="Arial"/>
          <w:color w:val="000000"/>
          <w:sz w:val="22"/>
          <w:szCs w:val="22"/>
        </w:rPr>
        <w:t>Non compliances reported for this time period are predominately related to staff not taking the opportunity to perform hand hygiene at various key moments. No non-compliance noted with bare below elbows. Next update July.</w:t>
      </w:r>
    </w:p>
    <w:p w14:paraId="1F7F5BC2" w14:textId="77777777" w:rsidR="00582E9C" w:rsidRPr="00582E9C" w:rsidRDefault="00582E9C" w:rsidP="00F60C01">
      <w:pPr>
        <w:rPr>
          <w:rFonts w:cs="Arial"/>
          <w:color w:val="000000"/>
          <w:szCs w:val="22"/>
          <w:highlight w:val="yellow"/>
        </w:rPr>
      </w:pPr>
    </w:p>
    <w:p w14:paraId="5513CBEE" w14:textId="77777777" w:rsidR="00582E9C" w:rsidRPr="00582E9C" w:rsidRDefault="00582E9C" w:rsidP="007B6130">
      <w:pPr>
        <w:pStyle w:val="ListParagraph"/>
        <w:numPr>
          <w:ilvl w:val="0"/>
          <w:numId w:val="4"/>
        </w:numPr>
        <w:contextualSpacing/>
        <w:rPr>
          <w:rFonts w:cs="Arial"/>
          <w:b/>
          <w:sz w:val="22"/>
          <w:szCs w:val="22"/>
        </w:rPr>
      </w:pPr>
      <w:r w:rsidRPr="00582E9C">
        <w:rPr>
          <w:rFonts w:cs="Arial"/>
          <w:b/>
          <w:sz w:val="22"/>
          <w:szCs w:val="22"/>
        </w:rPr>
        <w:t>Cleaning and the Healthcare Environment- Facilities Management Tool</w:t>
      </w:r>
    </w:p>
    <w:p w14:paraId="304EC684" w14:textId="77777777" w:rsidR="00582E9C" w:rsidRPr="00582E9C" w:rsidRDefault="00582E9C" w:rsidP="007B6130">
      <w:pPr>
        <w:pStyle w:val="ListParagraph"/>
        <w:numPr>
          <w:ilvl w:val="0"/>
          <w:numId w:val="6"/>
        </w:numPr>
        <w:rPr>
          <w:rFonts w:cs="Arial"/>
          <w:sz w:val="22"/>
          <w:szCs w:val="22"/>
        </w:rPr>
      </w:pPr>
      <w:r w:rsidRPr="00582E9C">
        <w:rPr>
          <w:rFonts w:cs="Arial"/>
          <w:sz w:val="22"/>
          <w:szCs w:val="22"/>
        </w:rPr>
        <w:t xml:space="preserve">Housekeeping Compliance: 98.94%  </w:t>
      </w:r>
    </w:p>
    <w:p w14:paraId="7383464B" w14:textId="4BD4730E" w:rsidR="00582E9C" w:rsidRPr="00582E9C" w:rsidRDefault="00582E9C" w:rsidP="007B6130">
      <w:pPr>
        <w:pStyle w:val="ListParagraph"/>
        <w:numPr>
          <w:ilvl w:val="0"/>
          <w:numId w:val="6"/>
        </w:numPr>
        <w:rPr>
          <w:rFonts w:cs="Arial"/>
          <w:sz w:val="22"/>
          <w:szCs w:val="22"/>
        </w:rPr>
      </w:pPr>
      <w:r w:rsidRPr="00582E9C">
        <w:rPr>
          <w:rFonts w:cs="Arial"/>
          <w:sz w:val="22"/>
          <w:szCs w:val="22"/>
        </w:rPr>
        <w:t xml:space="preserve">Estates Compliance: 99.61% </w:t>
      </w:r>
    </w:p>
    <w:p w14:paraId="0E2CAD7A" w14:textId="77777777" w:rsidR="00582E9C" w:rsidRPr="00582E9C" w:rsidRDefault="00582E9C" w:rsidP="00F60C01">
      <w:pPr>
        <w:rPr>
          <w:rFonts w:cs="Arial"/>
          <w:szCs w:val="22"/>
          <w:highlight w:val="yellow"/>
        </w:rPr>
      </w:pPr>
    </w:p>
    <w:p w14:paraId="6307C91B" w14:textId="32579EB0" w:rsidR="00582E9C" w:rsidRPr="00582E9C" w:rsidRDefault="00582E9C" w:rsidP="007B6130">
      <w:pPr>
        <w:pStyle w:val="ListParagraph"/>
        <w:numPr>
          <w:ilvl w:val="0"/>
          <w:numId w:val="4"/>
        </w:numPr>
        <w:contextualSpacing/>
        <w:rPr>
          <w:rFonts w:cs="Arial"/>
          <w:b/>
          <w:sz w:val="22"/>
          <w:szCs w:val="22"/>
        </w:rPr>
      </w:pPr>
      <w:r w:rsidRPr="00582E9C">
        <w:rPr>
          <w:rFonts w:cs="Arial"/>
          <w:b/>
          <w:sz w:val="22"/>
          <w:szCs w:val="22"/>
        </w:rPr>
        <w:t>Surgical Site Infection</w:t>
      </w:r>
    </w:p>
    <w:p w14:paraId="59F9F9E7" w14:textId="77777777" w:rsidR="00582E9C" w:rsidRPr="00582E9C" w:rsidRDefault="00582E9C" w:rsidP="007B6130">
      <w:pPr>
        <w:pStyle w:val="ListParagraph"/>
        <w:numPr>
          <w:ilvl w:val="0"/>
          <w:numId w:val="5"/>
        </w:numPr>
        <w:rPr>
          <w:rFonts w:cs="Arial"/>
          <w:sz w:val="22"/>
          <w:szCs w:val="22"/>
        </w:rPr>
      </w:pPr>
      <w:r w:rsidRPr="00582E9C">
        <w:rPr>
          <w:rFonts w:cs="Arial"/>
          <w:sz w:val="22"/>
          <w:szCs w:val="22"/>
        </w:rPr>
        <w:t xml:space="preserve">Hip and Knee replacement SSI rates are within control limits. </w:t>
      </w:r>
    </w:p>
    <w:p w14:paraId="3D439447" w14:textId="27F8635C" w:rsidR="00582E9C" w:rsidRPr="00582E9C" w:rsidRDefault="00582E9C" w:rsidP="00F60C01">
      <w:pPr>
        <w:pStyle w:val="ListParagraph"/>
        <w:ind w:left="1080"/>
        <w:rPr>
          <w:rFonts w:cs="Arial"/>
          <w:sz w:val="22"/>
          <w:szCs w:val="22"/>
        </w:rPr>
      </w:pPr>
    </w:p>
    <w:p w14:paraId="7EB404C0" w14:textId="360496B4" w:rsidR="00582E9C" w:rsidRPr="00582E9C" w:rsidRDefault="007B57F5" w:rsidP="007B6130">
      <w:pPr>
        <w:pStyle w:val="ListParagraph"/>
        <w:numPr>
          <w:ilvl w:val="0"/>
          <w:numId w:val="5"/>
        </w:numPr>
        <w:rPr>
          <w:rFonts w:cs="Arial"/>
          <w:sz w:val="22"/>
          <w:szCs w:val="22"/>
        </w:rPr>
      </w:pPr>
      <w:r>
        <w:rPr>
          <w:b/>
          <w:noProof/>
          <w:szCs w:val="22"/>
          <w:lang w:eastAsia="en-GB"/>
        </w:rPr>
        <w:lastRenderedPageBreak/>
        <w:pict w14:anchorId="38BA8186">
          <v:rect id="_x0000_s1834" style="position:absolute;left:0;text-align:left;margin-left:549.75pt;margin-top:0;width:34.6pt;height:853.55pt;flip:y;z-index:252775936;mso-width-percent:60;mso-wrap-distance-left:36pt;mso-wrap-distance-top:7.2pt;mso-wrap-distance-right:7.2pt;mso-wrap-distance-bottom:7.2pt;mso-position-horizontal-relative:page;mso-position-vertical-relative:page;mso-width-percent:60"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834" inset="1mm,1in,1mm,1in">
              <w:txbxContent>
                <w:p w14:paraId="6916380D" w14:textId="77777777" w:rsidR="00F60C01" w:rsidRPr="0058159D" w:rsidRDefault="00F60C01" w:rsidP="00F60C01">
                  <w:pPr>
                    <w:spacing w:before="240"/>
                    <w:rPr>
                      <w:b/>
                      <w:color w:val="17365D" w:themeColor="text2" w:themeShade="BF"/>
                      <w:szCs w:val="24"/>
                    </w:rPr>
                  </w:pPr>
                  <w:r>
                    <w:rPr>
                      <w:b/>
                      <w:color w:val="17365D" w:themeColor="text2" w:themeShade="BF"/>
                      <w:szCs w:val="24"/>
                    </w:rPr>
                    <w:t>Overview and Executive Summary</w:t>
                  </w:r>
                </w:p>
              </w:txbxContent>
            </v:textbox>
            <w10:wrap type="square" anchorx="page" anchory="page"/>
          </v:rect>
        </w:pict>
      </w:r>
      <w:r w:rsidR="00582E9C" w:rsidRPr="00582E9C">
        <w:rPr>
          <w:rFonts w:cs="Arial"/>
          <w:sz w:val="22"/>
          <w:szCs w:val="22"/>
        </w:rPr>
        <w:t>May data indicated 2 readmission infections from patients who have undergone a hip replacement, there has been one further infection in June. There are no commonalities in terms of surgeon or organism.</w:t>
      </w:r>
    </w:p>
    <w:p w14:paraId="59E0467E" w14:textId="77777777" w:rsidR="00582E9C" w:rsidRPr="00CE2C5B" w:rsidRDefault="00582E9C" w:rsidP="00F60C01">
      <w:pPr>
        <w:pStyle w:val="ListParagraph"/>
        <w:rPr>
          <w:rFonts w:cs="Arial"/>
          <w:sz w:val="10"/>
          <w:szCs w:val="10"/>
        </w:rPr>
      </w:pPr>
    </w:p>
    <w:p w14:paraId="35D3DFAF" w14:textId="6EFD1CE9" w:rsidR="00582E9C" w:rsidRPr="00582E9C" w:rsidRDefault="00582E9C" w:rsidP="007B6130">
      <w:pPr>
        <w:pStyle w:val="ListParagraph"/>
        <w:numPr>
          <w:ilvl w:val="0"/>
          <w:numId w:val="5"/>
        </w:numPr>
        <w:rPr>
          <w:rFonts w:cs="Arial"/>
          <w:sz w:val="22"/>
          <w:szCs w:val="22"/>
        </w:rPr>
      </w:pPr>
      <w:r w:rsidRPr="00582E9C">
        <w:rPr>
          <w:rFonts w:cs="Arial"/>
          <w:sz w:val="22"/>
          <w:szCs w:val="22"/>
        </w:rPr>
        <w:t>Cardiac and CABG SSIs are currently within control limits. CABG SSI rate has been in decline to around the median although no sustained trend identified as yet.</w:t>
      </w:r>
    </w:p>
    <w:p w14:paraId="1C390076" w14:textId="1B0B7BA7" w:rsidR="00582E9C" w:rsidRDefault="00582E9C" w:rsidP="00F60C01">
      <w:pPr>
        <w:pStyle w:val="ListParagraph"/>
        <w:rPr>
          <w:rFonts w:cs="Arial"/>
          <w:sz w:val="22"/>
          <w:szCs w:val="22"/>
        </w:rPr>
      </w:pPr>
    </w:p>
    <w:p w14:paraId="22937C4A" w14:textId="77777777" w:rsidR="00CE2C5B" w:rsidRDefault="00CE2C5B" w:rsidP="00F60C01">
      <w:pPr>
        <w:pStyle w:val="ListParagraph"/>
        <w:rPr>
          <w:rFonts w:cs="Arial"/>
          <w:sz w:val="22"/>
          <w:szCs w:val="22"/>
        </w:rPr>
      </w:pPr>
    </w:p>
    <w:p w14:paraId="37D57951" w14:textId="242EE499" w:rsidR="00582E9C" w:rsidRPr="00582E9C" w:rsidRDefault="00582E9C" w:rsidP="00F60C01">
      <w:pPr>
        <w:rPr>
          <w:b/>
          <w:szCs w:val="22"/>
        </w:rPr>
      </w:pPr>
      <w:r>
        <w:rPr>
          <w:b/>
          <w:szCs w:val="22"/>
        </w:rPr>
        <w:t>Complaints</w:t>
      </w:r>
    </w:p>
    <w:p w14:paraId="755AEA14" w14:textId="77777777" w:rsidR="00582E9C" w:rsidRPr="0047039D" w:rsidRDefault="00582E9C" w:rsidP="00F60C01">
      <w:pPr>
        <w:pStyle w:val="ListParagraph"/>
        <w:tabs>
          <w:tab w:val="left" w:pos="5310"/>
        </w:tabs>
        <w:ind w:left="0"/>
        <w:outlineLvl w:val="0"/>
        <w:rPr>
          <w:rFonts w:cs="Arial"/>
          <w:sz w:val="22"/>
          <w:szCs w:val="22"/>
        </w:rPr>
      </w:pPr>
      <w:r w:rsidRPr="0047039D">
        <w:rPr>
          <w:rFonts w:cs="Arial"/>
          <w:sz w:val="22"/>
          <w:szCs w:val="22"/>
        </w:rPr>
        <w:t>In drilling own</w:t>
      </w:r>
      <w:r>
        <w:rPr>
          <w:rFonts w:cs="Arial"/>
          <w:sz w:val="22"/>
          <w:szCs w:val="22"/>
        </w:rPr>
        <w:t xml:space="preserve"> into the complaints data, the Q</w:t>
      </w:r>
      <w:r w:rsidRPr="0047039D">
        <w:rPr>
          <w:rFonts w:cs="Arial"/>
          <w:sz w:val="22"/>
          <w:szCs w:val="22"/>
        </w:rPr>
        <w:t xml:space="preserve">uarter 1 report has recently been issued which showed a total of 33 (18 Stage 1 and 15 Stage 2) complaints over the period (April – June 2019) an increase of 43% (11 </w:t>
      </w:r>
      <w:r>
        <w:rPr>
          <w:rFonts w:cs="Arial"/>
          <w:sz w:val="22"/>
          <w:szCs w:val="22"/>
        </w:rPr>
        <w:t>S</w:t>
      </w:r>
      <w:r w:rsidRPr="0047039D">
        <w:rPr>
          <w:rFonts w:cs="Arial"/>
          <w:sz w:val="22"/>
          <w:szCs w:val="22"/>
        </w:rPr>
        <w:t xml:space="preserve">tage 1 and 11 </w:t>
      </w:r>
      <w:r>
        <w:rPr>
          <w:rFonts w:cs="Arial"/>
          <w:sz w:val="22"/>
          <w:szCs w:val="22"/>
        </w:rPr>
        <w:t>S</w:t>
      </w:r>
      <w:r w:rsidRPr="0047039D">
        <w:rPr>
          <w:rFonts w:cs="Arial"/>
          <w:sz w:val="22"/>
          <w:szCs w:val="22"/>
        </w:rPr>
        <w:t xml:space="preserve">tage 2) since the same quarter in 2018/19.  Out of the 33 complaints received 18 were fully upheld, </w:t>
      </w:r>
      <w:r>
        <w:rPr>
          <w:rFonts w:cs="Arial"/>
          <w:sz w:val="22"/>
          <w:szCs w:val="22"/>
        </w:rPr>
        <w:t>three</w:t>
      </w:r>
      <w:r w:rsidRPr="0047039D">
        <w:rPr>
          <w:rFonts w:cs="Arial"/>
          <w:sz w:val="22"/>
          <w:szCs w:val="22"/>
        </w:rPr>
        <w:t xml:space="preserve"> were partially upheld, 12 not upheld.  The main themes related to waiting list, clinical treatment, with</w:t>
      </w:r>
      <w:r w:rsidRPr="0047039D">
        <w:rPr>
          <w:rFonts w:cs="Arial"/>
          <w:color w:val="FF0000"/>
          <w:sz w:val="22"/>
          <w:szCs w:val="22"/>
        </w:rPr>
        <w:t xml:space="preserve"> </w:t>
      </w:r>
      <w:r w:rsidRPr="0047039D">
        <w:rPr>
          <w:rFonts w:cs="Arial"/>
          <w:sz w:val="22"/>
          <w:szCs w:val="22"/>
        </w:rPr>
        <w:t>Orthopaedic (7) and Cardiothoracic (9) being the services with the highest complaints during Q</w:t>
      </w:r>
      <w:r>
        <w:rPr>
          <w:rFonts w:cs="Arial"/>
          <w:sz w:val="22"/>
          <w:szCs w:val="22"/>
        </w:rPr>
        <w:t xml:space="preserve">uarter </w:t>
      </w:r>
      <w:r w:rsidRPr="0047039D">
        <w:rPr>
          <w:rFonts w:cs="Arial"/>
          <w:sz w:val="22"/>
          <w:szCs w:val="22"/>
        </w:rPr>
        <w:t xml:space="preserve">1; this would be expected due to the activity.  </w:t>
      </w:r>
    </w:p>
    <w:p w14:paraId="3BD2EAEA" w14:textId="77777777" w:rsidR="00582E9C" w:rsidRPr="0047039D" w:rsidRDefault="00582E9C" w:rsidP="00F60C01">
      <w:pPr>
        <w:pStyle w:val="ListParagraph"/>
        <w:tabs>
          <w:tab w:val="left" w:pos="5310"/>
        </w:tabs>
        <w:ind w:left="0"/>
        <w:outlineLvl w:val="0"/>
        <w:rPr>
          <w:rFonts w:cs="Arial"/>
          <w:sz w:val="22"/>
          <w:szCs w:val="22"/>
        </w:rPr>
      </w:pPr>
    </w:p>
    <w:p w14:paraId="258AF158" w14:textId="77777777" w:rsidR="00582E9C" w:rsidRPr="0047039D" w:rsidRDefault="00582E9C" w:rsidP="00F60C01">
      <w:pPr>
        <w:pStyle w:val="ListParagraph"/>
        <w:tabs>
          <w:tab w:val="left" w:pos="5310"/>
        </w:tabs>
        <w:ind w:left="0"/>
        <w:outlineLvl w:val="0"/>
        <w:rPr>
          <w:rFonts w:cs="Arial"/>
          <w:sz w:val="22"/>
          <w:szCs w:val="22"/>
        </w:rPr>
      </w:pPr>
      <w:r w:rsidRPr="0047039D">
        <w:rPr>
          <w:rFonts w:cs="Arial"/>
          <w:sz w:val="22"/>
          <w:szCs w:val="22"/>
        </w:rPr>
        <w:t xml:space="preserve">Despite the increasing figures we are not seeing an increase in re-opened complaints or referrals to </w:t>
      </w:r>
      <w:r>
        <w:rPr>
          <w:rFonts w:cs="Arial"/>
          <w:sz w:val="22"/>
          <w:szCs w:val="22"/>
        </w:rPr>
        <w:t>Scottish Public Services Ombudsman (</w:t>
      </w:r>
      <w:r w:rsidRPr="0047039D">
        <w:rPr>
          <w:rFonts w:cs="Arial"/>
          <w:sz w:val="22"/>
          <w:szCs w:val="22"/>
        </w:rPr>
        <w:t>SPSO</w:t>
      </w:r>
      <w:r>
        <w:rPr>
          <w:rFonts w:cs="Arial"/>
          <w:sz w:val="22"/>
          <w:szCs w:val="22"/>
        </w:rPr>
        <w:t>)</w:t>
      </w:r>
      <w:r w:rsidRPr="0047039D">
        <w:rPr>
          <w:rFonts w:cs="Arial"/>
          <w:sz w:val="22"/>
          <w:szCs w:val="22"/>
        </w:rPr>
        <w:t xml:space="preserve"> however, our response times are a challenge with the increase in numbers.  The increase in levels and response times was discussed in detail at </w:t>
      </w:r>
      <w:r>
        <w:rPr>
          <w:rFonts w:cs="Arial"/>
          <w:sz w:val="22"/>
          <w:szCs w:val="22"/>
        </w:rPr>
        <w:t>Clinical Governance and Risk Management Group (</w:t>
      </w:r>
      <w:r w:rsidRPr="0047039D">
        <w:rPr>
          <w:rFonts w:cs="Arial"/>
          <w:sz w:val="22"/>
          <w:szCs w:val="22"/>
        </w:rPr>
        <w:t>CGRMG</w:t>
      </w:r>
      <w:r>
        <w:rPr>
          <w:rFonts w:cs="Arial"/>
          <w:sz w:val="22"/>
          <w:szCs w:val="22"/>
        </w:rPr>
        <w:t>)</w:t>
      </w:r>
      <w:r w:rsidRPr="0047039D">
        <w:rPr>
          <w:rFonts w:cs="Arial"/>
          <w:sz w:val="22"/>
          <w:szCs w:val="22"/>
        </w:rPr>
        <w:t xml:space="preserve"> with agreement to link to Divisions and draft a paper with an overview of improvements that can be tested to the process to support timely management of complaints.  Following discussion at Divisional </w:t>
      </w:r>
      <w:r>
        <w:rPr>
          <w:rFonts w:cs="Arial"/>
          <w:sz w:val="22"/>
          <w:szCs w:val="22"/>
        </w:rPr>
        <w:t>Management Teams (</w:t>
      </w:r>
      <w:r w:rsidRPr="0047039D">
        <w:rPr>
          <w:rFonts w:cs="Arial"/>
          <w:sz w:val="22"/>
          <w:szCs w:val="22"/>
        </w:rPr>
        <w:t>DMTs</w:t>
      </w:r>
      <w:r>
        <w:rPr>
          <w:rFonts w:cs="Arial"/>
          <w:sz w:val="22"/>
          <w:szCs w:val="22"/>
        </w:rPr>
        <w:t>) it has been agreed to support Continuing Medical Education (</w:t>
      </w:r>
      <w:r w:rsidRPr="0047039D">
        <w:rPr>
          <w:rFonts w:cs="Arial"/>
          <w:sz w:val="22"/>
          <w:szCs w:val="22"/>
        </w:rPr>
        <w:t>CME</w:t>
      </w:r>
      <w:r>
        <w:rPr>
          <w:rFonts w:cs="Arial"/>
          <w:sz w:val="22"/>
          <w:szCs w:val="22"/>
        </w:rPr>
        <w:t>)</w:t>
      </w:r>
      <w:r w:rsidRPr="0047039D">
        <w:rPr>
          <w:rFonts w:cs="Arial"/>
          <w:sz w:val="22"/>
          <w:szCs w:val="22"/>
        </w:rPr>
        <w:t xml:space="preserve"> sessions on complaints process to raise awareness of timelines and input required.  </w:t>
      </w:r>
    </w:p>
    <w:p w14:paraId="6033BD18" w14:textId="77777777" w:rsidR="00B0435F" w:rsidRDefault="00B0435F" w:rsidP="00F60C01"/>
    <w:p w14:paraId="2FEBFBE6" w14:textId="6091296F" w:rsidR="00FE0FCD" w:rsidRPr="00582E9C" w:rsidRDefault="00582E9C" w:rsidP="00F60C01">
      <w:pPr>
        <w:rPr>
          <w:rFonts w:cs="Arial"/>
          <w:b/>
        </w:rPr>
      </w:pPr>
      <w:r>
        <w:rPr>
          <w:rFonts w:cs="Arial"/>
          <w:b/>
        </w:rPr>
        <w:t>Hospital Standardised Mortality Rate (HSMR)</w:t>
      </w:r>
    </w:p>
    <w:p w14:paraId="7FC1A5A1" w14:textId="77777777" w:rsidR="00582E9C" w:rsidRDefault="00582E9C" w:rsidP="00F60C01">
      <w:pPr>
        <w:rPr>
          <w:rFonts w:cs="Arial"/>
        </w:rPr>
      </w:pPr>
      <w:r>
        <w:rPr>
          <w:rFonts w:cs="Arial"/>
        </w:rPr>
        <w:t>HSMR</w:t>
      </w:r>
      <w:r w:rsidR="00FE0FCD" w:rsidRPr="0047039D">
        <w:rPr>
          <w:rFonts w:cs="Arial"/>
        </w:rPr>
        <w:t xml:space="preserve"> data will be published on a quarterly basis and </w:t>
      </w:r>
      <w:r>
        <w:rPr>
          <w:rFonts w:cs="Arial"/>
        </w:rPr>
        <w:t>included in the</w:t>
      </w:r>
      <w:r w:rsidR="00FE0FCD" w:rsidRPr="0047039D">
        <w:rPr>
          <w:rFonts w:cs="Arial"/>
        </w:rPr>
        <w:t xml:space="preserve"> IPR.  </w:t>
      </w:r>
      <w:r>
        <w:rPr>
          <w:rFonts w:cs="Arial"/>
        </w:rPr>
        <w:t xml:space="preserve">This data has been discussed </w:t>
      </w:r>
      <w:r w:rsidR="00FE0FCD" w:rsidRPr="0047039D">
        <w:rPr>
          <w:rFonts w:cs="Arial"/>
        </w:rPr>
        <w:t xml:space="preserve">at Clinical Governance Risk Management Group (CGRMG) and with CG Leads in service on the mortality indicator with an acknowledgement that further work is needed to develop this to make it more meaningful.  </w:t>
      </w:r>
    </w:p>
    <w:p w14:paraId="52DB3D17" w14:textId="77777777" w:rsidR="00582E9C" w:rsidRDefault="00582E9C" w:rsidP="00F60C01">
      <w:pPr>
        <w:rPr>
          <w:rFonts w:cs="Arial"/>
        </w:rPr>
      </w:pPr>
    </w:p>
    <w:p w14:paraId="0B2B704A" w14:textId="5C93663D" w:rsidR="00FE0FCD" w:rsidRDefault="00FE0FCD" w:rsidP="00F60C01">
      <w:pPr>
        <w:rPr>
          <w:rFonts w:cs="Arial"/>
        </w:rPr>
      </w:pPr>
      <w:r w:rsidRPr="0047039D">
        <w:rPr>
          <w:rFonts w:cs="Arial"/>
        </w:rPr>
        <w:t xml:space="preserve">Mortality rates overall for the specialties are within acceptable parameters when compared nationally.  Review and discussion of the cardiology mortality for June has identified a death that will be reviewed via the SAE process.  </w:t>
      </w:r>
    </w:p>
    <w:p w14:paraId="1C7F702C" w14:textId="4DAD5B50" w:rsidR="00FE0FCD" w:rsidRPr="00CE2C5B" w:rsidRDefault="00FE0FCD" w:rsidP="00F60C01">
      <w:pPr>
        <w:rPr>
          <w:rFonts w:cs="Arial"/>
          <w:sz w:val="10"/>
          <w:szCs w:val="10"/>
        </w:rPr>
      </w:pPr>
    </w:p>
    <w:p w14:paraId="0E94DE0A" w14:textId="77777777" w:rsidR="00B0435F" w:rsidRPr="0047039D" w:rsidRDefault="00B0435F" w:rsidP="00F60C01">
      <w:pPr>
        <w:rPr>
          <w:rFonts w:cs="Arial"/>
        </w:rPr>
      </w:pPr>
    </w:p>
    <w:p w14:paraId="33253D82" w14:textId="75B8FC50" w:rsidR="00582E9C" w:rsidRDefault="00582E9C" w:rsidP="00CE2C5B">
      <w:pPr>
        <w:spacing w:line="276" w:lineRule="auto"/>
        <w:rPr>
          <w:rFonts w:cs="Arial"/>
          <w:b/>
          <w:color w:val="1F497D" w:themeColor="text2"/>
          <w:sz w:val="28"/>
          <w:szCs w:val="28"/>
        </w:rPr>
      </w:pPr>
    </w:p>
    <w:p w14:paraId="54B46FB7" w14:textId="73DBBD86" w:rsidR="00CE2C5B" w:rsidRDefault="00CE2C5B" w:rsidP="00CE2C5B">
      <w:pPr>
        <w:spacing w:line="276" w:lineRule="auto"/>
        <w:rPr>
          <w:rFonts w:cs="Arial"/>
          <w:b/>
          <w:color w:val="1F497D" w:themeColor="text2"/>
          <w:sz w:val="28"/>
          <w:szCs w:val="28"/>
        </w:rPr>
      </w:pPr>
    </w:p>
    <w:p w14:paraId="722A1FCA" w14:textId="77777777" w:rsidR="00CE2C5B" w:rsidRDefault="00CE2C5B">
      <w:pPr>
        <w:spacing w:after="200" w:line="276" w:lineRule="auto"/>
        <w:rPr>
          <w:rFonts w:cs="Arial"/>
          <w:b/>
          <w:color w:val="1F497D" w:themeColor="text2"/>
          <w:sz w:val="28"/>
          <w:szCs w:val="28"/>
        </w:rPr>
      </w:pPr>
      <w:r>
        <w:rPr>
          <w:rFonts w:cs="Arial"/>
          <w:b/>
          <w:color w:val="1F497D" w:themeColor="text2"/>
          <w:sz w:val="28"/>
          <w:szCs w:val="28"/>
        </w:rPr>
        <w:br w:type="page"/>
      </w:r>
    </w:p>
    <w:p w14:paraId="5002B7F6" w14:textId="3FB9656C" w:rsidR="00CE2C5B" w:rsidRDefault="00CE2C5B" w:rsidP="00CE2C5B">
      <w:pPr>
        <w:spacing w:line="276" w:lineRule="auto"/>
        <w:rPr>
          <w:rFonts w:cs="Arial"/>
          <w:b/>
          <w:color w:val="1F497D" w:themeColor="text2"/>
          <w:sz w:val="28"/>
          <w:szCs w:val="28"/>
        </w:rPr>
      </w:pPr>
      <w:r>
        <w:rPr>
          <w:rFonts w:cs="Arial"/>
          <w:b/>
          <w:color w:val="1F497D" w:themeColor="text2"/>
          <w:sz w:val="28"/>
          <w:szCs w:val="28"/>
        </w:rPr>
        <w:lastRenderedPageBreak/>
        <w:t xml:space="preserve">STAFF </w:t>
      </w:r>
      <w:r w:rsidRPr="00582E9C">
        <w:rPr>
          <w:rFonts w:cs="Arial"/>
          <w:b/>
          <w:color w:val="1F497D" w:themeColor="text2"/>
          <w:sz w:val="28"/>
          <w:szCs w:val="28"/>
        </w:rPr>
        <w:t>GOVERNANCE</w:t>
      </w:r>
    </w:p>
    <w:p w14:paraId="4674A8EA" w14:textId="77777777" w:rsidR="00CE2C5B" w:rsidRPr="00582E9C" w:rsidRDefault="00CE2C5B" w:rsidP="00CE2C5B">
      <w:pPr>
        <w:spacing w:line="276" w:lineRule="auto"/>
        <w:rPr>
          <w:rFonts w:cs="Arial"/>
          <w:b/>
          <w:color w:val="1F497D" w:themeColor="text2"/>
          <w:sz w:val="28"/>
          <w:szCs w:val="28"/>
        </w:rPr>
      </w:pPr>
    </w:p>
    <w:tbl>
      <w:tblPr>
        <w:tblStyle w:val="TableGrid"/>
        <w:tblW w:w="9286" w:type="dxa"/>
        <w:tblLayout w:type="fixed"/>
        <w:tblLook w:val="04A0" w:firstRow="1" w:lastRow="0" w:firstColumn="1" w:lastColumn="0" w:noHBand="0" w:noVBand="1"/>
      </w:tblPr>
      <w:tblGrid>
        <w:gridCol w:w="2802"/>
        <w:gridCol w:w="567"/>
        <w:gridCol w:w="5917"/>
      </w:tblGrid>
      <w:tr w:rsidR="00CE2C5B" w:rsidRPr="00E92537" w14:paraId="14824926" w14:textId="77777777" w:rsidTr="00BA7396">
        <w:trPr>
          <w:trHeight w:val="358"/>
        </w:trPr>
        <w:tc>
          <w:tcPr>
            <w:tcW w:w="9286" w:type="dxa"/>
            <w:gridSpan w:val="3"/>
            <w:shd w:val="clear" w:color="auto" w:fill="B2A1C7" w:themeFill="accent4" w:themeFillTint="99"/>
          </w:tcPr>
          <w:p w14:paraId="362715F6" w14:textId="77777777" w:rsidR="00CE2C5B" w:rsidRPr="00E92537" w:rsidRDefault="00CE2C5B" w:rsidP="00BA7396">
            <w:pPr>
              <w:rPr>
                <w:rFonts w:cs="Arial"/>
                <w:color w:val="000000" w:themeColor="text1"/>
                <w:szCs w:val="22"/>
              </w:rPr>
            </w:pPr>
            <w:r w:rsidRPr="00E92537">
              <w:rPr>
                <w:rFonts w:cs="Arial"/>
                <w:b/>
                <w:color w:val="000000" w:themeColor="text1"/>
                <w:szCs w:val="22"/>
              </w:rPr>
              <w:t>Staff Governance</w:t>
            </w:r>
          </w:p>
        </w:tc>
      </w:tr>
      <w:tr w:rsidR="00CE2C5B" w:rsidRPr="00E92537" w14:paraId="35128BE0" w14:textId="77777777" w:rsidTr="00BA7396">
        <w:trPr>
          <w:trHeight w:val="651"/>
        </w:trPr>
        <w:tc>
          <w:tcPr>
            <w:tcW w:w="2802" w:type="dxa"/>
          </w:tcPr>
          <w:p w14:paraId="653CF4EB" w14:textId="77777777" w:rsidR="00CE2C5B" w:rsidRPr="00E92537" w:rsidRDefault="00CE2C5B" w:rsidP="00BA7396">
            <w:pPr>
              <w:rPr>
                <w:rFonts w:cs="Arial"/>
                <w:szCs w:val="22"/>
              </w:rPr>
            </w:pPr>
            <w:r w:rsidRPr="00E92537">
              <w:rPr>
                <w:rFonts w:cs="Arial"/>
                <w:szCs w:val="22"/>
              </w:rPr>
              <w:t>Disciplinaries, Grievances and Bullying</w:t>
            </w:r>
          </w:p>
        </w:tc>
        <w:tc>
          <w:tcPr>
            <w:tcW w:w="567" w:type="dxa"/>
            <w:shd w:val="clear" w:color="auto" w:fill="D6E3BC" w:themeFill="accent3" w:themeFillTint="66"/>
          </w:tcPr>
          <w:p w14:paraId="6E8CCB76" w14:textId="77777777" w:rsidR="00CE2C5B" w:rsidRPr="00E92537" w:rsidRDefault="00CE2C5B" w:rsidP="00BA7396">
            <w:pPr>
              <w:rPr>
                <w:rFonts w:cs="Arial"/>
                <w:color w:val="FF0000"/>
                <w:szCs w:val="22"/>
              </w:rPr>
            </w:pPr>
          </w:p>
        </w:tc>
        <w:tc>
          <w:tcPr>
            <w:tcW w:w="5917" w:type="dxa"/>
          </w:tcPr>
          <w:p w14:paraId="2A6663E2" w14:textId="77777777" w:rsidR="00CE2C5B" w:rsidRPr="00E92537" w:rsidRDefault="00CE2C5B" w:rsidP="00BA7396">
            <w:pPr>
              <w:rPr>
                <w:rFonts w:cs="Arial"/>
                <w:szCs w:val="22"/>
              </w:rPr>
            </w:pPr>
            <w:r w:rsidRPr="00E92537">
              <w:rPr>
                <w:rFonts w:cs="Arial"/>
                <w:szCs w:val="22"/>
              </w:rPr>
              <w:t>All three standards met the required levels of performance in July 19</w:t>
            </w:r>
            <w:r>
              <w:rPr>
                <w:rFonts w:cs="Arial"/>
                <w:szCs w:val="22"/>
              </w:rPr>
              <w:t>.</w:t>
            </w:r>
          </w:p>
        </w:tc>
      </w:tr>
      <w:tr w:rsidR="00CE2C5B" w:rsidRPr="00E92537" w14:paraId="498E5FC3" w14:textId="77777777" w:rsidTr="00BA7396">
        <w:trPr>
          <w:trHeight w:val="651"/>
        </w:trPr>
        <w:tc>
          <w:tcPr>
            <w:tcW w:w="2802" w:type="dxa"/>
          </w:tcPr>
          <w:p w14:paraId="238CE1C0" w14:textId="77777777" w:rsidR="00CE2C5B" w:rsidRPr="00E92537" w:rsidRDefault="00CE2C5B" w:rsidP="00BA7396">
            <w:pPr>
              <w:rPr>
                <w:rFonts w:cs="Arial"/>
                <w:color w:val="000000" w:themeColor="text1"/>
                <w:szCs w:val="22"/>
              </w:rPr>
            </w:pPr>
            <w:r w:rsidRPr="00E92537">
              <w:rPr>
                <w:rFonts w:cs="Arial"/>
                <w:color w:val="000000" w:themeColor="text1"/>
                <w:szCs w:val="22"/>
              </w:rPr>
              <w:t>SWISS Sickness absence</w:t>
            </w:r>
          </w:p>
        </w:tc>
        <w:tc>
          <w:tcPr>
            <w:tcW w:w="567" w:type="dxa"/>
            <w:shd w:val="clear" w:color="auto" w:fill="E5B8B7" w:themeFill="accent2" w:themeFillTint="66"/>
          </w:tcPr>
          <w:p w14:paraId="6EBD4043" w14:textId="77777777" w:rsidR="00CE2C5B" w:rsidRPr="00E92537" w:rsidRDefault="00CE2C5B" w:rsidP="00BA7396">
            <w:pPr>
              <w:rPr>
                <w:rFonts w:cs="Arial"/>
                <w:color w:val="FF0000"/>
                <w:szCs w:val="22"/>
              </w:rPr>
            </w:pPr>
          </w:p>
        </w:tc>
        <w:tc>
          <w:tcPr>
            <w:tcW w:w="5917" w:type="dxa"/>
          </w:tcPr>
          <w:p w14:paraId="6D574F69" w14:textId="77777777" w:rsidR="00CE2C5B" w:rsidRPr="00E92537" w:rsidRDefault="00CE2C5B" w:rsidP="00BA7396">
            <w:pPr>
              <w:rPr>
                <w:rFonts w:cs="Arial"/>
                <w:color w:val="000000" w:themeColor="text1"/>
                <w:szCs w:val="22"/>
              </w:rPr>
            </w:pPr>
            <w:r w:rsidRPr="00E92537">
              <w:rPr>
                <w:rFonts w:cs="Arial"/>
                <w:color w:val="000000" w:themeColor="text1"/>
                <w:szCs w:val="22"/>
              </w:rPr>
              <w:t>Nationally reported performance deteriorated slightly from 4.48% in May 19 to 4.65% in June 19 remaining worse than the threshold of &lt;=4%.</w:t>
            </w:r>
          </w:p>
        </w:tc>
      </w:tr>
      <w:tr w:rsidR="00CE2C5B" w:rsidRPr="00E92537" w14:paraId="0CAD18A1" w14:textId="77777777" w:rsidTr="00BA7396">
        <w:trPr>
          <w:trHeight w:val="651"/>
        </w:trPr>
        <w:tc>
          <w:tcPr>
            <w:tcW w:w="2802" w:type="dxa"/>
          </w:tcPr>
          <w:p w14:paraId="75FC95FA" w14:textId="77777777" w:rsidR="00CE2C5B" w:rsidRPr="00E92537" w:rsidRDefault="00CE2C5B" w:rsidP="00BA7396">
            <w:pPr>
              <w:rPr>
                <w:rFonts w:cs="Arial"/>
                <w:szCs w:val="22"/>
              </w:rPr>
            </w:pPr>
            <w:r w:rsidRPr="00E92537">
              <w:rPr>
                <w:rFonts w:cs="Arial"/>
                <w:szCs w:val="22"/>
              </w:rPr>
              <w:t>Local Sickness absence</w:t>
            </w:r>
          </w:p>
        </w:tc>
        <w:tc>
          <w:tcPr>
            <w:tcW w:w="567" w:type="dxa"/>
            <w:shd w:val="clear" w:color="auto" w:fill="E5B8B7" w:themeFill="accent2" w:themeFillTint="66"/>
          </w:tcPr>
          <w:p w14:paraId="7612855D" w14:textId="77777777" w:rsidR="00CE2C5B" w:rsidRPr="00E92537" w:rsidRDefault="00CE2C5B" w:rsidP="00BA7396">
            <w:pPr>
              <w:rPr>
                <w:rFonts w:cs="Arial"/>
                <w:szCs w:val="22"/>
              </w:rPr>
            </w:pPr>
          </w:p>
        </w:tc>
        <w:tc>
          <w:tcPr>
            <w:tcW w:w="5917" w:type="dxa"/>
          </w:tcPr>
          <w:p w14:paraId="3F933034" w14:textId="77777777" w:rsidR="00CE2C5B" w:rsidRPr="00E92537" w:rsidRDefault="00CE2C5B" w:rsidP="00BA7396">
            <w:pPr>
              <w:rPr>
                <w:rFonts w:cs="Arial"/>
                <w:szCs w:val="22"/>
              </w:rPr>
            </w:pPr>
            <w:r w:rsidRPr="00E92537">
              <w:rPr>
                <w:rFonts w:cs="Arial"/>
                <w:szCs w:val="22"/>
              </w:rPr>
              <w:t>Locally reported performance for July 19 was 5.1%. A deterioration of 0.14% compared to June 19.</w:t>
            </w:r>
          </w:p>
        </w:tc>
      </w:tr>
      <w:tr w:rsidR="00CE2C5B" w:rsidRPr="00E92537" w14:paraId="7285378D" w14:textId="77777777" w:rsidTr="00BA7396">
        <w:trPr>
          <w:trHeight w:val="707"/>
        </w:trPr>
        <w:tc>
          <w:tcPr>
            <w:tcW w:w="2802" w:type="dxa"/>
          </w:tcPr>
          <w:p w14:paraId="679694E1" w14:textId="77777777" w:rsidR="00CE2C5B" w:rsidRPr="00E92537" w:rsidRDefault="00CE2C5B" w:rsidP="00BA7396">
            <w:pPr>
              <w:rPr>
                <w:rFonts w:cs="Arial"/>
                <w:szCs w:val="22"/>
              </w:rPr>
            </w:pPr>
            <w:r w:rsidRPr="00E92537">
              <w:rPr>
                <w:rFonts w:cs="Arial"/>
                <w:szCs w:val="22"/>
              </w:rPr>
              <w:t>Medical appraisal with completed interview and form</w:t>
            </w:r>
          </w:p>
        </w:tc>
        <w:tc>
          <w:tcPr>
            <w:tcW w:w="567" w:type="dxa"/>
            <w:shd w:val="clear" w:color="auto" w:fill="E5B8B7" w:themeFill="accent2" w:themeFillTint="66"/>
          </w:tcPr>
          <w:p w14:paraId="16DA6504" w14:textId="77777777" w:rsidR="00CE2C5B" w:rsidRPr="00E92537" w:rsidRDefault="00CE2C5B" w:rsidP="00BA7396">
            <w:pPr>
              <w:rPr>
                <w:rFonts w:cs="Arial"/>
                <w:color w:val="FF0000"/>
                <w:szCs w:val="22"/>
              </w:rPr>
            </w:pPr>
          </w:p>
        </w:tc>
        <w:tc>
          <w:tcPr>
            <w:tcW w:w="5917" w:type="dxa"/>
          </w:tcPr>
          <w:p w14:paraId="536205CC" w14:textId="77777777" w:rsidR="00CE2C5B" w:rsidRPr="00E92537" w:rsidRDefault="00CE2C5B" w:rsidP="00BA7396">
            <w:pPr>
              <w:rPr>
                <w:rFonts w:cs="Arial"/>
                <w:szCs w:val="22"/>
              </w:rPr>
            </w:pPr>
            <w:r w:rsidRPr="00E92537">
              <w:rPr>
                <w:rFonts w:cs="Arial"/>
                <w:szCs w:val="22"/>
              </w:rPr>
              <w:t>Reported position at end of July</w:t>
            </w:r>
            <w:r>
              <w:rPr>
                <w:rFonts w:cs="Arial"/>
                <w:szCs w:val="22"/>
              </w:rPr>
              <w:t xml:space="preserve"> </w:t>
            </w:r>
            <w:r w:rsidRPr="00E92537">
              <w:rPr>
                <w:rFonts w:cs="Arial"/>
                <w:szCs w:val="22"/>
              </w:rPr>
              <w:t xml:space="preserve">19 was 10.3% (13/127) against a threshold of 20% </w:t>
            </w:r>
          </w:p>
        </w:tc>
      </w:tr>
      <w:tr w:rsidR="00CE2C5B" w:rsidRPr="00E92537" w14:paraId="19D3F72C" w14:textId="77777777" w:rsidTr="00BA7396">
        <w:trPr>
          <w:trHeight w:val="651"/>
        </w:trPr>
        <w:tc>
          <w:tcPr>
            <w:tcW w:w="2802" w:type="dxa"/>
          </w:tcPr>
          <w:p w14:paraId="7BB11142" w14:textId="77777777" w:rsidR="00CE2C5B" w:rsidRPr="00E92537" w:rsidRDefault="00CE2C5B" w:rsidP="00BA7396">
            <w:pPr>
              <w:rPr>
                <w:rFonts w:cs="Arial"/>
                <w:szCs w:val="22"/>
              </w:rPr>
            </w:pPr>
            <w:r w:rsidRPr="00E92537">
              <w:rPr>
                <w:rFonts w:cs="Arial"/>
                <w:szCs w:val="22"/>
              </w:rPr>
              <w:t>TURAS Appraisal rates</w:t>
            </w:r>
          </w:p>
        </w:tc>
        <w:tc>
          <w:tcPr>
            <w:tcW w:w="567" w:type="dxa"/>
            <w:shd w:val="clear" w:color="auto" w:fill="E5B8B7" w:themeFill="accent2" w:themeFillTint="66"/>
          </w:tcPr>
          <w:p w14:paraId="52F006B0" w14:textId="77777777" w:rsidR="00CE2C5B" w:rsidRPr="00E92537" w:rsidRDefault="00CE2C5B" w:rsidP="00BA7396">
            <w:pPr>
              <w:rPr>
                <w:rFonts w:cs="Arial"/>
                <w:szCs w:val="22"/>
              </w:rPr>
            </w:pPr>
          </w:p>
        </w:tc>
        <w:tc>
          <w:tcPr>
            <w:tcW w:w="5917" w:type="dxa"/>
          </w:tcPr>
          <w:p w14:paraId="5D3D7590" w14:textId="77777777" w:rsidR="00CE2C5B" w:rsidRPr="00E92537" w:rsidRDefault="00CE2C5B" w:rsidP="00BA7396">
            <w:pPr>
              <w:rPr>
                <w:rFonts w:cs="Arial"/>
                <w:szCs w:val="22"/>
              </w:rPr>
            </w:pPr>
            <w:r w:rsidRPr="00E92537">
              <w:rPr>
                <w:rFonts w:cs="Arial"/>
                <w:szCs w:val="22"/>
              </w:rPr>
              <w:t>Improved by 1% to 68% in July 19 whilst remaining below the required threshold of &gt;=80%. The Hotel TURAS position reported achievement at 88% in July 19.</w:t>
            </w:r>
          </w:p>
        </w:tc>
      </w:tr>
      <w:tr w:rsidR="00CE2C5B" w:rsidRPr="00E92537" w14:paraId="612D4305" w14:textId="77777777" w:rsidTr="00BA7396">
        <w:trPr>
          <w:trHeight w:val="651"/>
        </w:trPr>
        <w:tc>
          <w:tcPr>
            <w:tcW w:w="2802" w:type="dxa"/>
          </w:tcPr>
          <w:p w14:paraId="73BE0F00" w14:textId="77777777" w:rsidR="00CE2C5B" w:rsidRPr="00E92537" w:rsidRDefault="00CE2C5B" w:rsidP="00BA7396">
            <w:pPr>
              <w:rPr>
                <w:rFonts w:cs="Arial"/>
                <w:color w:val="000000" w:themeColor="text1"/>
                <w:szCs w:val="22"/>
              </w:rPr>
            </w:pPr>
            <w:r w:rsidRPr="00E92537">
              <w:rPr>
                <w:rFonts w:cs="Arial"/>
                <w:color w:val="000000" w:themeColor="text1"/>
                <w:szCs w:val="22"/>
              </w:rPr>
              <w:t xml:space="preserve">Job Planning </w:t>
            </w:r>
          </w:p>
        </w:tc>
        <w:tc>
          <w:tcPr>
            <w:tcW w:w="567" w:type="dxa"/>
            <w:shd w:val="clear" w:color="auto" w:fill="E5B8B7" w:themeFill="accent2" w:themeFillTint="66"/>
          </w:tcPr>
          <w:p w14:paraId="5D525FCB" w14:textId="77777777" w:rsidR="00CE2C5B" w:rsidRPr="00E92537" w:rsidRDefault="00CE2C5B" w:rsidP="00BA7396">
            <w:pPr>
              <w:rPr>
                <w:rFonts w:cs="Arial"/>
                <w:color w:val="000000" w:themeColor="text1"/>
                <w:szCs w:val="22"/>
              </w:rPr>
            </w:pPr>
          </w:p>
        </w:tc>
        <w:tc>
          <w:tcPr>
            <w:tcW w:w="5917" w:type="dxa"/>
          </w:tcPr>
          <w:p w14:paraId="3C31E50F" w14:textId="77777777" w:rsidR="00CE2C5B" w:rsidRPr="00E92537" w:rsidRDefault="00CE2C5B" w:rsidP="00BA7396">
            <w:pPr>
              <w:rPr>
                <w:rFonts w:cs="Arial"/>
                <w:color w:val="000000" w:themeColor="text1"/>
                <w:szCs w:val="22"/>
              </w:rPr>
            </w:pPr>
            <w:r w:rsidRPr="00E92537">
              <w:rPr>
                <w:rFonts w:cs="Arial"/>
                <w:color w:val="000000" w:themeColor="text1"/>
                <w:szCs w:val="22"/>
              </w:rPr>
              <w:t>Reported position as at end July 19 f</w:t>
            </w:r>
            <w:r>
              <w:rPr>
                <w:rFonts w:cs="Arial"/>
                <w:color w:val="000000" w:themeColor="text1"/>
                <w:szCs w:val="22"/>
              </w:rPr>
              <w:t xml:space="preserve">or each of the three targets </w:t>
            </w:r>
            <w:r w:rsidRPr="00E92537">
              <w:rPr>
                <w:rFonts w:cs="Arial"/>
                <w:color w:val="000000" w:themeColor="text1"/>
                <w:szCs w:val="22"/>
              </w:rPr>
              <w:t>is 0%. 18% of RNM job plans are progressing throug</w:t>
            </w:r>
            <w:r>
              <w:rPr>
                <w:rFonts w:cs="Arial"/>
                <w:color w:val="000000" w:themeColor="text1"/>
                <w:szCs w:val="22"/>
              </w:rPr>
              <w:t>h the sign off process, 44% of S</w:t>
            </w:r>
            <w:r w:rsidRPr="00E92537">
              <w:rPr>
                <w:rFonts w:cs="Arial"/>
                <w:color w:val="000000" w:themeColor="text1"/>
                <w:szCs w:val="22"/>
              </w:rPr>
              <w:t>urgical SAS doctors are progressing through sign off and 63.5% of Surgical Consultant job plans are progressing through sign off.</w:t>
            </w:r>
          </w:p>
        </w:tc>
      </w:tr>
      <w:tr w:rsidR="00CE2C5B" w:rsidRPr="00E92537" w14:paraId="0A802053" w14:textId="77777777" w:rsidTr="00BA7396">
        <w:trPr>
          <w:trHeight w:val="651"/>
        </w:trPr>
        <w:tc>
          <w:tcPr>
            <w:tcW w:w="2802" w:type="dxa"/>
          </w:tcPr>
          <w:p w14:paraId="2070F71A" w14:textId="77777777" w:rsidR="00CE2C5B" w:rsidRPr="00E92537" w:rsidRDefault="00CE2C5B" w:rsidP="00BA7396">
            <w:pPr>
              <w:rPr>
                <w:rFonts w:cs="Arial"/>
                <w:szCs w:val="22"/>
              </w:rPr>
            </w:pPr>
            <w:r w:rsidRPr="00E92537">
              <w:rPr>
                <w:rFonts w:cs="Arial"/>
                <w:szCs w:val="22"/>
              </w:rPr>
              <w:t>Hotel Sickness Absence</w:t>
            </w:r>
          </w:p>
        </w:tc>
        <w:tc>
          <w:tcPr>
            <w:tcW w:w="567" w:type="dxa"/>
            <w:shd w:val="clear" w:color="auto" w:fill="D6E3BC" w:themeFill="accent3" w:themeFillTint="66"/>
          </w:tcPr>
          <w:p w14:paraId="28C46395" w14:textId="77777777" w:rsidR="00CE2C5B" w:rsidRPr="00E92537" w:rsidRDefault="00CE2C5B" w:rsidP="00BA7396">
            <w:pPr>
              <w:rPr>
                <w:rFonts w:cs="Arial"/>
                <w:szCs w:val="22"/>
              </w:rPr>
            </w:pPr>
          </w:p>
        </w:tc>
        <w:tc>
          <w:tcPr>
            <w:tcW w:w="5917" w:type="dxa"/>
          </w:tcPr>
          <w:p w14:paraId="112D1B61" w14:textId="77777777" w:rsidR="00CE2C5B" w:rsidRPr="00E92537" w:rsidRDefault="00CE2C5B" w:rsidP="00BA7396">
            <w:pPr>
              <w:rPr>
                <w:rFonts w:cs="Arial"/>
                <w:szCs w:val="22"/>
              </w:rPr>
            </w:pPr>
            <w:r w:rsidRPr="00E92537">
              <w:rPr>
                <w:rFonts w:cs="Arial"/>
                <w:szCs w:val="22"/>
              </w:rPr>
              <w:t>The Hotel sickness absence was reported as 2.3% in July 19 a deterioration from 1.0% in June 19 but remaining better than the threshold of &lt;=4%</w:t>
            </w:r>
          </w:p>
        </w:tc>
      </w:tr>
    </w:tbl>
    <w:p w14:paraId="1FE56086" w14:textId="1129EC03" w:rsidR="00582E9C" w:rsidRDefault="007B57F5" w:rsidP="00F60C01">
      <w:r>
        <w:rPr>
          <w:noProof/>
          <w:lang w:eastAsia="en-GB"/>
        </w:rPr>
        <w:pict w14:anchorId="55F9FF43">
          <v:rect id="_x0000_s1830" style="position:absolute;margin-left:13.3pt;margin-top:.55pt;width:33.2pt;height:860.45pt;flip:y;z-index:252771840;mso-wrap-distance-left:36pt;mso-wrap-distance-top:7.2pt;mso-wrap-distance-right:7.2pt;mso-wrap-distance-bottom:7.2pt;mso-position-horizontal-relative:page;mso-position-vertical:absolute;mso-position-vertical-relative:page;v-text-anchor:middle"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830" inset="1mm,1in,1mm,1in">
              <w:txbxContent>
                <w:p w14:paraId="104FF154" w14:textId="77777777" w:rsidR="00F4224D" w:rsidRPr="0058159D" w:rsidRDefault="00F4224D" w:rsidP="00F4224D">
                  <w:pPr>
                    <w:rPr>
                      <w:b/>
                      <w:color w:val="17365D" w:themeColor="text2" w:themeShade="BF"/>
                      <w:szCs w:val="24"/>
                    </w:rPr>
                  </w:pPr>
                  <w:r>
                    <w:rPr>
                      <w:b/>
                      <w:color w:val="17365D" w:themeColor="text2" w:themeShade="BF"/>
                      <w:szCs w:val="24"/>
                    </w:rPr>
                    <w:t>Overview and Executive Summary</w:t>
                  </w:r>
                </w:p>
                <w:p w14:paraId="65E9ECDE" w14:textId="77777777" w:rsidR="00F4224D" w:rsidRPr="0052263D" w:rsidRDefault="00F4224D" w:rsidP="00F4224D">
                  <w:pPr>
                    <w:rPr>
                      <w:szCs w:val="24"/>
                    </w:rPr>
                  </w:pPr>
                </w:p>
              </w:txbxContent>
            </v:textbox>
            <w10:wrap type="square" anchorx="page" anchory="page"/>
          </v:rect>
        </w:pict>
      </w:r>
    </w:p>
    <w:p w14:paraId="59530F7C" w14:textId="15179197" w:rsidR="00D71922" w:rsidRDefault="00D71922" w:rsidP="00F60C01">
      <w:pPr>
        <w:tabs>
          <w:tab w:val="left" w:pos="576"/>
        </w:tabs>
        <w:ind w:right="2"/>
        <w:textAlignment w:val="baseline"/>
        <w:rPr>
          <w:rFonts w:cs="Arial"/>
          <w:color w:val="000000"/>
        </w:rPr>
      </w:pPr>
    </w:p>
    <w:p w14:paraId="4439145D" w14:textId="42ECFE90" w:rsidR="00D71922" w:rsidRPr="00D71922" w:rsidRDefault="00D71922" w:rsidP="00F60C01">
      <w:pPr>
        <w:tabs>
          <w:tab w:val="left" w:pos="576"/>
        </w:tabs>
        <w:ind w:right="2"/>
        <w:textAlignment w:val="baseline"/>
        <w:rPr>
          <w:rFonts w:cs="Arial"/>
          <w:b/>
          <w:color w:val="000000"/>
        </w:rPr>
      </w:pPr>
      <w:r>
        <w:rPr>
          <w:rFonts w:cs="Arial"/>
          <w:b/>
          <w:color w:val="000000"/>
        </w:rPr>
        <w:t>Sickness Absence</w:t>
      </w:r>
    </w:p>
    <w:p w14:paraId="538B0E0A" w14:textId="77777777" w:rsidR="00D71922" w:rsidRDefault="00D71922" w:rsidP="00F60C01">
      <w:pPr>
        <w:rPr>
          <w:rFonts w:cs="Arial"/>
        </w:rPr>
      </w:pPr>
      <w:r w:rsidRPr="00E92537">
        <w:rPr>
          <w:rFonts w:cs="Arial"/>
          <w:color w:val="000000"/>
        </w:rPr>
        <w:t xml:space="preserve">The July 2019 </w:t>
      </w:r>
      <w:r>
        <w:rPr>
          <w:rFonts w:cs="Arial"/>
          <w:color w:val="000000"/>
        </w:rPr>
        <w:t>s</w:t>
      </w:r>
      <w:r w:rsidRPr="00E92537">
        <w:rPr>
          <w:rFonts w:cs="Arial"/>
          <w:color w:val="000000"/>
        </w:rPr>
        <w:t xml:space="preserve">ickness absence rates </w:t>
      </w:r>
      <w:r w:rsidRPr="00E92537">
        <w:rPr>
          <w:rFonts w:cs="Arial"/>
        </w:rPr>
        <w:t xml:space="preserve">saw the Board’s sickness absence percentage come in at 5.1%, which is the fourth month in a row that there has been an increase, up from 4.53% in March 2019.  It is higher than it was in July 2018 (4.4%).  </w:t>
      </w:r>
    </w:p>
    <w:p w14:paraId="22F275C3" w14:textId="77777777" w:rsidR="00D71922" w:rsidRDefault="00D71922" w:rsidP="00F60C01">
      <w:pPr>
        <w:rPr>
          <w:rFonts w:cs="Arial"/>
        </w:rPr>
      </w:pPr>
    </w:p>
    <w:p w14:paraId="6285E7A7" w14:textId="525506CB" w:rsidR="00D71922" w:rsidRPr="00E92537" w:rsidRDefault="00D71922" w:rsidP="00F60C01">
      <w:pPr>
        <w:rPr>
          <w:rFonts w:cs="Arial"/>
        </w:rPr>
      </w:pPr>
      <w:r w:rsidRPr="00E92537">
        <w:rPr>
          <w:rFonts w:cs="Arial"/>
        </w:rPr>
        <w:t>Both Corporate and Regional and National Medicine saw decreases in their sickness absence rates between June and July 2019: Corporate fell by 0.3% from 3.2% to 2.9%, while Regional and National Medicine saw a drop of 1.0% from 4.8% to 3.8%.  The Hotel saw an increase of 1.3% in the month and Surgical Specialties rose by 0.7% from 6.6% to 7.3%.</w:t>
      </w:r>
    </w:p>
    <w:p w14:paraId="4614E92E" w14:textId="77777777" w:rsidR="00D71922" w:rsidRPr="00E92537" w:rsidRDefault="00D71922" w:rsidP="00F60C01">
      <w:pPr>
        <w:rPr>
          <w:rFonts w:cs="Arial"/>
        </w:rPr>
      </w:pPr>
    </w:p>
    <w:p w14:paraId="2B4258B0" w14:textId="77777777" w:rsidR="00D71922" w:rsidRPr="00E92537" w:rsidRDefault="00D71922" w:rsidP="00F60C01">
      <w:pPr>
        <w:rPr>
          <w:rFonts w:cs="Arial"/>
        </w:rPr>
      </w:pPr>
      <w:r w:rsidRPr="00E92537">
        <w:rPr>
          <w:rFonts w:cs="Arial"/>
        </w:rPr>
        <w:t>As with previous months, the greatest proportion of sickness absence was due to “Anxiety/stress/depression/other psychiatric illnesses”, which caused 24.4% of the Board’s sickness absence.</w:t>
      </w:r>
    </w:p>
    <w:p w14:paraId="2B511CA6" w14:textId="77777777" w:rsidR="00D71922" w:rsidRPr="00E92537" w:rsidRDefault="00D71922" w:rsidP="00F60C01">
      <w:pPr>
        <w:rPr>
          <w:rFonts w:cs="Arial"/>
        </w:rPr>
      </w:pPr>
    </w:p>
    <w:p w14:paraId="61C4D56F" w14:textId="77777777" w:rsidR="00D71922" w:rsidRPr="00E92537" w:rsidRDefault="00D71922" w:rsidP="00F60C01">
      <w:pPr>
        <w:rPr>
          <w:rFonts w:cs="Arial"/>
        </w:rPr>
      </w:pPr>
      <w:r w:rsidRPr="00E92537">
        <w:rPr>
          <w:rFonts w:cs="Arial"/>
        </w:rPr>
        <w:t>Information relating to directorate and departmental sickness absence rates has been circulated to Heads of Department. Management, Occupational Health and the Human Resources Team continue to work together to support members of staff during their absences, and to work with staff members to reduce the number and length of sickness absences, assisting them to remain at work and return to work sooner. Occupational Health Physiotherapy offers rapid access to help alleviate musculoskeletal problems.</w:t>
      </w:r>
    </w:p>
    <w:p w14:paraId="573CE7F4" w14:textId="6CD5BE6D" w:rsidR="00D71922" w:rsidRDefault="00D71922" w:rsidP="00F60C01">
      <w:pPr>
        <w:tabs>
          <w:tab w:val="left" w:pos="576"/>
        </w:tabs>
        <w:ind w:right="2"/>
        <w:textAlignment w:val="baseline"/>
        <w:rPr>
          <w:rFonts w:cs="Arial"/>
          <w:color w:val="000000"/>
        </w:rPr>
      </w:pPr>
    </w:p>
    <w:p w14:paraId="569B534E" w14:textId="6C283560" w:rsidR="00D71922" w:rsidRPr="00E92537" w:rsidRDefault="00D71922" w:rsidP="00F60C01">
      <w:pPr>
        <w:ind w:right="2"/>
        <w:textAlignment w:val="baseline"/>
        <w:rPr>
          <w:rFonts w:cs="Arial"/>
        </w:rPr>
      </w:pPr>
      <w:r w:rsidRPr="00E92537">
        <w:rPr>
          <w:rFonts w:cs="Arial"/>
        </w:rPr>
        <w:t>We will undertake a mental health staff survey from 2 to 27</w:t>
      </w:r>
      <w:r>
        <w:rPr>
          <w:rFonts w:cs="Arial"/>
          <w:vertAlign w:val="superscript"/>
        </w:rPr>
        <w:t xml:space="preserve"> </w:t>
      </w:r>
      <w:r w:rsidRPr="00E92537">
        <w:rPr>
          <w:rFonts w:cs="Arial"/>
        </w:rPr>
        <w:t xml:space="preserve">September 2019 in partnership with See Me. This survey aims to provide us with a better understanding of the impact of mental health in the organisation and create a mentally healthy working environment.  </w:t>
      </w:r>
    </w:p>
    <w:p w14:paraId="12B63F55" w14:textId="77777777" w:rsidR="00D71922" w:rsidRDefault="00D71922" w:rsidP="00F60C01">
      <w:pPr>
        <w:ind w:right="2"/>
        <w:textAlignment w:val="baseline"/>
        <w:rPr>
          <w:rFonts w:cs="Arial"/>
        </w:rPr>
      </w:pPr>
    </w:p>
    <w:p w14:paraId="1FD7C51C" w14:textId="6C0B9093" w:rsidR="00D71922" w:rsidRDefault="00D71922" w:rsidP="00F60C01">
      <w:pPr>
        <w:ind w:right="2"/>
        <w:textAlignment w:val="baseline"/>
        <w:rPr>
          <w:rFonts w:cs="Arial"/>
        </w:rPr>
      </w:pPr>
      <w:r w:rsidRPr="00E92537">
        <w:rPr>
          <w:rFonts w:cs="Arial"/>
        </w:rPr>
        <w:t xml:space="preserve"> </w:t>
      </w:r>
    </w:p>
    <w:p w14:paraId="0810C430" w14:textId="4334CF82" w:rsidR="00D71922" w:rsidRPr="00D71922" w:rsidRDefault="00D71922" w:rsidP="00F60C01">
      <w:pPr>
        <w:ind w:right="2"/>
        <w:textAlignment w:val="baseline"/>
        <w:rPr>
          <w:rFonts w:cs="Arial"/>
          <w:b/>
        </w:rPr>
      </w:pPr>
      <w:r>
        <w:rPr>
          <w:rFonts w:cs="Arial"/>
          <w:b/>
        </w:rPr>
        <w:t>TURAS Update</w:t>
      </w:r>
    </w:p>
    <w:p w14:paraId="33B17A9F" w14:textId="77777777" w:rsidR="00D71922" w:rsidRPr="00E92537" w:rsidRDefault="00D71922" w:rsidP="00F60C01">
      <w:pPr>
        <w:rPr>
          <w:rFonts w:cs="Arial"/>
          <w:lang w:eastAsia="en-GB"/>
        </w:rPr>
      </w:pPr>
      <w:r w:rsidRPr="00E92537">
        <w:rPr>
          <w:rFonts w:cs="Arial"/>
        </w:rPr>
        <w:t xml:space="preserve">68% of Agenda for Change staff have completed their appraisal as at 31 July 2019 which has increased by 1% since the previous month.  All managers have received progress </w:t>
      </w:r>
      <w:r w:rsidRPr="00E92537">
        <w:rPr>
          <w:rFonts w:cs="Arial"/>
        </w:rPr>
        <w:lastRenderedPageBreak/>
        <w:t xml:space="preserve">reports in order to identify those staff still to receive their appraisal and this information also highlights when the last appraisals were undertaken on TURAS.     </w:t>
      </w:r>
    </w:p>
    <w:p w14:paraId="3AB9E91F" w14:textId="77777777" w:rsidR="00D71922" w:rsidRPr="00E92537" w:rsidRDefault="00D71922" w:rsidP="00F60C01">
      <w:pPr>
        <w:rPr>
          <w:rFonts w:cs="Arial"/>
        </w:rPr>
      </w:pPr>
    </w:p>
    <w:p w14:paraId="09312F6B" w14:textId="736066E8" w:rsidR="00D71922" w:rsidRPr="00E92537" w:rsidRDefault="007B57F5" w:rsidP="00F60C01">
      <w:pPr>
        <w:ind w:right="2"/>
        <w:textAlignment w:val="baseline"/>
        <w:rPr>
          <w:rFonts w:cs="Arial"/>
          <w:spacing w:val="-1"/>
        </w:rPr>
      </w:pPr>
      <w:r>
        <w:rPr>
          <w:rFonts w:cs="Arial"/>
          <w:noProof/>
          <w:color w:val="000000" w:themeColor="text1"/>
          <w:szCs w:val="22"/>
        </w:rPr>
        <w:pict w14:anchorId="55F9FF43">
          <v:rect id="_x0000_s1838" style="position:absolute;margin-left:547.5pt;margin-top:.55pt;width:33.75pt;height:860.45pt;flip:y;z-index:252776960;mso-wrap-distance-left:36pt;mso-wrap-distance-top:7.2pt;mso-wrap-distance-right:7.2pt;mso-wrap-distance-bottom:7.2pt;mso-position-horizontal-relative:page;mso-position-vertical:absolute;mso-position-vertical-relative:page;v-text-anchor:middle"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838" inset="1mm,1in,1mm,1in">
              <w:txbxContent>
                <w:p w14:paraId="6A8707BD" w14:textId="77777777" w:rsidR="0078538B" w:rsidRPr="0058159D" w:rsidRDefault="0078538B" w:rsidP="0078538B">
                  <w:pPr>
                    <w:rPr>
                      <w:b/>
                      <w:color w:val="17365D" w:themeColor="text2" w:themeShade="BF"/>
                      <w:szCs w:val="24"/>
                    </w:rPr>
                  </w:pPr>
                  <w:r>
                    <w:rPr>
                      <w:b/>
                      <w:color w:val="17365D" w:themeColor="text2" w:themeShade="BF"/>
                      <w:szCs w:val="24"/>
                    </w:rPr>
                    <w:t>Overview and Executive Summary</w:t>
                  </w:r>
                </w:p>
                <w:p w14:paraId="5940C5E2" w14:textId="77777777" w:rsidR="0078538B" w:rsidRPr="0052263D" w:rsidRDefault="0078538B" w:rsidP="0078538B">
                  <w:pPr>
                    <w:rPr>
                      <w:szCs w:val="24"/>
                    </w:rPr>
                  </w:pPr>
                </w:p>
              </w:txbxContent>
            </v:textbox>
            <w10:wrap type="square" anchorx="page" anchory="page"/>
          </v:rect>
        </w:pict>
      </w:r>
      <w:r w:rsidR="00D71922" w:rsidRPr="00E92537">
        <w:rPr>
          <w:rFonts w:cs="Arial"/>
          <w:spacing w:val="-1"/>
        </w:rPr>
        <w:t xml:space="preserve">We are undertaking an analysis of the staff governance data to triangulate sickness absence, appraisal and iMatter completion rates throughout the organization in order to ensure that targeted actions are put in place within those departments highlighted in order to support staff and managers to address any issues and ensure further support is in place where required. </w:t>
      </w:r>
    </w:p>
    <w:p w14:paraId="3EF4D797" w14:textId="77777777" w:rsidR="00D71922" w:rsidRPr="00E92537" w:rsidRDefault="00D71922" w:rsidP="00F60C01">
      <w:pPr>
        <w:ind w:right="2"/>
        <w:textAlignment w:val="baseline"/>
        <w:rPr>
          <w:rFonts w:cs="Arial"/>
        </w:rPr>
      </w:pPr>
    </w:p>
    <w:p w14:paraId="74EB7B1B" w14:textId="78CA53EB" w:rsidR="00582E9C" w:rsidRPr="00582E9C" w:rsidRDefault="00582E9C" w:rsidP="00F60C01">
      <w:pPr>
        <w:spacing w:after="180"/>
        <w:rPr>
          <w:rFonts w:cs="Arial"/>
          <w:b/>
          <w:color w:val="1F497D" w:themeColor="text2"/>
          <w:sz w:val="28"/>
          <w:szCs w:val="28"/>
        </w:rPr>
      </w:pPr>
      <w:r>
        <w:rPr>
          <w:rFonts w:cs="Arial"/>
          <w:b/>
          <w:color w:val="1F497D" w:themeColor="text2"/>
          <w:sz w:val="28"/>
          <w:szCs w:val="28"/>
        </w:rPr>
        <w:t>FINANCE, PERFORMANCE AND RESOURCES</w:t>
      </w:r>
    </w:p>
    <w:tbl>
      <w:tblPr>
        <w:tblStyle w:val="TableGrid"/>
        <w:tblW w:w="8755" w:type="dxa"/>
        <w:tblLayout w:type="fixed"/>
        <w:tblLook w:val="04A0" w:firstRow="1" w:lastRow="0" w:firstColumn="1" w:lastColumn="0" w:noHBand="0" w:noVBand="1"/>
      </w:tblPr>
      <w:tblGrid>
        <w:gridCol w:w="2802"/>
        <w:gridCol w:w="567"/>
        <w:gridCol w:w="5386"/>
      </w:tblGrid>
      <w:tr w:rsidR="004C1112" w:rsidRPr="00E92537" w14:paraId="6D8E34CC" w14:textId="77777777" w:rsidTr="00872A3F">
        <w:tc>
          <w:tcPr>
            <w:tcW w:w="8755" w:type="dxa"/>
            <w:gridSpan w:val="3"/>
            <w:shd w:val="clear" w:color="auto" w:fill="C4BC96" w:themeFill="background2" w:themeFillShade="BF"/>
          </w:tcPr>
          <w:p w14:paraId="4926B8D9" w14:textId="77777777" w:rsidR="004C1112" w:rsidRPr="00E92537" w:rsidRDefault="004C1112" w:rsidP="00F60C01">
            <w:pPr>
              <w:rPr>
                <w:rFonts w:cs="Arial"/>
                <w:b/>
                <w:szCs w:val="22"/>
              </w:rPr>
            </w:pPr>
            <w:r w:rsidRPr="00E92537">
              <w:rPr>
                <w:rFonts w:cs="Arial"/>
                <w:b/>
                <w:szCs w:val="22"/>
              </w:rPr>
              <w:t>Finance, Performance and Resources</w:t>
            </w:r>
          </w:p>
        </w:tc>
      </w:tr>
      <w:tr w:rsidR="004C1112" w:rsidRPr="00E92537" w14:paraId="5D7F86C9" w14:textId="77777777" w:rsidTr="00872A3F">
        <w:tc>
          <w:tcPr>
            <w:tcW w:w="2802" w:type="dxa"/>
          </w:tcPr>
          <w:p w14:paraId="038C5965" w14:textId="77777777" w:rsidR="004C1112" w:rsidRPr="00E92537" w:rsidRDefault="004C1112" w:rsidP="00F60C01">
            <w:pPr>
              <w:rPr>
                <w:rFonts w:cs="Arial"/>
                <w:szCs w:val="22"/>
              </w:rPr>
            </w:pPr>
            <w:r w:rsidRPr="00E92537">
              <w:rPr>
                <w:rFonts w:cs="Arial"/>
                <w:szCs w:val="22"/>
              </w:rPr>
              <w:t>Finance – manage within agreed forecast capital plan</w:t>
            </w:r>
          </w:p>
        </w:tc>
        <w:tc>
          <w:tcPr>
            <w:tcW w:w="567" w:type="dxa"/>
            <w:shd w:val="clear" w:color="auto" w:fill="D6E3BC" w:themeFill="accent3" w:themeFillTint="66"/>
          </w:tcPr>
          <w:p w14:paraId="3A4E1EBB" w14:textId="77777777" w:rsidR="004C1112" w:rsidRPr="00E92537" w:rsidRDefault="004C1112" w:rsidP="00F60C01">
            <w:pPr>
              <w:rPr>
                <w:rFonts w:cs="Arial"/>
                <w:color w:val="FF0000"/>
                <w:szCs w:val="22"/>
              </w:rPr>
            </w:pPr>
          </w:p>
        </w:tc>
        <w:tc>
          <w:tcPr>
            <w:tcW w:w="5386" w:type="dxa"/>
          </w:tcPr>
          <w:p w14:paraId="61FDB7C2" w14:textId="348CF688" w:rsidR="004C1112" w:rsidRPr="00E92537" w:rsidRDefault="004C1112" w:rsidP="00F60C01">
            <w:pPr>
              <w:rPr>
                <w:rFonts w:cs="Arial"/>
                <w:color w:val="FF0000"/>
                <w:szCs w:val="22"/>
              </w:rPr>
            </w:pPr>
            <w:r w:rsidRPr="00E92537">
              <w:rPr>
                <w:rFonts w:cs="Arial"/>
                <w:szCs w:val="22"/>
              </w:rPr>
              <w:t>The capital position is in line with the forecast annual target.</w:t>
            </w:r>
          </w:p>
        </w:tc>
      </w:tr>
      <w:tr w:rsidR="004C1112" w:rsidRPr="00E92537" w14:paraId="426AA431" w14:textId="77777777" w:rsidTr="00872A3F">
        <w:tc>
          <w:tcPr>
            <w:tcW w:w="2802" w:type="dxa"/>
          </w:tcPr>
          <w:p w14:paraId="0062A9C9" w14:textId="77777777" w:rsidR="004C1112" w:rsidRPr="00E92537" w:rsidRDefault="004C1112" w:rsidP="00F60C01">
            <w:pPr>
              <w:rPr>
                <w:rFonts w:cs="Arial"/>
                <w:szCs w:val="22"/>
              </w:rPr>
            </w:pPr>
            <w:r w:rsidRPr="00E92537">
              <w:rPr>
                <w:rFonts w:cs="Arial"/>
                <w:szCs w:val="22"/>
              </w:rPr>
              <w:t>Finance – Manage within annual budget limit</w:t>
            </w:r>
          </w:p>
        </w:tc>
        <w:tc>
          <w:tcPr>
            <w:tcW w:w="567" w:type="dxa"/>
            <w:shd w:val="clear" w:color="auto" w:fill="E5B8B7" w:themeFill="accent2" w:themeFillTint="66"/>
          </w:tcPr>
          <w:p w14:paraId="6418328C" w14:textId="77777777" w:rsidR="004C1112" w:rsidRPr="00E92537" w:rsidRDefault="004C1112" w:rsidP="00F60C01">
            <w:pPr>
              <w:rPr>
                <w:rFonts w:cs="Arial"/>
                <w:szCs w:val="22"/>
              </w:rPr>
            </w:pPr>
          </w:p>
        </w:tc>
        <w:tc>
          <w:tcPr>
            <w:tcW w:w="5386" w:type="dxa"/>
          </w:tcPr>
          <w:p w14:paraId="0F581D59" w14:textId="77777777" w:rsidR="004C1112" w:rsidRPr="00E92537" w:rsidRDefault="004C1112" w:rsidP="00F60C01">
            <w:pPr>
              <w:rPr>
                <w:rFonts w:cs="Arial"/>
                <w:szCs w:val="22"/>
              </w:rPr>
            </w:pPr>
            <w:r w:rsidRPr="00E92537">
              <w:rPr>
                <w:rFonts w:cs="Arial"/>
                <w:szCs w:val="22"/>
              </w:rPr>
              <w:t>The month four year to date results show a position of £239,000 behind the annual budget target.</w:t>
            </w:r>
          </w:p>
        </w:tc>
      </w:tr>
      <w:tr w:rsidR="004C1112" w:rsidRPr="00E92537" w14:paraId="658AA04D" w14:textId="77777777" w:rsidTr="00872A3F">
        <w:tc>
          <w:tcPr>
            <w:tcW w:w="2802" w:type="dxa"/>
          </w:tcPr>
          <w:p w14:paraId="1029C2DF" w14:textId="77777777" w:rsidR="004C1112" w:rsidRPr="00E92537" w:rsidRDefault="004C1112" w:rsidP="00F60C01">
            <w:pPr>
              <w:rPr>
                <w:rFonts w:cs="Arial"/>
                <w:color w:val="000000" w:themeColor="text1"/>
                <w:szCs w:val="22"/>
              </w:rPr>
            </w:pPr>
            <w:r w:rsidRPr="00E92537">
              <w:rPr>
                <w:rFonts w:cs="Arial"/>
                <w:color w:val="000000" w:themeColor="text1"/>
                <w:szCs w:val="22"/>
              </w:rPr>
              <w:t xml:space="preserve">Cancer 31 Day </w:t>
            </w:r>
          </w:p>
        </w:tc>
        <w:tc>
          <w:tcPr>
            <w:tcW w:w="567" w:type="dxa"/>
            <w:shd w:val="clear" w:color="auto" w:fill="D6E3BC" w:themeFill="accent3" w:themeFillTint="66"/>
          </w:tcPr>
          <w:p w14:paraId="2D259B09" w14:textId="77777777" w:rsidR="004C1112" w:rsidRPr="00E92537" w:rsidRDefault="004C1112" w:rsidP="00F60C01">
            <w:pPr>
              <w:rPr>
                <w:rFonts w:cs="Arial"/>
                <w:color w:val="000000" w:themeColor="text1"/>
                <w:szCs w:val="22"/>
              </w:rPr>
            </w:pPr>
          </w:p>
        </w:tc>
        <w:tc>
          <w:tcPr>
            <w:tcW w:w="5386" w:type="dxa"/>
          </w:tcPr>
          <w:p w14:paraId="16B980B0" w14:textId="55A21BF6" w:rsidR="004C1112" w:rsidRPr="00E92537" w:rsidRDefault="004C1112" w:rsidP="00F60C01">
            <w:pPr>
              <w:rPr>
                <w:rFonts w:cs="Arial"/>
                <w:color w:val="000000" w:themeColor="text1"/>
                <w:szCs w:val="22"/>
              </w:rPr>
            </w:pPr>
            <w:r w:rsidRPr="00E92537">
              <w:rPr>
                <w:rFonts w:cs="Arial"/>
                <w:color w:val="000000" w:themeColor="text1"/>
                <w:szCs w:val="22"/>
              </w:rPr>
              <w:t>The GJNH 31</w:t>
            </w:r>
            <w:r w:rsidR="002A4EB1">
              <w:rPr>
                <w:rFonts w:cs="Arial"/>
                <w:color w:val="000000" w:themeColor="text1"/>
                <w:szCs w:val="22"/>
              </w:rPr>
              <w:t xml:space="preserve"> </w:t>
            </w:r>
            <w:r w:rsidRPr="00E92537">
              <w:rPr>
                <w:rFonts w:cs="Arial"/>
                <w:color w:val="000000" w:themeColor="text1"/>
                <w:szCs w:val="22"/>
              </w:rPr>
              <w:t xml:space="preserve">day treatment target was reported as 97.8% (45/46). This was due to a patient's base hospital not </w:t>
            </w:r>
            <w:r w:rsidR="00F57B29" w:rsidRPr="002A4EB1">
              <w:rPr>
                <w:rFonts w:cs="Arial"/>
                <w:color w:val="000000" w:themeColor="text1"/>
                <w:szCs w:val="22"/>
              </w:rPr>
              <w:t xml:space="preserve">applying </w:t>
            </w:r>
            <w:r w:rsidRPr="002A4EB1">
              <w:rPr>
                <w:rFonts w:cs="Arial"/>
                <w:color w:val="000000" w:themeColor="text1"/>
                <w:szCs w:val="22"/>
              </w:rPr>
              <w:t>the correct unavailability</w:t>
            </w:r>
            <w:r w:rsidR="00F57B29" w:rsidRPr="002A4EB1">
              <w:rPr>
                <w:rFonts w:cs="Arial"/>
                <w:color w:val="000000" w:themeColor="text1"/>
                <w:szCs w:val="22"/>
              </w:rPr>
              <w:t xml:space="preserve"> to the patient – this has now been rectified.</w:t>
            </w:r>
            <w:r w:rsidRPr="002A4EB1">
              <w:rPr>
                <w:rFonts w:cs="Arial"/>
                <w:color w:val="000000" w:themeColor="text1"/>
                <w:szCs w:val="22"/>
              </w:rPr>
              <w:t xml:space="preserve"> 100% of GJNH cancer patients were treated within 31 days. </w:t>
            </w:r>
          </w:p>
        </w:tc>
      </w:tr>
      <w:tr w:rsidR="004C1112" w:rsidRPr="00E92537" w14:paraId="4E1701B4" w14:textId="77777777" w:rsidTr="00872A3F">
        <w:tc>
          <w:tcPr>
            <w:tcW w:w="2802" w:type="dxa"/>
          </w:tcPr>
          <w:p w14:paraId="123484F0" w14:textId="77777777" w:rsidR="004C1112" w:rsidRPr="00E92537" w:rsidRDefault="004C1112" w:rsidP="00F60C01">
            <w:pPr>
              <w:rPr>
                <w:rFonts w:cs="Arial"/>
                <w:color w:val="000000" w:themeColor="text1"/>
                <w:szCs w:val="22"/>
              </w:rPr>
            </w:pPr>
            <w:r w:rsidRPr="00E92537">
              <w:rPr>
                <w:rFonts w:cs="Arial"/>
                <w:color w:val="000000" w:themeColor="text1"/>
                <w:szCs w:val="22"/>
              </w:rPr>
              <w:t>TTG: Number of patients who have breached the TTG</w:t>
            </w:r>
          </w:p>
        </w:tc>
        <w:tc>
          <w:tcPr>
            <w:tcW w:w="567" w:type="dxa"/>
            <w:shd w:val="clear" w:color="auto" w:fill="E5B8B7" w:themeFill="accent2" w:themeFillTint="66"/>
          </w:tcPr>
          <w:p w14:paraId="03DCB24C" w14:textId="77777777" w:rsidR="004C1112" w:rsidRPr="00E92537" w:rsidRDefault="004C1112" w:rsidP="00F60C01">
            <w:pPr>
              <w:rPr>
                <w:rFonts w:cs="Arial"/>
                <w:color w:val="000000" w:themeColor="text1"/>
                <w:szCs w:val="22"/>
              </w:rPr>
            </w:pPr>
          </w:p>
        </w:tc>
        <w:tc>
          <w:tcPr>
            <w:tcW w:w="5386" w:type="dxa"/>
          </w:tcPr>
          <w:p w14:paraId="44B0CF8C" w14:textId="77777777" w:rsidR="004C1112" w:rsidRPr="00E92537" w:rsidRDefault="004C1112" w:rsidP="00F60C01">
            <w:pPr>
              <w:rPr>
                <w:rFonts w:cs="Arial"/>
                <w:color w:val="000000" w:themeColor="text1"/>
                <w:szCs w:val="22"/>
              </w:rPr>
            </w:pPr>
            <w:r w:rsidRPr="00E92537">
              <w:rPr>
                <w:rFonts w:cs="Arial"/>
                <w:color w:val="000000" w:themeColor="text1"/>
                <w:szCs w:val="22"/>
              </w:rPr>
              <w:t>The number of breaches reported in Jul</w:t>
            </w:r>
            <w:r w:rsidR="00B774DE" w:rsidRPr="00E92537">
              <w:rPr>
                <w:rFonts w:cs="Arial"/>
                <w:color w:val="000000" w:themeColor="text1"/>
                <w:szCs w:val="22"/>
              </w:rPr>
              <w:t xml:space="preserve">y </w:t>
            </w:r>
            <w:r w:rsidRPr="00E92537">
              <w:rPr>
                <w:rFonts w:cs="Arial"/>
                <w:color w:val="000000" w:themeColor="text1"/>
                <w:szCs w:val="22"/>
              </w:rPr>
              <w:t>19 was 114. This compares to 158 in Jun</w:t>
            </w:r>
            <w:r w:rsidR="00B774DE" w:rsidRPr="00E92537">
              <w:rPr>
                <w:rFonts w:cs="Arial"/>
                <w:color w:val="000000" w:themeColor="text1"/>
                <w:szCs w:val="22"/>
              </w:rPr>
              <w:t xml:space="preserve">e </w:t>
            </w:r>
            <w:r w:rsidRPr="00E92537">
              <w:rPr>
                <w:rFonts w:cs="Arial"/>
                <w:color w:val="000000" w:themeColor="text1"/>
                <w:szCs w:val="22"/>
              </w:rPr>
              <w:t>19 (-44)</w:t>
            </w:r>
            <w:r w:rsidR="00F57B29">
              <w:rPr>
                <w:rFonts w:cs="Arial"/>
                <w:color w:val="000000" w:themeColor="text1"/>
                <w:szCs w:val="22"/>
              </w:rPr>
              <w:t>.</w:t>
            </w:r>
            <w:r w:rsidRPr="00E92537">
              <w:rPr>
                <w:rFonts w:cs="Arial"/>
                <w:color w:val="000000" w:themeColor="text1"/>
                <w:szCs w:val="22"/>
              </w:rPr>
              <w:t xml:space="preserve"> The largest decrease was in Electrophysiology (-37)</w:t>
            </w:r>
            <w:r w:rsidR="00F57B29">
              <w:rPr>
                <w:rFonts w:cs="Arial"/>
                <w:color w:val="000000" w:themeColor="text1"/>
                <w:szCs w:val="22"/>
              </w:rPr>
              <w:t>.</w:t>
            </w:r>
          </w:p>
        </w:tc>
      </w:tr>
      <w:tr w:rsidR="004C1112" w:rsidRPr="00E92537" w14:paraId="2AD74F51" w14:textId="77777777" w:rsidTr="00872A3F">
        <w:tc>
          <w:tcPr>
            <w:tcW w:w="2802" w:type="dxa"/>
          </w:tcPr>
          <w:p w14:paraId="63A93A0B" w14:textId="77777777" w:rsidR="004C1112" w:rsidRPr="00E92537" w:rsidRDefault="004C1112" w:rsidP="00F60C01">
            <w:pPr>
              <w:rPr>
                <w:rFonts w:cs="Arial"/>
                <w:color w:val="000000" w:themeColor="text1"/>
                <w:szCs w:val="22"/>
              </w:rPr>
            </w:pPr>
            <w:r w:rsidRPr="00E92537">
              <w:rPr>
                <w:rFonts w:cs="Arial"/>
                <w:color w:val="000000" w:themeColor="text1"/>
                <w:szCs w:val="22"/>
              </w:rPr>
              <w:t>TTG: Percentage of patients admitted within 12 weeks</w:t>
            </w:r>
          </w:p>
        </w:tc>
        <w:tc>
          <w:tcPr>
            <w:tcW w:w="567" w:type="dxa"/>
            <w:shd w:val="clear" w:color="auto" w:fill="E5B8B7" w:themeFill="accent2" w:themeFillTint="66"/>
          </w:tcPr>
          <w:p w14:paraId="6E24A829" w14:textId="77777777" w:rsidR="004C1112" w:rsidRPr="00E92537" w:rsidRDefault="004C1112" w:rsidP="00F60C01">
            <w:pPr>
              <w:rPr>
                <w:rFonts w:cs="Arial"/>
                <w:color w:val="FF0000"/>
                <w:szCs w:val="22"/>
              </w:rPr>
            </w:pPr>
          </w:p>
        </w:tc>
        <w:tc>
          <w:tcPr>
            <w:tcW w:w="5386" w:type="dxa"/>
          </w:tcPr>
          <w:p w14:paraId="0F5429E1" w14:textId="26028DB9" w:rsidR="004C1112" w:rsidRPr="00E92537" w:rsidRDefault="004C1112" w:rsidP="00F60C01">
            <w:pPr>
              <w:rPr>
                <w:rFonts w:cs="Arial"/>
                <w:color w:val="000000" w:themeColor="text1"/>
                <w:szCs w:val="22"/>
              </w:rPr>
            </w:pPr>
            <w:r w:rsidRPr="00E92537">
              <w:rPr>
                <w:rFonts w:cs="Arial"/>
                <w:color w:val="000000" w:themeColor="text1"/>
                <w:szCs w:val="22"/>
              </w:rPr>
              <w:t>Percentage fell slightly by 1% from 90.5% in Jun</w:t>
            </w:r>
            <w:r w:rsidR="00B774DE" w:rsidRPr="00E92537">
              <w:rPr>
                <w:rFonts w:cs="Arial"/>
                <w:color w:val="000000" w:themeColor="text1"/>
                <w:szCs w:val="22"/>
              </w:rPr>
              <w:t>e 19 to 88.6% in Jul</w:t>
            </w:r>
            <w:r w:rsidR="00F57B29">
              <w:rPr>
                <w:rFonts w:cs="Arial"/>
                <w:color w:val="000000" w:themeColor="text1"/>
                <w:szCs w:val="22"/>
              </w:rPr>
              <w:t xml:space="preserve"> </w:t>
            </w:r>
            <w:r w:rsidRPr="00E92537">
              <w:rPr>
                <w:rFonts w:cs="Arial"/>
                <w:color w:val="000000" w:themeColor="text1"/>
                <w:szCs w:val="22"/>
              </w:rPr>
              <w:t>19. This reflects an increase in the number of patients admitted over 12 weeks (+35)</w:t>
            </w:r>
          </w:p>
        </w:tc>
      </w:tr>
      <w:tr w:rsidR="004C1112" w:rsidRPr="00E92537" w14:paraId="3638D42C" w14:textId="77777777" w:rsidTr="00872A3F">
        <w:tc>
          <w:tcPr>
            <w:tcW w:w="2802" w:type="dxa"/>
          </w:tcPr>
          <w:p w14:paraId="210AA135" w14:textId="77777777" w:rsidR="004C1112" w:rsidRPr="00E92537" w:rsidRDefault="004C1112" w:rsidP="00F60C01">
            <w:pPr>
              <w:rPr>
                <w:rFonts w:cs="Arial"/>
                <w:color w:val="000000" w:themeColor="text1"/>
                <w:szCs w:val="22"/>
              </w:rPr>
            </w:pPr>
            <w:r w:rsidRPr="00E92537">
              <w:rPr>
                <w:rFonts w:cs="Arial"/>
                <w:color w:val="000000" w:themeColor="text1"/>
                <w:szCs w:val="22"/>
              </w:rPr>
              <w:t>Stage of Treatment Guarantee – Inp and DC cases (Heart &amp; Lung only)</w:t>
            </w:r>
          </w:p>
        </w:tc>
        <w:tc>
          <w:tcPr>
            <w:tcW w:w="567" w:type="dxa"/>
            <w:shd w:val="clear" w:color="auto" w:fill="E5B8B7" w:themeFill="accent2" w:themeFillTint="66"/>
          </w:tcPr>
          <w:p w14:paraId="2FD72C5F" w14:textId="77777777" w:rsidR="004C1112" w:rsidRPr="00E92537" w:rsidRDefault="004C1112" w:rsidP="00F60C01">
            <w:pPr>
              <w:rPr>
                <w:rFonts w:cs="Arial"/>
                <w:color w:val="000000" w:themeColor="text1"/>
                <w:szCs w:val="22"/>
              </w:rPr>
            </w:pPr>
          </w:p>
        </w:tc>
        <w:tc>
          <w:tcPr>
            <w:tcW w:w="5386" w:type="dxa"/>
          </w:tcPr>
          <w:p w14:paraId="6CCE023D" w14:textId="6A018C7B" w:rsidR="004C1112" w:rsidRPr="00E92537" w:rsidRDefault="004C1112" w:rsidP="00F60C01">
            <w:pPr>
              <w:rPr>
                <w:rFonts w:cs="Arial"/>
                <w:color w:val="000000" w:themeColor="text1"/>
                <w:szCs w:val="22"/>
              </w:rPr>
            </w:pPr>
            <w:r w:rsidRPr="00E92537">
              <w:rPr>
                <w:rFonts w:cs="Arial"/>
                <w:color w:val="000000" w:themeColor="text1"/>
                <w:szCs w:val="22"/>
              </w:rPr>
              <w:t>Position</w:t>
            </w:r>
            <w:r w:rsidR="00B774DE" w:rsidRPr="00E92537">
              <w:rPr>
                <w:rFonts w:cs="Arial"/>
                <w:color w:val="000000" w:themeColor="text1"/>
                <w:szCs w:val="22"/>
              </w:rPr>
              <w:t xml:space="preserve"> deteriorated from 75.4% in June</w:t>
            </w:r>
            <w:r w:rsidR="00F57B29">
              <w:rPr>
                <w:rFonts w:cs="Arial"/>
                <w:color w:val="000000" w:themeColor="text1"/>
                <w:szCs w:val="22"/>
              </w:rPr>
              <w:t xml:space="preserve"> </w:t>
            </w:r>
            <w:r w:rsidR="00B774DE" w:rsidRPr="00E92537">
              <w:rPr>
                <w:rFonts w:cs="Arial"/>
                <w:color w:val="000000" w:themeColor="text1"/>
                <w:szCs w:val="22"/>
              </w:rPr>
              <w:t xml:space="preserve">19 to 69.9% in July </w:t>
            </w:r>
            <w:r w:rsidRPr="00E92537">
              <w:rPr>
                <w:rFonts w:cs="Arial"/>
                <w:color w:val="000000" w:themeColor="text1"/>
                <w:szCs w:val="22"/>
              </w:rPr>
              <w:t>19 and remained below the threshold of &gt;=90%. The number of patients treated over 12 weeks increased to 174 (+35) whilst the number of patients treated within 12 weeks decreased (-22)</w:t>
            </w:r>
            <w:r w:rsidR="00F57B29">
              <w:rPr>
                <w:rFonts w:cs="Arial"/>
                <w:color w:val="000000" w:themeColor="text1"/>
                <w:szCs w:val="22"/>
              </w:rPr>
              <w:t>.</w:t>
            </w:r>
          </w:p>
        </w:tc>
      </w:tr>
      <w:tr w:rsidR="004C1112" w:rsidRPr="00E92537" w14:paraId="763329A4" w14:textId="77777777" w:rsidTr="00872A3F">
        <w:tc>
          <w:tcPr>
            <w:tcW w:w="2802" w:type="dxa"/>
          </w:tcPr>
          <w:p w14:paraId="3D30791F" w14:textId="77777777" w:rsidR="004C1112" w:rsidRPr="00E92537" w:rsidRDefault="004C1112" w:rsidP="00F60C01">
            <w:pPr>
              <w:rPr>
                <w:rFonts w:cs="Arial"/>
                <w:color w:val="000000" w:themeColor="text1"/>
                <w:szCs w:val="22"/>
              </w:rPr>
            </w:pPr>
            <w:r w:rsidRPr="00E92537">
              <w:rPr>
                <w:rFonts w:cs="Arial"/>
                <w:color w:val="000000" w:themeColor="text1"/>
                <w:szCs w:val="22"/>
              </w:rPr>
              <w:t>DOSA rate: Orthopaedic, Cardiac Surgery</w:t>
            </w:r>
          </w:p>
        </w:tc>
        <w:tc>
          <w:tcPr>
            <w:tcW w:w="567" w:type="dxa"/>
            <w:shd w:val="clear" w:color="auto" w:fill="E5B8B7" w:themeFill="accent2" w:themeFillTint="66"/>
          </w:tcPr>
          <w:p w14:paraId="07A36BA3" w14:textId="77777777" w:rsidR="004C1112" w:rsidRPr="00E92537" w:rsidRDefault="004C1112" w:rsidP="00F60C01">
            <w:pPr>
              <w:rPr>
                <w:rFonts w:cs="Arial"/>
                <w:color w:val="000000" w:themeColor="text1"/>
                <w:szCs w:val="22"/>
              </w:rPr>
            </w:pPr>
          </w:p>
        </w:tc>
        <w:tc>
          <w:tcPr>
            <w:tcW w:w="5386" w:type="dxa"/>
          </w:tcPr>
          <w:p w14:paraId="236509BC" w14:textId="77777777" w:rsidR="004C1112" w:rsidRPr="00E92537" w:rsidRDefault="004C1112" w:rsidP="00F60C01">
            <w:pPr>
              <w:rPr>
                <w:rFonts w:cs="Arial"/>
                <w:color w:val="000000" w:themeColor="text1"/>
                <w:szCs w:val="22"/>
              </w:rPr>
            </w:pPr>
            <w:r w:rsidRPr="00E92537">
              <w:rPr>
                <w:rFonts w:cs="Arial"/>
                <w:color w:val="000000" w:themeColor="text1"/>
                <w:szCs w:val="22"/>
              </w:rPr>
              <w:t xml:space="preserve">DOSA rates for Orthopaedic (62.4%) and Cardiac </w:t>
            </w:r>
            <w:r w:rsidR="00B774DE" w:rsidRPr="00E92537">
              <w:rPr>
                <w:rFonts w:cs="Arial"/>
                <w:color w:val="000000" w:themeColor="text1"/>
                <w:szCs w:val="22"/>
              </w:rPr>
              <w:t xml:space="preserve">Surgery (12.5%) improved in July </w:t>
            </w:r>
            <w:r w:rsidRPr="00E92537">
              <w:rPr>
                <w:rFonts w:cs="Arial"/>
                <w:color w:val="000000" w:themeColor="text1"/>
                <w:szCs w:val="22"/>
              </w:rPr>
              <w:t>19 but remained below their respective thresholds.</w:t>
            </w:r>
          </w:p>
        </w:tc>
      </w:tr>
      <w:tr w:rsidR="004C1112" w:rsidRPr="00E92537" w14:paraId="5CBE1738" w14:textId="77777777" w:rsidTr="00872A3F">
        <w:tc>
          <w:tcPr>
            <w:tcW w:w="2802" w:type="dxa"/>
          </w:tcPr>
          <w:p w14:paraId="23D16933" w14:textId="77777777" w:rsidR="004C1112" w:rsidRPr="00E92537" w:rsidRDefault="004C1112" w:rsidP="00F60C01">
            <w:pPr>
              <w:rPr>
                <w:rFonts w:cs="Arial"/>
                <w:color w:val="000000" w:themeColor="text1"/>
                <w:szCs w:val="22"/>
              </w:rPr>
            </w:pPr>
            <w:r w:rsidRPr="00E92537">
              <w:rPr>
                <w:rFonts w:cs="Arial"/>
                <w:color w:val="000000" w:themeColor="text1"/>
                <w:szCs w:val="22"/>
              </w:rPr>
              <w:t>DOSA rate: Thoracic Surgery</w:t>
            </w:r>
          </w:p>
        </w:tc>
        <w:tc>
          <w:tcPr>
            <w:tcW w:w="567" w:type="dxa"/>
            <w:shd w:val="clear" w:color="auto" w:fill="E5B8B7" w:themeFill="accent2" w:themeFillTint="66"/>
          </w:tcPr>
          <w:p w14:paraId="33BD7D4E" w14:textId="77777777" w:rsidR="004C1112" w:rsidRPr="00E92537" w:rsidRDefault="004C1112" w:rsidP="00F60C01">
            <w:pPr>
              <w:rPr>
                <w:rFonts w:cs="Arial"/>
                <w:color w:val="000000" w:themeColor="text1"/>
                <w:szCs w:val="22"/>
              </w:rPr>
            </w:pPr>
          </w:p>
        </w:tc>
        <w:tc>
          <w:tcPr>
            <w:tcW w:w="5386" w:type="dxa"/>
          </w:tcPr>
          <w:p w14:paraId="077CE086" w14:textId="77777777" w:rsidR="004C1112" w:rsidRPr="00E92537" w:rsidRDefault="004C1112" w:rsidP="00F60C01">
            <w:pPr>
              <w:rPr>
                <w:rFonts w:cs="Arial"/>
                <w:color w:val="000000" w:themeColor="text1"/>
                <w:szCs w:val="22"/>
              </w:rPr>
            </w:pPr>
            <w:r w:rsidRPr="00E92537">
              <w:rPr>
                <w:rFonts w:cs="Arial"/>
                <w:color w:val="000000" w:themeColor="text1"/>
                <w:szCs w:val="22"/>
              </w:rPr>
              <w:t>Thoracic Surgery DOSA rate for Jul</w:t>
            </w:r>
            <w:r w:rsidR="00B774DE" w:rsidRPr="00E92537">
              <w:rPr>
                <w:rFonts w:cs="Arial"/>
                <w:color w:val="000000" w:themeColor="text1"/>
                <w:szCs w:val="22"/>
              </w:rPr>
              <w:t xml:space="preserve">y </w:t>
            </w:r>
            <w:r w:rsidRPr="00E92537">
              <w:rPr>
                <w:rFonts w:cs="Arial"/>
                <w:color w:val="000000" w:themeColor="text1"/>
                <w:szCs w:val="22"/>
              </w:rPr>
              <w:t>19 was 20.8%, sligh</w:t>
            </w:r>
            <w:r w:rsidR="00B774DE" w:rsidRPr="00E92537">
              <w:rPr>
                <w:rFonts w:cs="Arial"/>
                <w:color w:val="000000" w:themeColor="text1"/>
                <w:szCs w:val="22"/>
              </w:rPr>
              <w:t xml:space="preserve">tly below the June </w:t>
            </w:r>
            <w:r w:rsidRPr="00E92537">
              <w:rPr>
                <w:rFonts w:cs="Arial"/>
                <w:color w:val="000000" w:themeColor="text1"/>
                <w:szCs w:val="22"/>
              </w:rPr>
              <w:t>19 level and below threshold.</w:t>
            </w:r>
          </w:p>
        </w:tc>
      </w:tr>
      <w:tr w:rsidR="004C1112" w:rsidRPr="00E92537" w14:paraId="67D330EB" w14:textId="77777777" w:rsidTr="00872A3F">
        <w:tc>
          <w:tcPr>
            <w:tcW w:w="2802" w:type="dxa"/>
          </w:tcPr>
          <w:p w14:paraId="038DB56F" w14:textId="77777777" w:rsidR="004C1112" w:rsidRPr="00E92537" w:rsidRDefault="004C1112" w:rsidP="00431DA3">
            <w:pPr>
              <w:rPr>
                <w:rFonts w:cs="Arial"/>
                <w:color w:val="000000" w:themeColor="text1"/>
                <w:szCs w:val="22"/>
              </w:rPr>
            </w:pPr>
            <w:r w:rsidRPr="00E92537">
              <w:rPr>
                <w:rFonts w:cs="Arial"/>
                <w:color w:val="000000" w:themeColor="text1"/>
                <w:szCs w:val="22"/>
              </w:rPr>
              <w:t>Theatre Cancellation Rates</w:t>
            </w:r>
          </w:p>
        </w:tc>
        <w:tc>
          <w:tcPr>
            <w:tcW w:w="567" w:type="dxa"/>
            <w:shd w:val="clear" w:color="auto" w:fill="FBD4B4" w:themeFill="accent6" w:themeFillTint="66"/>
          </w:tcPr>
          <w:p w14:paraId="6E7620FD" w14:textId="77777777" w:rsidR="004C1112" w:rsidRPr="00E92537" w:rsidRDefault="004C1112" w:rsidP="00431DA3">
            <w:pPr>
              <w:jc w:val="both"/>
              <w:rPr>
                <w:rFonts w:cs="Arial"/>
                <w:color w:val="000000" w:themeColor="text1"/>
                <w:szCs w:val="22"/>
              </w:rPr>
            </w:pPr>
          </w:p>
        </w:tc>
        <w:tc>
          <w:tcPr>
            <w:tcW w:w="5386" w:type="dxa"/>
          </w:tcPr>
          <w:p w14:paraId="44DC768E" w14:textId="77777777" w:rsidR="00F57B29" w:rsidRDefault="00B774DE" w:rsidP="00431DA3">
            <w:pPr>
              <w:jc w:val="both"/>
              <w:rPr>
                <w:rFonts w:cs="Arial"/>
                <w:color w:val="000000" w:themeColor="text1"/>
                <w:szCs w:val="22"/>
              </w:rPr>
            </w:pPr>
            <w:r w:rsidRPr="00E92537">
              <w:rPr>
                <w:rFonts w:cs="Arial"/>
                <w:color w:val="000000" w:themeColor="text1"/>
                <w:szCs w:val="22"/>
              </w:rPr>
              <w:t xml:space="preserve">July </w:t>
            </w:r>
            <w:r w:rsidR="004C1112" w:rsidRPr="00E92537">
              <w:rPr>
                <w:rFonts w:cs="Arial"/>
                <w:color w:val="000000" w:themeColor="text1"/>
                <w:szCs w:val="22"/>
              </w:rPr>
              <w:t xml:space="preserve">19 reported an improvement in cancellation rates for a number of specialties: Cardiac Surgery 14.7% (-3.2%) Thoracic Surgery 8.5% (-2.4%) Cardiology 5.1% (-4.8%). </w:t>
            </w:r>
          </w:p>
          <w:p w14:paraId="58BD0E1C" w14:textId="5C36BCB1" w:rsidR="004C1112" w:rsidRPr="00E92537" w:rsidRDefault="004C1112" w:rsidP="00431DA3">
            <w:pPr>
              <w:jc w:val="both"/>
              <w:rPr>
                <w:rFonts w:cs="Arial"/>
                <w:color w:val="000000" w:themeColor="text1"/>
                <w:szCs w:val="22"/>
              </w:rPr>
            </w:pPr>
            <w:r w:rsidRPr="00E92537">
              <w:rPr>
                <w:rFonts w:cs="Arial"/>
                <w:color w:val="000000" w:themeColor="text1"/>
                <w:szCs w:val="22"/>
              </w:rPr>
              <w:t xml:space="preserve">Rates for General Surgery and Ophthalmology were both better than threshold at 6.6% </w:t>
            </w:r>
            <w:r w:rsidR="00F57B29">
              <w:rPr>
                <w:rFonts w:cs="Arial"/>
                <w:color w:val="000000" w:themeColor="text1"/>
                <w:szCs w:val="22"/>
              </w:rPr>
              <w:t>and</w:t>
            </w:r>
            <w:r w:rsidRPr="00E92537">
              <w:rPr>
                <w:rFonts w:cs="Arial"/>
                <w:color w:val="000000" w:themeColor="text1"/>
                <w:szCs w:val="22"/>
              </w:rPr>
              <w:t xml:space="preserve"> 2.7% respectively. Orthopaedics reported performance as 4.1%</w:t>
            </w:r>
            <w:r w:rsidR="00F57B29">
              <w:rPr>
                <w:rFonts w:cs="Arial"/>
                <w:color w:val="000000" w:themeColor="text1"/>
                <w:szCs w:val="22"/>
              </w:rPr>
              <w:t xml:space="preserve"> </w:t>
            </w:r>
            <w:r w:rsidRPr="00E92537">
              <w:rPr>
                <w:rFonts w:cs="Arial"/>
                <w:color w:val="000000" w:themeColor="text1"/>
                <w:szCs w:val="22"/>
              </w:rPr>
              <w:t>which is worse than threshold.</w:t>
            </w:r>
          </w:p>
        </w:tc>
      </w:tr>
      <w:tr w:rsidR="004C1112" w:rsidRPr="00E92537" w14:paraId="0749B295" w14:textId="77777777" w:rsidTr="00872A3F">
        <w:tc>
          <w:tcPr>
            <w:tcW w:w="2802" w:type="dxa"/>
          </w:tcPr>
          <w:p w14:paraId="2C08A507" w14:textId="77777777" w:rsidR="004C1112" w:rsidRPr="00E92537" w:rsidRDefault="004C1112" w:rsidP="00431DA3">
            <w:pPr>
              <w:rPr>
                <w:rFonts w:cs="Arial"/>
                <w:color w:val="000000" w:themeColor="text1"/>
                <w:szCs w:val="22"/>
              </w:rPr>
            </w:pPr>
            <w:r w:rsidRPr="00E92537">
              <w:rPr>
                <w:rFonts w:cs="Arial"/>
                <w:color w:val="000000" w:themeColor="text1"/>
                <w:szCs w:val="22"/>
              </w:rPr>
              <w:t>Hotel Overall Net profit</w:t>
            </w:r>
          </w:p>
        </w:tc>
        <w:tc>
          <w:tcPr>
            <w:tcW w:w="567" w:type="dxa"/>
            <w:shd w:val="clear" w:color="auto" w:fill="E5B8B7" w:themeFill="accent2" w:themeFillTint="66"/>
          </w:tcPr>
          <w:p w14:paraId="62AFC878" w14:textId="77777777" w:rsidR="004C1112" w:rsidRPr="00E92537" w:rsidRDefault="004C1112" w:rsidP="00431DA3">
            <w:pPr>
              <w:jc w:val="both"/>
              <w:rPr>
                <w:rFonts w:cs="Arial"/>
                <w:color w:val="000000" w:themeColor="text1"/>
                <w:szCs w:val="22"/>
              </w:rPr>
            </w:pPr>
          </w:p>
        </w:tc>
        <w:tc>
          <w:tcPr>
            <w:tcW w:w="5386" w:type="dxa"/>
          </w:tcPr>
          <w:p w14:paraId="0CAA9603" w14:textId="77777777" w:rsidR="004C1112" w:rsidRPr="00E92537" w:rsidRDefault="004C1112" w:rsidP="00DC37B0">
            <w:pPr>
              <w:jc w:val="both"/>
              <w:rPr>
                <w:rFonts w:cs="Arial"/>
                <w:color w:val="000000" w:themeColor="text1"/>
                <w:szCs w:val="22"/>
              </w:rPr>
            </w:pPr>
            <w:r w:rsidRPr="00E92537">
              <w:rPr>
                <w:rFonts w:cs="Arial"/>
                <w:color w:val="000000" w:themeColor="text1"/>
                <w:szCs w:val="22"/>
              </w:rPr>
              <w:t>The Jul</w:t>
            </w:r>
            <w:r w:rsidR="00DC37B0" w:rsidRPr="00E92537">
              <w:rPr>
                <w:rFonts w:cs="Arial"/>
                <w:color w:val="000000" w:themeColor="text1"/>
                <w:szCs w:val="22"/>
              </w:rPr>
              <w:t xml:space="preserve">y </w:t>
            </w:r>
            <w:r w:rsidRPr="00E92537">
              <w:rPr>
                <w:rFonts w:cs="Arial"/>
                <w:color w:val="000000" w:themeColor="text1"/>
                <w:szCs w:val="22"/>
              </w:rPr>
              <w:t>19 position was -60.8% compared to -23.7% in Jun</w:t>
            </w:r>
            <w:r w:rsidR="00DC37B0" w:rsidRPr="00E92537">
              <w:rPr>
                <w:rFonts w:cs="Arial"/>
                <w:color w:val="000000" w:themeColor="text1"/>
                <w:szCs w:val="22"/>
              </w:rPr>
              <w:t xml:space="preserve">e </w:t>
            </w:r>
            <w:r w:rsidRPr="00E92537">
              <w:rPr>
                <w:rFonts w:cs="Arial"/>
                <w:color w:val="000000" w:themeColor="text1"/>
                <w:szCs w:val="22"/>
              </w:rPr>
              <w:t>19 and remained worse than threshold.</w:t>
            </w:r>
          </w:p>
        </w:tc>
      </w:tr>
      <w:tr w:rsidR="004C1112" w:rsidRPr="00E92537" w14:paraId="7EC75213" w14:textId="77777777" w:rsidTr="00872A3F">
        <w:tc>
          <w:tcPr>
            <w:tcW w:w="2802" w:type="dxa"/>
          </w:tcPr>
          <w:p w14:paraId="3154A82A" w14:textId="77777777" w:rsidR="004C1112" w:rsidRPr="00E92537" w:rsidRDefault="004C1112" w:rsidP="00431DA3">
            <w:pPr>
              <w:rPr>
                <w:rFonts w:cs="Arial"/>
                <w:color w:val="000000" w:themeColor="text1"/>
                <w:szCs w:val="22"/>
              </w:rPr>
            </w:pPr>
            <w:r w:rsidRPr="00E92537">
              <w:rPr>
                <w:rFonts w:cs="Arial"/>
                <w:color w:val="000000" w:themeColor="text1"/>
                <w:szCs w:val="22"/>
              </w:rPr>
              <w:t>Hotel Room Occupancy</w:t>
            </w:r>
          </w:p>
        </w:tc>
        <w:tc>
          <w:tcPr>
            <w:tcW w:w="567" w:type="dxa"/>
            <w:shd w:val="clear" w:color="auto" w:fill="D6E3BC" w:themeFill="accent3" w:themeFillTint="66"/>
          </w:tcPr>
          <w:p w14:paraId="17C42947" w14:textId="77777777" w:rsidR="004C1112" w:rsidRPr="00E92537" w:rsidRDefault="004C1112" w:rsidP="00431DA3">
            <w:pPr>
              <w:jc w:val="both"/>
              <w:rPr>
                <w:rFonts w:cs="Arial"/>
                <w:color w:val="000000" w:themeColor="text1"/>
                <w:szCs w:val="22"/>
              </w:rPr>
            </w:pPr>
          </w:p>
        </w:tc>
        <w:tc>
          <w:tcPr>
            <w:tcW w:w="5386" w:type="dxa"/>
          </w:tcPr>
          <w:p w14:paraId="5B705059" w14:textId="77777777" w:rsidR="004C1112" w:rsidRPr="00E92537" w:rsidRDefault="004C1112" w:rsidP="00DC37B0">
            <w:pPr>
              <w:jc w:val="both"/>
              <w:rPr>
                <w:rFonts w:cs="Arial"/>
                <w:color w:val="000000" w:themeColor="text1"/>
                <w:szCs w:val="22"/>
              </w:rPr>
            </w:pPr>
            <w:r w:rsidRPr="00E92537">
              <w:rPr>
                <w:rFonts w:cs="Arial"/>
                <w:color w:val="000000" w:themeColor="text1"/>
                <w:szCs w:val="22"/>
              </w:rPr>
              <w:t>Decreased from 91.7% in Jun</w:t>
            </w:r>
            <w:r w:rsidR="00DC37B0" w:rsidRPr="00E92537">
              <w:rPr>
                <w:rFonts w:cs="Arial"/>
                <w:color w:val="000000" w:themeColor="text1"/>
                <w:szCs w:val="22"/>
              </w:rPr>
              <w:t xml:space="preserve">e </w:t>
            </w:r>
            <w:r w:rsidRPr="00E92537">
              <w:rPr>
                <w:rFonts w:cs="Arial"/>
                <w:color w:val="000000" w:themeColor="text1"/>
                <w:szCs w:val="22"/>
              </w:rPr>
              <w:t>19 to 84.0% in Jul</w:t>
            </w:r>
            <w:r w:rsidR="00DC37B0" w:rsidRPr="00E92537">
              <w:rPr>
                <w:rFonts w:cs="Arial"/>
                <w:color w:val="000000" w:themeColor="text1"/>
                <w:szCs w:val="22"/>
              </w:rPr>
              <w:t xml:space="preserve">y </w:t>
            </w:r>
            <w:r w:rsidRPr="00E92537">
              <w:rPr>
                <w:rFonts w:cs="Arial"/>
                <w:color w:val="000000" w:themeColor="text1"/>
                <w:szCs w:val="22"/>
              </w:rPr>
              <w:t>19 (-7.7%) but remained better than threshold</w:t>
            </w:r>
            <w:r w:rsidR="00F57B29">
              <w:rPr>
                <w:rFonts w:cs="Arial"/>
                <w:color w:val="000000" w:themeColor="text1"/>
                <w:szCs w:val="22"/>
              </w:rPr>
              <w:t>.</w:t>
            </w:r>
          </w:p>
        </w:tc>
      </w:tr>
      <w:tr w:rsidR="004C1112" w:rsidRPr="00E92537" w14:paraId="25C0E1B4" w14:textId="77777777" w:rsidTr="00872A3F">
        <w:tc>
          <w:tcPr>
            <w:tcW w:w="2802" w:type="dxa"/>
          </w:tcPr>
          <w:p w14:paraId="3FA4AABF" w14:textId="77777777" w:rsidR="004C1112" w:rsidRPr="00E92537" w:rsidRDefault="004C1112" w:rsidP="00431DA3">
            <w:pPr>
              <w:rPr>
                <w:rFonts w:cs="Arial"/>
                <w:color w:val="000000" w:themeColor="text1"/>
                <w:szCs w:val="22"/>
              </w:rPr>
            </w:pPr>
            <w:r w:rsidRPr="00E92537">
              <w:rPr>
                <w:rFonts w:cs="Arial"/>
                <w:color w:val="000000" w:themeColor="text1"/>
                <w:szCs w:val="22"/>
              </w:rPr>
              <w:t>Hotel Not for profit percentage</w:t>
            </w:r>
          </w:p>
        </w:tc>
        <w:tc>
          <w:tcPr>
            <w:tcW w:w="567" w:type="dxa"/>
            <w:shd w:val="clear" w:color="auto" w:fill="FBD4B4" w:themeFill="accent6" w:themeFillTint="66"/>
          </w:tcPr>
          <w:p w14:paraId="2B37475E" w14:textId="77777777" w:rsidR="004C1112" w:rsidRPr="00E92537" w:rsidRDefault="004C1112" w:rsidP="00431DA3">
            <w:pPr>
              <w:jc w:val="both"/>
              <w:rPr>
                <w:rFonts w:cs="Arial"/>
                <w:color w:val="000000" w:themeColor="text1"/>
                <w:szCs w:val="22"/>
              </w:rPr>
            </w:pPr>
          </w:p>
        </w:tc>
        <w:tc>
          <w:tcPr>
            <w:tcW w:w="5386" w:type="dxa"/>
          </w:tcPr>
          <w:p w14:paraId="02B99CCC" w14:textId="77777777" w:rsidR="004C1112" w:rsidRPr="00E92537" w:rsidRDefault="004C1112" w:rsidP="00DC37B0">
            <w:pPr>
              <w:jc w:val="both"/>
              <w:rPr>
                <w:rFonts w:cs="Arial"/>
                <w:color w:val="000000" w:themeColor="text1"/>
                <w:szCs w:val="22"/>
              </w:rPr>
            </w:pPr>
            <w:r w:rsidRPr="00E92537">
              <w:rPr>
                <w:rFonts w:cs="Arial"/>
                <w:color w:val="000000" w:themeColor="text1"/>
                <w:szCs w:val="22"/>
              </w:rPr>
              <w:t>Percentage remained under the minimum threshold in Jul</w:t>
            </w:r>
            <w:r w:rsidR="00DC37B0" w:rsidRPr="00E92537">
              <w:rPr>
                <w:rFonts w:cs="Arial"/>
                <w:color w:val="000000" w:themeColor="text1"/>
                <w:szCs w:val="22"/>
              </w:rPr>
              <w:t xml:space="preserve">y </w:t>
            </w:r>
            <w:r w:rsidRPr="00E92537">
              <w:rPr>
                <w:rFonts w:cs="Arial"/>
                <w:color w:val="000000" w:themeColor="text1"/>
                <w:szCs w:val="22"/>
              </w:rPr>
              <w:t>19 at 42.0%. Down 6.6% from Jun</w:t>
            </w:r>
            <w:r w:rsidR="00DC37B0" w:rsidRPr="00E92537">
              <w:rPr>
                <w:rFonts w:cs="Arial"/>
                <w:color w:val="000000" w:themeColor="text1"/>
                <w:szCs w:val="22"/>
              </w:rPr>
              <w:t>e</w:t>
            </w:r>
            <w:r w:rsidR="00F57B29">
              <w:rPr>
                <w:rFonts w:cs="Arial"/>
                <w:color w:val="000000" w:themeColor="text1"/>
                <w:szCs w:val="22"/>
              </w:rPr>
              <w:t xml:space="preserve"> </w:t>
            </w:r>
            <w:r w:rsidRPr="00E92537">
              <w:rPr>
                <w:rFonts w:cs="Arial"/>
                <w:color w:val="000000" w:themeColor="text1"/>
                <w:szCs w:val="22"/>
              </w:rPr>
              <w:t>19 (48.8%)</w:t>
            </w:r>
          </w:p>
        </w:tc>
      </w:tr>
      <w:tr w:rsidR="004C1112" w:rsidRPr="00E92537" w14:paraId="630B865D" w14:textId="77777777" w:rsidTr="00872A3F">
        <w:trPr>
          <w:trHeight w:val="387"/>
        </w:trPr>
        <w:tc>
          <w:tcPr>
            <w:tcW w:w="2802" w:type="dxa"/>
          </w:tcPr>
          <w:p w14:paraId="739F7495" w14:textId="77777777" w:rsidR="004C1112" w:rsidRPr="00E92537" w:rsidRDefault="004C1112" w:rsidP="00431DA3">
            <w:pPr>
              <w:rPr>
                <w:rFonts w:cs="Arial"/>
                <w:szCs w:val="22"/>
              </w:rPr>
            </w:pPr>
            <w:r w:rsidRPr="00E92537">
              <w:rPr>
                <w:rFonts w:cs="Arial"/>
                <w:szCs w:val="22"/>
              </w:rPr>
              <w:t>GJRI Number of new research projects approved</w:t>
            </w:r>
          </w:p>
        </w:tc>
        <w:tc>
          <w:tcPr>
            <w:tcW w:w="567" w:type="dxa"/>
            <w:shd w:val="clear" w:color="auto" w:fill="FBD4B4" w:themeFill="accent6" w:themeFillTint="66"/>
          </w:tcPr>
          <w:p w14:paraId="47485FD4" w14:textId="77777777" w:rsidR="004C1112" w:rsidRPr="00E92537" w:rsidRDefault="004C1112" w:rsidP="00431DA3">
            <w:pPr>
              <w:jc w:val="both"/>
              <w:rPr>
                <w:rFonts w:cs="Arial"/>
                <w:szCs w:val="22"/>
              </w:rPr>
            </w:pPr>
          </w:p>
        </w:tc>
        <w:tc>
          <w:tcPr>
            <w:tcW w:w="5386" w:type="dxa"/>
          </w:tcPr>
          <w:p w14:paraId="3E9130D7" w14:textId="77777777" w:rsidR="004C1112" w:rsidRPr="00E92537" w:rsidRDefault="004C1112" w:rsidP="00431DA3">
            <w:pPr>
              <w:jc w:val="both"/>
              <w:rPr>
                <w:rFonts w:cs="Arial"/>
                <w:szCs w:val="22"/>
              </w:rPr>
            </w:pPr>
            <w:r w:rsidRPr="00E92537">
              <w:rPr>
                <w:rFonts w:cs="Arial"/>
                <w:szCs w:val="22"/>
              </w:rPr>
              <w:t>Seven new research projects were approved in Quarter 1, one below the target of eight per quarter.</w:t>
            </w:r>
          </w:p>
        </w:tc>
      </w:tr>
      <w:tr w:rsidR="004C1112" w:rsidRPr="00E92537" w14:paraId="0C53660B" w14:textId="77777777" w:rsidTr="00872A3F">
        <w:trPr>
          <w:trHeight w:val="387"/>
        </w:trPr>
        <w:tc>
          <w:tcPr>
            <w:tcW w:w="2802" w:type="dxa"/>
          </w:tcPr>
          <w:p w14:paraId="4C2E8AF5" w14:textId="77777777" w:rsidR="004C1112" w:rsidRPr="00E92537" w:rsidRDefault="004C1112" w:rsidP="00431DA3">
            <w:pPr>
              <w:rPr>
                <w:rFonts w:cs="Arial"/>
                <w:szCs w:val="22"/>
              </w:rPr>
            </w:pPr>
            <w:r w:rsidRPr="00E92537">
              <w:rPr>
                <w:rFonts w:cs="Arial"/>
                <w:szCs w:val="22"/>
              </w:rPr>
              <w:t>GJRI Motion Lab Analysis Income</w:t>
            </w:r>
          </w:p>
        </w:tc>
        <w:tc>
          <w:tcPr>
            <w:tcW w:w="567" w:type="dxa"/>
            <w:shd w:val="clear" w:color="auto" w:fill="E5B8B7" w:themeFill="accent2" w:themeFillTint="66"/>
          </w:tcPr>
          <w:p w14:paraId="3095A56F" w14:textId="77777777" w:rsidR="004C1112" w:rsidRPr="00E92537" w:rsidRDefault="004C1112" w:rsidP="00431DA3">
            <w:pPr>
              <w:jc w:val="both"/>
              <w:rPr>
                <w:rFonts w:cs="Arial"/>
                <w:szCs w:val="22"/>
              </w:rPr>
            </w:pPr>
          </w:p>
        </w:tc>
        <w:tc>
          <w:tcPr>
            <w:tcW w:w="5386" w:type="dxa"/>
          </w:tcPr>
          <w:p w14:paraId="77F85149" w14:textId="1DB8E901" w:rsidR="004C1112" w:rsidRPr="00E92537" w:rsidRDefault="004C1112">
            <w:pPr>
              <w:jc w:val="both"/>
              <w:rPr>
                <w:rFonts w:cs="Arial"/>
                <w:szCs w:val="22"/>
              </w:rPr>
            </w:pPr>
            <w:r w:rsidRPr="00E92537">
              <w:rPr>
                <w:rFonts w:cs="Arial"/>
                <w:szCs w:val="22"/>
              </w:rPr>
              <w:t xml:space="preserve">During Quarter 1 Motion Lab Analysis income was reported as £4,750. The cumulative income was £38,250 </w:t>
            </w:r>
            <w:r w:rsidR="00F57B29">
              <w:rPr>
                <w:rFonts w:cs="Arial"/>
                <w:szCs w:val="22"/>
              </w:rPr>
              <w:t xml:space="preserve">being </w:t>
            </w:r>
            <w:r w:rsidRPr="00E92537">
              <w:rPr>
                <w:rFonts w:cs="Arial"/>
                <w:szCs w:val="22"/>
              </w:rPr>
              <w:t>£74,810 behind plan.</w:t>
            </w:r>
          </w:p>
        </w:tc>
      </w:tr>
      <w:tr w:rsidR="004C1112" w:rsidRPr="00E92537" w14:paraId="0D1503D8" w14:textId="77777777" w:rsidTr="00872A3F">
        <w:trPr>
          <w:trHeight w:val="387"/>
        </w:trPr>
        <w:tc>
          <w:tcPr>
            <w:tcW w:w="2802" w:type="dxa"/>
          </w:tcPr>
          <w:p w14:paraId="767E65AC" w14:textId="77777777" w:rsidR="004C1112" w:rsidRPr="00E92537" w:rsidRDefault="004C1112" w:rsidP="00431DA3">
            <w:pPr>
              <w:rPr>
                <w:rFonts w:cs="Arial"/>
                <w:szCs w:val="22"/>
              </w:rPr>
            </w:pPr>
            <w:r w:rsidRPr="00E92537">
              <w:rPr>
                <w:rFonts w:cs="Arial"/>
                <w:szCs w:val="22"/>
              </w:rPr>
              <w:t>GJRI % Occupancy: Clinical Research Facility</w:t>
            </w:r>
          </w:p>
        </w:tc>
        <w:tc>
          <w:tcPr>
            <w:tcW w:w="567" w:type="dxa"/>
            <w:shd w:val="clear" w:color="auto" w:fill="E5B8B7" w:themeFill="accent2" w:themeFillTint="66"/>
          </w:tcPr>
          <w:p w14:paraId="6A0F61BB" w14:textId="77777777" w:rsidR="004C1112" w:rsidRPr="00E92537" w:rsidRDefault="004C1112" w:rsidP="00431DA3">
            <w:pPr>
              <w:jc w:val="both"/>
              <w:rPr>
                <w:rFonts w:cs="Arial"/>
                <w:szCs w:val="22"/>
              </w:rPr>
            </w:pPr>
          </w:p>
        </w:tc>
        <w:tc>
          <w:tcPr>
            <w:tcW w:w="5386" w:type="dxa"/>
          </w:tcPr>
          <w:p w14:paraId="6B2532A6" w14:textId="6738662A" w:rsidR="00872A3F" w:rsidRPr="00E92537" w:rsidRDefault="004C1112" w:rsidP="00431DA3">
            <w:pPr>
              <w:jc w:val="both"/>
              <w:rPr>
                <w:rFonts w:cs="Arial"/>
                <w:szCs w:val="22"/>
              </w:rPr>
            </w:pPr>
            <w:r w:rsidRPr="00E92537">
              <w:rPr>
                <w:rFonts w:cs="Arial"/>
                <w:szCs w:val="22"/>
              </w:rPr>
              <w:t>Occupancy was reported as 11% below target for Quarter 1 2019/20, a decrease of 3% compared to Quarter 4 2018/19.</w:t>
            </w:r>
          </w:p>
        </w:tc>
      </w:tr>
      <w:tr w:rsidR="004C1112" w:rsidRPr="00E92537" w14:paraId="522B675A" w14:textId="77777777" w:rsidTr="00872A3F">
        <w:trPr>
          <w:trHeight w:val="353"/>
        </w:trPr>
        <w:tc>
          <w:tcPr>
            <w:tcW w:w="2802" w:type="dxa"/>
          </w:tcPr>
          <w:p w14:paraId="2EA4B66B" w14:textId="67905402" w:rsidR="004C1112" w:rsidRPr="00E92537" w:rsidRDefault="004C1112" w:rsidP="007B6130">
            <w:pPr>
              <w:rPr>
                <w:rFonts w:cs="Arial"/>
                <w:szCs w:val="22"/>
              </w:rPr>
            </w:pPr>
            <w:r w:rsidRPr="00E92537">
              <w:rPr>
                <w:rFonts w:cs="Arial"/>
                <w:szCs w:val="22"/>
              </w:rPr>
              <w:t>MDαT sessions secured</w:t>
            </w:r>
          </w:p>
        </w:tc>
        <w:tc>
          <w:tcPr>
            <w:tcW w:w="567" w:type="dxa"/>
            <w:shd w:val="clear" w:color="auto" w:fill="E5B8B7" w:themeFill="accent2" w:themeFillTint="66"/>
          </w:tcPr>
          <w:p w14:paraId="7FF6F205" w14:textId="77777777" w:rsidR="004C1112" w:rsidRPr="00E92537" w:rsidRDefault="004C1112" w:rsidP="00431DA3">
            <w:pPr>
              <w:jc w:val="both"/>
              <w:rPr>
                <w:rFonts w:cs="Arial"/>
                <w:szCs w:val="22"/>
              </w:rPr>
            </w:pPr>
          </w:p>
        </w:tc>
        <w:tc>
          <w:tcPr>
            <w:tcW w:w="5386" w:type="dxa"/>
          </w:tcPr>
          <w:p w14:paraId="3FAFB123" w14:textId="77777777" w:rsidR="004C1112" w:rsidRPr="00E92537" w:rsidRDefault="004C1112" w:rsidP="00431DA3">
            <w:pPr>
              <w:jc w:val="both"/>
              <w:rPr>
                <w:rFonts w:cs="Arial"/>
                <w:szCs w:val="22"/>
              </w:rPr>
            </w:pPr>
            <w:r w:rsidRPr="00E92537">
              <w:rPr>
                <w:rFonts w:cs="Arial"/>
                <w:szCs w:val="22"/>
              </w:rPr>
              <w:t>No MDαT sessions were secured during Quarter 1.</w:t>
            </w:r>
          </w:p>
        </w:tc>
      </w:tr>
    </w:tbl>
    <w:p w14:paraId="00ECD392" w14:textId="2AB511D3" w:rsidR="00DF1C86" w:rsidRDefault="00DF1C86"/>
    <w:p w14:paraId="2255E67A" w14:textId="77777777" w:rsidR="00DF1C86" w:rsidRDefault="00DF1C86"/>
    <w:tbl>
      <w:tblPr>
        <w:tblStyle w:val="TableGrid"/>
        <w:tblW w:w="8755" w:type="dxa"/>
        <w:tblLayout w:type="fixed"/>
        <w:tblLook w:val="04A0" w:firstRow="1" w:lastRow="0" w:firstColumn="1" w:lastColumn="0" w:noHBand="0" w:noVBand="1"/>
      </w:tblPr>
      <w:tblGrid>
        <w:gridCol w:w="8755"/>
      </w:tblGrid>
      <w:tr w:rsidR="004C1112" w:rsidRPr="00E92537" w14:paraId="456D0CBE" w14:textId="77777777" w:rsidTr="00872A3F">
        <w:tc>
          <w:tcPr>
            <w:tcW w:w="8755" w:type="dxa"/>
            <w:shd w:val="clear" w:color="auto" w:fill="C4BC96" w:themeFill="background2" w:themeFillShade="BF"/>
          </w:tcPr>
          <w:p w14:paraId="6628C727" w14:textId="77777777" w:rsidR="004C1112" w:rsidRPr="00E92537" w:rsidRDefault="004C1112" w:rsidP="00431DA3">
            <w:pPr>
              <w:spacing w:after="180"/>
              <w:rPr>
                <w:rFonts w:cs="Arial"/>
                <w:szCs w:val="22"/>
              </w:rPr>
            </w:pPr>
            <w:r w:rsidRPr="00E92537">
              <w:rPr>
                <w:rFonts w:cs="Arial"/>
                <w:szCs w:val="22"/>
              </w:rPr>
              <w:t>National Comparison Table, Corporate Dashboard, Waiting list &amp; Productivity table</w:t>
            </w:r>
          </w:p>
        </w:tc>
      </w:tr>
      <w:tr w:rsidR="004C1112" w:rsidRPr="00E92537" w14:paraId="13728A7D" w14:textId="77777777" w:rsidTr="00DF1C86">
        <w:trPr>
          <w:trHeight w:val="415"/>
        </w:trPr>
        <w:tc>
          <w:tcPr>
            <w:tcW w:w="8755" w:type="dxa"/>
          </w:tcPr>
          <w:p w14:paraId="038EAC3E" w14:textId="77777777" w:rsidR="004C1112" w:rsidRPr="00E92537" w:rsidRDefault="004C1112" w:rsidP="00431DA3">
            <w:pPr>
              <w:spacing w:after="180"/>
              <w:jc w:val="both"/>
              <w:rPr>
                <w:rFonts w:cs="Arial"/>
                <w:color w:val="000000" w:themeColor="text1"/>
                <w:szCs w:val="22"/>
              </w:rPr>
            </w:pPr>
            <w:r w:rsidRPr="00E92537">
              <w:rPr>
                <w:rFonts w:cs="Arial"/>
                <w:color w:val="000000" w:themeColor="text1"/>
                <w:szCs w:val="22"/>
              </w:rPr>
              <w:t xml:space="preserve">31 Day Cancer and Elective Cancellation rates </w:t>
            </w:r>
            <w:r w:rsidR="00DC37B0" w:rsidRPr="00E92537">
              <w:rPr>
                <w:rFonts w:cs="Arial"/>
                <w:color w:val="000000" w:themeColor="text1"/>
                <w:szCs w:val="22"/>
              </w:rPr>
              <w:t xml:space="preserve">comparators were updated in July </w:t>
            </w:r>
            <w:r w:rsidRPr="00E92537">
              <w:rPr>
                <w:rFonts w:cs="Arial"/>
                <w:color w:val="000000" w:themeColor="text1"/>
                <w:szCs w:val="22"/>
              </w:rPr>
              <w:t>19. 31 Day Cancer rank dropped from 1</w:t>
            </w:r>
            <w:r w:rsidRPr="00E92537">
              <w:rPr>
                <w:rFonts w:cs="Arial"/>
                <w:color w:val="000000" w:themeColor="text1"/>
                <w:szCs w:val="22"/>
                <w:vertAlign w:val="superscript"/>
              </w:rPr>
              <w:t>st</w:t>
            </w:r>
            <w:r w:rsidRPr="00E92537">
              <w:rPr>
                <w:rFonts w:cs="Arial"/>
                <w:color w:val="000000" w:themeColor="text1"/>
                <w:szCs w:val="22"/>
              </w:rPr>
              <w:t xml:space="preserve"> to 7</w:t>
            </w:r>
            <w:r w:rsidRPr="00E92537">
              <w:rPr>
                <w:rFonts w:cs="Arial"/>
                <w:color w:val="000000" w:themeColor="text1"/>
                <w:szCs w:val="22"/>
                <w:vertAlign w:val="superscript"/>
              </w:rPr>
              <w:t>th</w:t>
            </w:r>
            <w:r w:rsidRPr="00E92537">
              <w:rPr>
                <w:rFonts w:cs="Arial"/>
                <w:color w:val="000000" w:themeColor="text1"/>
                <w:szCs w:val="22"/>
              </w:rPr>
              <w:t xml:space="preserve"> due to the patient unavailability (base hospital) issue noted above. Cancellation rates fell from 1</w:t>
            </w:r>
            <w:r w:rsidRPr="00E92537">
              <w:rPr>
                <w:rFonts w:cs="Arial"/>
                <w:color w:val="000000" w:themeColor="text1"/>
                <w:szCs w:val="22"/>
                <w:vertAlign w:val="superscript"/>
              </w:rPr>
              <w:t>st</w:t>
            </w:r>
            <w:r w:rsidRPr="00E92537">
              <w:rPr>
                <w:rFonts w:cs="Arial"/>
                <w:color w:val="000000" w:themeColor="text1"/>
                <w:szCs w:val="22"/>
              </w:rPr>
              <w:t xml:space="preserve"> to 2</w:t>
            </w:r>
            <w:r w:rsidRPr="00E92537">
              <w:rPr>
                <w:rFonts w:cs="Arial"/>
                <w:color w:val="000000" w:themeColor="text1"/>
                <w:szCs w:val="22"/>
                <w:vertAlign w:val="superscript"/>
              </w:rPr>
              <w:t>nd</w:t>
            </w:r>
            <w:r w:rsidRPr="00E92537">
              <w:rPr>
                <w:rFonts w:cs="Arial"/>
                <w:color w:val="000000" w:themeColor="text1"/>
                <w:szCs w:val="22"/>
              </w:rPr>
              <w:t>.</w:t>
            </w:r>
          </w:p>
        </w:tc>
      </w:tr>
      <w:tr w:rsidR="004C1112" w:rsidRPr="00E92537" w14:paraId="694B56D1" w14:textId="77777777" w:rsidTr="00872A3F">
        <w:tc>
          <w:tcPr>
            <w:tcW w:w="8755" w:type="dxa"/>
          </w:tcPr>
          <w:p w14:paraId="2C378739" w14:textId="77777777" w:rsidR="004C1112" w:rsidRPr="00E92537" w:rsidRDefault="004C1112" w:rsidP="00431DA3">
            <w:pPr>
              <w:spacing w:after="180"/>
              <w:jc w:val="both"/>
              <w:rPr>
                <w:rFonts w:cs="Arial"/>
                <w:szCs w:val="22"/>
              </w:rPr>
            </w:pPr>
            <w:r w:rsidRPr="00E92537">
              <w:rPr>
                <w:rFonts w:cs="Arial"/>
                <w:szCs w:val="22"/>
              </w:rPr>
              <w:t>Communication (16%), Business Services (5%), Estates &amp; Engineering (6%) and Infection Control (6%) reported sickness rates above threshold (&lt;4%) in Jul-19.</w:t>
            </w:r>
          </w:p>
        </w:tc>
      </w:tr>
      <w:tr w:rsidR="004C1112" w:rsidRPr="00E92537" w14:paraId="0218FDE2" w14:textId="77777777" w:rsidTr="00872A3F">
        <w:tc>
          <w:tcPr>
            <w:tcW w:w="8755" w:type="dxa"/>
          </w:tcPr>
          <w:p w14:paraId="425032C6" w14:textId="77777777" w:rsidR="004C1112" w:rsidRDefault="004C1112" w:rsidP="007B6130">
            <w:pPr>
              <w:jc w:val="both"/>
              <w:rPr>
                <w:rFonts w:cs="Arial"/>
                <w:color w:val="000000" w:themeColor="text1"/>
                <w:szCs w:val="22"/>
              </w:rPr>
            </w:pPr>
            <w:r w:rsidRPr="00E92537">
              <w:rPr>
                <w:rFonts w:cs="Arial"/>
                <w:color w:val="000000" w:themeColor="text1"/>
                <w:szCs w:val="22"/>
              </w:rPr>
              <w:t xml:space="preserve">The total inpatient </w:t>
            </w:r>
            <w:r w:rsidR="00DC37B0" w:rsidRPr="00E92537">
              <w:rPr>
                <w:rFonts w:cs="Arial"/>
                <w:color w:val="000000" w:themeColor="text1"/>
                <w:szCs w:val="22"/>
              </w:rPr>
              <w:t xml:space="preserve">waiting list </w:t>
            </w:r>
            <w:r w:rsidRPr="00E92537">
              <w:rPr>
                <w:rFonts w:cs="Arial"/>
                <w:color w:val="000000" w:themeColor="text1"/>
                <w:szCs w:val="22"/>
              </w:rPr>
              <w:t>month end position reduced by 203 to 5076. The total outpatient waiting list increased by 430 to 2632.</w:t>
            </w:r>
          </w:p>
          <w:p w14:paraId="0A4E8A36" w14:textId="0E1B2467" w:rsidR="00DF1C86" w:rsidRPr="00E92537" w:rsidRDefault="00DF1C86" w:rsidP="007B6130">
            <w:pPr>
              <w:jc w:val="both"/>
              <w:rPr>
                <w:rFonts w:cs="Arial"/>
                <w:color w:val="000000" w:themeColor="text1"/>
                <w:szCs w:val="22"/>
              </w:rPr>
            </w:pPr>
          </w:p>
        </w:tc>
      </w:tr>
      <w:tr w:rsidR="004C1112" w:rsidRPr="00E92537" w14:paraId="3CF6143B" w14:textId="77777777" w:rsidTr="00872A3F">
        <w:trPr>
          <w:trHeight w:val="416"/>
        </w:trPr>
        <w:tc>
          <w:tcPr>
            <w:tcW w:w="8755" w:type="dxa"/>
          </w:tcPr>
          <w:p w14:paraId="13D0666D" w14:textId="77777777" w:rsidR="004C1112" w:rsidRPr="00E92537" w:rsidRDefault="004C1112" w:rsidP="00431DA3">
            <w:pPr>
              <w:spacing w:after="180"/>
              <w:jc w:val="both"/>
              <w:rPr>
                <w:rFonts w:cs="Arial"/>
                <w:color w:val="000000" w:themeColor="text1"/>
                <w:szCs w:val="22"/>
              </w:rPr>
            </w:pPr>
            <w:r w:rsidRPr="00E92537">
              <w:rPr>
                <w:rFonts w:cs="Arial"/>
                <w:color w:val="000000" w:themeColor="text1"/>
                <w:szCs w:val="22"/>
              </w:rPr>
              <w:t>In July 2019 there were 114 patients who exceeded their twelve-week treatment time guarantee. This included 43 cardiac surgery patients,</w:t>
            </w:r>
            <w:r w:rsidR="00F57B29">
              <w:rPr>
                <w:rFonts w:cs="Arial"/>
                <w:color w:val="000000" w:themeColor="text1"/>
                <w:szCs w:val="22"/>
              </w:rPr>
              <w:t xml:space="preserve"> </w:t>
            </w:r>
            <w:r w:rsidRPr="00E92537">
              <w:rPr>
                <w:rFonts w:cs="Arial"/>
                <w:color w:val="000000" w:themeColor="text1"/>
                <w:szCs w:val="22"/>
              </w:rPr>
              <w:t>22 coronary patients,</w:t>
            </w:r>
            <w:r w:rsidR="00F57B29">
              <w:rPr>
                <w:rFonts w:cs="Arial"/>
                <w:color w:val="000000" w:themeColor="text1"/>
                <w:szCs w:val="22"/>
              </w:rPr>
              <w:t xml:space="preserve"> </w:t>
            </w:r>
            <w:r w:rsidRPr="00E92537">
              <w:rPr>
                <w:rFonts w:cs="Arial"/>
                <w:color w:val="000000" w:themeColor="text1"/>
                <w:szCs w:val="22"/>
              </w:rPr>
              <w:t>35 electrophysiology patients,13 device patients,1 lead extraction patient.</w:t>
            </w:r>
          </w:p>
        </w:tc>
      </w:tr>
    </w:tbl>
    <w:p w14:paraId="4B6960C5" w14:textId="77777777" w:rsidR="00B50CC1" w:rsidRDefault="007B57F5" w:rsidP="003B79B2">
      <w:pPr>
        <w:spacing w:after="180"/>
        <w:jc w:val="both"/>
        <w:rPr>
          <w:rFonts w:cs="Arial"/>
          <w:b/>
          <w:szCs w:val="22"/>
        </w:rPr>
      </w:pPr>
      <w:r>
        <w:rPr>
          <w:rFonts w:cs="Arial"/>
          <w:noProof/>
          <w:szCs w:val="22"/>
          <w:highlight w:val="yellow"/>
        </w:rPr>
        <w:pict w14:anchorId="55F9FF43">
          <v:rect id="_x0000_s1779" style="position:absolute;left:0;text-align:left;margin-left:14.05pt;margin-top:.75pt;width:31.7pt;height:860.45pt;flip:y;z-index:252769792;mso-wrap-distance-left:36pt;mso-wrap-distance-top:7.2pt;mso-wrap-distance-right:7.2pt;mso-wrap-distance-bottom:7.2pt;mso-position-horizontal-relative:page;mso-position-vertical-relative:page"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779" inset="1mm,1in,1mm,1in">
              <w:txbxContent>
                <w:p w14:paraId="3AA6CD50" w14:textId="77777777" w:rsidR="00394C7B" w:rsidRPr="0058159D" w:rsidRDefault="00394C7B" w:rsidP="00431DA3">
                  <w:pPr>
                    <w:rPr>
                      <w:b/>
                      <w:color w:val="17365D" w:themeColor="text2" w:themeShade="BF"/>
                      <w:szCs w:val="24"/>
                    </w:rPr>
                  </w:pPr>
                  <w:r>
                    <w:rPr>
                      <w:b/>
                      <w:color w:val="17365D" w:themeColor="text2" w:themeShade="BF"/>
                      <w:szCs w:val="24"/>
                    </w:rPr>
                    <w:t>Overview and Executive Summary</w:t>
                  </w:r>
                </w:p>
                <w:p w14:paraId="2C1F4723" w14:textId="77777777" w:rsidR="00394C7B" w:rsidRPr="0052263D" w:rsidRDefault="00394C7B" w:rsidP="00431DA3">
                  <w:pPr>
                    <w:rPr>
                      <w:szCs w:val="24"/>
                    </w:rPr>
                  </w:pPr>
                </w:p>
              </w:txbxContent>
            </v:textbox>
            <w10:wrap type="square" anchorx="page" anchory="page"/>
          </v:rect>
        </w:pict>
      </w:r>
    </w:p>
    <w:p w14:paraId="5DD01BBC" w14:textId="41A08F81" w:rsidR="00F60C01" w:rsidRPr="00B50CC1" w:rsidRDefault="00B50CC1" w:rsidP="003B79B2">
      <w:pPr>
        <w:spacing w:after="180"/>
        <w:jc w:val="both"/>
        <w:rPr>
          <w:rFonts w:cs="Arial"/>
          <w:b/>
          <w:szCs w:val="22"/>
          <w:highlight w:val="yellow"/>
        </w:rPr>
      </w:pPr>
      <w:r w:rsidRPr="00B50CC1">
        <w:rPr>
          <w:rFonts w:cs="Arial"/>
          <w:b/>
          <w:szCs w:val="22"/>
        </w:rPr>
        <w:t xml:space="preserve">Business Performance </w:t>
      </w:r>
    </w:p>
    <w:p w14:paraId="777D5FAC" w14:textId="77777777" w:rsidR="00B50CC1" w:rsidRDefault="00B50CC1" w:rsidP="00B50CC1">
      <w:pPr>
        <w:spacing w:after="180"/>
        <w:jc w:val="both"/>
        <w:rPr>
          <w:rFonts w:cs="Arial"/>
          <w:b/>
          <w:color w:val="000000" w:themeColor="text1"/>
          <w:szCs w:val="22"/>
        </w:rPr>
      </w:pPr>
      <w:r w:rsidRPr="00BD7958">
        <w:rPr>
          <w:rFonts w:cs="Arial"/>
          <w:b/>
          <w:color w:val="000000" w:themeColor="text1"/>
          <w:szCs w:val="22"/>
        </w:rPr>
        <w:t>12 Week Treatment Time Guarantee</w:t>
      </w:r>
    </w:p>
    <w:p w14:paraId="1FCC3768" w14:textId="77777777" w:rsidR="00B50CC1" w:rsidRDefault="00B50CC1" w:rsidP="00B50CC1">
      <w:pPr>
        <w:spacing w:after="180"/>
        <w:jc w:val="both"/>
        <w:rPr>
          <w:rFonts w:cs="Arial"/>
          <w:color w:val="000000" w:themeColor="text1"/>
          <w:szCs w:val="22"/>
        </w:rPr>
      </w:pPr>
      <w:r w:rsidRPr="00BB4DFB">
        <w:rPr>
          <w:rFonts w:cs="Arial"/>
          <w:b/>
          <w:color w:val="000000" w:themeColor="text1"/>
          <w:szCs w:val="22"/>
        </w:rPr>
        <w:t>Cardiac Surgery</w:t>
      </w:r>
      <w:r>
        <w:rPr>
          <w:rFonts w:cs="Arial"/>
          <w:color w:val="000000" w:themeColor="text1"/>
          <w:szCs w:val="22"/>
        </w:rPr>
        <w:t>:  While the percentage of patients breaching the 12 week waiting time guarantee fell slightly by 1% from the previous month, there continues to be significant challenges around meeting this target.  The reason for this has been well documented and continues to be due to the increasing number for referrals, urgency of referrals and complexity of procedures which result in a requirement for increased theatre time.  A proposal to extend the working day in theatre to accommodate two/three patients being treated in a day has been presented to SMT.  In order to implement this, it is essential that we have a commitment from boards across the region that they will support this model financially.  Discussions with referring Boards regarding this proposal will take place over the coming weeks.</w:t>
      </w:r>
    </w:p>
    <w:p w14:paraId="7876563D" w14:textId="77777777" w:rsidR="00B50CC1" w:rsidRDefault="00B50CC1" w:rsidP="00B50CC1">
      <w:pPr>
        <w:spacing w:after="180"/>
        <w:jc w:val="both"/>
        <w:rPr>
          <w:rFonts w:cs="Arial"/>
          <w:color w:val="000000" w:themeColor="text1"/>
          <w:szCs w:val="22"/>
        </w:rPr>
      </w:pPr>
      <w:r w:rsidRPr="00BB4DFB">
        <w:rPr>
          <w:rFonts w:cs="Arial"/>
          <w:b/>
          <w:color w:val="000000" w:themeColor="text1"/>
          <w:szCs w:val="22"/>
        </w:rPr>
        <w:t>Cardiology:</w:t>
      </w:r>
      <w:r>
        <w:rPr>
          <w:rFonts w:cs="Arial"/>
          <w:color w:val="000000" w:themeColor="text1"/>
          <w:szCs w:val="22"/>
        </w:rPr>
        <w:t xml:space="preserve">  The number of patients who breached their waiting time guarantee in July reduced by 44 patients in comparison to the previous month.  As predicted, the number of patients on the waiting list increased when the mobile cath lab left the GJF site in March.  The mobile unit came back on site in August and will remain for 12 weeks.  This is not in itself a solution to the waiting list problem, however it will go some way to improving the situation.  A solution to the cardiology challenges is expected when cath lab 5 becomes operational in April 2020.</w:t>
      </w:r>
    </w:p>
    <w:p w14:paraId="6ED74A9C" w14:textId="77777777" w:rsidR="00B50CC1" w:rsidRDefault="00B50CC1" w:rsidP="00B50CC1">
      <w:pPr>
        <w:spacing w:after="180"/>
        <w:jc w:val="both"/>
        <w:rPr>
          <w:rFonts w:cs="Arial"/>
          <w:color w:val="000000" w:themeColor="text1"/>
          <w:szCs w:val="22"/>
        </w:rPr>
      </w:pPr>
      <w:r w:rsidRPr="00BB4DFB">
        <w:rPr>
          <w:rFonts w:cs="Arial"/>
          <w:b/>
          <w:color w:val="000000" w:themeColor="text1"/>
          <w:szCs w:val="22"/>
        </w:rPr>
        <w:t>DOSA:</w:t>
      </w:r>
      <w:r>
        <w:rPr>
          <w:rFonts w:cs="Arial"/>
          <w:color w:val="000000" w:themeColor="text1"/>
          <w:szCs w:val="22"/>
        </w:rPr>
        <w:t xml:space="preserve">  DOSA rates improved in both orthopaedic surgery and cardiac surgery in July.  However, the DOSA rate for thoracic surgery was slightly behind plan.  The divisional management team continue to monitor delivery of this target and take corrective action as required.</w:t>
      </w:r>
    </w:p>
    <w:p w14:paraId="5456249A" w14:textId="77777777" w:rsidR="00B50CC1" w:rsidRDefault="00B50CC1" w:rsidP="00B50CC1">
      <w:pPr>
        <w:spacing w:after="180"/>
        <w:jc w:val="both"/>
        <w:rPr>
          <w:rFonts w:cs="Arial"/>
          <w:color w:val="000000" w:themeColor="text1"/>
          <w:szCs w:val="22"/>
        </w:rPr>
      </w:pPr>
      <w:r w:rsidRPr="003C7D04">
        <w:rPr>
          <w:rFonts w:cs="Arial"/>
          <w:b/>
          <w:color w:val="000000" w:themeColor="text1"/>
          <w:szCs w:val="22"/>
        </w:rPr>
        <w:t>Theatre Cancellation Rates</w:t>
      </w:r>
      <w:r>
        <w:rPr>
          <w:rFonts w:cs="Arial"/>
          <w:color w:val="000000" w:themeColor="text1"/>
          <w:szCs w:val="22"/>
        </w:rPr>
        <w:t>:  An improvement in cancellation rates was evidenced in July across all specialties with the exception of orthopaedic surgery.  Cancellation rates in ophthalmology remain at 2.7% which is a significant achievement.  Active management of cancellations is an ongoing process for the divisions.</w:t>
      </w:r>
    </w:p>
    <w:p w14:paraId="07C71160" w14:textId="4F562476" w:rsidR="00B50CC1" w:rsidRDefault="00B50CC1" w:rsidP="00B50CC1">
      <w:pPr>
        <w:spacing w:after="180"/>
        <w:jc w:val="both"/>
        <w:rPr>
          <w:rFonts w:cs="Arial"/>
        </w:rPr>
      </w:pPr>
      <w:r w:rsidRPr="003C7D04">
        <w:rPr>
          <w:rFonts w:cs="Arial"/>
          <w:b/>
        </w:rPr>
        <w:t>Orthopaedics:</w:t>
      </w:r>
      <w:r>
        <w:rPr>
          <w:rFonts w:cs="Arial"/>
        </w:rPr>
        <w:t xml:space="preserve">  Orthopaedic joint replacements were behind the July target by 27 procedures (7.2%), orthopaedic non joint activity was also behind the target by 37 procedures (44%) and foot and ankle surgery behind by 5 procedures (10.2%).  However, foot and ankle activity remains ahead of the year to date plan by 31 procedures.  Overall, the service utilised 419 orthopaedic theatre slots against a plan of 487 and they are now behind the year to date plan by 67 procedures.  This is an unusual situation for the orthopaedic surgery service.  Due to vacancies in theatre, throughout July there was a significant reliance on agency staff to cover the orthopaedic sessions.  In addition to the high level of vacancies, July is a peak holiday period for both the theatre staff and the consultants and the willingness </w:t>
      </w:r>
      <w:r w:rsidR="007B57F5">
        <w:rPr>
          <w:rFonts w:cs="Arial"/>
          <w:noProof/>
          <w:lang w:eastAsia="en-GB"/>
        </w:rPr>
        <w:lastRenderedPageBreak/>
        <w:pict w14:anchorId="55F9FF43">
          <v:rect id="_x0000_s1840" style="position:absolute;left:0;text-align:left;margin-left:545.65pt;margin-top:2.4pt;width:34.05pt;height:860.45pt;flip:y;z-index:252777984;mso-wrap-distance-left:36pt;mso-wrap-distance-top:7.2pt;mso-wrap-distance-right:7.2pt;mso-wrap-distance-bottom:7.2pt;mso-position-horizontal-relative:page;mso-position-vertical-relative:page"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840" inset="1mm,1in,1mm,1in">
              <w:txbxContent>
                <w:p w14:paraId="7B8EAB30" w14:textId="77777777" w:rsidR="00781EA2" w:rsidRPr="0058159D" w:rsidRDefault="00781EA2" w:rsidP="00781EA2">
                  <w:pPr>
                    <w:rPr>
                      <w:b/>
                      <w:color w:val="17365D" w:themeColor="text2" w:themeShade="BF"/>
                      <w:szCs w:val="24"/>
                    </w:rPr>
                  </w:pPr>
                  <w:r>
                    <w:rPr>
                      <w:b/>
                      <w:color w:val="17365D" w:themeColor="text2" w:themeShade="BF"/>
                      <w:szCs w:val="24"/>
                    </w:rPr>
                    <w:t>Overview and Executive Summary</w:t>
                  </w:r>
                </w:p>
                <w:p w14:paraId="2B4A40E8" w14:textId="77777777" w:rsidR="00781EA2" w:rsidRPr="0052263D" w:rsidRDefault="00781EA2" w:rsidP="00781EA2">
                  <w:pPr>
                    <w:rPr>
                      <w:szCs w:val="24"/>
                    </w:rPr>
                  </w:pPr>
                </w:p>
              </w:txbxContent>
            </v:textbox>
            <w10:wrap type="square" anchorx="page" anchory="page"/>
          </v:rect>
        </w:pict>
      </w:r>
      <w:r>
        <w:rPr>
          <w:rFonts w:cs="Arial"/>
        </w:rPr>
        <w:t>to cover additional sessions proved to be challenging.   The team are currently working on an orthopaedic planner for both out patients and in patients in order to create a recovery plan.</w:t>
      </w:r>
    </w:p>
    <w:p w14:paraId="7AF232CA" w14:textId="77777777" w:rsidR="00B50CC1" w:rsidRDefault="00B50CC1" w:rsidP="00B50CC1">
      <w:pPr>
        <w:rPr>
          <w:rFonts w:cs="Arial"/>
        </w:rPr>
      </w:pPr>
      <w:r w:rsidRPr="00BB4DFB">
        <w:rPr>
          <w:rFonts w:cs="Arial"/>
          <w:b/>
        </w:rPr>
        <w:t>Ophthalmology:</w:t>
      </w:r>
      <w:r>
        <w:rPr>
          <w:rFonts w:cs="Arial"/>
        </w:rPr>
        <w:t xml:space="preserve">  There was a shortfall of 54 procedures (7.2%) in July and this continues to be </w:t>
      </w:r>
      <w:r w:rsidRPr="00BB4DFB">
        <w:rPr>
          <w:rFonts w:cs="Arial"/>
        </w:rPr>
        <w:t xml:space="preserve">primarily related to the availability of consultants to cover theatre sessions.  However, this was exacerbated by the peak holiday period.  New </w:t>
      </w:r>
      <w:r>
        <w:rPr>
          <w:rFonts w:cs="Arial"/>
        </w:rPr>
        <w:t xml:space="preserve">consultant </w:t>
      </w:r>
      <w:r w:rsidRPr="00BB4DFB">
        <w:rPr>
          <w:rFonts w:cs="Arial"/>
        </w:rPr>
        <w:t>appointment</w:t>
      </w:r>
      <w:r>
        <w:rPr>
          <w:rFonts w:cs="Arial"/>
        </w:rPr>
        <w:t xml:space="preserve">s have been made and further </w:t>
      </w:r>
      <w:r w:rsidRPr="00BB4DFB">
        <w:rPr>
          <w:rFonts w:cs="Arial"/>
        </w:rPr>
        <w:t>opportunities continue to be actively explored.</w:t>
      </w:r>
      <w:r>
        <w:rPr>
          <w:rFonts w:cs="Arial"/>
        </w:rPr>
        <w:t xml:space="preserve">  The first of the new consultants are expected to take up post in September.</w:t>
      </w:r>
    </w:p>
    <w:p w14:paraId="389361F3" w14:textId="77777777" w:rsidR="00B50CC1" w:rsidRDefault="00B50CC1" w:rsidP="00B50CC1">
      <w:pPr>
        <w:rPr>
          <w:rFonts w:cs="Arial"/>
        </w:rPr>
      </w:pPr>
    </w:p>
    <w:p w14:paraId="092176C8" w14:textId="77777777" w:rsidR="00B50CC1" w:rsidRDefault="00B50CC1" w:rsidP="00B50CC1">
      <w:pPr>
        <w:rPr>
          <w:rFonts w:cs="Arial"/>
        </w:rPr>
      </w:pPr>
      <w:r w:rsidRPr="00BB4DFB">
        <w:rPr>
          <w:rFonts w:cs="Arial"/>
          <w:b/>
        </w:rPr>
        <w:t>Endoscopy:</w:t>
      </w:r>
      <w:r>
        <w:rPr>
          <w:rFonts w:cs="Arial"/>
        </w:rPr>
        <w:t xml:space="preserve">  Endoscopy procedures carried out in July exceeded our plan by 12 procedures (4.3%).  The service is making progress towards recovering the shortfall in activity from earlier in the year.</w:t>
      </w:r>
    </w:p>
    <w:p w14:paraId="63D67F6A" w14:textId="77777777" w:rsidR="00B50CC1" w:rsidRDefault="00B50CC1" w:rsidP="00B50CC1">
      <w:pPr>
        <w:pStyle w:val="ListParagraph"/>
        <w:tabs>
          <w:tab w:val="left" w:pos="709"/>
        </w:tabs>
        <w:rPr>
          <w:rFonts w:cs="Arial"/>
        </w:rPr>
      </w:pPr>
      <w:r>
        <w:rPr>
          <w:rFonts w:cs="Arial"/>
        </w:rPr>
        <w:t xml:space="preserve">  </w:t>
      </w:r>
    </w:p>
    <w:p w14:paraId="36E2FE85" w14:textId="77777777" w:rsidR="00B50CC1" w:rsidRPr="00BB4DFB" w:rsidRDefault="00B50CC1" w:rsidP="00B50CC1">
      <w:pPr>
        <w:ind w:right="-360"/>
        <w:rPr>
          <w:rFonts w:cs="Arial"/>
          <w:b/>
        </w:rPr>
      </w:pPr>
      <w:r w:rsidRPr="00BB4DFB">
        <w:rPr>
          <w:rFonts w:cs="Arial"/>
          <w:b/>
        </w:rPr>
        <w:t>Diagnostic Imaging:</w:t>
      </w:r>
      <w:r>
        <w:rPr>
          <w:rFonts w:cs="Arial"/>
        </w:rPr>
        <w:t xml:space="preserve">  Diagnostic imaging</w:t>
      </w:r>
      <w:r w:rsidRPr="00BB4DFB">
        <w:rPr>
          <w:rFonts w:cs="Arial"/>
        </w:rPr>
        <w:t xml:space="preserve"> performed significantly behind the monthly plan by 435 examinations </w:t>
      </w:r>
      <w:r>
        <w:rPr>
          <w:rFonts w:cs="Arial"/>
        </w:rPr>
        <w:t xml:space="preserve">(11%) </w:t>
      </w:r>
      <w:r w:rsidRPr="00BB4DFB">
        <w:rPr>
          <w:rFonts w:cs="Arial"/>
        </w:rPr>
        <w:t>in the month of July.  As has b</w:t>
      </w:r>
      <w:r>
        <w:rPr>
          <w:rFonts w:cs="Arial"/>
        </w:rPr>
        <w:t xml:space="preserve">een reported </w:t>
      </w:r>
      <w:r w:rsidRPr="00BB4DFB">
        <w:rPr>
          <w:rFonts w:cs="Arial"/>
        </w:rPr>
        <w:t xml:space="preserve">previously, we continue to experience challenges in consultant availability to report the examinations.  </w:t>
      </w:r>
      <w:r>
        <w:rPr>
          <w:rFonts w:cs="Arial"/>
        </w:rPr>
        <w:t>An external provider has been commissioned to support the service.  However, due to technical challenges, this</w:t>
      </w:r>
      <w:r w:rsidRPr="00BB4DFB">
        <w:rPr>
          <w:rFonts w:cs="Arial"/>
        </w:rPr>
        <w:t xml:space="preserve"> </w:t>
      </w:r>
      <w:r>
        <w:rPr>
          <w:rFonts w:cs="Arial"/>
        </w:rPr>
        <w:t xml:space="preserve">solution </w:t>
      </w:r>
      <w:r w:rsidRPr="00BB4DFB">
        <w:rPr>
          <w:rFonts w:cs="Arial"/>
        </w:rPr>
        <w:t>has taken longer than expected to have an impact.  It would ap</w:t>
      </w:r>
      <w:r>
        <w:rPr>
          <w:rFonts w:cs="Arial"/>
        </w:rPr>
        <w:t>pear that a</w:t>
      </w:r>
      <w:r w:rsidRPr="00BB4DFB">
        <w:rPr>
          <w:rFonts w:cs="Arial"/>
        </w:rPr>
        <w:t xml:space="preserve"> </w:t>
      </w:r>
      <w:r>
        <w:rPr>
          <w:rFonts w:cs="Arial"/>
        </w:rPr>
        <w:t xml:space="preserve">technical </w:t>
      </w:r>
      <w:r w:rsidRPr="00BB4DFB">
        <w:rPr>
          <w:rFonts w:cs="Arial"/>
        </w:rPr>
        <w:t xml:space="preserve">solution is now in place and the reporting shortfall should improve over the forthcoming months. </w:t>
      </w:r>
    </w:p>
    <w:p w14:paraId="3D4AF534" w14:textId="77777777" w:rsidR="00B50CC1" w:rsidRDefault="00B50CC1" w:rsidP="00B50CC1">
      <w:pPr>
        <w:ind w:right="-360"/>
        <w:rPr>
          <w:rFonts w:cs="Arial"/>
          <w:b/>
        </w:rPr>
      </w:pPr>
    </w:p>
    <w:p w14:paraId="457674B0" w14:textId="0AF3D383" w:rsidR="00B50CC1" w:rsidRDefault="00B50CC1" w:rsidP="00B50CC1">
      <w:pPr>
        <w:rPr>
          <w:rFonts w:cs="Arial"/>
        </w:rPr>
      </w:pPr>
      <w:r>
        <w:rPr>
          <w:rFonts w:cs="Arial"/>
        </w:rPr>
        <w:t>Activity in July has been extremely challenging.  Together with the peak holiday period, the well documented impact of consultant availability has presented particularly significant challenges this month.  The Recovery Group continue to meet on a weekly basis and remain focussed on identifying alternative solutions to challenges as they arise, addressing recruitment challenges and detailing a recovery plan for shortfalls by specialty.</w:t>
      </w:r>
    </w:p>
    <w:p w14:paraId="0B4F0DDE" w14:textId="7D1C8D55" w:rsidR="00B0435F" w:rsidRDefault="00B0435F" w:rsidP="003B79B2">
      <w:pPr>
        <w:spacing w:after="180"/>
        <w:jc w:val="both"/>
        <w:rPr>
          <w:rFonts w:cs="Arial"/>
          <w:szCs w:val="22"/>
          <w:highlight w:val="yellow"/>
        </w:rPr>
      </w:pPr>
    </w:p>
    <w:p w14:paraId="11947AC5" w14:textId="77777777" w:rsidR="007B6130" w:rsidRPr="00C95E78" w:rsidRDefault="007B6130" w:rsidP="007B6130">
      <w:pPr>
        <w:ind w:right="2"/>
        <w:textAlignment w:val="baseline"/>
        <w:rPr>
          <w:rFonts w:cs="Arial"/>
          <w:b/>
          <w:szCs w:val="22"/>
        </w:rPr>
      </w:pPr>
      <w:r w:rsidRPr="00C95E78">
        <w:rPr>
          <w:rFonts w:cs="Arial"/>
          <w:b/>
          <w:szCs w:val="22"/>
        </w:rPr>
        <w:t>Financial Position as at Month 4, July 2019</w:t>
      </w:r>
    </w:p>
    <w:p w14:paraId="08368CD8" w14:textId="77777777" w:rsidR="007B6130" w:rsidRPr="00DF1C86" w:rsidRDefault="007B6130" w:rsidP="007B6130">
      <w:pPr>
        <w:ind w:right="2"/>
        <w:textAlignment w:val="baseline"/>
        <w:rPr>
          <w:rFonts w:cs="Arial"/>
          <w:b/>
          <w:sz w:val="10"/>
          <w:szCs w:val="10"/>
        </w:rPr>
      </w:pPr>
    </w:p>
    <w:p w14:paraId="2FC5F391" w14:textId="10C72624" w:rsidR="007B6130" w:rsidRPr="00C95E78" w:rsidRDefault="007B6130" w:rsidP="007B6130">
      <w:pPr>
        <w:ind w:right="2"/>
        <w:textAlignment w:val="baseline"/>
        <w:rPr>
          <w:rFonts w:cs="Arial"/>
          <w:b/>
          <w:szCs w:val="22"/>
        </w:rPr>
      </w:pPr>
      <w:r w:rsidRPr="00C95E78">
        <w:rPr>
          <w:rFonts w:cs="Arial"/>
          <w:b/>
          <w:szCs w:val="22"/>
        </w:rPr>
        <w:t>Revenue Position</w:t>
      </w:r>
    </w:p>
    <w:p w14:paraId="1C202456" w14:textId="77777777" w:rsidR="00B50CC1" w:rsidRPr="00B50CC1" w:rsidRDefault="00B50CC1" w:rsidP="007B6130">
      <w:pPr>
        <w:jc w:val="both"/>
        <w:rPr>
          <w:rFonts w:cs="Arial"/>
          <w:sz w:val="10"/>
          <w:szCs w:val="10"/>
        </w:rPr>
      </w:pPr>
    </w:p>
    <w:p w14:paraId="09170FAF" w14:textId="3F28D27F" w:rsidR="007B6130" w:rsidRPr="00C95E78" w:rsidRDefault="007B6130" w:rsidP="007B6130">
      <w:pPr>
        <w:jc w:val="both"/>
        <w:rPr>
          <w:rFonts w:cs="Arial"/>
          <w:szCs w:val="22"/>
        </w:rPr>
      </w:pPr>
      <w:r w:rsidRPr="00C95E78">
        <w:rPr>
          <w:rFonts w:cs="Arial"/>
          <w:szCs w:val="22"/>
        </w:rPr>
        <w:t>The total surplus as at Month 4, July 2019 amounts to £614k. This comprises of an income over-recovery of £138k, a core expenditure underspend of £448k and a non-core underspend of £28k. This reported underspend position is slightly lower than the original Financial Plan Forecast of an £825k underspend by the end of July 2019, however this is related to the phasing of budgets and is not a cause for concern given the positive overall position being reported.</w:t>
      </w:r>
    </w:p>
    <w:p w14:paraId="54C17089" w14:textId="77777777" w:rsidR="007B6130" w:rsidRPr="00C95E78" w:rsidRDefault="007B6130" w:rsidP="007B6130">
      <w:pPr>
        <w:jc w:val="both"/>
        <w:rPr>
          <w:rFonts w:cs="Arial"/>
          <w:szCs w:val="22"/>
        </w:rPr>
      </w:pPr>
    </w:p>
    <w:p w14:paraId="1C0707F2" w14:textId="77777777" w:rsidR="007B6130" w:rsidRPr="00C95E78" w:rsidRDefault="007B6130" w:rsidP="007B6130">
      <w:pPr>
        <w:jc w:val="both"/>
        <w:rPr>
          <w:rFonts w:cs="Arial"/>
          <w:szCs w:val="22"/>
        </w:rPr>
      </w:pPr>
      <w:r w:rsidRPr="00C95E78">
        <w:rPr>
          <w:rFonts w:cs="Arial"/>
          <w:szCs w:val="22"/>
        </w:rPr>
        <w:t xml:space="preserve">The forecast to the financial year-end at this point of the financial year remains to predict a break-even position against the Boards revenue position. </w:t>
      </w:r>
    </w:p>
    <w:p w14:paraId="54C89007" w14:textId="77777777" w:rsidR="007B6130" w:rsidRPr="00C95E78" w:rsidRDefault="007B6130" w:rsidP="007B6130">
      <w:pPr>
        <w:rPr>
          <w:rFonts w:cs="Arial"/>
          <w:szCs w:val="22"/>
        </w:rPr>
      </w:pPr>
    </w:p>
    <w:p w14:paraId="2D4A3077" w14:textId="77777777" w:rsidR="007B6130" w:rsidRPr="00C95E78" w:rsidRDefault="007B6130" w:rsidP="007B6130">
      <w:pPr>
        <w:rPr>
          <w:rFonts w:cs="Arial"/>
          <w:b/>
          <w:szCs w:val="22"/>
        </w:rPr>
      </w:pPr>
      <w:r w:rsidRPr="00C95E78">
        <w:rPr>
          <w:rFonts w:cs="Arial"/>
          <w:b/>
          <w:szCs w:val="22"/>
        </w:rPr>
        <w:t>Main Points to note</w:t>
      </w:r>
    </w:p>
    <w:p w14:paraId="1232097E" w14:textId="77777777" w:rsidR="007B6130" w:rsidRPr="00C95E78" w:rsidRDefault="007B6130" w:rsidP="007B6130">
      <w:pPr>
        <w:rPr>
          <w:rFonts w:cs="Arial"/>
          <w:szCs w:val="22"/>
        </w:rPr>
      </w:pPr>
    </w:p>
    <w:p w14:paraId="24A2EC75" w14:textId="77777777" w:rsidR="007B6130" w:rsidRPr="00C95E78" w:rsidRDefault="007B6130" w:rsidP="007B6130">
      <w:pPr>
        <w:pStyle w:val="ListParagraph"/>
        <w:numPr>
          <w:ilvl w:val="0"/>
          <w:numId w:val="9"/>
        </w:numPr>
        <w:contextualSpacing/>
        <w:jc w:val="both"/>
        <w:rPr>
          <w:rFonts w:cs="Arial"/>
          <w:sz w:val="22"/>
          <w:szCs w:val="22"/>
          <w:lang w:eastAsia="en-GB"/>
        </w:rPr>
      </w:pPr>
      <w:r w:rsidRPr="00C95E78">
        <w:rPr>
          <w:rFonts w:cs="Arial"/>
          <w:sz w:val="22"/>
          <w:szCs w:val="22"/>
          <w:lang w:eastAsia="en-GB"/>
        </w:rPr>
        <w:t>The YTD Budget across Expenditure headings amounts to c£47.2m, with the underspend above of £448k being split between pay, at £273k underspent, and non-pay, at £175k underspent. Whilst this overall position is favourable some pressures exist in Medical Pay lines due to excess costs to assist in meeting capacity demands, and within equipment repair and rental in non-pay, with both areas being subject of local reviews to define remedial actions.</w:t>
      </w:r>
    </w:p>
    <w:p w14:paraId="19561B80" w14:textId="77777777" w:rsidR="007B6130" w:rsidRPr="00C95E78" w:rsidRDefault="007B6130" w:rsidP="007B6130">
      <w:pPr>
        <w:pStyle w:val="ListParagraph"/>
        <w:jc w:val="both"/>
        <w:rPr>
          <w:rFonts w:cs="Arial"/>
          <w:sz w:val="22"/>
          <w:szCs w:val="22"/>
          <w:lang w:eastAsia="en-GB"/>
        </w:rPr>
      </w:pPr>
    </w:p>
    <w:p w14:paraId="1769AC8F" w14:textId="156CBC01" w:rsidR="007B6130" w:rsidRPr="00C95E78" w:rsidRDefault="007B6130" w:rsidP="007B6130">
      <w:pPr>
        <w:pStyle w:val="ListParagraph"/>
        <w:numPr>
          <w:ilvl w:val="0"/>
          <w:numId w:val="9"/>
        </w:numPr>
        <w:contextualSpacing/>
        <w:jc w:val="both"/>
        <w:rPr>
          <w:rFonts w:cs="Arial"/>
          <w:sz w:val="22"/>
          <w:szCs w:val="22"/>
          <w:lang w:eastAsia="en-GB"/>
        </w:rPr>
      </w:pPr>
      <w:r w:rsidRPr="00C95E78">
        <w:rPr>
          <w:rFonts w:cs="Arial"/>
          <w:sz w:val="22"/>
          <w:szCs w:val="22"/>
        </w:rPr>
        <w:t xml:space="preserve">The Efficiency Savings target for the year amounts to £4.807m. At the end of July 2019, £3.758m of schemes have been identified, with £1.74m being recurring schemes and £2.018m non-recurring opportunities. At month 4 this reflects an in-year gap of £1.049m and a FYE gap of £1.958m, albeit further opportunities will be explored, and be of significant focus, via planned Performance Review Groups </w:t>
      </w:r>
      <w:r w:rsidR="007B57F5">
        <w:rPr>
          <w:rFonts w:cs="Arial"/>
          <w:b/>
          <w:noProof/>
          <w:color w:val="1F497D" w:themeColor="text2"/>
          <w:sz w:val="22"/>
          <w:szCs w:val="22"/>
          <w:lang w:eastAsia="en-GB"/>
        </w:rPr>
        <w:lastRenderedPageBreak/>
        <w:pict w14:anchorId="55F9FF43">
          <v:rect id="_x0000_s1829" style="position:absolute;left:0;text-align:left;margin-left:13.75pt;margin-top:5.6pt;width:34.05pt;height:860.45pt;flip:y;z-index:252770816;mso-wrap-distance-left:36pt;mso-wrap-distance-top:7.2pt;mso-wrap-distance-right:7.2pt;mso-wrap-distance-bottom:7.2pt;mso-position-horizontal-relative:page;mso-position-vertical-relative:page" o:allowincell="f" fillcolor="#e5b8b7 [1301]" strokecolor="#e5b8b7 [1301]"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layout-flow:vertical;mso-next-textbox:#_x0000_s1829" inset="1mm,1in,1mm,1in">
              <w:txbxContent>
                <w:p w14:paraId="2A079E09" w14:textId="77777777" w:rsidR="00F4224D" w:rsidRPr="0058159D" w:rsidRDefault="00F4224D" w:rsidP="00F4224D">
                  <w:pPr>
                    <w:rPr>
                      <w:b/>
                      <w:color w:val="17365D" w:themeColor="text2" w:themeShade="BF"/>
                      <w:szCs w:val="24"/>
                    </w:rPr>
                  </w:pPr>
                  <w:r>
                    <w:rPr>
                      <w:b/>
                      <w:color w:val="17365D" w:themeColor="text2" w:themeShade="BF"/>
                      <w:szCs w:val="24"/>
                    </w:rPr>
                    <w:t>Overview and Executive Summary</w:t>
                  </w:r>
                </w:p>
                <w:p w14:paraId="01467D64" w14:textId="77777777" w:rsidR="00F4224D" w:rsidRPr="0052263D" w:rsidRDefault="00F4224D" w:rsidP="00F4224D">
                  <w:pPr>
                    <w:rPr>
                      <w:szCs w:val="24"/>
                    </w:rPr>
                  </w:pPr>
                </w:p>
              </w:txbxContent>
            </v:textbox>
            <w10:wrap type="square" anchorx="page" anchory="page"/>
          </v:rect>
        </w:pict>
      </w:r>
      <w:r w:rsidRPr="00C95E78">
        <w:rPr>
          <w:rFonts w:cs="Arial"/>
          <w:sz w:val="22"/>
          <w:szCs w:val="22"/>
        </w:rPr>
        <w:t>with the Divisions to source additional initiatives. Positively, £825k of cash releasing savings have been identified and achieved as at month 4.</w:t>
      </w:r>
    </w:p>
    <w:p w14:paraId="4C0DA01F" w14:textId="77777777" w:rsidR="007B6130" w:rsidRPr="00C95E78" w:rsidRDefault="007B6130" w:rsidP="007B6130">
      <w:pPr>
        <w:pStyle w:val="ListParagraph"/>
        <w:jc w:val="both"/>
        <w:rPr>
          <w:rFonts w:cs="Arial"/>
          <w:sz w:val="22"/>
          <w:szCs w:val="22"/>
          <w:lang w:eastAsia="en-GB"/>
        </w:rPr>
      </w:pPr>
    </w:p>
    <w:p w14:paraId="41C4AB9D" w14:textId="7D2BD3E4" w:rsidR="007B6130" w:rsidRPr="00C95E78" w:rsidRDefault="007B6130" w:rsidP="007B6130">
      <w:pPr>
        <w:pStyle w:val="ListParagraph"/>
        <w:numPr>
          <w:ilvl w:val="0"/>
          <w:numId w:val="9"/>
        </w:numPr>
        <w:contextualSpacing/>
        <w:jc w:val="both"/>
        <w:rPr>
          <w:rFonts w:cs="Arial"/>
          <w:sz w:val="22"/>
          <w:szCs w:val="22"/>
          <w:lang w:eastAsia="en-GB"/>
        </w:rPr>
      </w:pPr>
      <w:r w:rsidRPr="00C95E78">
        <w:rPr>
          <w:rFonts w:cs="Arial"/>
          <w:sz w:val="22"/>
          <w:szCs w:val="22"/>
        </w:rPr>
        <w:t>In addition to these savings schemes, there are cost avoidance and productivity schemes of £0.38m and £1.16m respectively, albeit the latter contains c£0.5m in high risk for achievement. These schemes are under detailed scrutiny to assess the organisational benefits which can be recognised in year.</w:t>
      </w:r>
    </w:p>
    <w:p w14:paraId="30F88485" w14:textId="77777777" w:rsidR="007B6130" w:rsidRPr="00C95E78" w:rsidRDefault="007B6130" w:rsidP="007B6130">
      <w:pPr>
        <w:pStyle w:val="ListParagraph"/>
        <w:rPr>
          <w:rFonts w:cs="Arial"/>
          <w:sz w:val="22"/>
          <w:szCs w:val="22"/>
          <w:lang w:eastAsia="en-GB"/>
        </w:rPr>
      </w:pPr>
    </w:p>
    <w:p w14:paraId="4900BE07" w14:textId="33E08F95" w:rsidR="007B6130" w:rsidRPr="00C95E78" w:rsidRDefault="007B6130" w:rsidP="007B6130">
      <w:pPr>
        <w:pStyle w:val="ListParagraph"/>
        <w:numPr>
          <w:ilvl w:val="0"/>
          <w:numId w:val="9"/>
        </w:numPr>
        <w:contextualSpacing/>
        <w:jc w:val="both"/>
        <w:rPr>
          <w:rFonts w:cs="Arial"/>
          <w:sz w:val="22"/>
          <w:szCs w:val="22"/>
          <w:lang w:eastAsia="en-GB"/>
        </w:rPr>
      </w:pPr>
      <w:r w:rsidRPr="00C95E78">
        <w:rPr>
          <w:rFonts w:cs="Arial"/>
          <w:sz w:val="22"/>
          <w:szCs w:val="22"/>
          <w:lang w:eastAsia="en-GB"/>
        </w:rPr>
        <w:t>The Clinical Waste contract and service contingency arrangements continue to be in transitional phase with the interim arrangements resulting in additional charges of c£14k per month from the contractor together with some internal costs to maintain service delivery. These costs have been factored into the Boards financial forecasts, recognising the full financial risk.</w:t>
      </w:r>
    </w:p>
    <w:p w14:paraId="3C86F8F8" w14:textId="77777777" w:rsidR="007B6130" w:rsidRPr="00C95E78" w:rsidRDefault="007B6130" w:rsidP="007B6130">
      <w:pPr>
        <w:pStyle w:val="ListParagraph"/>
        <w:rPr>
          <w:rFonts w:cs="Arial"/>
          <w:sz w:val="22"/>
          <w:szCs w:val="22"/>
          <w:lang w:eastAsia="en-GB"/>
        </w:rPr>
      </w:pPr>
    </w:p>
    <w:p w14:paraId="210A278D" w14:textId="48C1DFB6" w:rsidR="007B6130" w:rsidRPr="00C95E78" w:rsidRDefault="007B6130" w:rsidP="007B6130">
      <w:pPr>
        <w:pStyle w:val="ListParagraph"/>
        <w:numPr>
          <w:ilvl w:val="0"/>
          <w:numId w:val="9"/>
        </w:numPr>
        <w:contextualSpacing/>
        <w:jc w:val="both"/>
        <w:rPr>
          <w:rFonts w:cs="Arial"/>
          <w:sz w:val="22"/>
          <w:szCs w:val="22"/>
          <w:lang w:eastAsia="en-GB"/>
        </w:rPr>
      </w:pPr>
      <w:r w:rsidRPr="00C95E78">
        <w:rPr>
          <w:rFonts w:cs="Arial"/>
          <w:sz w:val="22"/>
          <w:szCs w:val="22"/>
          <w:lang w:eastAsia="en-GB"/>
        </w:rPr>
        <w:t>The Hotel Expenditure position is (£12k) overspent following Pay Award funding, and reports a slight under-recovery in income of (£6k), however on a YTD budget of c£1.7m, and with a backdrop of forecast increases in NHS and Events Business, it is believed that this position is recoverable during the remainder of the financial year.</w:t>
      </w:r>
    </w:p>
    <w:p w14:paraId="1D9BFD74" w14:textId="77777777" w:rsidR="007B6130" w:rsidRPr="00C95E78" w:rsidRDefault="007B6130" w:rsidP="007B6130">
      <w:pPr>
        <w:pStyle w:val="ListParagraph"/>
        <w:rPr>
          <w:rFonts w:cs="Arial"/>
          <w:sz w:val="22"/>
          <w:szCs w:val="22"/>
          <w:lang w:eastAsia="en-GB"/>
        </w:rPr>
      </w:pPr>
    </w:p>
    <w:p w14:paraId="04570B95" w14:textId="1B30D7FC" w:rsidR="007B6130" w:rsidRPr="00C95E78" w:rsidRDefault="007B6130" w:rsidP="007B6130">
      <w:pPr>
        <w:pStyle w:val="ListParagraph"/>
        <w:numPr>
          <w:ilvl w:val="0"/>
          <w:numId w:val="9"/>
        </w:numPr>
        <w:contextualSpacing/>
        <w:jc w:val="both"/>
        <w:rPr>
          <w:rFonts w:cs="Arial"/>
          <w:sz w:val="22"/>
          <w:szCs w:val="22"/>
          <w:lang w:eastAsia="en-GB"/>
        </w:rPr>
      </w:pPr>
      <w:r w:rsidRPr="00C95E78">
        <w:rPr>
          <w:rFonts w:cs="Arial"/>
          <w:sz w:val="22"/>
          <w:szCs w:val="22"/>
          <w:lang w:eastAsia="en-GB"/>
        </w:rPr>
        <w:t>At a recent Annual Operating Plan Meeting with Scottish Government colleagues, confirmation of funding was provided for key Waiting Times Improvement Plan funding, which also included Independent Sector activity funds. Monthly monitoring reports will be issued to Scottish Government by Board, Supplier and Specialty to capture current and forecast positions and aid robust national reporting.</w:t>
      </w:r>
    </w:p>
    <w:p w14:paraId="5635FB4D" w14:textId="77777777" w:rsidR="007B6130" w:rsidRPr="00C95E78" w:rsidRDefault="007B6130" w:rsidP="007B6130">
      <w:pPr>
        <w:pStyle w:val="ListParagraph"/>
        <w:rPr>
          <w:rFonts w:cs="Arial"/>
          <w:sz w:val="22"/>
          <w:szCs w:val="22"/>
          <w:lang w:eastAsia="en-GB"/>
        </w:rPr>
      </w:pPr>
    </w:p>
    <w:p w14:paraId="1A640EB3" w14:textId="77777777" w:rsidR="007B6130" w:rsidRPr="00C95E78" w:rsidRDefault="007B6130" w:rsidP="007B6130">
      <w:pPr>
        <w:ind w:right="2"/>
        <w:textAlignment w:val="baseline"/>
        <w:rPr>
          <w:rFonts w:cs="Arial"/>
          <w:b/>
          <w:szCs w:val="22"/>
        </w:rPr>
      </w:pPr>
      <w:r w:rsidRPr="00C95E78">
        <w:rPr>
          <w:rFonts w:cs="Arial"/>
          <w:b/>
          <w:szCs w:val="22"/>
        </w:rPr>
        <w:t>Capital Position</w:t>
      </w:r>
    </w:p>
    <w:p w14:paraId="0B94AC04" w14:textId="77777777" w:rsidR="007B6130" w:rsidRPr="00B50CC1" w:rsidRDefault="007B6130" w:rsidP="007B6130">
      <w:pPr>
        <w:ind w:right="2"/>
        <w:textAlignment w:val="baseline"/>
        <w:rPr>
          <w:rFonts w:cs="Arial"/>
          <w:b/>
          <w:sz w:val="10"/>
          <w:szCs w:val="10"/>
        </w:rPr>
      </w:pPr>
    </w:p>
    <w:p w14:paraId="6197D7C3" w14:textId="77777777" w:rsidR="007B6130" w:rsidRPr="00C95E78" w:rsidRDefault="007B6130" w:rsidP="007B6130">
      <w:pPr>
        <w:pStyle w:val="ListParagraph"/>
        <w:numPr>
          <w:ilvl w:val="0"/>
          <w:numId w:val="11"/>
        </w:numPr>
        <w:contextualSpacing/>
        <w:jc w:val="both"/>
        <w:rPr>
          <w:rFonts w:cs="Arial"/>
          <w:sz w:val="22"/>
          <w:szCs w:val="22"/>
        </w:rPr>
      </w:pPr>
      <w:r w:rsidRPr="00C95E78">
        <w:rPr>
          <w:rFonts w:cs="Arial"/>
          <w:sz w:val="22"/>
          <w:szCs w:val="22"/>
        </w:rPr>
        <w:t>Formula Capital of £2.691m and Capital Stimulus funding of £1.922m combine to derive the overall allocation below of £4.613m of core capital funding split across the 3 key allocation headings, which at month 4 has formal spend of £0.37m associated with turnkey works for the MRI project.</w:t>
      </w:r>
    </w:p>
    <w:p w14:paraId="193D4A87" w14:textId="77777777" w:rsidR="007B6130" w:rsidRPr="00C95E78" w:rsidRDefault="007B6130" w:rsidP="007B6130">
      <w:pPr>
        <w:rPr>
          <w:rFonts w:cs="Arial"/>
          <w:szCs w:val="22"/>
        </w:rPr>
      </w:pPr>
    </w:p>
    <w:p w14:paraId="5F60EC17" w14:textId="77777777" w:rsidR="007B6130" w:rsidRPr="0002447B" w:rsidRDefault="007B6130" w:rsidP="007B6130">
      <w:pPr>
        <w:ind w:firstLine="720"/>
        <w:rPr>
          <w:rFonts w:cs="Arial"/>
          <w:szCs w:val="22"/>
        </w:rPr>
      </w:pPr>
      <w:r w:rsidRPr="0002447B">
        <w:rPr>
          <w:noProof/>
          <w:szCs w:val="22"/>
          <w:lang w:eastAsia="en-GB"/>
        </w:rPr>
        <w:drawing>
          <wp:inline distT="0" distB="0" distL="0" distR="0" wp14:anchorId="64A0AE12" wp14:editId="0342E706">
            <wp:extent cx="3324225" cy="144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4225" cy="1447800"/>
                    </a:xfrm>
                    <a:prstGeom prst="rect">
                      <a:avLst/>
                    </a:prstGeom>
                    <a:noFill/>
                    <a:ln>
                      <a:noFill/>
                    </a:ln>
                  </pic:spPr>
                </pic:pic>
              </a:graphicData>
            </a:graphic>
          </wp:inline>
        </w:drawing>
      </w:r>
    </w:p>
    <w:p w14:paraId="244E2066" w14:textId="77777777" w:rsidR="007B6130" w:rsidRPr="0002447B" w:rsidRDefault="007B6130" w:rsidP="007B6130">
      <w:pPr>
        <w:rPr>
          <w:rFonts w:cs="Arial"/>
          <w:szCs w:val="22"/>
        </w:rPr>
      </w:pPr>
    </w:p>
    <w:p w14:paraId="4EF7291F" w14:textId="77777777" w:rsidR="00B50CC1" w:rsidRDefault="007B6130" w:rsidP="00B50CC1">
      <w:pPr>
        <w:pStyle w:val="ListParagraph"/>
        <w:numPr>
          <w:ilvl w:val="0"/>
          <w:numId w:val="10"/>
        </w:numPr>
        <w:contextualSpacing/>
        <w:jc w:val="both"/>
        <w:rPr>
          <w:rFonts w:cs="Arial"/>
          <w:sz w:val="22"/>
          <w:szCs w:val="22"/>
        </w:rPr>
      </w:pPr>
      <w:r w:rsidRPr="00C95E78">
        <w:rPr>
          <w:rFonts w:cs="Arial"/>
          <w:sz w:val="22"/>
          <w:szCs w:val="22"/>
        </w:rPr>
        <w:t xml:space="preserve">In addition to the above, Elective Centre Funding relating to phase one and phase two developments is received as a separate allocation.  Phase one relates to the Ophthalmology expansion with funding of £10.473m included in the capital plan for the year. The in-year spend for phase one is £1.094m as at July 2019. Phase two relates to the </w:t>
      </w:r>
      <w:r w:rsidRPr="00B50CC1">
        <w:rPr>
          <w:rFonts w:cs="Arial"/>
          <w:sz w:val="22"/>
          <w:szCs w:val="22"/>
        </w:rPr>
        <w:t>creation of a new facility to increase Orthopaedic Surgery capacity, and an element has been allowed in the capital plan in year with regard to this. The Outline Business Case is currently being developed and close communication with SG colleagues is in place given the scale and importance of this key development. The in-year expenditure related to appropriate enabling works for phase two at the end of month 4 is £513k, which is informed in detail at internal cost control meetings.</w:t>
      </w:r>
    </w:p>
    <w:p w14:paraId="20A845F4" w14:textId="77777777" w:rsidR="00B50CC1" w:rsidRDefault="00B50CC1" w:rsidP="00B50CC1">
      <w:pPr>
        <w:pStyle w:val="ListParagraph"/>
        <w:contextualSpacing/>
        <w:jc w:val="both"/>
        <w:rPr>
          <w:rFonts w:cs="Arial"/>
          <w:sz w:val="22"/>
          <w:szCs w:val="22"/>
        </w:rPr>
      </w:pPr>
    </w:p>
    <w:p w14:paraId="17A924DF" w14:textId="3BA0BE10" w:rsidR="00B0435F" w:rsidRPr="00B50CC1" w:rsidRDefault="007B6130" w:rsidP="00B50CC1">
      <w:pPr>
        <w:pStyle w:val="ListParagraph"/>
        <w:numPr>
          <w:ilvl w:val="0"/>
          <w:numId w:val="10"/>
        </w:numPr>
        <w:contextualSpacing/>
        <w:jc w:val="both"/>
        <w:rPr>
          <w:rFonts w:cs="Arial"/>
          <w:sz w:val="22"/>
          <w:szCs w:val="22"/>
        </w:rPr>
      </w:pPr>
      <w:r w:rsidRPr="00B50CC1">
        <w:rPr>
          <w:rFonts w:cs="Arial"/>
          <w:sz w:val="22"/>
          <w:szCs w:val="22"/>
        </w:rPr>
        <w:t>The Board forecast to remain within the Capital Resource Limit for the financial year to meet the financial targets for 2019/20.</w:t>
      </w:r>
    </w:p>
    <w:sectPr w:rsidR="00B0435F" w:rsidRPr="00B50CC1" w:rsidSect="0083559D">
      <w:footerReference w:type="even" r:id="rId23"/>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79A59" w14:textId="77777777" w:rsidR="00394C7B" w:rsidRDefault="00394C7B" w:rsidP="005A1C4D">
      <w:r>
        <w:separator/>
      </w:r>
    </w:p>
  </w:endnote>
  <w:endnote w:type="continuationSeparator" w:id="0">
    <w:p w14:paraId="1B0C0100" w14:textId="77777777" w:rsidR="00394C7B" w:rsidRDefault="00394C7B" w:rsidP="005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tone Sans Semi Bold">
    <w:altName w:val="Calibri"/>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C719" w14:textId="384005C4" w:rsidR="00D51EF3" w:rsidRDefault="00D51EF3">
    <w:pPr>
      <w:pStyle w:val="Footer"/>
      <w:jc w:val="right"/>
    </w:pPr>
  </w:p>
  <w:p w14:paraId="3A97533A" w14:textId="77777777" w:rsidR="00394C7B" w:rsidRDefault="00394C7B" w:rsidP="00A403AC">
    <w:pPr>
      <w:pStyle w:val="Footer"/>
      <w:tabs>
        <w:tab w:val="clear" w:pos="4320"/>
        <w:tab w:val="clear" w:pos="8640"/>
        <w:tab w:val="right" w:pos="9026"/>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504124590"/>
      <w:docPartObj>
        <w:docPartGallery w:val="Page Numbers (Bottom of Page)"/>
        <w:docPartUnique/>
      </w:docPartObj>
    </w:sdtPr>
    <w:sdtEndPr/>
    <w:sdtContent>
      <w:p w14:paraId="3EFD8F0E" w14:textId="6CDDB5DA" w:rsidR="00D51EF3" w:rsidRDefault="00D51EF3">
        <w:pPr>
          <w:pStyle w:val="Footer"/>
          <w:jc w:val="right"/>
        </w:pPr>
        <w:r>
          <w:rPr>
            <w:noProof/>
          </w:rPr>
          <w:fldChar w:fldCharType="begin"/>
        </w:r>
        <w:r>
          <w:rPr>
            <w:noProof/>
          </w:rPr>
          <w:instrText xml:space="preserve"> PAGE   \* MERGEFORMAT </w:instrText>
        </w:r>
        <w:r>
          <w:rPr>
            <w:noProof/>
          </w:rPr>
          <w:fldChar w:fldCharType="separate"/>
        </w:r>
        <w:r w:rsidR="007B57F5">
          <w:rPr>
            <w:noProof/>
          </w:rPr>
          <w:t>2</w:t>
        </w:r>
        <w:r>
          <w:rPr>
            <w:noProof/>
          </w:rPr>
          <w:fldChar w:fldCharType="end"/>
        </w:r>
      </w:p>
    </w:sdtContent>
  </w:sdt>
  <w:p w14:paraId="2065E1BB" w14:textId="77777777" w:rsidR="00D51EF3" w:rsidRDefault="00D51EF3" w:rsidP="00A403AC">
    <w:pPr>
      <w:pStyle w:val="Footer"/>
      <w:tabs>
        <w:tab w:val="clear" w:pos="4320"/>
        <w:tab w:val="clear" w:pos="8640"/>
        <w:tab w:val="right" w:pos="9026"/>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8500"/>
      <w:docPartObj>
        <w:docPartGallery w:val="Page Numbers (Bottom of Page)"/>
        <w:docPartUnique/>
      </w:docPartObj>
    </w:sdtPr>
    <w:sdtEndPr/>
    <w:sdtContent>
      <w:p w14:paraId="4720B126" w14:textId="0D585D30" w:rsidR="00394C7B" w:rsidRDefault="00394C7B">
        <w:pPr>
          <w:pStyle w:val="Footer"/>
          <w:jc w:val="right"/>
        </w:pPr>
        <w:r>
          <w:rPr>
            <w:noProof/>
          </w:rPr>
          <w:fldChar w:fldCharType="begin"/>
        </w:r>
        <w:r>
          <w:rPr>
            <w:noProof/>
          </w:rPr>
          <w:instrText xml:space="preserve"> PAGE   \* MERGEFORMAT </w:instrText>
        </w:r>
        <w:r>
          <w:rPr>
            <w:noProof/>
          </w:rPr>
          <w:fldChar w:fldCharType="separate"/>
        </w:r>
        <w:r w:rsidR="007B57F5">
          <w:rPr>
            <w:noProof/>
          </w:rPr>
          <w:t>4</w:t>
        </w:r>
        <w:r>
          <w:rPr>
            <w:noProof/>
          </w:rPr>
          <w:fldChar w:fldCharType="end"/>
        </w:r>
      </w:p>
    </w:sdtContent>
  </w:sdt>
  <w:p w14:paraId="4C38DB7E" w14:textId="77777777" w:rsidR="00394C7B" w:rsidRPr="0000750A" w:rsidRDefault="00394C7B" w:rsidP="0000750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FBBE" w14:textId="77777777" w:rsidR="00394C7B" w:rsidRDefault="00394C7B" w:rsidP="006955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9A441" w14:textId="77777777" w:rsidR="00394C7B" w:rsidRDefault="00394C7B" w:rsidP="006955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60B6F" w14:textId="77777777" w:rsidR="00394C7B" w:rsidRDefault="00394C7B" w:rsidP="005A1C4D">
      <w:r>
        <w:separator/>
      </w:r>
    </w:p>
  </w:footnote>
  <w:footnote w:type="continuationSeparator" w:id="0">
    <w:p w14:paraId="0CA6B31A" w14:textId="77777777" w:rsidR="00394C7B" w:rsidRDefault="00394C7B" w:rsidP="005A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1864"/>
    <w:multiLevelType w:val="hybridMultilevel"/>
    <w:tmpl w:val="3FA872F6"/>
    <w:lvl w:ilvl="0" w:tplc="4DCC1B4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91741F"/>
    <w:multiLevelType w:val="hybridMultilevel"/>
    <w:tmpl w:val="E6E2327E"/>
    <w:lvl w:ilvl="0" w:tplc="B646509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426107"/>
    <w:multiLevelType w:val="hybridMultilevel"/>
    <w:tmpl w:val="2AA2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334F1"/>
    <w:multiLevelType w:val="hybridMultilevel"/>
    <w:tmpl w:val="8A0EB78C"/>
    <w:lvl w:ilvl="0" w:tplc="833C373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C7B5B"/>
    <w:multiLevelType w:val="hybridMultilevel"/>
    <w:tmpl w:val="EB36054E"/>
    <w:lvl w:ilvl="0" w:tplc="925E88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8633C"/>
    <w:multiLevelType w:val="hybridMultilevel"/>
    <w:tmpl w:val="30580648"/>
    <w:lvl w:ilvl="0" w:tplc="94949CB8">
      <w:start w:val="1"/>
      <w:numFmt w:val="bullet"/>
      <w:pStyle w:val="TableBullet2"/>
      <w:lvlText w:val=""/>
      <w:lvlJc w:val="left"/>
      <w:pPr>
        <w:tabs>
          <w:tab w:val="num" w:pos="681"/>
        </w:tabs>
        <w:ind w:left="681" w:hanging="284"/>
      </w:pPr>
      <w:rPr>
        <w:rFonts w:ascii="Symbol" w:hAnsi="Symbol" w:hint="default"/>
        <w:color w:val="auto"/>
      </w:rPr>
    </w:lvl>
    <w:lvl w:ilvl="1" w:tplc="04090019" w:tentative="1">
      <w:start w:val="1"/>
      <w:numFmt w:val="bullet"/>
      <w:lvlText w:val="o"/>
      <w:lvlJc w:val="left"/>
      <w:pPr>
        <w:tabs>
          <w:tab w:val="num" w:pos="1842"/>
        </w:tabs>
        <w:ind w:left="1842" w:hanging="360"/>
      </w:pPr>
      <w:rPr>
        <w:rFonts w:ascii="Courier New" w:hAnsi="Courier New" w:hint="default"/>
      </w:rPr>
    </w:lvl>
    <w:lvl w:ilvl="2" w:tplc="0409001B" w:tentative="1">
      <w:start w:val="1"/>
      <w:numFmt w:val="bullet"/>
      <w:lvlText w:val=""/>
      <w:lvlJc w:val="left"/>
      <w:pPr>
        <w:tabs>
          <w:tab w:val="num" w:pos="2562"/>
        </w:tabs>
        <w:ind w:left="2562" w:hanging="360"/>
      </w:pPr>
      <w:rPr>
        <w:rFonts w:ascii="Wingdings" w:hAnsi="Wingdings" w:hint="default"/>
      </w:rPr>
    </w:lvl>
    <w:lvl w:ilvl="3" w:tplc="0409000F" w:tentative="1">
      <w:start w:val="1"/>
      <w:numFmt w:val="bullet"/>
      <w:lvlText w:val=""/>
      <w:lvlJc w:val="left"/>
      <w:pPr>
        <w:tabs>
          <w:tab w:val="num" w:pos="3282"/>
        </w:tabs>
        <w:ind w:left="3282" w:hanging="360"/>
      </w:pPr>
      <w:rPr>
        <w:rFonts w:ascii="Symbol" w:hAnsi="Symbol" w:hint="default"/>
      </w:rPr>
    </w:lvl>
    <w:lvl w:ilvl="4" w:tplc="04090019" w:tentative="1">
      <w:start w:val="1"/>
      <w:numFmt w:val="bullet"/>
      <w:lvlText w:val="o"/>
      <w:lvlJc w:val="left"/>
      <w:pPr>
        <w:tabs>
          <w:tab w:val="num" w:pos="4002"/>
        </w:tabs>
        <w:ind w:left="4002" w:hanging="360"/>
      </w:pPr>
      <w:rPr>
        <w:rFonts w:ascii="Courier New" w:hAnsi="Courier New" w:hint="default"/>
      </w:rPr>
    </w:lvl>
    <w:lvl w:ilvl="5" w:tplc="0409001B" w:tentative="1">
      <w:start w:val="1"/>
      <w:numFmt w:val="bullet"/>
      <w:lvlText w:val=""/>
      <w:lvlJc w:val="left"/>
      <w:pPr>
        <w:tabs>
          <w:tab w:val="num" w:pos="4722"/>
        </w:tabs>
        <w:ind w:left="4722" w:hanging="360"/>
      </w:pPr>
      <w:rPr>
        <w:rFonts w:ascii="Wingdings" w:hAnsi="Wingdings" w:hint="default"/>
      </w:rPr>
    </w:lvl>
    <w:lvl w:ilvl="6" w:tplc="0409000F" w:tentative="1">
      <w:start w:val="1"/>
      <w:numFmt w:val="bullet"/>
      <w:lvlText w:val=""/>
      <w:lvlJc w:val="left"/>
      <w:pPr>
        <w:tabs>
          <w:tab w:val="num" w:pos="5442"/>
        </w:tabs>
        <w:ind w:left="5442" w:hanging="360"/>
      </w:pPr>
      <w:rPr>
        <w:rFonts w:ascii="Symbol" w:hAnsi="Symbol" w:hint="default"/>
      </w:rPr>
    </w:lvl>
    <w:lvl w:ilvl="7" w:tplc="04090019" w:tentative="1">
      <w:start w:val="1"/>
      <w:numFmt w:val="bullet"/>
      <w:lvlText w:val="o"/>
      <w:lvlJc w:val="left"/>
      <w:pPr>
        <w:tabs>
          <w:tab w:val="num" w:pos="6162"/>
        </w:tabs>
        <w:ind w:left="6162" w:hanging="360"/>
      </w:pPr>
      <w:rPr>
        <w:rFonts w:ascii="Courier New" w:hAnsi="Courier New" w:hint="default"/>
      </w:rPr>
    </w:lvl>
    <w:lvl w:ilvl="8" w:tplc="0409001B" w:tentative="1">
      <w:start w:val="1"/>
      <w:numFmt w:val="bullet"/>
      <w:lvlText w:val=""/>
      <w:lvlJc w:val="left"/>
      <w:pPr>
        <w:tabs>
          <w:tab w:val="num" w:pos="6882"/>
        </w:tabs>
        <w:ind w:left="6882" w:hanging="360"/>
      </w:pPr>
      <w:rPr>
        <w:rFonts w:ascii="Wingdings" w:hAnsi="Wingdings" w:hint="default"/>
      </w:rPr>
    </w:lvl>
  </w:abstractNum>
  <w:abstractNum w:abstractNumId="6" w15:restartNumberingAfterBreak="0">
    <w:nsid w:val="2C091153"/>
    <w:multiLevelType w:val="hybridMultilevel"/>
    <w:tmpl w:val="4D0C375A"/>
    <w:lvl w:ilvl="0" w:tplc="6896B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B2F03"/>
    <w:multiLevelType w:val="hybridMultilevel"/>
    <w:tmpl w:val="666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B4EF8"/>
    <w:multiLevelType w:val="hybridMultilevel"/>
    <w:tmpl w:val="8C38CB90"/>
    <w:lvl w:ilvl="0" w:tplc="5F4EB4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C20A69"/>
    <w:multiLevelType w:val="multilevel"/>
    <w:tmpl w:val="B664B4F2"/>
    <w:lvl w:ilvl="0">
      <w:start w:val="1"/>
      <w:numFmt w:val="none"/>
      <w:lvlText w:val=""/>
      <w:lvlJc w:val="left"/>
      <w:pPr>
        <w:ind w:left="432" w:hanging="432"/>
      </w:pPr>
      <w:rPr>
        <w:rFonts w:hint="default"/>
      </w:rPr>
    </w:lvl>
    <w:lvl w:ilvl="1">
      <w:start w:val="1"/>
      <w:numFmt w:val="decimal"/>
      <w:lvlRestart w:val="0"/>
      <w:pStyle w:val="Heading2"/>
      <w:lvlText w:val="%2%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F0D7593"/>
    <w:multiLevelType w:val="hybridMultilevel"/>
    <w:tmpl w:val="206AF114"/>
    <w:lvl w:ilvl="0" w:tplc="8668A73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7127C1"/>
    <w:multiLevelType w:val="hybridMultilevel"/>
    <w:tmpl w:val="C0CC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27AC5"/>
    <w:multiLevelType w:val="hybridMultilevel"/>
    <w:tmpl w:val="33CE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549533B"/>
    <w:multiLevelType w:val="hybridMultilevel"/>
    <w:tmpl w:val="F92EEAE6"/>
    <w:lvl w:ilvl="0" w:tplc="5A5E19FA">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3"/>
  </w:num>
  <w:num w:numId="5">
    <w:abstractNumId w:val="1"/>
  </w:num>
  <w:num w:numId="6">
    <w:abstractNumId w:val="8"/>
  </w:num>
  <w:num w:numId="7">
    <w:abstractNumId w:val="10"/>
  </w:num>
  <w:num w:numId="8">
    <w:abstractNumId w:val="0"/>
  </w:num>
  <w:num w:numId="9">
    <w:abstractNumId w:val="2"/>
  </w:num>
  <w:num w:numId="10">
    <w:abstractNumId w:val="11"/>
  </w:num>
  <w:num w:numId="11">
    <w:abstractNumId w:val="7"/>
  </w:num>
  <w:num w:numId="12">
    <w:abstractNumId w:val="13"/>
  </w:num>
  <w:num w:numId="13">
    <w:abstractNumId w:val="4"/>
  </w:num>
  <w:num w:numId="14">
    <w:abstractNumId w:val="12"/>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8193"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colormenu v:ext="edit" fillcolor="#ffc000"/>
    </o:shapedefaults>
  </w:hdrShapeDefaults>
  <w:footnotePr>
    <w:footnote w:id="-1"/>
    <w:footnote w:id="0"/>
  </w:footnotePr>
  <w:endnotePr>
    <w:endnote w:id="-1"/>
    <w:endnote w:id="0"/>
  </w:endnotePr>
  <w:compat>
    <w:compatSetting w:name="compatibilityMode" w:uri="http://schemas.microsoft.com/office/word" w:val="12"/>
  </w:compat>
  <w:rsids>
    <w:rsidRoot w:val="00234ABE"/>
    <w:rsid w:val="00000344"/>
    <w:rsid w:val="00000522"/>
    <w:rsid w:val="0000063A"/>
    <w:rsid w:val="00000641"/>
    <w:rsid w:val="00000EF3"/>
    <w:rsid w:val="00001653"/>
    <w:rsid w:val="00001DD4"/>
    <w:rsid w:val="00001DDC"/>
    <w:rsid w:val="00002A14"/>
    <w:rsid w:val="0000389C"/>
    <w:rsid w:val="00003FDF"/>
    <w:rsid w:val="00004163"/>
    <w:rsid w:val="00004A7E"/>
    <w:rsid w:val="0000552B"/>
    <w:rsid w:val="00005B93"/>
    <w:rsid w:val="00006715"/>
    <w:rsid w:val="0000750A"/>
    <w:rsid w:val="000077B8"/>
    <w:rsid w:val="00007A8F"/>
    <w:rsid w:val="000102D0"/>
    <w:rsid w:val="00010603"/>
    <w:rsid w:val="00010862"/>
    <w:rsid w:val="00010DAB"/>
    <w:rsid w:val="00011268"/>
    <w:rsid w:val="00011BD0"/>
    <w:rsid w:val="00012ADE"/>
    <w:rsid w:val="00012D8A"/>
    <w:rsid w:val="00013344"/>
    <w:rsid w:val="0001741C"/>
    <w:rsid w:val="000179EB"/>
    <w:rsid w:val="00022A8F"/>
    <w:rsid w:val="00022C08"/>
    <w:rsid w:val="00022EC3"/>
    <w:rsid w:val="00023BDC"/>
    <w:rsid w:val="00023C1D"/>
    <w:rsid w:val="00023F59"/>
    <w:rsid w:val="0002479D"/>
    <w:rsid w:val="00024F25"/>
    <w:rsid w:val="000252BF"/>
    <w:rsid w:val="000254F5"/>
    <w:rsid w:val="00026AD3"/>
    <w:rsid w:val="0002776F"/>
    <w:rsid w:val="0002792E"/>
    <w:rsid w:val="00027F88"/>
    <w:rsid w:val="00030FD4"/>
    <w:rsid w:val="00031036"/>
    <w:rsid w:val="00031610"/>
    <w:rsid w:val="00031C47"/>
    <w:rsid w:val="00031CC0"/>
    <w:rsid w:val="000320E7"/>
    <w:rsid w:val="00032476"/>
    <w:rsid w:val="000325C5"/>
    <w:rsid w:val="00032EFB"/>
    <w:rsid w:val="00033537"/>
    <w:rsid w:val="00034CC9"/>
    <w:rsid w:val="000352C2"/>
    <w:rsid w:val="000354E8"/>
    <w:rsid w:val="000359CC"/>
    <w:rsid w:val="0003663A"/>
    <w:rsid w:val="0003678D"/>
    <w:rsid w:val="0003690B"/>
    <w:rsid w:val="00036AAC"/>
    <w:rsid w:val="00037409"/>
    <w:rsid w:val="000425C2"/>
    <w:rsid w:val="00043005"/>
    <w:rsid w:val="0004300E"/>
    <w:rsid w:val="000441AE"/>
    <w:rsid w:val="00044433"/>
    <w:rsid w:val="00045EEB"/>
    <w:rsid w:val="00045F20"/>
    <w:rsid w:val="000469A3"/>
    <w:rsid w:val="000477B7"/>
    <w:rsid w:val="000508AC"/>
    <w:rsid w:val="00053EB2"/>
    <w:rsid w:val="0005542B"/>
    <w:rsid w:val="000556F0"/>
    <w:rsid w:val="0005676F"/>
    <w:rsid w:val="00057658"/>
    <w:rsid w:val="00057D18"/>
    <w:rsid w:val="0006009C"/>
    <w:rsid w:val="000605F7"/>
    <w:rsid w:val="00060807"/>
    <w:rsid w:val="00060D50"/>
    <w:rsid w:val="00060ED7"/>
    <w:rsid w:val="00063741"/>
    <w:rsid w:val="000637D1"/>
    <w:rsid w:val="00063CA5"/>
    <w:rsid w:val="00064152"/>
    <w:rsid w:val="00064A0C"/>
    <w:rsid w:val="00064EF8"/>
    <w:rsid w:val="00066620"/>
    <w:rsid w:val="00070FA2"/>
    <w:rsid w:val="000717ED"/>
    <w:rsid w:val="00072EAD"/>
    <w:rsid w:val="00073169"/>
    <w:rsid w:val="0007331A"/>
    <w:rsid w:val="00073418"/>
    <w:rsid w:val="0007351C"/>
    <w:rsid w:val="000744B6"/>
    <w:rsid w:val="00074632"/>
    <w:rsid w:val="00075929"/>
    <w:rsid w:val="00075F91"/>
    <w:rsid w:val="000777BF"/>
    <w:rsid w:val="0008052D"/>
    <w:rsid w:val="00080A82"/>
    <w:rsid w:val="00080FEB"/>
    <w:rsid w:val="00081403"/>
    <w:rsid w:val="00081C6A"/>
    <w:rsid w:val="0008456B"/>
    <w:rsid w:val="0008461C"/>
    <w:rsid w:val="00085A9C"/>
    <w:rsid w:val="00085CD3"/>
    <w:rsid w:val="00086167"/>
    <w:rsid w:val="00086388"/>
    <w:rsid w:val="000865FF"/>
    <w:rsid w:val="00087C06"/>
    <w:rsid w:val="00087C84"/>
    <w:rsid w:val="00087EF4"/>
    <w:rsid w:val="00091498"/>
    <w:rsid w:val="00091952"/>
    <w:rsid w:val="00092955"/>
    <w:rsid w:val="00093559"/>
    <w:rsid w:val="00093A56"/>
    <w:rsid w:val="00094F31"/>
    <w:rsid w:val="000951FE"/>
    <w:rsid w:val="0009546E"/>
    <w:rsid w:val="00095479"/>
    <w:rsid w:val="00096022"/>
    <w:rsid w:val="00096B7B"/>
    <w:rsid w:val="00096E25"/>
    <w:rsid w:val="00097425"/>
    <w:rsid w:val="00097A2C"/>
    <w:rsid w:val="000A09BA"/>
    <w:rsid w:val="000A0E90"/>
    <w:rsid w:val="000A1EE7"/>
    <w:rsid w:val="000A49C0"/>
    <w:rsid w:val="000A4F39"/>
    <w:rsid w:val="000A4FD6"/>
    <w:rsid w:val="000A5272"/>
    <w:rsid w:val="000A6BC0"/>
    <w:rsid w:val="000A7070"/>
    <w:rsid w:val="000A72F3"/>
    <w:rsid w:val="000A73CC"/>
    <w:rsid w:val="000A7A2F"/>
    <w:rsid w:val="000B00C3"/>
    <w:rsid w:val="000B0C4B"/>
    <w:rsid w:val="000B1464"/>
    <w:rsid w:val="000B2AE3"/>
    <w:rsid w:val="000B32C2"/>
    <w:rsid w:val="000B38A4"/>
    <w:rsid w:val="000B3D2C"/>
    <w:rsid w:val="000B41FE"/>
    <w:rsid w:val="000B4E79"/>
    <w:rsid w:val="000B5257"/>
    <w:rsid w:val="000B567C"/>
    <w:rsid w:val="000B6E0E"/>
    <w:rsid w:val="000B6F4A"/>
    <w:rsid w:val="000B764E"/>
    <w:rsid w:val="000C0299"/>
    <w:rsid w:val="000C293D"/>
    <w:rsid w:val="000C3735"/>
    <w:rsid w:val="000C40BD"/>
    <w:rsid w:val="000C46DB"/>
    <w:rsid w:val="000C4BED"/>
    <w:rsid w:val="000C55B5"/>
    <w:rsid w:val="000C77EF"/>
    <w:rsid w:val="000C78D2"/>
    <w:rsid w:val="000D0BB5"/>
    <w:rsid w:val="000D1107"/>
    <w:rsid w:val="000D1572"/>
    <w:rsid w:val="000D1BC6"/>
    <w:rsid w:val="000D262A"/>
    <w:rsid w:val="000D3B61"/>
    <w:rsid w:val="000D5DD0"/>
    <w:rsid w:val="000D6AA3"/>
    <w:rsid w:val="000D71EE"/>
    <w:rsid w:val="000E0520"/>
    <w:rsid w:val="000E0D85"/>
    <w:rsid w:val="000E0FA7"/>
    <w:rsid w:val="000E1262"/>
    <w:rsid w:val="000E1402"/>
    <w:rsid w:val="000E15AA"/>
    <w:rsid w:val="000E1D6B"/>
    <w:rsid w:val="000E25EF"/>
    <w:rsid w:val="000E2718"/>
    <w:rsid w:val="000E2856"/>
    <w:rsid w:val="000E2BF3"/>
    <w:rsid w:val="000E2CC3"/>
    <w:rsid w:val="000E3118"/>
    <w:rsid w:val="000E3BA6"/>
    <w:rsid w:val="000E45BE"/>
    <w:rsid w:val="000E5364"/>
    <w:rsid w:val="000E61C1"/>
    <w:rsid w:val="000E66BE"/>
    <w:rsid w:val="000E713E"/>
    <w:rsid w:val="000E7DD3"/>
    <w:rsid w:val="000E7F8A"/>
    <w:rsid w:val="000F0446"/>
    <w:rsid w:val="000F08D5"/>
    <w:rsid w:val="000F1B81"/>
    <w:rsid w:val="000F1DB5"/>
    <w:rsid w:val="000F1E91"/>
    <w:rsid w:val="000F2544"/>
    <w:rsid w:val="000F2BBC"/>
    <w:rsid w:val="000F36A2"/>
    <w:rsid w:val="000F3C26"/>
    <w:rsid w:val="000F3F5E"/>
    <w:rsid w:val="000F469D"/>
    <w:rsid w:val="000F4881"/>
    <w:rsid w:val="000F4E75"/>
    <w:rsid w:val="000F5356"/>
    <w:rsid w:val="000F53B0"/>
    <w:rsid w:val="000F5AB8"/>
    <w:rsid w:val="000F5CA5"/>
    <w:rsid w:val="000F62EC"/>
    <w:rsid w:val="000F6827"/>
    <w:rsid w:val="000F6BCA"/>
    <w:rsid w:val="000F6BDA"/>
    <w:rsid w:val="000F7C49"/>
    <w:rsid w:val="001000CB"/>
    <w:rsid w:val="001000F9"/>
    <w:rsid w:val="00100408"/>
    <w:rsid w:val="0010071A"/>
    <w:rsid w:val="00101A8D"/>
    <w:rsid w:val="00102028"/>
    <w:rsid w:val="00102148"/>
    <w:rsid w:val="001022C4"/>
    <w:rsid w:val="0010268D"/>
    <w:rsid w:val="00103120"/>
    <w:rsid w:val="00104F89"/>
    <w:rsid w:val="00105869"/>
    <w:rsid w:val="00105BC1"/>
    <w:rsid w:val="00106CD5"/>
    <w:rsid w:val="00106E28"/>
    <w:rsid w:val="00106F79"/>
    <w:rsid w:val="00110FA4"/>
    <w:rsid w:val="001117EA"/>
    <w:rsid w:val="00111BF9"/>
    <w:rsid w:val="00111FB0"/>
    <w:rsid w:val="001129D9"/>
    <w:rsid w:val="00113A09"/>
    <w:rsid w:val="00113AC1"/>
    <w:rsid w:val="001141FC"/>
    <w:rsid w:val="0011472A"/>
    <w:rsid w:val="00114FD9"/>
    <w:rsid w:val="001160BA"/>
    <w:rsid w:val="0011624F"/>
    <w:rsid w:val="00116353"/>
    <w:rsid w:val="00117396"/>
    <w:rsid w:val="001177E9"/>
    <w:rsid w:val="00120BD2"/>
    <w:rsid w:val="00120D98"/>
    <w:rsid w:val="00121D92"/>
    <w:rsid w:val="00122BCB"/>
    <w:rsid w:val="00122FBD"/>
    <w:rsid w:val="0012387E"/>
    <w:rsid w:val="00123A0A"/>
    <w:rsid w:val="001240AA"/>
    <w:rsid w:val="00124DC7"/>
    <w:rsid w:val="001250DB"/>
    <w:rsid w:val="00125394"/>
    <w:rsid w:val="001253E3"/>
    <w:rsid w:val="00125A90"/>
    <w:rsid w:val="0012677B"/>
    <w:rsid w:val="0012746A"/>
    <w:rsid w:val="00132043"/>
    <w:rsid w:val="001329FA"/>
    <w:rsid w:val="00132E37"/>
    <w:rsid w:val="00133250"/>
    <w:rsid w:val="00133897"/>
    <w:rsid w:val="001340CA"/>
    <w:rsid w:val="00135326"/>
    <w:rsid w:val="001357A8"/>
    <w:rsid w:val="00136B26"/>
    <w:rsid w:val="00136E0E"/>
    <w:rsid w:val="00137261"/>
    <w:rsid w:val="00140415"/>
    <w:rsid w:val="00140DF2"/>
    <w:rsid w:val="0014132A"/>
    <w:rsid w:val="00141381"/>
    <w:rsid w:val="00141C99"/>
    <w:rsid w:val="00141CD0"/>
    <w:rsid w:val="00142337"/>
    <w:rsid w:val="00142915"/>
    <w:rsid w:val="00142DDD"/>
    <w:rsid w:val="00143D74"/>
    <w:rsid w:val="001446DF"/>
    <w:rsid w:val="00144F29"/>
    <w:rsid w:val="00144F5D"/>
    <w:rsid w:val="00145273"/>
    <w:rsid w:val="00145918"/>
    <w:rsid w:val="00145BBE"/>
    <w:rsid w:val="00146367"/>
    <w:rsid w:val="001467D5"/>
    <w:rsid w:val="00146837"/>
    <w:rsid w:val="00150F27"/>
    <w:rsid w:val="00150F63"/>
    <w:rsid w:val="00150FCB"/>
    <w:rsid w:val="001518BA"/>
    <w:rsid w:val="00151B73"/>
    <w:rsid w:val="00152017"/>
    <w:rsid w:val="0015483E"/>
    <w:rsid w:val="00155699"/>
    <w:rsid w:val="00155BBF"/>
    <w:rsid w:val="00156B4A"/>
    <w:rsid w:val="0015713C"/>
    <w:rsid w:val="00157B28"/>
    <w:rsid w:val="00157B40"/>
    <w:rsid w:val="00161C94"/>
    <w:rsid w:val="001621B0"/>
    <w:rsid w:val="00163137"/>
    <w:rsid w:val="00163894"/>
    <w:rsid w:val="00163DBE"/>
    <w:rsid w:val="00164571"/>
    <w:rsid w:val="001649C9"/>
    <w:rsid w:val="00164F3B"/>
    <w:rsid w:val="0016554C"/>
    <w:rsid w:val="00165783"/>
    <w:rsid w:val="001660DA"/>
    <w:rsid w:val="001666CA"/>
    <w:rsid w:val="00167F54"/>
    <w:rsid w:val="0017017F"/>
    <w:rsid w:val="00170B44"/>
    <w:rsid w:val="00171EDC"/>
    <w:rsid w:val="00172A9C"/>
    <w:rsid w:val="00172E1E"/>
    <w:rsid w:val="0017393B"/>
    <w:rsid w:val="00173FA9"/>
    <w:rsid w:val="00174556"/>
    <w:rsid w:val="00174C9A"/>
    <w:rsid w:val="0017517C"/>
    <w:rsid w:val="00175424"/>
    <w:rsid w:val="00175C34"/>
    <w:rsid w:val="0017676B"/>
    <w:rsid w:val="00176DBC"/>
    <w:rsid w:val="001773F8"/>
    <w:rsid w:val="001776B6"/>
    <w:rsid w:val="00180159"/>
    <w:rsid w:val="00180192"/>
    <w:rsid w:val="00180A85"/>
    <w:rsid w:val="00180BEC"/>
    <w:rsid w:val="00180D9C"/>
    <w:rsid w:val="001812DB"/>
    <w:rsid w:val="0018206C"/>
    <w:rsid w:val="001824BD"/>
    <w:rsid w:val="001827C6"/>
    <w:rsid w:val="00182FAE"/>
    <w:rsid w:val="001830DD"/>
    <w:rsid w:val="001836C4"/>
    <w:rsid w:val="00183CAA"/>
    <w:rsid w:val="0018413B"/>
    <w:rsid w:val="001848AC"/>
    <w:rsid w:val="00184A62"/>
    <w:rsid w:val="00185315"/>
    <w:rsid w:val="00185C84"/>
    <w:rsid w:val="00186147"/>
    <w:rsid w:val="00187098"/>
    <w:rsid w:val="00187E38"/>
    <w:rsid w:val="00190451"/>
    <w:rsid w:val="00190D2E"/>
    <w:rsid w:val="001923F9"/>
    <w:rsid w:val="001927F1"/>
    <w:rsid w:val="00192C5C"/>
    <w:rsid w:val="0019334C"/>
    <w:rsid w:val="0019340F"/>
    <w:rsid w:val="0019353F"/>
    <w:rsid w:val="00195141"/>
    <w:rsid w:val="001955C3"/>
    <w:rsid w:val="00195895"/>
    <w:rsid w:val="00195FF5"/>
    <w:rsid w:val="00196EBF"/>
    <w:rsid w:val="00196FB9"/>
    <w:rsid w:val="0019774F"/>
    <w:rsid w:val="00197DBD"/>
    <w:rsid w:val="001A03D3"/>
    <w:rsid w:val="001A05F0"/>
    <w:rsid w:val="001A10DE"/>
    <w:rsid w:val="001A13E1"/>
    <w:rsid w:val="001A2A79"/>
    <w:rsid w:val="001A2DD6"/>
    <w:rsid w:val="001A30D9"/>
    <w:rsid w:val="001A34CC"/>
    <w:rsid w:val="001A3569"/>
    <w:rsid w:val="001A412A"/>
    <w:rsid w:val="001A68D4"/>
    <w:rsid w:val="001A7851"/>
    <w:rsid w:val="001A7AAF"/>
    <w:rsid w:val="001B129E"/>
    <w:rsid w:val="001B14AB"/>
    <w:rsid w:val="001B2810"/>
    <w:rsid w:val="001B3127"/>
    <w:rsid w:val="001B320C"/>
    <w:rsid w:val="001B32A4"/>
    <w:rsid w:val="001B3BFA"/>
    <w:rsid w:val="001B3EC4"/>
    <w:rsid w:val="001B3FB1"/>
    <w:rsid w:val="001B4295"/>
    <w:rsid w:val="001B5804"/>
    <w:rsid w:val="001B638F"/>
    <w:rsid w:val="001B6FFF"/>
    <w:rsid w:val="001B744B"/>
    <w:rsid w:val="001C0AA5"/>
    <w:rsid w:val="001C1521"/>
    <w:rsid w:val="001C1545"/>
    <w:rsid w:val="001C1575"/>
    <w:rsid w:val="001C19F7"/>
    <w:rsid w:val="001C2B2B"/>
    <w:rsid w:val="001C2E56"/>
    <w:rsid w:val="001C307B"/>
    <w:rsid w:val="001C34D7"/>
    <w:rsid w:val="001C37A5"/>
    <w:rsid w:val="001C3BEF"/>
    <w:rsid w:val="001C3F7B"/>
    <w:rsid w:val="001C3FB9"/>
    <w:rsid w:val="001C46F4"/>
    <w:rsid w:val="001C5E73"/>
    <w:rsid w:val="001C71B6"/>
    <w:rsid w:val="001D12D0"/>
    <w:rsid w:val="001D1D01"/>
    <w:rsid w:val="001D2993"/>
    <w:rsid w:val="001D2A5B"/>
    <w:rsid w:val="001D3516"/>
    <w:rsid w:val="001D3E37"/>
    <w:rsid w:val="001D3EDE"/>
    <w:rsid w:val="001D4138"/>
    <w:rsid w:val="001D59B6"/>
    <w:rsid w:val="001D5BFE"/>
    <w:rsid w:val="001D5C0A"/>
    <w:rsid w:val="001E02C7"/>
    <w:rsid w:val="001E046B"/>
    <w:rsid w:val="001E0A78"/>
    <w:rsid w:val="001E1A66"/>
    <w:rsid w:val="001E1E9A"/>
    <w:rsid w:val="001E2345"/>
    <w:rsid w:val="001E30A8"/>
    <w:rsid w:val="001E32A8"/>
    <w:rsid w:val="001E3998"/>
    <w:rsid w:val="001E444D"/>
    <w:rsid w:val="001E476C"/>
    <w:rsid w:val="001E5ED6"/>
    <w:rsid w:val="001E6AF0"/>
    <w:rsid w:val="001E6DDC"/>
    <w:rsid w:val="001E74AE"/>
    <w:rsid w:val="001F0000"/>
    <w:rsid w:val="001F080E"/>
    <w:rsid w:val="001F0C57"/>
    <w:rsid w:val="001F0EC5"/>
    <w:rsid w:val="001F10B6"/>
    <w:rsid w:val="001F24B7"/>
    <w:rsid w:val="001F2587"/>
    <w:rsid w:val="001F3573"/>
    <w:rsid w:val="001F4D78"/>
    <w:rsid w:val="001F5BBA"/>
    <w:rsid w:val="001F5BFB"/>
    <w:rsid w:val="001F6E98"/>
    <w:rsid w:val="001F7848"/>
    <w:rsid w:val="001F7852"/>
    <w:rsid w:val="001F78FE"/>
    <w:rsid w:val="001F7C45"/>
    <w:rsid w:val="002004F1"/>
    <w:rsid w:val="00201096"/>
    <w:rsid w:val="002013E5"/>
    <w:rsid w:val="00201F89"/>
    <w:rsid w:val="00203BEE"/>
    <w:rsid w:val="00204831"/>
    <w:rsid w:val="0020484B"/>
    <w:rsid w:val="0020643F"/>
    <w:rsid w:val="00206829"/>
    <w:rsid w:val="0020712A"/>
    <w:rsid w:val="00207B02"/>
    <w:rsid w:val="00211652"/>
    <w:rsid w:val="00211B48"/>
    <w:rsid w:val="00212AA1"/>
    <w:rsid w:val="00212C8A"/>
    <w:rsid w:val="002131E4"/>
    <w:rsid w:val="0021348A"/>
    <w:rsid w:val="002144B0"/>
    <w:rsid w:val="00214700"/>
    <w:rsid w:val="00214B73"/>
    <w:rsid w:val="00215857"/>
    <w:rsid w:val="00215CFC"/>
    <w:rsid w:val="002161BD"/>
    <w:rsid w:val="00216216"/>
    <w:rsid w:val="0021662B"/>
    <w:rsid w:val="00217413"/>
    <w:rsid w:val="002204A3"/>
    <w:rsid w:val="00220B47"/>
    <w:rsid w:val="00221742"/>
    <w:rsid w:val="0022379F"/>
    <w:rsid w:val="00224170"/>
    <w:rsid w:val="002244C4"/>
    <w:rsid w:val="00224629"/>
    <w:rsid w:val="00224A35"/>
    <w:rsid w:val="00226350"/>
    <w:rsid w:val="002264AF"/>
    <w:rsid w:val="0023158A"/>
    <w:rsid w:val="002341CE"/>
    <w:rsid w:val="00234943"/>
    <w:rsid w:val="00234ABE"/>
    <w:rsid w:val="00234CA7"/>
    <w:rsid w:val="00235575"/>
    <w:rsid w:val="0023572A"/>
    <w:rsid w:val="00235875"/>
    <w:rsid w:val="00235D42"/>
    <w:rsid w:val="00235FB3"/>
    <w:rsid w:val="00237D44"/>
    <w:rsid w:val="00241E35"/>
    <w:rsid w:val="002429E9"/>
    <w:rsid w:val="00242D83"/>
    <w:rsid w:val="00242DC2"/>
    <w:rsid w:val="00242E27"/>
    <w:rsid w:val="002461DD"/>
    <w:rsid w:val="00247F73"/>
    <w:rsid w:val="00247FBC"/>
    <w:rsid w:val="00250BA5"/>
    <w:rsid w:val="0025158B"/>
    <w:rsid w:val="002517B9"/>
    <w:rsid w:val="002527E7"/>
    <w:rsid w:val="0025404E"/>
    <w:rsid w:val="00254600"/>
    <w:rsid w:val="00256C99"/>
    <w:rsid w:val="002579BA"/>
    <w:rsid w:val="00257E36"/>
    <w:rsid w:val="0026081E"/>
    <w:rsid w:val="00261229"/>
    <w:rsid w:val="002615A8"/>
    <w:rsid w:val="0026250E"/>
    <w:rsid w:val="00263ABB"/>
    <w:rsid w:val="00264C63"/>
    <w:rsid w:val="00265087"/>
    <w:rsid w:val="002663CD"/>
    <w:rsid w:val="002668C8"/>
    <w:rsid w:val="002726E4"/>
    <w:rsid w:val="00272F98"/>
    <w:rsid w:val="002737D1"/>
    <w:rsid w:val="0027448C"/>
    <w:rsid w:val="002747FC"/>
    <w:rsid w:val="00281962"/>
    <w:rsid w:val="00281B11"/>
    <w:rsid w:val="00281FAE"/>
    <w:rsid w:val="002824DF"/>
    <w:rsid w:val="00283028"/>
    <w:rsid w:val="002844AE"/>
    <w:rsid w:val="00286139"/>
    <w:rsid w:val="00286681"/>
    <w:rsid w:val="00286BCB"/>
    <w:rsid w:val="00286D0E"/>
    <w:rsid w:val="00287F16"/>
    <w:rsid w:val="00290A05"/>
    <w:rsid w:val="00291465"/>
    <w:rsid w:val="00292422"/>
    <w:rsid w:val="002928DC"/>
    <w:rsid w:val="00292E05"/>
    <w:rsid w:val="00293B88"/>
    <w:rsid w:val="002944BF"/>
    <w:rsid w:val="0029476D"/>
    <w:rsid w:val="00294AD8"/>
    <w:rsid w:val="00294B9B"/>
    <w:rsid w:val="00295993"/>
    <w:rsid w:val="00296377"/>
    <w:rsid w:val="002964C3"/>
    <w:rsid w:val="00296B7A"/>
    <w:rsid w:val="002977D7"/>
    <w:rsid w:val="00297B14"/>
    <w:rsid w:val="002A0B22"/>
    <w:rsid w:val="002A0CD6"/>
    <w:rsid w:val="002A0FC0"/>
    <w:rsid w:val="002A1403"/>
    <w:rsid w:val="002A2000"/>
    <w:rsid w:val="002A30A7"/>
    <w:rsid w:val="002A316F"/>
    <w:rsid w:val="002A3A55"/>
    <w:rsid w:val="002A47AB"/>
    <w:rsid w:val="002A4EB1"/>
    <w:rsid w:val="002A540D"/>
    <w:rsid w:val="002A63ED"/>
    <w:rsid w:val="002A7711"/>
    <w:rsid w:val="002B050F"/>
    <w:rsid w:val="002B05AE"/>
    <w:rsid w:val="002B187F"/>
    <w:rsid w:val="002B1D4E"/>
    <w:rsid w:val="002B1DC8"/>
    <w:rsid w:val="002B1F86"/>
    <w:rsid w:val="002B2200"/>
    <w:rsid w:val="002B2D13"/>
    <w:rsid w:val="002B3324"/>
    <w:rsid w:val="002B3E74"/>
    <w:rsid w:val="002B4927"/>
    <w:rsid w:val="002B5696"/>
    <w:rsid w:val="002B5D1B"/>
    <w:rsid w:val="002B6B5A"/>
    <w:rsid w:val="002B79FE"/>
    <w:rsid w:val="002C0626"/>
    <w:rsid w:val="002C0870"/>
    <w:rsid w:val="002C1D65"/>
    <w:rsid w:val="002C28A2"/>
    <w:rsid w:val="002C3896"/>
    <w:rsid w:val="002C3B18"/>
    <w:rsid w:val="002C4737"/>
    <w:rsid w:val="002C5831"/>
    <w:rsid w:val="002D06E1"/>
    <w:rsid w:val="002D0844"/>
    <w:rsid w:val="002D0880"/>
    <w:rsid w:val="002D0FB2"/>
    <w:rsid w:val="002D1A56"/>
    <w:rsid w:val="002D1A9B"/>
    <w:rsid w:val="002D1D50"/>
    <w:rsid w:val="002D30A9"/>
    <w:rsid w:val="002D34A2"/>
    <w:rsid w:val="002D36BB"/>
    <w:rsid w:val="002D3D35"/>
    <w:rsid w:val="002D73EA"/>
    <w:rsid w:val="002E006C"/>
    <w:rsid w:val="002E0E2B"/>
    <w:rsid w:val="002E230C"/>
    <w:rsid w:val="002E2570"/>
    <w:rsid w:val="002E2BEA"/>
    <w:rsid w:val="002E2E07"/>
    <w:rsid w:val="002E330D"/>
    <w:rsid w:val="002E3A2C"/>
    <w:rsid w:val="002E4131"/>
    <w:rsid w:val="002E70A1"/>
    <w:rsid w:val="002E760B"/>
    <w:rsid w:val="002E7B64"/>
    <w:rsid w:val="002F0791"/>
    <w:rsid w:val="002F0CED"/>
    <w:rsid w:val="002F0FE5"/>
    <w:rsid w:val="002F271D"/>
    <w:rsid w:val="002F2978"/>
    <w:rsid w:val="002F37FA"/>
    <w:rsid w:val="002F3C4B"/>
    <w:rsid w:val="002F3CBF"/>
    <w:rsid w:val="002F408D"/>
    <w:rsid w:val="002F639A"/>
    <w:rsid w:val="002F6741"/>
    <w:rsid w:val="002F6B61"/>
    <w:rsid w:val="002F6DB9"/>
    <w:rsid w:val="002F770A"/>
    <w:rsid w:val="002F7C37"/>
    <w:rsid w:val="003005F9"/>
    <w:rsid w:val="0030067F"/>
    <w:rsid w:val="00301475"/>
    <w:rsid w:val="0030150C"/>
    <w:rsid w:val="00302356"/>
    <w:rsid w:val="00302A15"/>
    <w:rsid w:val="00302EAE"/>
    <w:rsid w:val="0030434E"/>
    <w:rsid w:val="00304CA9"/>
    <w:rsid w:val="003053E3"/>
    <w:rsid w:val="00305B15"/>
    <w:rsid w:val="00305C21"/>
    <w:rsid w:val="003064FA"/>
    <w:rsid w:val="003065DC"/>
    <w:rsid w:val="003073AB"/>
    <w:rsid w:val="00307F85"/>
    <w:rsid w:val="00310844"/>
    <w:rsid w:val="00310ACD"/>
    <w:rsid w:val="003122C6"/>
    <w:rsid w:val="003126AC"/>
    <w:rsid w:val="0031290C"/>
    <w:rsid w:val="00314350"/>
    <w:rsid w:val="00314E14"/>
    <w:rsid w:val="00315497"/>
    <w:rsid w:val="00315924"/>
    <w:rsid w:val="00315D24"/>
    <w:rsid w:val="003164A6"/>
    <w:rsid w:val="00317157"/>
    <w:rsid w:val="003175E4"/>
    <w:rsid w:val="00317D40"/>
    <w:rsid w:val="003209A9"/>
    <w:rsid w:val="003209B7"/>
    <w:rsid w:val="00321144"/>
    <w:rsid w:val="00321A3C"/>
    <w:rsid w:val="00322864"/>
    <w:rsid w:val="00322CBB"/>
    <w:rsid w:val="003232DD"/>
    <w:rsid w:val="0032508F"/>
    <w:rsid w:val="0032607A"/>
    <w:rsid w:val="0032694A"/>
    <w:rsid w:val="00326B95"/>
    <w:rsid w:val="0032725B"/>
    <w:rsid w:val="00327278"/>
    <w:rsid w:val="003273BC"/>
    <w:rsid w:val="00327DDF"/>
    <w:rsid w:val="00327F76"/>
    <w:rsid w:val="00330BA5"/>
    <w:rsid w:val="00331CC3"/>
    <w:rsid w:val="00332883"/>
    <w:rsid w:val="003331B6"/>
    <w:rsid w:val="003335D3"/>
    <w:rsid w:val="00334284"/>
    <w:rsid w:val="003355F3"/>
    <w:rsid w:val="00335DF9"/>
    <w:rsid w:val="00336513"/>
    <w:rsid w:val="00340227"/>
    <w:rsid w:val="00340E5A"/>
    <w:rsid w:val="0034158B"/>
    <w:rsid w:val="0034172A"/>
    <w:rsid w:val="00341785"/>
    <w:rsid w:val="003427A0"/>
    <w:rsid w:val="003427E9"/>
    <w:rsid w:val="0034328E"/>
    <w:rsid w:val="00343460"/>
    <w:rsid w:val="00343601"/>
    <w:rsid w:val="0034374F"/>
    <w:rsid w:val="003440C2"/>
    <w:rsid w:val="003448FD"/>
    <w:rsid w:val="003450AD"/>
    <w:rsid w:val="00345589"/>
    <w:rsid w:val="0034673C"/>
    <w:rsid w:val="00346ACF"/>
    <w:rsid w:val="00350D8E"/>
    <w:rsid w:val="003515ED"/>
    <w:rsid w:val="00351E7A"/>
    <w:rsid w:val="00352000"/>
    <w:rsid w:val="00352DA2"/>
    <w:rsid w:val="00353387"/>
    <w:rsid w:val="00353D17"/>
    <w:rsid w:val="00354CB9"/>
    <w:rsid w:val="00355295"/>
    <w:rsid w:val="0035583E"/>
    <w:rsid w:val="00355885"/>
    <w:rsid w:val="003567F0"/>
    <w:rsid w:val="00357438"/>
    <w:rsid w:val="0036191E"/>
    <w:rsid w:val="00362495"/>
    <w:rsid w:val="003626C1"/>
    <w:rsid w:val="00364465"/>
    <w:rsid w:val="003648BC"/>
    <w:rsid w:val="00364914"/>
    <w:rsid w:val="00365317"/>
    <w:rsid w:val="003655DC"/>
    <w:rsid w:val="00366594"/>
    <w:rsid w:val="00366731"/>
    <w:rsid w:val="0036740D"/>
    <w:rsid w:val="00370D43"/>
    <w:rsid w:val="00370FEE"/>
    <w:rsid w:val="0037115D"/>
    <w:rsid w:val="00372407"/>
    <w:rsid w:val="003740F2"/>
    <w:rsid w:val="003768B3"/>
    <w:rsid w:val="0037693E"/>
    <w:rsid w:val="0037748C"/>
    <w:rsid w:val="00377754"/>
    <w:rsid w:val="00380582"/>
    <w:rsid w:val="00380915"/>
    <w:rsid w:val="00380919"/>
    <w:rsid w:val="00381390"/>
    <w:rsid w:val="00381434"/>
    <w:rsid w:val="0038207E"/>
    <w:rsid w:val="00382C75"/>
    <w:rsid w:val="00383A7A"/>
    <w:rsid w:val="00383ED6"/>
    <w:rsid w:val="003849EB"/>
    <w:rsid w:val="00384A27"/>
    <w:rsid w:val="003858B8"/>
    <w:rsid w:val="00386FCC"/>
    <w:rsid w:val="00387081"/>
    <w:rsid w:val="0038787B"/>
    <w:rsid w:val="003903D3"/>
    <w:rsid w:val="00390954"/>
    <w:rsid w:val="00391196"/>
    <w:rsid w:val="003918F9"/>
    <w:rsid w:val="00392708"/>
    <w:rsid w:val="003929CD"/>
    <w:rsid w:val="00393126"/>
    <w:rsid w:val="003946A5"/>
    <w:rsid w:val="00394C7B"/>
    <w:rsid w:val="00396BEE"/>
    <w:rsid w:val="003A05D6"/>
    <w:rsid w:val="003A05F4"/>
    <w:rsid w:val="003A15D2"/>
    <w:rsid w:val="003A1CC2"/>
    <w:rsid w:val="003A2561"/>
    <w:rsid w:val="003A25A5"/>
    <w:rsid w:val="003A28F9"/>
    <w:rsid w:val="003A2B9E"/>
    <w:rsid w:val="003A3240"/>
    <w:rsid w:val="003A36A7"/>
    <w:rsid w:val="003A3929"/>
    <w:rsid w:val="003A4888"/>
    <w:rsid w:val="003A49D9"/>
    <w:rsid w:val="003A4D38"/>
    <w:rsid w:val="003A58CC"/>
    <w:rsid w:val="003A5C8F"/>
    <w:rsid w:val="003A6537"/>
    <w:rsid w:val="003A65A7"/>
    <w:rsid w:val="003A6985"/>
    <w:rsid w:val="003A6BCC"/>
    <w:rsid w:val="003A7B79"/>
    <w:rsid w:val="003A7D98"/>
    <w:rsid w:val="003B1AC2"/>
    <w:rsid w:val="003B1CC4"/>
    <w:rsid w:val="003B21F6"/>
    <w:rsid w:val="003B2B8F"/>
    <w:rsid w:val="003B2BD5"/>
    <w:rsid w:val="003B3B34"/>
    <w:rsid w:val="003B3C29"/>
    <w:rsid w:val="003B4DED"/>
    <w:rsid w:val="003B50A1"/>
    <w:rsid w:val="003B6749"/>
    <w:rsid w:val="003B79B2"/>
    <w:rsid w:val="003C0246"/>
    <w:rsid w:val="003C0C1A"/>
    <w:rsid w:val="003C2065"/>
    <w:rsid w:val="003C29EB"/>
    <w:rsid w:val="003C2C7E"/>
    <w:rsid w:val="003C3079"/>
    <w:rsid w:val="003C3973"/>
    <w:rsid w:val="003C3F1A"/>
    <w:rsid w:val="003C486D"/>
    <w:rsid w:val="003C49FA"/>
    <w:rsid w:val="003C512F"/>
    <w:rsid w:val="003C63C3"/>
    <w:rsid w:val="003C7082"/>
    <w:rsid w:val="003C7D76"/>
    <w:rsid w:val="003D15C2"/>
    <w:rsid w:val="003D19C0"/>
    <w:rsid w:val="003D1E91"/>
    <w:rsid w:val="003D43DC"/>
    <w:rsid w:val="003D461B"/>
    <w:rsid w:val="003D46E5"/>
    <w:rsid w:val="003D4974"/>
    <w:rsid w:val="003D5B53"/>
    <w:rsid w:val="003D65B1"/>
    <w:rsid w:val="003D6AE9"/>
    <w:rsid w:val="003D6C40"/>
    <w:rsid w:val="003E1598"/>
    <w:rsid w:val="003E1BCA"/>
    <w:rsid w:val="003E1C57"/>
    <w:rsid w:val="003E1D43"/>
    <w:rsid w:val="003E2D21"/>
    <w:rsid w:val="003E3019"/>
    <w:rsid w:val="003E46B3"/>
    <w:rsid w:val="003E58CF"/>
    <w:rsid w:val="003E7AE7"/>
    <w:rsid w:val="003F2914"/>
    <w:rsid w:val="003F345F"/>
    <w:rsid w:val="003F358E"/>
    <w:rsid w:val="003F368A"/>
    <w:rsid w:val="003F4AA0"/>
    <w:rsid w:val="003F5951"/>
    <w:rsid w:val="003F5966"/>
    <w:rsid w:val="003F6234"/>
    <w:rsid w:val="003F6AF7"/>
    <w:rsid w:val="003F6DB7"/>
    <w:rsid w:val="00400409"/>
    <w:rsid w:val="00400AD8"/>
    <w:rsid w:val="00400C0F"/>
    <w:rsid w:val="0040200E"/>
    <w:rsid w:val="00402215"/>
    <w:rsid w:val="00402616"/>
    <w:rsid w:val="00403316"/>
    <w:rsid w:val="00403382"/>
    <w:rsid w:val="00403387"/>
    <w:rsid w:val="00403580"/>
    <w:rsid w:val="0040438D"/>
    <w:rsid w:val="0040736D"/>
    <w:rsid w:val="0040737F"/>
    <w:rsid w:val="00407E9A"/>
    <w:rsid w:val="00410251"/>
    <w:rsid w:val="00410A53"/>
    <w:rsid w:val="00410C8B"/>
    <w:rsid w:val="00410E26"/>
    <w:rsid w:val="00410F7E"/>
    <w:rsid w:val="00411532"/>
    <w:rsid w:val="00412955"/>
    <w:rsid w:val="00412C4A"/>
    <w:rsid w:val="00412D51"/>
    <w:rsid w:val="00414672"/>
    <w:rsid w:val="00414A5A"/>
    <w:rsid w:val="00414D30"/>
    <w:rsid w:val="004168FC"/>
    <w:rsid w:val="004173B9"/>
    <w:rsid w:val="00420F0A"/>
    <w:rsid w:val="00421396"/>
    <w:rsid w:val="00421A0E"/>
    <w:rsid w:val="00421A14"/>
    <w:rsid w:val="00422027"/>
    <w:rsid w:val="00423760"/>
    <w:rsid w:val="00423928"/>
    <w:rsid w:val="00425131"/>
    <w:rsid w:val="0042778D"/>
    <w:rsid w:val="0043042E"/>
    <w:rsid w:val="00430B71"/>
    <w:rsid w:val="0043176D"/>
    <w:rsid w:val="00431DA3"/>
    <w:rsid w:val="004320AB"/>
    <w:rsid w:val="004321BA"/>
    <w:rsid w:val="004322EA"/>
    <w:rsid w:val="004328DA"/>
    <w:rsid w:val="00433749"/>
    <w:rsid w:val="004344DA"/>
    <w:rsid w:val="00435783"/>
    <w:rsid w:val="00435D20"/>
    <w:rsid w:val="00435D4B"/>
    <w:rsid w:val="00437155"/>
    <w:rsid w:val="004374A6"/>
    <w:rsid w:val="0044079B"/>
    <w:rsid w:val="00440839"/>
    <w:rsid w:val="00440A84"/>
    <w:rsid w:val="00441C99"/>
    <w:rsid w:val="00442A81"/>
    <w:rsid w:val="00443394"/>
    <w:rsid w:val="004436BE"/>
    <w:rsid w:val="00443954"/>
    <w:rsid w:val="00444970"/>
    <w:rsid w:val="00445059"/>
    <w:rsid w:val="004457D2"/>
    <w:rsid w:val="00447203"/>
    <w:rsid w:val="004473B4"/>
    <w:rsid w:val="00450525"/>
    <w:rsid w:val="00450A4B"/>
    <w:rsid w:val="00452EB5"/>
    <w:rsid w:val="00454CE2"/>
    <w:rsid w:val="004550AC"/>
    <w:rsid w:val="004552A4"/>
    <w:rsid w:val="0045664D"/>
    <w:rsid w:val="0045709B"/>
    <w:rsid w:val="00457EDE"/>
    <w:rsid w:val="00460243"/>
    <w:rsid w:val="0046119E"/>
    <w:rsid w:val="004611A2"/>
    <w:rsid w:val="0046393B"/>
    <w:rsid w:val="004646FC"/>
    <w:rsid w:val="00464FAB"/>
    <w:rsid w:val="00464FFF"/>
    <w:rsid w:val="0046655D"/>
    <w:rsid w:val="0046712F"/>
    <w:rsid w:val="00471647"/>
    <w:rsid w:val="00473EAD"/>
    <w:rsid w:val="00473F93"/>
    <w:rsid w:val="00474E95"/>
    <w:rsid w:val="0047703C"/>
    <w:rsid w:val="00477EA3"/>
    <w:rsid w:val="00477F5C"/>
    <w:rsid w:val="004807ED"/>
    <w:rsid w:val="0048149B"/>
    <w:rsid w:val="00481C0C"/>
    <w:rsid w:val="00481EDF"/>
    <w:rsid w:val="00482E13"/>
    <w:rsid w:val="0048516D"/>
    <w:rsid w:val="00485E65"/>
    <w:rsid w:val="0049038F"/>
    <w:rsid w:val="0049054C"/>
    <w:rsid w:val="00490BDC"/>
    <w:rsid w:val="00491395"/>
    <w:rsid w:val="00491EB6"/>
    <w:rsid w:val="004922DA"/>
    <w:rsid w:val="004928B4"/>
    <w:rsid w:val="004937F1"/>
    <w:rsid w:val="00493885"/>
    <w:rsid w:val="00493BED"/>
    <w:rsid w:val="00493E43"/>
    <w:rsid w:val="00493E7D"/>
    <w:rsid w:val="0049409D"/>
    <w:rsid w:val="004940BE"/>
    <w:rsid w:val="0049441F"/>
    <w:rsid w:val="0049476C"/>
    <w:rsid w:val="00495114"/>
    <w:rsid w:val="00495AF2"/>
    <w:rsid w:val="004979C0"/>
    <w:rsid w:val="00497ABB"/>
    <w:rsid w:val="00497DB3"/>
    <w:rsid w:val="004A172B"/>
    <w:rsid w:val="004A213A"/>
    <w:rsid w:val="004A4836"/>
    <w:rsid w:val="004A7431"/>
    <w:rsid w:val="004B10F2"/>
    <w:rsid w:val="004B171D"/>
    <w:rsid w:val="004B18A9"/>
    <w:rsid w:val="004B20A1"/>
    <w:rsid w:val="004B2362"/>
    <w:rsid w:val="004B3989"/>
    <w:rsid w:val="004B3F10"/>
    <w:rsid w:val="004B4436"/>
    <w:rsid w:val="004B4940"/>
    <w:rsid w:val="004B68D4"/>
    <w:rsid w:val="004B6A4D"/>
    <w:rsid w:val="004B786A"/>
    <w:rsid w:val="004C0241"/>
    <w:rsid w:val="004C0D07"/>
    <w:rsid w:val="004C1112"/>
    <w:rsid w:val="004C11B4"/>
    <w:rsid w:val="004C2353"/>
    <w:rsid w:val="004C3C2C"/>
    <w:rsid w:val="004C408F"/>
    <w:rsid w:val="004C4277"/>
    <w:rsid w:val="004C42D3"/>
    <w:rsid w:val="004C4900"/>
    <w:rsid w:val="004C5274"/>
    <w:rsid w:val="004C53BA"/>
    <w:rsid w:val="004C53FF"/>
    <w:rsid w:val="004C5DE4"/>
    <w:rsid w:val="004C76D7"/>
    <w:rsid w:val="004D17D3"/>
    <w:rsid w:val="004D18D7"/>
    <w:rsid w:val="004D1AF8"/>
    <w:rsid w:val="004D2192"/>
    <w:rsid w:val="004D2FF5"/>
    <w:rsid w:val="004D34BD"/>
    <w:rsid w:val="004D354C"/>
    <w:rsid w:val="004D5F53"/>
    <w:rsid w:val="004D625B"/>
    <w:rsid w:val="004D71E9"/>
    <w:rsid w:val="004D7667"/>
    <w:rsid w:val="004E2AC5"/>
    <w:rsid w:val="004E31BC"/>
    <w:rsid w:val="004E624E"/>
    <w:rsid w:val="004F0FD9"/>
    <w:rsid w:val="004F3387"/>
    <w:rsid w:val="004F4F75"/>
    <w:rsid w:val="004F52B4"/>
    <w:rsid w:val="004F618F"/>
    <w:rsid w:val="004F62F0"/>
    <w:rsid w:val="004F68FC"/>
    <w:rsid w:val="004F6E62"/>
    <w:rsid w:val="004F7341"/>
    <w:rsid w:val="004F79F1"/>
    <w:rsid w:val="00500DA5"/>
    <w:rsid w:val="005013FC"/>
    <w:rsid w:val="00501707"/>
    <w:rsid w:val="0050261B"/>
    <w:rsid w:val="0050324E"/>
    <w:rsid w:val="00504125"/>
    <w:rsid w:val="00504747"/>
    <w:rsid w:val="005074B1"/>
    <w:rsid w:val="0051023B"/>
    <w:rsid w:val="00510410"/>
    <w:rsid w:val="00510706"/>
    <w:rsid w:val="005114B5"/>
    <w:rsid w:val="00511BED"/>
    <w:rsid w:val="0051339B"/>
    <w:rsid w:val="00513C7F"/>
    <w:rsid w:val="0051445F"/>
    <w:rsid w:val="005148A3"/>
    <w:rsid w:val="00515A60"/>
    <w:rsid w:val="00516310"/>
    <w:rsid w:val="00516B46"/>
    <w:rsid w:val="00516CD8"/>
    <w:rsid w:val="00516E9B"/>
    <w:rsid w:val="00517A12"/>
    <w:rsid w:val="00517B39"/>
    <w:rsid w:val="00520080"/>
    <w:rsid w:val="00520205"/>
    <w:rsid w:val="005204F7"/>
    <w:rsid w:val="0052061C"/>
    <w:rsid w:val="00520E36"/>
    <w:rsid w:val="00521338"/>
    <w:rsid w:val="005217AF"/>
    <w:rsid w:val="00521E31"/>
    <w:rsid w:val="00521FC7"/>
    <w:rsid w:val="0052263D"/>
    <w:rsid w:val="00522A40"/>
    <w:rsid w:val="00522E0E"/>
    <w:rsid w:val="00523A47"/>
    <w:rsid w:val="00523BB4"/>
    <w:rsid w:val="00523CB6"/>
    <w:rsid w:val="0052400A"/>
    <w:rsid w:val="00524DA6"/>
    <w:rsid w:val="00526104"/>
    <w:rsid w:val="0052625B"/>
    <w:rsid w:val="00530F3A"/>
    <w:rsid w:val="00531238"/>
    <w:rsid w:val="0053174E"/>
    <w:rsid w:val="0053189C"/>
    <w:rsid w:val="0053199F"/>
    <w:rsid w:val="00531B5C"/>
    <w:rsid w:val="00532D42"/>
    <w:rsid w:val="00532FF2"/>
    <w:rsid w:val="00533163"/>
    <w:rsid w:val="00533A9F"/>
    <w:rsid w:val="00534411"/>
    <w:rsid w:val="0053673A"/>
    <w:rsid w:val="005411C5"/>
    <w:rsid w:val="00541D96"/>
    <w:rsid w:val="0054200C"/>
    <w:rsid w:val="005421FA"/>
    <w:rsid w:val="005424A8"/>
    <w:rsid w:val="00543677"/>
    <w:rsid w:val="005437CC"/>
    <w:rsid w:val="00543C11"/>
    <w:rsid w:val="00543CCF"/>
    <w:rsid w:val="00544258"/>
    <w:rsid w:val="00544311"/>
    <w:rsid w:val="0054434A"/>
    <w:rsid w:val="00544A44"/>
    <w:rsid w:val="00544F06"/>
    <w:rsid w:val="0054508D"/>
    <w:rsid w:val="00545364"/>
    <w:rsid w:val="00545BB8"/>
    <w:rsid w:val="0054680D"/>
    <w:rsid w:val="00546DC2"/>
    <w:rsid w:val="00547557"/>
    <w:rsid w:val="0054758E"/>
    <w:rsid w:val="00551C36"/>
    <w:rsid w:val="00551CBA"/>
    <w:rsid w:val="00552C8A"/>
    <w:rsid w:val="00552EC1"/>
    <w:rsid w:val="00553108"/>
    <w:rsid w:val="005539BB"/>
    <w:rsid w:val="00554201"/>
    <w:rsid w:val="00554568"/>
    <w:rsid w:val="005545CF"/>
    <w:rsid w:val="00554F53"/>
    <w:rsid w:val="00556DFA"/>
    <w:rsid w:val="00557896"/>
    <w:rsid w:val="00557D16"/>
    <w:rsid w:val="0056128A"/>
    <w:rsid w:val="0056195C"/>
    <w:rsid w:val="00561BB7"/>
    <w:rsid w:val="0056487A"/>
    <w:rsid w:val="00564D1D"/>
    <w:rsid w:val="00565370"/>
    <w:rsid w:val="00567A7D"/>
    <w:rsid w:val="00567B74"/>
    <w:rsid w:val="005719D6"/>
    <w:rsid w:val="005722FA"/>
    <w:rsid w:val="00573EBD"/>
    <w:rsid w:val="00574992"/>
    <w:rsid w:val="00575FD1"/>
    <w:rsid w:val="0057697C"/>
    <w:rsid w:val="00576B28"/>
    <w:rsid w:val="00576CCE"/>
    <w:rsid w:val="00577714"/>
    <w:rsid w:val="00577A21"/>
    <w:rsid w:val="00577F12"/>
    <w:rsid w:val="00580777"/>
    <w:rsid w:val="00581400"/>
    <w:rsid w:val="0058159D"/>
    <w:rsid w:val="00582E9C"/>
    <w:rsid w:val="005831E0"/>
    <w:rsid w:val="00583AC7"/>
    <w:rsid w:val="00584DB6"/>
    <w:rsid w:val="0058569A"/>
    <w:rsid w:val="005862E4"/>
    <w:rsid w:val="00586FA4"/>
    <w:rsid w:val="005872E1"/>
    <w:rsid w:val="00587490"/>
    <w:rsid w:val="005900A5"/>
    <w:rsid w:val="00590223"/>
    <w:rsid w:val="005907D8"/>
    <w:rsid w:val="00590E70"/>
    <w:rsid w:val="005915A9"/>
    <w:rsid w:val="005921CE"/>
    <w:rsid w:val="0059239A"/>
    <w:rsid w:val="005924E7"/>
    <w:rsid w:val="00592A2C"/>
    <w:rsid w:val="005934A6"/>
    <w:rsid w:val="005938C6"/>
    <w:rsid w:val="00593B34"/>
    <w:rsid w:val="00593E64"/>
    <w:rsid w:val="00597B40"/>
    <w:rsid w:val="005A0119"/>
    <w:rsid w:val="005A0760"/>
    <w:rsid w:val="005A16E1"/>
    <w:rsid w:val="005A1C4D"/>
    <w:rsid w:val="005A4128"/>
    <w:rsid w:val="005A6013"/>
    <w:rsid w:val="005A6087"/>
    <w:rsid w:val="005A71E9"/>
    <w:rsid w:val="005A735A"/>
    <w:rsid w:val="005A7962"/>
    <w:rsid w:val="005B0EAB"/>
    <w:rsid w:val="005B1257"/>
    <w:rsid w:val="005B16BF"/>
    <w:rsid w:val="005B1951"/>
    <w:rsid w:val="005B264B"/>
    <w:rsid w:val="005B2FA1"/>
    <w:rsid w:val="005B5312"/>
    <w:rsid w:val="005B6206"/>
    <w:rsid w:val="005B6450"/>
    <w:rsid w:val="005B65AB"/>
    <w:rsid w:val="005C07C4"/>
    <w:rsid w:val="005C103F"/>
    <w:rsid w:val="005C12B0"/>
    <w:rsid w:val="005C346E"/>
    <w:rsid w:val="005C354F"/>
    <w:rsid w:val="005C4DB2"/>
    <w:rsid w:val="005C4DC1"/>
    <w:rsid w:val="005C4FC2"/>
    <w:rsid w:val="005C619C"/>
    <w:rsid w:val="005C76D3"/>
    <w:rsid w:val="005D04CA"/>
    <w:rsid w:val="005D1A77"/>
    <w:rsid w:val="005D3590"/>
    <w:rsid w:val="005D439E"/>
    <w:rsid w:val="005D4770"/>
    <w:rsid w:val="005D52B8"/>
    <w:rsid w:val="005D5AA8"/>
    <w:rsid w:val="005D6A6B"/>
    <w:rsid w:val="005D78BF"/>
    <w:rsid w:val="005E038A"/>
    <w:rsid w:val="005E18A9"/>
    <w:rsid w:val="005E1D11"/>
    <w:rsid w:val="005E2DB5"/>
    <w:rsid w:val="005E2E8E"/>
    <w:rsid w:val="005E4DC5"/>
    <w:rsid w:val="005E4DCA"/>
    <w:rsid w:val="005E4F05"/>
    <w:rsid w:val="005E57BD"/>
    <w:rsid w:val="005E5B60"/>
    <w:rsid w:val="005E696F"/>
    <w:rsid w:val="005E7845"/>
    <w:rsid w:val="005E78C6"/>
    <w:rsid w:val="005E7A42"/>
    <w:rsid w:val="005E7AD8"/>
    <w:rsid w:val="005F1252"/>
    <w:rsid w:val="005F369D"/>
    <w:rsid w:val="005F3E75"/>
    <w:rsid w:val="005F5796"/>
    <w:rsid w:val="005F631A"/>
    <w:rsid w:val="005F6C20"/>
    <w:rsid w:val="0060013E"/>
    <w:rsid w:val="006002F4"/>
    <w:rsid w:val="00601600"/>
    <w:rsid w:val="00601629"/>
    <w:rsid w:val="006024CA"/>
    <w:rsid w:val="00602D0F"/>
    <w:rsid w:val="006037CD"/>
    <w:rsid w:val="00603FF6"/>
    <w:rsid w:val="006040D1"/>
    <w:rsid w:val="006048A1"/>
    <w:rsid w:val="00604D0E"/>
    <w:rsid w:val="006059A6"/>
    <w:rsid w:val="00605BD3"/>
    <w:rsid w:val="00606BF9"/>
    <w:rsid w:val="00607737"/>
    <w:rsid w:val="0061078B"/>
    <w:rsid w:val="006117B7"/>
    <w:rsid w:val="006121B3"/>
    <w:rsid w:val="0061424E"/>
    <w:rsid w:val="00614477"/>
    <w:rsid w:val="006144F0"/>
    <w:rsid w:val="006155F5"/>
    <w:rsid w:val="00615C8D"/>
    <w:rsid w:val="0061616C"/>
    <w:rsid w:val="00617387"/>
    <w:rsid w:val="0061763D"/>
    <w:rsid w:val="00617C85"/>
    <w:rsid w:val="0062111C"/>
    <w:rsid w:val="00621998"/>
    <w:rsid w:val="00623013"/>
    <w:rsid w:val="00623A01"/>
    <w:rsid w:val="00624811"/>
    <w:rsid w:val="006252B1"/>
    <w:rsid w:val="0062576C"/>
    <w:rsid w:val="006258FF"/>
    <w:rsid w:val="00625B72"/>
    <w:rsid w:val="0062671D"/>
    <w:rsid w:val="00626B21"/>
    <w:rsid w:val="0062751B"/>
    <w:rsid w:val="00627CC2"/>
    <w:rsid w:val="00627EB9"/>
    <w:rsid w:val="00627F1E"/>
    <w:rsid w:val="00630284"/>
    <w:rsid w:val="0063057C"/>
    <w:rsid w:val="006309CE"/>
    <w:rsid w:val="00630E63"/>
    <w:rsid w:val="00630EEE"/>
    <w:rsid w:val="00631EEB"/>
    <w:rsid w:val="006320DD"/>
    <w:rsid w:val="0063285F"/>
    <w:rsid w:val="00632915"/>
    <w:rsid w:val="00633427"/>
    <w:rsid w:val="00634BCF"/>
    <w:rsid w:val="006359A4"/>
    <w:rsid w:val="00636525"/>
    <w:rsid w:val="00636673"/>
    <w:rsid w:val="00637421"/>
    <w:rsid w:val="0064180B"/>
    <w:rsid w:val="00641B88"/>
    <w:rsid w:val="00642A50"/>
    <w:rsid w:val="00644C72"/>
    <w:rsid w:val="00644CCC"/>
    <w:rsid w:val="00644FD0"/>
    <w:rsid w:val="00645447"/>
    <w:rsid w:val="00645B54"/>
    <w:rsid w:val="00645FB9"/>
    <w:rsid w:val="00647423"/>
    <w:rsid w:val="00647A7D"/>
    <w:rsid w:val="00647AC4"/>
    <w:rsid w:val="00647EB9"/>
    <w:rsid w:val="00647EE1"/>
    <w:rsid w:val="0065011A"/>
    <w:rsid w:val="00650526"/>
    <w:rsid w:val="0065164B"/>
    <w:rsid w:val="00651D62"/>
    <w:rsid w:val="006520BD"/>
    <w:rsid w:val="00655B5B"/>
    <w:rsid w:val="00656948"/>
    <w:rsid w:val="00660BDA"/>
    <w:rsid w:val="0066292F"/>
    <w:rsid w:val="006629B8"/>
    <w:rsid w:val="00662D74"/>
    <w:rsid w:val="00663DA9"/>
    <w:rsid w:val="00664041"/>
    <w:rsid w:val="006647A2"/>
    <w:rsid w:val="0066608A"/>
    <w:rsid w:val="0067081A"/>
    <w:rsid w:val="00672CFD"/>
    <w:rsid w:val="006737F5"/>
    <w:rsid w:val="00673DF0"/>
    <w:rsid w:val="00673E45"/>
    <w:rsid w:val="00673F4E"/>
    <w:rsid w:val="00674DFF"/>
    <w:rsid w:val="00676C9D"/>
    <w:rsid w:val="00677C36"/>
    <w:rsid w:val="00677EA2"/>
    <w:rsid w:val="00680FF2"/>
    <w:rsid w:val="00682072"/>
    <w:rsid w:val="00682C39"/>
    <w:rsid w:val="00683067"/>
    <w:rsid w:val="006854D9"/>
    <w:rsid w:val="00685EB7"/>
    <w:rsid w:val="00686381"/>
    <w:rsid w:val="006866D6"/>
    <w:rsid w:val="006866F0"/>
    <w:rsid w:val="00686A0D"/>
    <w:rsid w:val="00686F8D"/>
    <w:rsid w:val="00687F4B"/>
    <w:rsid w:val="00690476"/>
    <w:rsid w:val="006922EE"/>
    <w:rsid w:val="0069296D"/>
    <w:rsid w:val="00692CD8"/>
    <w:rsid w:val="006950AD"/>
    <w:rsid w:val="00695535"/>
    <w:rsid w:val="00696DCA"/>
    <w:rsid w:val="0069772A"/>
    <w:rsid w:val="0069797D"/>
    <w:rsid w:val="00697BA5"/>
    <w:rsid w:val="006A0826"/>
    <w:rsid w:val="006A1149"/>
    <w:rsid w:val="006A1279"/>
    <w:rsid w:val="006A1738"/>
    <w:rsid w:val="006A191D"/>
    <w:rsid w:val="006A1AD5"/>
    <w:rsid w:val="006A22D6"/>
    <w:rsid w:val="006A2ECC"/>
    <w:rsid w:val="006A3B0C"/>
    <w:rsid w:val="006A3C15"/>
    <w:rsid w:val="006A63E1"/>
    <w:rsid w:val="006A6D08"/>
    <w:rsid w:val="006A6F3A"/>
    <w:rsid w:val="006A7B1D"/>
    <w:rsid w:val="006B092C"/>
    <w:rsid w:val="006B0B1F"/>
    <w:rsid w:val="006B1EE1"/>
    <w:rsid w:val="006B1FD0"/>
    <w:rsid w:val="006B3581"/>
    <w:rsid w:val="006B5AFE"/>
    <w:rsid w:val="006B5D3B"/>
    <w:rsid w:val="006B65E8"/>
    <w:rsid w:val="006B7DA1"/>
    <w:rsid w:val="006C04F0"/>
    <w:rsid w:val="006C13FF"/>
    <w:rsid w:val="006C1486"/>
    <w:rsid w:val="006C2258"/>
    <w:rsid w:val="006C5476"/>
    <w:rsid w:val="006C57CC"/>
    <w:rsid w:val="006C5AE1"/>
    <w:rsid w:val="006C6168"/>
    <w:rsid w:val="006C62BD"/>
    <w:rsid w:val="006C63F9"/>
    <w:rsid w:val="006C6459"/>
    <w:rsid w:val="006C7358"/>
    <w:rsid w:val="006D03C9"/>
    <w:rsid w:val="006D0616"/>
    <w:rsid w:val="006D069A"/>
    <w:rsid w:val="006D075E"/>
    <w:rsid w:val="006D15D3"/>
    <w:rsid w:val="006D2B4E"/>
    <w:rsid w:val="006D37F0"/>
    <w:rsid w:val="006D3B2E"/>
    <w:rsid w:val="006D3DAC"/>
    <w:rsid w:val="006D4172"/>
    <w:rsid w:val="006D4322"/>
    <w:rsid w:val="006D51F9"/>
    <w:rsid w:val="006D5271"/>
    <w:rsid w:val="006D5562"/>
    <w:rsid w:val="006D5C5C"/>
    <w:rsid w:val="006D65C2"/>
    <w:rsid w:val="006D6787"/>
    <w:rsid w:val="006D6D47"/>
    <w:rsid w:val="006D7999"/>
    <w:rsid w:val="006D7AB5"/>
    <w:rsid w:val="006D7ECA"/>
    <w:rsid w:val="006E026E"/>
    <w:rsid w:val="006E1644"/>
    <w:rsid w:val="006E2EE9"/>
    <w:rsid w:val="006E2FCC"/>
    <w:rsid w:val="006E31E2"/>
    <w:rsid w:val="006E33FD"/>
    <w:rsid w:val="006E3712"/>
    <w:rsid w:val="006E3F7C"/>
    <w:rsid w:val="006E4658"/>
    <w:rsid w:val="006E4735"/>
    <w:rsid w:val="006E4D32"/>
    <w:rsid w:val="006E680E"/>
    <w:rsid w:val="006E7830"/>
    <w:rsid w:val="006F1B38"/>
    <w:rsid w:val="006F1DE3"/>
    <w:rsid w:val="006F3921"/>
    <w:rsid w:val="006F4282"/>
    <w:rsid w:val="006F5BE8"/>
    <w:rsid w:val="006F5BE9"/>
    <w:rsid w:val="006F5E93"/>
    <w:rsid w:val="006F6E9B"/>
    <w:rsid w:val="006F6FEA"/>
    <w:rsid w:val="006F7B9B"/>
    <w:rsid w:val="00700418"/>
    <w:rsid w:val="0070137B"/>
    <w:rsid w:val="007013F4"/>
    <w:rsid w:val="00701FF2"/>
    <w:rsid w:val="0070295F"/>
    <w:rsid w:val="007033CC"/>
    <w:rsid w:val="00703C1A"/>
    <w:rsid w:val="007048C1"/>
    <w:rsid w:val="00704C54"/>
    <w:rsid w:val="00705744"/>
    <w:rsid w:val="0070692D"/>
    <w:rsid w:val="00706B72"/>
    <w:rsid w:val="007070DC"/>
    <w:rsid w:val="0071056E"/>
    <w:rsid w:val="00710B4E"/>
    <w:rsid w:val="007111BA"/>
    <w:rsid w:val="0071184D"/>
    <w:rsid w:val="00711889"/>
    <w:rsid w:val="00711D5D"/>
    <w:rsid w:val="00712070"/>
    <w:rsid w:val="007125C8"/>
    <w:rsid w:val="00713098"/>
    <w:rsid w:val="00713BB2"/>
    <w:rsid w:val="00713CB8"/>
    <w:rsid w:val="00713DDD"/>
    <w:rsid w:val="00713FB3"/>
    <w:rsid w:val="00714E78"/>
    <w:rsid w:val="00717383"/>
    <w:rsid w:val="0071745D"/>
    <w:rsid w:val="00722701"/>
    <w:rsid w:val="0072281A"/>
    <w:rsid w:val="007239A4"/>
    <w:rsid w:val="007241EB"/>
    <w:rsid w:val="00724A5A"/>
    <w:rsid w:val="00725D8F"/>
    <w:rsid w:val="00726142"/>
    <w:rsid w:val="007267B8"/>
    <w:rsid w:val="00727B12"/>
    <w:rsid w:val="007301E0"/>
    <w:rsid w:val="007318AD"/>
    <w:rsid w:val="00731968"/>
    <w:rsid w:val="007326BB"/>
    <w:rsid w:val="00734412"/>
    <w:rsid w:val="0073487A"/>
    <w:rsid w:val="00734AED"/>
    <w:rsid w:val="00734EE7"/>
    <w:rsid w:val="007356D1"/>
    <w:rsid w:val="007360A2"/>
    <w:rsid w:val="0073626F"/>
    <w:rsid w:val="00736E9A"/>
    <w:rsid w:val="00737608"/>
    <w:rsid w:val="00741E24"/>
    <w:rsid w:val="00742762"/>
    <w:rsid w:val="007432D5"/>
    <w:rsid w:val="0074339A"/>
    <w:rsid w:val="00743927"/>
    <w:rsid w:val="0074394D"/>
    <w:rsid w:val="00743A88"/>
    <w:rsid w:val="00743D39"/>
    <w:rsid w:val="00746BD5"/>
    <w:rsid w:val="007471F1"/>
    <w:rsid w:val="0074782D"/>
    <w:rsid w:val="00750564"/>
    <w:rsid w:val="0075057A"/>
    <w:rsid w:val="00750868"/>
    <w:rsid w:val="00752917"/>
    <w:rsid w:val="00752C18"/>
    <w:rsid w:val="00752D73"/>
    <w:rsid w:val="00753190"/>
    <w:rsid w:val="007534E0"/>
    <w:rsid w:val="007543DE"/>
    <w:rsid w:val="007549FE"/>
    <w:rsid w:val="00755661"/>
    <w:rsid w:val="0075569A"/>
    <w:rsid w:val="007558C0"/>
    <w:rsid w:val="00755F56"/>
    <w:rsid w:val="00756349"/>
    <w:rsid w:val="007572DE"/>
    <w:rsid w:val="00757A1D"/>
    <w:rsid w:val="0076014F"/>
    <w:rsid w:val="00760DDE"/>
    <w:rsid w:val="00762E54"/>
    <w:rsid w:val="00762F53"/>
    <w:rsid w:val="007643B1"/>
    <w:rsid w:val="007650EC"/>
    <w:rsid w:val="00765276"/>
    <w:rsid w:val="00766D54"/>
    <w:rsid w:val="00771990"/>
    <w:rsid w:val="007722ED"/>
    <w:rsid w:val="00772438"/>
    <w:rsid w:val="007730D0"/>
    <w:rsid w:val="00773638"/>
    <w:rsid w:val="00773A1B"/>
    <w:rsid w:val="00773B5F"/>
    <w:rsid w:val="0077457A"/>
    <w:rsid w:val="00775DE1"/>
    <w:rsid w:val="0077636D"/>
    <w:rsid w:val="00776876"/>
    <w:rsid w:val="00776D80"/>
    <w:rsid w:val="00777368"/>
    <w:rsid w:val="00777D3D"/>
    <w:rsid w:val="00781EA2"/>
    <w:rsid w:val="00783435"/>
    <w:rsid w:val="00783EC3"/>
    <w:rsid w:val="0078538B"/>
    <w:rsid w:val="0078553F"/>
    <w:rsid w:val="00785DB9"/>
    <w:rsid w:val="00786A85"/>
    <w:rsid w:val="00786EFB"/>
    <w:rsid w:val="00786FB4"/>
    <w:rsid w:val="0078730F"/>
    <w:rsid w:val="007900BB"/>
    <w:rsid w:val="007900FC"/>
    <w:rsid w:val="00791B3F"/>
    <w:rsid w:val="00792373"/>
    <w:rsid w:val="00792FF6"/>
    <w:rsid w:val="00793383"/>
    <w:rsid w:val="00793E97"/>
    <w:rsid w:val="0079512C"/>
    <w:rsid w:val="007959AA"/>
    <w:rsid w:val="00797502"/>
    <w:rsid w:val="0079774E"/>
    <w:rsid w:val="00797EAD"/>
    <w:rsid w:val="007A0CB7"/>
    <w:rsid w:val="007A1C85"/>
    <w:rsid w:val="007A2513"/>
    <w:rsid w:val="007A3298"/>
    <w:rsid w:val="007A3AD0"/>
    <w:rsid w:val="007A3E2E"/>
    <w:rsid w:val="007A4F27"/>
    <w:rsid w:val="007A562E"/>
    <w:rsid w:val="007A6375"/>
    <w:rsid w:val="007B0B17"/>
    <w:rsid w:val="007B0B68"/>
    <w:rsid w:val="007B26FC"/>
    <w:rsid w:val="007B27AE"/>
    <w:rsid w:val="007B3A6E"/>
    <w:rsid w:val="007B3B92"/>
    <w:rsid w:val="007B3E9E"/>
    <w:rsid w:val="007B57F4"/>
    <w:rsid w:val="007B57F5"/>
    <w:rsid w:val="007B5B76"/>
    <w:rsid w:val="007B6130"/>
    <w:rsid w:val="007B78F6"/>
    <w:rsid w:val="007C00E5"/>
    <w:rsid w:val="007C0374"/>
    <w:rsid w:val="007C0911"/>
    <w:rsid w:val="007C0DCF"/>
    <w:rsid w:val="007C21B9"/>
    <w:rsid w:val="007C248D"/>
    <w:rsid w:val="007C36C9"/>
    <w:rsid w:val="007C37CA"/>
    <w:rsid w:val="007C45E8"/>
    <w:rsid w:val="007C460B"/>
    <w:rsid w:val="007C48E7"/>
    <w:rsid w:val="007C4BFF"/>
    <w:rsid w:val="007C55A1"/>
    <w:rsid w:val="007C61E7"/>
    <w:rsid w:val="007C654E"/>
    <w:rsid w:val="007C76BD"/>
    <w:rsid w:val="007C77CD"/>
    <w:rsid w:val="007C7931"/>
    <w:rsid w:val="007D110A"/>
    <w:rsid w:val="007D18AA"/>
    <w:rsid w:val="007D1B5F"/>
    <w:rsid w:val="007D28D4"/>
    <w:rsid w:val="007D4293"/>
    <w:rsid w:val="007D4484"/>
    <w:rsid w:val="007D4D62"/>
    <w:rsid w:val="007D5DCD"/>
    <w:rsid w:val="007D658B"/>
    <w:rsid w:val="007D68C2"/>
    <w:rsid w:val="007D6A8B"/>
    <w:rsid w:val="007D71E5"/>
    <w:rsid w:val="007D7826"/>
    <w:rsid w:val="007E11C8"/>
    <w:rsid w:val="007E1271"/>
    <w:rsid w:val="007E1A5A"/>
    <w:rsid w:val="007E1F4F"/>
    <w:rsid w:val="007E2116"/>
    <w:rsid w:val="007E2177"/>
    <w:rsid w:val="007E2398"/>
    <w:rsid w:val="007E2DE0"/>
    <w:rsid w:val="007E3676"/>
    <w:rsid w:val="007E43D4"/>
    <w:rsid w:val="007E79F2"/>
    <w:rsid w:val="007F000D"/>
    <w:rsid w:val="007F0326"/>
    <w:rsid w:val="007F19B2"/>
    <w:rsid w:val="007F284C"/>
    <w:rsid w:val="007F3431"/>
    <w:rsid w:val="007F41C5"/>
    <w:rsid w:val="007F439A"/>
    <w:rsid w:val="007F45B7"/>
    <w:rsid w:val="007F4F61"/>
    <w:rsid w:val="007F58CA"/>
    <w:rsid w:val="007F6869"/>
    <w:rsid w:val="007F7C75"/>
    <w:rsid w:val="008001F6"/>
    <w:rsid w:val="00803067"/>
    <w:rsid w:val="0080323A"/>
    <w:rsid w:val="00803EA2"/>
    <w:rsid w:val="008040C3"/>
    <w:rsid w:val="008041A2"/>
    <w:rsid w:val="00807D50"/>
    <w:rsid w:val="00807D72"/>
    <w:rsid w:val="0081003D"/>
    <w:rsid w:val="00810EB0"/>
    <w:rsid w:val="0081264B"/>
    <w:rsid w:val="00812933"/>
    <w:rsid w:val="0081368F"/>
    <w:rsid w:val="00813D01"/>
    <w:rsid w:val="008144AD"/>
    <w:rsid w:val="00814A69"/>
    <w:rsid w:val="008151EE"/>
    <w:rsid w:val="00815636"/>
    <w:rsid w:val="00815E05"/>
    <w:rsid w:val="00815FB4"/>
    <w:rsid w:val="00820230"/>
    <w:rsid w:val="00821C26"/>
    <w:rsid w:val="00821FDE"/>
    <w:rsid w:val="00823E24"/>
    <w:rsid w:val="00824743"/>
    <w:rsid w:val="00824876"/>
    <w:rsid w:val="00824A29"/>
    <w:rsid w:val="00824A99"/>
    <w:rsid w:val="008266C6"/>
    <w:rsid w:val="00826B0C"/>
    <w:rsid w:val="00827618"/>
    <w:rsid w:val="008303CF"/>
    <w:rsid w:val="00830ED8"/>
    <w:rsid w:val="00831590"/>
    <w:rsid w:val="00831B8D"/>
    <w:rsid w:val="00831D55"/>
    <w:rsid w:val="0083215B"/>
    <w:rsid w:val="00832389"/>
    <w:rsid w:val="00833686"/>
    <w:rsid w:val="00834162"/>
    <w:rsid w:val="0083425E"/>
    <w:rsid w:val="00834369"/>
    <w:rsid w:val="0083521A"/>
    <w:rsid w:val="0083559D"/>
    <w:rsid w:val="00835638"/>
    <w:rsid w:val="00836424"/>
    <w:rsid w:val="008366AE"/>
    <w:rsid w:val="00836F72"/>
    <w:rsid w:val="008405D6"/>
    <w:rsid w:val="0084109A"/>
    <w:rsid w:val="00843D8F"/>
    <w:rsid w:val="00845575"/>
    <w:rsid w:val="0084676C"/>
    <w:rsid w:val="00847DE0"/>
    <w:rsid w:val="0085033F"/>
    <w:rsid w:val="00853F3D"/>
    <w:rsid w:val="00854B35"/>
    <w:rsid w:val="00855035"/>
    <w:rsid w:val="00855756"/>
    <w:rsid w:val="00855FA1"/>
    <w:rsid w:val="00856027"/>
    <w:rsid w:val="00856A9D"/>
    <w:rsid w:val="0085725C"/>
    <w:rsid w:val="008574D3"/>
    <w:rsid w:val="00857B0C"/>
    <w:rsid w:val="00857C61"/>
    <w:rsid w:val="00860185"/>
    <w:rsid w:val="008605CE"/>
    <w:rsid w:val="008609D1"/>
    <w:rsid w:val="00860F1F"/>
    <w:rsid w:val="00861096"/>
    <w:rsid w:val="00861750"/>
    <w:rsid w:val="00861EBE"/>
    <w:rsid w:val="00863C9B"/>
    <w:rsid w:val="00863DAE"/>
    <w:rsid w:val="008652F5"/>
    <w:rsid w:val="008655BC"/>
    <w:rsid w:val="00867BE8"/>
    <w:rsid w:val="0087016C"/>
    <w:rsid w:val="00871FFF"/>
    <w:rsid w:val="00872A3F"/>
    <w:rsid w:val="00873097"/>
    <w:rsid w:val="00873343"/>
    <w:rsid w:val="00873357"/>
    <w:rsid w:val="008748EB"/>
    <w:rsid w:val="00874BEE"/>
    <w:rsid w:val="00876117"/>
    <w:rsid w:val="00876AFC"/>
    <w:rsid w:val="00876CB0"/>
    <w:rsid w:val="00880719"/>
    <w:rsid w:val="0088141D"/>
    <w:rsid w:val="008815F7"/>
    <w:rsid w:val="00882B57"/>
    <w:rsid w:val="00882D9F"/>
    <w:rsid w:val="00884AA6"/>
    <w:rsid w:val="00885167"/>
    <w:rsid w:val="00885CD2"/>
    <w:rsid w:val="00885F8F"/>
    <w:rsid w:val="0088632D"/>
    <w:rsid w:val="008868BF"/>
    <w:rsid w:val="00887AC4"/>
    <w:rsid w:val="00887D80"/>
    <w:rsid w:val="00887DD3"/>
    <w:rsid w:val="00890674"/>
    <w:rsid w:val="00890B27"/>
    <w:rsid w:val="008910B2"/>
    <w:rsid w:val="00894CA6"/>
    <w:rsid w:val="00894FA1"/>
    <w:rsid w:val="00896779"/>
    <w:rsid w:val="00896E06"/>
    <w:rsid w:val="008A1B0F"/>
    <w:rsid w:val="008A1C61"/>
    <w:rsid w:val="008A1E76"/>
    <w:rsid w:val="008A2D1F"/>
    <w:rsid w:val="008A343D"/>
    <w:rsid w:val="008A3797"/>
    <w:rsid w:val="008A6398"/>
    <w:rsid w:val="008B0FFB"/>
    <w:rsid w:val="008B1080"/>
    <w:rsid w:val="008B14CF"/>
    <w:rsid w:val="008B17B8"/>
    <w:rsid w:val="008B1F95"/>
    <w:rsid w:val="008B2B8F"/>
    <w:rsid w:val="008B3A85"/>
    <w:rsid w:val="008B40AF"/>
    <w:rsid w:val="008B4898"/>
    <w:rsid w:val="008B65AC"/>
    <w:rsid w:val="008B720A"/>
    <w:rsid w:val="008B752D"/>
    <w:rsid w:val="008B7BC6"/>
    <w:rsid w:val="008C004C"/>
    <w:rsid w:val="008C0FEE"/>
    <w:rsid w:val="008C1714"/>
    <w:rsid w:val="008C1E9E"/>
    <w:rsid w:val="008C2F56"/>
    <w:rsid w:val="008C65D7"/>
    <w:rsid w:val="008C6D2C"/>
    <w:rsid w:val="008C7F80"/>
    <w:rsid w:val="008C7FDF"/>
    <w:rsid w:val="008D13D3"/>
    <w:rsid w:val="008D13EB"/>
    <w:rsid w:val="008D16B5"/>
    <w:rsid w:val="008D1CF2"/>
    <w:rsid w:val="008D36D8"/>
    <w:rsid w:val="008D4AD0"/>
    <w:rsid w:val="008D4FC1"/>
    <w:rsid w:val="008D51BB"/>
    <w:rsid w:val="008D553D"/>
    <w:rsid w:val="008D6CC4"/>
    <w:rsid w:val="008D6F23"/>
    <w:rsid w:val="008D757E"/>
    <w:rsid w:val="008E0833"/>
    <w:rsid w:val="008E1086"/>
    <w:rsid w:val="008E2821"/>
    <w:rsid w:val="008E2CC8"/>
    <w:rsid w:val="008E3626"/>
    <w:rsid w:val="008E5A69"/>
    <w:rsid w:val="008E6884"/>
    <w:rsid w:val="008E77AC"/>
    <w:rsid w:val="008F03CC"/>
    <w:rsid w:val="008F05FE"/>
    <w:rsid w:val="008F0B93"/>
    <w:rsid w:val="008F0FE3"/>
    <w:rsid w:val="008F130F"/>
    <w:rsid w:val="008F27D9"/>
    <w:rsid w:val="008F29C6"/>
    <w:rsid w:val="008F45B2"/>
    <w:rsid w:val="008F5476"/>
    <w:rsid w:val="008F69E9"/>
    <w:rsid w:val="00900C6B"/>
    <w:rsid w:val="00901A5B"/>
    <w:rsid w:val="00902A1D"/>
    <w:rsid w:val="009044C4"/>
    <w:rsid w:val="00904739"/>
    <w:rsid w:val="0090634D"/>
    <w:rsid w:val="00906501"/>
    <w:rsid w:val="0090671F"/>
    <w:rsid w:val="009067CB"/>
    <w:rsid w:val="00906C42"/>
    <w:rsid w:val="00910511"/>
    <w:rsid w:val="00910628"/>
    <w:rsid w:val="00910758"/>
    <w:rsid w:val="00911D16"/>
    <w:rsid w:val="0091314E"/>
    <w:rsid w:val="0091322B"/>
    <w:rsid w:val="0091323D"/>
    <w:rsid w:val="0091341A"/>
    <w:rsid w:val="00913B99"/>
    <w:rsid w:val="00915399"/>
    <w:rsid w:val="00915C39"/>
    <w:rsid w:val="0091642E"/>
    <w:rsid w:val="00917070"/>
    <w:rsid w:val="009174CF"/>
    <w:rsid w:val="00917B03"/>
    <w:rsid w:val="009206B3"/>
    <w:rsid w:val="009213A0"/>
    <w:rsid w:val="00922FD7"/>
    <w:rsid w:val="0092358A"/>
    <w:rsid w:val="00923CB2"/>
    <w:rsid w:val="00924114"/>
    <w:rsid w:val="00924350"/>
    <w:rsid w:val="00924562"/>
    <w:rsid w:val="009251E7"/>
    <w:rsid w:val="009258EE"/>
    <w:rsid w:val="00926C05"/>
    <w:rsid w:val="0092724C"/>
    <w:rsid w:val="00927B64"/>
    <w:rsid w:val="009304C4"/>
    <w:rsid w:val="00930882"/>
    <w:rsid w:val="00931482"/>
    <w:rsid w:val="00931C79"/>
    <w:rsid w:val="009324A4"/>
    <w:rsid w:val="00932DA0"/>
    <w:rsid w:val="009346B6"/>
    <w:rsid w:val="0093508D"/>
    <w:rsid w:val="0093604B"/>
    <w:rsid w:val="00936AB9"/>
    <w:rsid w:val="00936D3B"/>
    <w:rsid w:val="00940CBD"/>
    <w:rsid w:val="00941FC4"/>
    <w:rsid w:val="009421B0"/>
    <w:rsid w:val="00942A8F"/>
    <w:rsid w:val="00942B09"/>
    <w:rsid w:val="00943049"/>
    <w:rsid w:val="0094382E"/>
    <w:rsid w:val="00943B03"/>
    <w:rsid w:val="00944A25"/>
    <w:rsid w:val="009456DD"/>
    <w:rsid w:val="0094579A"/>
    <w:rsid w:val="00946525"/>
    <w:rsid w:val="00946E2B"/>
    <w:rsid w:val="00947201"/>
    <w:rsid w:val="009500C4"/>
    <w:rsid w:val="009508B3"/>
    <w:rsid w:val="009519CE"/>
    <w:rsid w:val="0095208D"/>
    <w:rsid w:val="00952574"/>
    <w:rsid w:val="00953CF8"/>
    <w:rsid w:val="009550DC"/>
    <w:rsid w:val="00955929"/>
    <w:rsid w:val="00955B91"/>
    <w:rsid w:val="00956001"/>
    <w:rsid w:val="009569D3"/>
    <w:rsid w:val="00957768"/>
    <w:rsid w:val="00957CA6"/>
    <w:rsid w:val="00960C07"/>
    <w:rsid w:val="0096391E"/>
    <w:rsid w:val="00964FEF"/>
    <w:rsid w:val="00965582"/>
    <w:rsid w:val="009661C8"/>
    <w:rsid w:val="009667DC"/>
    <w:rsid w:val="00966BC7"/>
    <w:rsid w:val="0096792A"/>
    <w:rsid w:val="00967FD1"/>
    <w:rsid w:val="009707F5"/>
    <w:rsid w:val="00971500"/>
    <w:rsid w:val="00972FE6"/>
    <w:rsid w:val="009731CE"/>
    <w:rsid w:val="00973962"/>
    <w:rsid w:val="0097529A"/>
    <w:rsid w:val="00975861"/>
    <w:rsid w:val="009766EB"/>
    <w:rsid w:val="00976AF6"/>
    <w:rsid w:val="009774DA"/>
    <w:rsid w:val="00977F7E"/>
    <w:rsid w:val="00980833"/>
    <w:rsid w:val="00981511"/>
    <w:rsid w:val="009827E8"/>
    <w:rsid w:val="00982963"/>
    <w:rsid w:val="00982E00"/>
    <w:rsid w:val="0098328E"/>
    <w:rsid w:val="00983A2C"/>
    <w:rsid w:val="00984316"/>
    <w:rsid w:val="00984B17"/>
    <w:rsid w:val="00984E4F"/>
    <w:rsid w:val="00986DAD"/>
    <w:rsid w:val="00991F19"/>
    <w:rsid w:val="009926E5"/>
    <w:rsid w:val="00992CA4"/>
    <w:rsid w:val="00992DC1"/>
    <w:rsid w:val="00993BC2"/>
    <w:rsid w:val="00993CE5"/>
    <w:rsid w:val="009951B6"/>
    <w:rsid w:val="00995C8F"/>
    <w:rsid w:val="009963EB"/>
    <w:rsid w:val="00996924"/>
    <w:rsid w:val="009A0819"/>
    <w:rsid w:val="009A17D5"/>
    <w:rsid w:val="009A190D"/>
    <w:rsid w:val="009A2253"/>
    <w:rsid w:val="009A274A"/>
    <w:rsid w:val="009A2A76"/>
    <w:rsid w:val="009A4F61"/>
    <w:rsid w:val="009A636D"/>
    <w:rsid w:val="009A6495"/>
    <w:rsid w:val="009A6725"/>
    <w:rsid w:val="009A76D5"/>
    <w:rsid w:val="009A790A"/>
    <w:rsid w:val="009A7E71"/>
    <w:rsid w:val="009B0246"/>
    <w:rsid w:val="009B0265"/>
    <w:rsid w:val="009B119F"/>
    <w:rsid w:val="009B154A"/>
    <w:rsid w:val="009B2C01"/>
    <w:rsid w:val="009B3B22"/>
    <w:rsid w:val="009B4DB5"/>
    <w:rsid w:val="009B613F"/>
    <w:rsid w:val="009B66B1"/>
    <w:rsid w:val="009B746F"/>
    <w:rsid w:val="009B78F5"/>
    <w:rsid w:val="009C05C8"/>
    <w:rsid w:val="009C157D"/>
    <w:rsid w:val="009C1DA9"/>
    <w:rsid w:val="009C1EC0"/>
    <w:rsid w:val="009C4606"/>
    <w:rsid w:val="009C5F98"/>
    <w:rsid w:val="009D2534"/>
    <w:rsid w:val="009D2DCB"/>
    <w:rsid w:val="009D43F1"/>
    <w:rsid w:val="009D5965"/>
    <w:rsid w:val="009D67DB"/>
    <w:rsid w:val="009D6808"/>
    <w:rsid w:val="009D6CC2"/>
    <w:rsid w:val="009D6D06"/>
    <w:rsid w:val="009D7BA5"/>
    <w:rsid w:val="009E06C2"/>
    <w:rsid w:val="009E098A"/>
    <w:rsid w:val="009E0B90"/>
    <w:rsid w:val="009E2488"/>
    <w:rsid w:val="009E40F5"/>
    <w:rsid w:val="009E4476"/>
    <w:rsid w:val="009E458A"/>
    <w:rsid w:val="009E45CD"/>
    <w:rsid w:val="009E47D9"/>
    <w:rsid w:val="009E6384"/>
    <w:rsid w:val="009E648E"/>
    <w:rsid w:val="009E7A8B"/>
    <w:rsid w:val="009E7D8E"/>
    <w:rsid w:val="009F01DC"/>
    <w:rsid w:val="009F2724"/>
    <w:rsid w:val="009F3805"/>
    <w:rsid w:val="009F3A45"/>
    <w:rsid w:val="009F438A"/>
    <w:rsid w:val="009F43E1"/>
    <w:rsid w:val="009F481F"/>
    <w:rsid w:val="009F4937"/>
    <w:rsid w:val="009F5EC1"/>
    <w:rsid w:val="009F6270"/>
    <w:rsid w:val="009F65E6"/>
    <w:rsid w:val="009F683B"/>
    <w:rsid w:val="009F78C3"/>
    <w:rsid w:val="00A0086C"/>
    <w:rsid w:val="00A00A89"/>
    <w:rsid w:val="00A01C8D"/>
    <w:rsid w:val="00A023E9"/>
    <w:rsid w:val="00A02428"/>
    <w:rsid w:val="00A02E41"/>
    <w:rsid w:val="00A03CDA"/>
    <w:rsid w:val="00A0417A"/>
    <w:rsid w:val="00A044E9"/>
    <w:rsid w:val="00A052FD"/>
    <w:rsid w:val="00A0546D"/>
    <w:rsid w:val="00A058D6"/>
    <w:rsid w:val="00A0590B"/>
    <w:rsid w:val="00A0685A"/>
    <w:rsid w:val="00A108E5"/>
    <w:rsid w:val="00A10ECA"/>
    <w:rsid w:val="00A1195C"/>
    <w:rsid w:val="00A122DF"/>
    <w:rsid w:val="00A1255B"/>
    <w:rsid w:val="00A13E3A"/>
    <w:rsid w:val="00A14C06"/>
    <w:rsid w:val="00A15A9B"/>
    <w:rsid w:val="00A15DD4"/>
    <w:rsid w:val="00A16D6A"/>
    <w:rsid w:val="00A171E9"/>
    <w:rsid w:val="00A1781F"/>
    <w:rsid w:val="00A20660"/>
    <w:rsid w:val="00A2447A"/>
    <w:rsid w:val="00A248ED"/>
    <w:rsid w:val="00A255BA"/>
    <w:rsid w:val="00A25FA1"/>
    <w:rsid w:val="00A2675C"/>
    <w:rsid w:val="00A27C6F"/>
    <w:rsid w:val="00A31117"/>
    <w:rsid w:val="00A31A77"/>
    <w:rsid w:val="00A32056"/>
    <w:rsid w:val="00A3212F"/>
    <w:rsid w:val="00A33736"/>
    <w:rsid w:val="00A3467A"/>
    <w:rsid w:val="00A347E3"/>
    <w:rsid w:val="00A34826"/>
    <w:rsid w:val="00A36415"/>
    <w:rsid w:val="00A403AC"/>
    <w:rsid w:val="00A41A78"/>
    <w:rsid w:val="00A42DC1"/>
    <w:rsid w:val="00A443C0"/>
    <w:rsid w:val="00A468C5"/>
    <w:rsid w:val="00A4755C"/>
    <w:rsid w:val="00A47F50"/>
    <w:rsid w:val="00A502DC"/>
    <w:rsid w:val="00A504A2"/>
    <w:rsid w:val="00A50642"/>
    <w:rsid w:val="00A50AD5"/>
    <w:rsid w:val="00A513E0"/>
    <w:rsid w:val="00A52312"/>
    <w:rsid w:val="00A52CE7"/>
    <w:rsid w:val="00A5328D"/>
    <w:rsid w:val="00A534FC"/>
    <w:rsid w:val="00A53691"/>
    <w:rsid w:val="00A5374D"/>
    <w:rsid w:val="00A54E9F"/>
    <w:rsid w:val="00A55DFA"/>
    <w:rsid w:val="00A55EF3"/>
    <w:rsid w:val="00A56D85"/>
    <w:rsid w:val="00A62283"/>
    <w:rsid w:val="00A62F61"/>
    <w:rsid w:val="00A6406A"/>
    <w:rsid w:val="00A64C85"/>
    <w:rsid w:val="00A65D43"/>
    <w:rsid w:val="00A65E3B"/>
    <w:rsid w:val="00A665FF"/>
    <w:rsid w:val="00A674FE"/>
    <w:rsid w:val="00A67676"/>
    <w:rsid w:val="00A707FA"/>
    <w:rsid w:val="00A70DDA"/>
    <w:rsid w:val="00A7116F"/>
    <w:rsid w:val="00A71194"/>
    <w:rsid w:val="00A711A9"/>
    <w:rsid w:val="00A717DF"/>
    <w:rsid w:val="00A72688"/>
    <w:rsid w:val="00A72E33"/>
    <w:rsid w:val="00A73EE2"/>
    <w:rsid w:val="00A741F5"/>
    <w:rsid w:val="00A744CA"/>
    <w:rsid w:val="00A74FAE"/>
    <w:rsid w:val="00A753FE"/>
    <w:rsid w:val="00A75917"/>
    <w:rsid w:val="00A766D4"/>
    <w:rsid w:val="00A76822"/>
    <w:rsid w:val="00A76BCF"/>
    <w:rsid w:val="00A77925"/>
    <w:rsid w:val="00A808CE"/>
    <w:rsid w:val="00A80949"/>
    <w:rsid w:val="00A81B4C"/>
    <w:rsid w:val="00A82958"/>
    <w:rsid w:val="00A8362B"/>
    <w:rsid w:val="00A83990"/>
    <w:rsid w:val="00A83C18"/>
    <w:rsid w:val="00A84084"/>
    <w:rsid w:val="00A8573C"/>
    <w:rsid w:val="00A85A69"/>
    <w:rsid w:val="00A879BC"/>
    <w:rsid w:val="00A87D48"/>
    <w:rsid w:val="00A916B0"/>
    <w:rsid w:val="00A91DA0"/>
    <w:rsid w:val="00A92C19"/>
    <w:rsid w:val="00A92E6C"/>
    <w:rsid w:val="00A94377"/>
    <w:rsid w:val="00A9562D"/>
    <w:rsid w:val="00A95CD2"/>
    <w:rsid w:val="00A9678F"/>
    <w:rsid w:val="00A96A78"/>
    <w:rsid w:val="00A97B5E"/>
    <w:rsid w:val="00AA2B6E"/>
    <w:rsid w:val="00AA3A27"/>
    <w:rsid w:val="00AA5016"/>
    <w:rsid w:val="00AA5EDD"/>
    <w:rsid w:val="00AA7C0D"/>
    <w:rsid w:val="00AB2C28"/>
    <w:rsid w:val="00AB333F"/>
    <w:rsid w:val="00AB360C"/>
    <w:rsid w:val="00AB398A"/>
    <w:rsid w:val="00AB48C6"/>
    <w:rsid w:val="00AB529C"/>
    <w:rsid w:val="00AB5EF9"/>
    <w:rsid w:val="00AB6526"/>
    <w:rsid w:val="00AB7DD9"/>
    <w:rsid w:val="00AC06A5"/>
    <w:rsid w:val="00AC07A2"/>
    <w:rsid w:val="00AC15DC"/>
    <w:rsid w:val="00AC1976"/>
    <w:rsid w:val="00AC2411"/>
    <w:rsid w:val="00AC2ED7"/>
    <w:rsid w:val="00AC39D0"/>
    <w:rsid w:val="00AC4FC3"/>
    <w:rsid w:val="00AC751C"/>
    <w:rsid w:val="00AC7530"/>
    <w:rsid w:val="00AC7C51"/>
    <w:rsid w:val="00AC7F5C"/>
    <w:rsid w:val="00AD0BB9"/>
    <w:rsid w:val="00AD219B"/>
    <w:rsid w:val="00AD2F74"/>
    <w:rsid w:val="00AD30F8"/>
    <w:rsid w:val="00AD3879"/>
    <w:rsid w:val="00AD3F76"/>
    <w:rsid w:val="00AD4EAC"/>
    <w:rsid w:val="00AD4FEC"/>
    <w:rsid w:val="00AD5FCF"/>
    <w:rsid w:val="00AD66CB"/>
    <w:rsid w:val="00AD69BD"/>
    <w:rsid w:val="00AD723E"/>
    <w:rsid w:val="00AD7969"/>
    <w:rsid w:val="00AE0E3D"/>
    <w:rsid w:val="00AE0EC9"/>
    <w:rsid w:val="00AE1093"/>
    <w:rsid w:val="00AE1BEC"/>
    <w:rsid w:val="00AE1FC6"/>
    <w:rsid w:val="00AE2404"/>
    <w:rsid w:val="00AE2D2E"/>
    <w:rsid w:val="00AE3190"/>
    <w:rsid w:val="00AE5EFC"/>
    <w:rsid w:val="00AE6780"/>
    <w:rsid w:val="00AE6EE8"/>
    <w:rsid w:val="00AE70B4"/>
    <w:rsid w:val="00AE71D4"/>
    <w:rsid w:val="00AE7587"/>
    <w:rsid w:val="00AF21E8"/>
    <w:rsid w:val="00AF367B"/>
    <w:rsid w:val="00AF3E93"/>
    <w:rsid w:val="00AF4269"/>
    <w:rsid w:val="00AF5859"/>
    <w:rsid w:val="00AF5914"/>
    <w:rsid w:val="00AF59A3"/>
    <w:rsid w:val="00AF5E7F"/>
    <w:rsid w:val="00AF6F8A"/>
    <w:rsid w:val="00AF7056"/>
    <w:rsid w:val="00AF7165"/>
    <w:rsid w:val="00AF75FB"/>
    <w:rsid w:val="00B0102F"/>
    <w:rsid w:val="00B01101"/>
    <w:rsid w:val="00B0189F"/>
    <w:rsid w:val="00B02A09"/>
    <w:rsid w:val="00B033C1"/>
    <w:rsid w:val="00B0435F"/>
    <w:rsid w:val="00B04C25"/>
    <w:rsid w:val="00B0518D"/>
    <w:rsid w:val="00B052B9"/>
    <w:rsid w:val="00B05977"/>
    <w:rsid w:val="00B05D21"/>
    <w:rsid w:val="00B05F5F"/>
    <w:rsid w:val="00B06898"/>
    <w:rsid w:val="00B07ECC"/>
    <w:rsid w:val="00B10B33"/>
    <w:rsid w:val="00B11192"/>
    <w:rsid w:val="00B111A3"/>
    <w:rsid w:val="00B114B7"/>
    <w:rsid w:val="00B11946"/>
    <w:rsid w:val="00B11AAC"/>
    <w:rsid w:val="00B11FB5"/>
    <w:rsid w:val="00B12FE5"/>
    <w:rsid w:val="00B130E7"/>
    <w:rsid w:val="00B13D7E"/>
    <w:rsid w:val="00B14C00"/>
    <w:rsid w:val="00B1686A"/>
    <w:rsid w:val="00B1696D"/>
    <w:rsid w:val="00B16F6B"/>
    <w:rsid w:val="00B171DF"/>
    <w:rsid w:val="00B21052"/>
    <w:rsid w:val="00B21D59"/>
    <w:rsid w:val="00B2236B"/>
    <w:rsid w:val="00B2295B"/>
    <w:rsid w:val="00B233A5"/>
    <w:rsid w:val="00B23647"/>
    <w:rsid w:val="00B23822"/>
    <w:rsid w:val="00B23C24"/>
    <w:rsid w:val="00B24735"/>
    <w:rsid w:val="00B27149"/>
    <w:rsid w:val="00B27178"/>
    <w:rsid w:val="00B2753F"/>
    <w:rsid w:val="00B27CA8"/>
    <w:rsid w:val="00B27E85"/>
    <w:rsid w:val="00B30109"/>
    <w:rsid w:val="00B32971"/>
    <w:rsid w:val="00B3374F"/>
    <w:rsid w:val="00B344DF"/>
    <w:rsid w:val="00B34B2D"/>
    <w:rsid w:val="00B35077"/>
    <w:rsid w:val="00B361A9"/>
    <w:rsid w:val="00B3662E"/>
    <w:rsid w:val="00B366A9"/>
    <w:rsid w:val="00B3739E"/>
    <w:rsid w:val="00B376C4"/>
    <w:rsid w:val="00B40994"/>
    <w:rsid w:val="00B4172A"/>
    <w:rsid w:val="00B419C9"/>
    <w:rsid w:val="00B41CB8"/>
    <w:rsid w:val="00B41DB4"/>
    <w:rsid w:val="00B42B0C"/>
    <w:rsid w:val="00B433F8"/>
    <w:rsid w:val="00B43F3D"/>
    <w:rsid w:val="00B449D5"/>
    <w:rsid w:val="00B44F9C"/>
    <w:rsid w:val="00B46261"/>
    <w:rsid w:val="00B46310"/>
    <w:rsid w:val="00B478B5"/>
    <w:rsid w:val="00B47F1D"/>
    <w:rsid w:val="00B50CC1"/>
    <w:rsid w:val="00B51308"/>
    <w:rsid w:val="00B51626"/>
    <w:rsid w:val="00B51F95"/>
    <w:rsid w:val="00B526B5"/>
    <w:rsid w:val="00B534E6"/>
    <w:rsid w:val="00B54F93"/>
    <w:rsid w:val="00B550FD"/>
    <w:rsid w:val="00B56483"/>
    <w:rsid w:val="00B56A2F"/>
    <w:rsid w:val="00B5739A"/>
    <w:rsid w:val="00B57448"/>
    <w:rsid w:val="00B57DC8"/>
    <w:rsid w:val="00B57FC2"/>
    <w:rsid w:val="00B57FEA"/>
    <w:rsid w:val="00B6284E"/>
    <w:rsid w:val="00B62C69"/>
    <w:rsid w:val="00B63152"/>
    <w:rsid w:val="00B63803"/>
    <w:rsid w:val="00B639DF"/>
    <w:rsid w:val="00B65919"/>
    <w:rsid w:val="00B660E6"/>
    <w:rsid w:val="00B662F0"/>
    <w:rsid w:val="00B70078"/>
    <w:rsid w:val="00B70D4B"/>
    <w:rsid w:val="00B71A7C"/>
    <w:rsid w:val="00B72178"/>
    <w:rsid w:val="00B72C8F"/>
    <w:rsid w:val="00B72D5F"/>
    <w:rsid w:val="00B733AA"/>
    <w:rsid w:val="00B73A61"/>
    <w:rsid w:val="00B75B1F"/>
    <w:rsid w:val="00B7606B"/>
    <w:rsid w:val="00B76942"/>
    <w:rsid w:val="00B77195"/>
    <w:rsid w:val="00B774DE"/>
    <w:rsid w:val="00B77C53"/>
    <w:rsid w:val="00B80B6D"/>
    <w:rsid w:val="00B810F5"/>
    <w:rsid w:val="00B82118"/>
    <w:rsid w:val="00B828E3"/>
    <w:rsid w:val="00B8337F"/>
    <w:rsid w:val="00B835CB"/>
    <w:rsid w:val="00B83A20"/>
    <w:rsid w:val="00B841F0"/>
    <w:rsid w:val="00B84890"/>
    <w:rsid w:val="00B84DC6"/>
    <w:rsid w:val="00B86514"/>
    <w:rsid w:val="00B86AA2"/>
    <w:rsid w:val="00B87621"/>
    <w:rsid w:val="00B9096B"/>
    <w:rsid w:val="00B91501"/>
    <w:rsid w:val="00B91B77"/>
    <w:rsid w:val="00B923C8"/>
    <w:rsid w:val="00B92728"/>
    <w:rsid w:val="00B95672"/>
    <w:rsid w:val="00B958B3"/>
    <w:rsid w:val="00B95F68"/>
    <w:rsid w:val="00B96584"/>
    <w:rsid w:val="00B96C65"/>
    <w:rsid w:val="00B9754A"/>
    <w:rsid w:val="00B9761A"/>
    <w:rsid w:val="00BA1271"/>
    <w:rsid w:val="00BA13AB"/>
    <w:rsid w:val="00BA16E8"/>
    <w:rsid w:val="00BA1FB3"/>
    <w:rsid w:val="00BA2F40"/>
    <w:rsid w:val="00BA5EA4"/>
    <w:rsid w:val="00BA6440"/>
    <w:rsid w:val="00BA7592"/>
    <w:rsid w:val="00BA79D1"/>
    <w:rsid w:val="00BA7EF4"/>
    <w:rsid w:val="00BB159F"/>
    <w:rsid w:val="00BB21A2"/>
    <w:rsid w:val="00BB25AA"/>
    <w:rsid w:val="00BB267C"/>
    <w:rsid w:val="00BB40C3"/>
    <w:rsid w:val="00BB497C"/>
    <w:rsid w:val="00BB4F40"/>
    <w:rsid w:val="00BB57D3"/>
    <w:rsid w:val="00BB6995"/>
    <w:rsid w:val="00BB7215"/>
    <w:rsid w:val="00BB7F2C"/>
    <w:rsid w:val="00BC2DB3"/>
    <w:rsid w:val="00BC3C8F"/>
    <w:rsid w:val="00BC4EF2"/>
    <w:rsid w:val="00BC58AC"/>
    <w:rsid w:val="00BC6938"/>
    <w:rsid w:val="00BC706F"/>
    <w:rsid w:val="00BC74A8"/>
    <w:rsid w:val="00BC7D8D"/>
    <w:rsid w:val="00BD0755"/>
    <w:rsid w:val="00BD09E5"/>
    <w:rsid w:val="00BD185C"/>
    <w:rsid w:val="00BD1B46"/>
    <w:rsid w:val="00BD2379"/>
    <w:rsid w:val="00BD2535"/>
    <w:rsid w:val="00BD2A03"/>
    <w:rsid w:val="00BD339D"/>
    <w:rsid w:val="00BD474C"/>
    <w:rsid w:val="00BD485F"/>
    <w:rsid w:val="00BD49DF"/>
    <w:rsid w:val="00BD5E70"/>
    <w:rsid w:val="00BD611C"/>
    <w:rsid w:val="00BD6184"/>
    <w:rsid w:val="00BD6A28"/>
    <w:rsid w:val="00BD763F"/>
    <w:rsid w:val="00BE02CD"/>
    <w:rsid w:val="00BE0395"/>
    <w:rsid w:val="00BE0595"/>
    <w:rsid w:val="00BE17F7"/>
    <w:rsid w:val="00BE2029"/>
    <w:rsid w:val="00BE2D7B"/>
    <w:rsid w:val="00BE4515"/>
    <w:rsid w:val="00BE4C48"/>
    <w:rsid w:val="00BE4C60"/>
    <w:rsid w:val="00BE4D30"/>
    <w:rsid w:val="00BE6A3D"/>
    <w:rsid w:val="00BE6AF2"/>
    <w:rsid w:val="00BE6CD4"/>
    <w:rsid w:val="00BE711C"/>
    <w:rsid w:val="00BE71FA"/>
    <w:rsid w:val="00BE72F5"/>
    <w:rsid w:val="00BE7AF3"/>
    <w:rsid w:val="00BE7E52"/>
    <w:rsid w:val="00BF0F7D"/>
    <w:rsid w:val="00BF1582"/>
    <w:rsid w:val="00BF3440"/>
    <w:rsid w:val="00BF4C94"/>
    <w:rsid w:val="00BF4FD5"/>
    <w:rsid w:val="00BF5E40"/>
    <w:rsid w:val="00BF6D09"/>
    <w:rsid w:val="00BF7EC8"/>
    <w:rsid w:val="00C003EB"/>
    <w:rsid w:val="00C0140A"/>
    <w:rsid w:val="00C01724"/>
    <w:rsid w:val="00C01952"/>
    <w:rsid w:val="00C01CB6"/>
    <w:rsid w:val="00C02598"/>
    <w:rsid w:val="00C05546"/>
    <w:rsid w:val="00C05B17"/>
    <w:rsid w:val="00C0602A"/>
    <w:rsid w:val="00C063FE"/>
    <w:rsid w:val="00C06633"/>
    <w:rsid w:val="00C0676D"/>
    <w:rsid w:val="00C0699D"/>
    <w:rsid w:val="00C071C1"/>
    <w:rsid w:val="00C07D2B"/>
    <w:rsid w:val="00C07E88"/>
    <w:rsid w:val="00C103E7"/>
    <w:rsid w:val="00C10B9A"/>
    <w:rsid w:val="00C1105F"/>
    <w:rsid w:val="00C114C3"/>
    <w:rsid w:val="00C11797"/>
    <w:rsid w:val="00C117C2"/>
    <w:rsid w:val="00C120B8"/>
    <w:rsid w:val="00C12535"/>
    <w:rsid w:val="00C12C21"/>
    <w:rsid w:val="00C12F09"/>
    <w:rsid w:val="00C13047"/>
    <w:rsid w:val="00C13ADB"/>
    <w:rsid w:val="00C13B2A"/>
    <w:rsid w:val="00C1430C"/>
    <w:rsid w:val="00C15BD5"/>
    <w:rsid w:val="00C1641C"/>
    <w:rsid w:val="00C168EA"/>
    <w:rsid w:val="00C20299"/>
    <w:rsid w:val="00C20497"/>
    <w:rsid w:val="00C2112E"/>
    <w:rsid w:val="00C21F45"/>
    <w:rsid w:val="00C221DF"/>
    <w:rsid w:val="00C22619"/>
    <w:rsid w:val="00C22C31"/>
    <w:rsid w:val="00C22E24"/>
    <w:rsid w:val="00C23057"/>
    <w:rsid w:val="00C24C74"/>
    <w:rsid w:val="00C261E0"/>
    <w:rsid w:val="00C26864"/>
    <w:rsid w:val="00C276B3"/>
    <w:rsid w:val="00C307E2"/>
    <w:rsid w:val="00C30C58"/>
    <w:rsid w:val="00C30D4C"/>
    <w:rsid w:val="00C3145F"/>
    <w:rsid w:val="00C31DA5"/>
    <w:rsid w:val="00C32273"/>
    <w:rsid w:val="00C329E8"/>
    <w:rsid w:val="00C33B17"/>
    <w:rsid w:val="00C34932"/>
    <w:rsid w:val="00C355E6"/>
    <w:rsid w:val="00C35783"/>
    <w:rsid w:val="00C358F4"/>
    <w:rsid w:val="00C36CD4"/>
    <w:rsid w:val="00C36F6E"/>
    <w:rsid w:val="00C40068"/>
    <w:rsid w:val="00C40EC1"/>
    <w:rsid w:val="00C41168"/>
    <w:rsid w:val="00C42C69"/>
    <w:rsid w:val="00C43F08"/>
    <w:rsid w:val="00C441CB"/>
    <w:rsid w:val="00C44E01"/>
    <w:rsid w:val="00C44ECE"/>
    <w:rsid w:val="00C45660"/>
    <w:rsid w:val="00C45B62"/>
    <w:rsid w:val="00C46C93"/>
    <w:rsid w:val="00C46DCB"/>
    <w:rsid w:val="00C475AD"/>
    <w:rsid w:val="00C47963"/>
    <w:rsid w:val="00C51934"/>
    <w:rsid w:val="00C51B31"/>
    <w:rsid w:val="00C527A1"/>
    <w:rsid w:val="00C52B0D"/>
    <w:rsid w:val="00C53869"/>
    <w:rsid w:val="00C545DC"/>
    <w:rsid w:val="00C547C8"/>
    <w:rsid w:val="00C54B3C"/>
    <w:rsid w:val="00C560BF"/>
    <w:rsid w:val="00C567CA"/>
    <w:rsid w:val="00C56B22"/>
    <w:rsid w:val="00C56E66"/>
    <w:rsid w:val="00C5713D"/>
    <w:rsid w:val="00C57627"/>
    <w:rsid w:val="00C6063B"/>
    <w:rsid w:val="00C60690"/>
    <w:rsid w:val="00C6077E"/>
    <w:rsid w:val="00C60A02"/>
    <w:rsid w:val="00C61B57"/>
    <w:rsid w:val="00C61C5C"/>
    <w:rsid w:val="00C61DF2"/>
    <w:rsid w:val="00C61F32"/>
    <w:rsid w:val="00C61FBE"/>
    <w:rsid w:val="00C62A51"/>
    <w:rsid w:val="00C633D0"/>
    <w:rsid w:val="00C638EE"/>
    <w:rsid w:val="00C662C2"/>
    <w:rsid w:val="00C67049"/>
    <w:rsid w:val="00C67886"/>
    <w:rsid w:val="00C67C29"/>
    <w:rsid w:val="00C67C87"/>
    <w:rsid w:val="00C67CE8"/>
    <w:rsid w:val="00C70341"/>
    <w:rsid w:val="00C70468"/>
    <w:rsid w:val="00C70D6D"/>
    <w:rsid w:val="00C714C4"/>
    <w:rsid w:val="00C71FB1"/>
    <w:rsid w:val="00C72D06"/>
    <w:rsid w:val="00C7331A"/>
    <w:rsid w:val="00C73EC8"/>
    <w:rsid w:val="00C746B5"/>
    <w:rsid w:val="00C747A9"/>
    <w:rsid w:val="00C747C2"/>
    <w:rsid w:val="00C7506D"/>
    <w:rsid w:val="00C75E47"/>
    <w:rsid w:val="00C76151"/>
    <w:rsid w:val="00C76BE9"/>
    <w:rsid w:val="00C77AAA"/>
    <w:rsid w:val="00C77FBD"/>
    <w:rsid w:val="00C8048D"/>
    <w:rsid w:val="00C80E24"/>
    <w:rsid w:val="00C82503"/>
    <w:rsid w:val="00C82E9C"/>
    <w:rsid w:val="00C8352D"/>
    <w:rsid w:val="00C847BB"/>
    <w:rsid w:val="00C85119"/>
    <w:rsid w:val="00C85FD8"/>
    <w:rsid w:val="00C901DF"/>
    <w:rsid w:val="00C90BFB"/>
    <w:rsid w:val="00C91A6E"/>
    <w:rsid w:val="00C92032"/>
    <w:rsid w:val="00C92095"/>
    <w:rsid w:val="00C930CF"/>
    <w:rsid w:val="00C9342A"/>
    <w:rsid w:val="00C93CF0"/>
    <w:rsid w:val="00C93EDF"/>
    <w:rsid w:val="00C94878"/>
    <w:rsid w:val="00C95E78"/>
    <w:rsid w:val="00C963D5"/>
    <w:rsid w:val="00C96FF8"/>
    <w:rsid w:val="00C973D4"/>
    <w:rsid w:val="00C97DDC"/>
    <w:rsid w:val="00CA08A0"/>
    <w:rsid w:val="00CA1029"/>
    <w:rsid w:val="00CA1C66"/>
    <w:rsid w:val="00CA2166"/>
    <w:rsid w:val="00CA7557"/>
    <w:rsid w:val="00CA7837"/>
    <w:rsid w:val="00CB0A80"/>
    <w:rsid w:val="00CB1EA2"/>
    <w:rsid w:val="00CB2BFA"/>
    <w:rsid w:val="00CB35DF"/>
    <w:rsid w:val="00CB38BD"/>
    <w:rsid w:val="00CB39BF"/>
    <w:rsid w:val="00CB419A"/>
    <w:rsid w:val="00CB5825"/>
    <w:rsid w:val="00CB6810"/>
    <w:rsid w:val="00CB6DDC"/>
    <w:rsid w:val="00CB7A7E"/>
    <w:rsid w:val="00CB7FFB"/>
    <w:rsid w:val="00CC0D44"/>
    <w:rsid w:val="00CC176F"/>
    <w:rsid w:val="00CC2D68"/>
    <w:rsid w:val="00CC3738"/>
    <w:rsid w:val="00CC430E"/>
    <w:rsid w:val="00CC4351"/>
    <w:rsid w:val="00CC4BA9"/>
    <w:rsid w:val="00CC53FF"/>
    <w:rsid w:val="00CC6866"/>
    <w:rsid w:val="00CC6BD4"/>
    <w:rsid w:val="00CC78A7"/>
    <w:rsid w:val="00CD3543"/>
    <w:rsid w:val="00CD457F"/>
    <w:rsid w:val="00CD4F0A"/>
    <w:rsid w:val="00CD56A2"/>
    <w:rsid w:val="00CD58F8"/>
    <w:rsid w:val="00CD712D"/>
    <w:rsid w:val="00CD7E9C"/>
    <w:rsid w:val="00CE015C"/>
    <w:rsid w:val="00CE0D84"/>
    <w:rsid w:val="00CE266A"/>
    <w:rsid w:val="00CE2C5B"/>
    <w:rsid w:val="00CE3553"/>
    <w:rsid w:val="00CE3D23"/>
    <w:rsid w:val="00CE3DEA"/>
    <w:rsid w:val="00CE41C9"/>
    <w:rsid w:val="00CE43A4"/>
    <w:rsid w:val="00CE5105"/>
    <w:rsid w:val="00CE5975"/>
    <w:rsid w:val="00CE69E7"/>
    <w:rsid w:val="00CE6DA1"/>
    <w:rsid w:val="00CE7343"/>
    <w:rsid w:val="00CE748E"/>
    <w:rsid w:val="00CE752A"/>
    <w:rsid w:val="00CE7B80"/>
    <w:rsid w:val="00CF035B"/>
    <w:rsid w:val="00CF2754"/>
    <w:rsid w:val="00CF2DAA"/>
    <w:rsid w:val="00CF32F0"/>
    <w:rsid w:val="00CF4522"/>
    <w:rsid w:val="00CF587C"/>
    <w:rsid w:val="00CF6F93"/>
    <w:rsid w:val="00D004D6"/>
    <w:rsid w:val="00D0076C"/>
    <w:rsid w:val="00D00EAE"/>
    <w:rsid w:val="00D01BCE"/>
    <w:rsid w:val="00D025C1"/>
    <w:rsid w:val="00D027EC"/>
    <w:rsid w:val="00D02F03"/>
    <w:rsid w:val="00D047B7"/>
    <w:rsid w:val="00D047DC"/>
    <w:rsid w:val="00D04B97"/>
    <w:rsid w:val="00D04BDB"/>
    <w:rsid w:val="00D04CAB"/>
    <w:rsid w:val="00D0635E"/>
    <w:rsid w:val="00D0660F"/>
    <w:rsid w:val="00D06A96"/>
    <w:rsid w:val="00D106A8"/>
    <w:rsid w:val="00D11E87"/>
    <w:rsid w:val="00D12134"/>
    <w:rsid w:val="00D121E5"/>
    <w:rsid w:val="00D12C93"/>
    <w:rsid w:val="00D12D90"/>
    <w:rsid w:val="00D1321E"/>
    <w:rsid w:val="00D1326C"/>
    <w:rsid w:val="00D13541"/>
    <w:rsid w:val="00D13BDF"/>
    <w:rsid w:val="00D14A44"/>
    <w:rsid w:val="00D157B7"/>
    <w:rsid w:val="00D15B73"/>
    <w:rsid w:val="00D20B71"/>
    <w:rsid w:val="00D20EFB"/>
    <w:rsid w:val="00D21330"/>
    <w:rsid w:val="00D21A35"/>
    <w:rsid w:val="00D21AE2"/>
    <w:rsid w:val="00D21D05"/>
    <w:rsid w:val="00D22115"/>
    <w:rsid w:val="00D22475"/>
    <w:rsid w:val="00D23242"/>
    <w:rsid w:val="00D23DAE"/>
    <w:rsid w:val="00D23F9A"/>
    <w:rsid w:val="00D25205"/>
    <w:rsid w:val="00D25883"/>
    <w:rsid w:val="00D25A04"/>
    <w:rsid w:val="00D25D96"/>
    <w:rsid w:val="00D26D6B"/>
    <w:rsid w:val="00D279AE"/>
    <w:rsid w:val="00D27B20"/>
    <w:rsid w:val="00D31EE4"/>
    <w:rsid w:val="00D32266"/>
    <w:rsid w:val="00D32B5B"/>
    <w:rsid w:val="00D32D9E"/>
    <w:rsid w:val="00D33C8B"/>
    <w:rsid w:val="00D34A42"/>
    <w:rsid w:val="00D34BD5"/>
    <w:rsid w:val="00D34D29"/>
    <w:rsid w:val="00D357F7"/>
    <w:rsid w:val="00D3599E"/>
    <w:rsid w:val="00D362CE"/>
    <w:rsid w:val="00D36356"/>
    <w:rsid w:val="00D3727D"/>
    <w:rsid w:val="00D375E8"/>
    <w:rsid w:val="00D377C2"/>
    <w:rsid w:val="00D40088"/>
    <w:rsid w:val="00D40704"/>
    <w:rsid w:val="00D40E91"/>
    <w:rsid w:val="00D42BA3"/>
    <w:rsid w:val="00D43106"/>
    <w:rsid w:val="00D4324D"/>
    <w:rsid w:val="00D43541"/>
    <w:rsid w:val="00D4409A"/>
    <w:rsid w:val="00D44149"/>
    <w:rsid w:val="00D4455A"/>
    <w:rsid w:val="00D4527C"/>
    <w:rsid w:val="00D46748"/>
    <w:rsid w:val="00D46F15"/>
    <w:rsid w:val="00D4735B"/>
    <w:rsid w:val="00D47BAB"/>
    <w:rsid w:val="00D47FE9"/>
    <w:rsid w:val="00D50860"/>
    <w:rsid w:val="00D51D07"/>
    <w:rsid w:val="00D51EF3"/>
    <w:rsid w:val="00D5200E"/>
    <w:rsid w:val="00D52094"/>
    <w:rsid w:val="00D5254E"/>
    <w:rsid w:val="00D526A9"/>
    <w:rsid w:val="00D53CBB"/>
    <w:rsid w:val="00D56167"/>
    <w:rsid w:val="00D57759"/>
    <w:rsid w:val="00D579C0"/>
    <w:rsid w:val="00D60359"/>
    <w:rsid w:val="00D60417"/>
    <w:rsid w:val="00D60691"/>
    <w:rsid w:val="00D613F3"/>
    <w:rsid w:val="00D634E5"/>
    <w:rsid w:val="00D6353A"/>
    <w:rsid w:val="00D63842"/>
    <w:rsid w:val="00D645E6"/>
    <w:rsid w:val="00D6498C"/>
    <w:rsid w:val="00D65417"/>
    <w:rsid w:val="00D65D30"/>
    <w:rsid w:val="00D660D2"/>
    <w:rsid w:val="00D66997"/>
    <w:rsid w:val="00D66EDF"/>
    <w:rsid w:val="00D671AD"/>
    <w:rsid w:val="00D6753B"/>
    <w:rsid w:val="00D717A3"/>
    <w:rsid w:val="00D71922"/>
    <w:rsid w:val="00D720CE"/>
    <w:rsid w:val="00D73177"/>
    <w:rsid w:val="00D73524"/>
    <w:rsid w:val="00D74BAB"/>
    <w:rsid w:val="00D75183"/>
    <w:rsid w:val="00D76BD3"/>
    <w:rsid w:val="00D76D1E"/>
    <w:rsid w:val="00D7743B"/>
    <w:rsid w:val="00D77D97"/>
    <w:rsid w:val="00D80C2E"/>
    <w:rsid w:val="00D81032"/>
    <w:rsid w:val="00D81274"/>
    <w:rsid w:val="00D81A07"/>
    <w:rsid w:val="00D8368B"/>
    <w:rsid w:val="00D83B85"/>
    <w:rsid w:val="00D84A66"/>
    <w:rsid w:val="00D84B3B"/>
    <w:rsid w:val="00D85459"/>
    <w:rsid w:val="00D85BCC"/>
    <w:rsid w:val="00D864E8"/>
    <w:rsid w:val="00D8726F"/>
    <w:rsid w:val="00D872D7"/>
    <w:rsid w:val="00D8748C"/>
    <w:rsid w:val="00D902A4"/>
    <w:rsid w:val="00D907D9"/>
    <w:rsid w:val="00D912DA"/>
    <w:rsid w:val="00D91532"/>
    <w:rsid w:val="00D916ED"/>
    <w:rsid w:val="00D919E0"/>
    <w:rsid w:val="00D91F02"/>
    <w:rsid w:val="00D92114"/>
    <w:rsid w:val="00D9240D"/>
    <w:rsid w:val="00D929DA"/>
    <w:rsid w:val="00D92B54"/>
    <w:rsid w:val="00D93327"/>
    <w:rsid w:val="00D9351D"/>
    <w:rsid w:val="00DA01DC"/>
    <w:rsid w:val="00DA08B9"/>
    <w:rsid w:val="00DA1340"/>
    <w:rsid w:val="00DA1500"/>
    <w:rsid w:val="00DA1CF6"/>
    <w:rsid w:val="00DA1DBD"/>
    <w:rsid w:val="00DA2DC9"/>
    <w:rsid w:val="00DA5134"/>
    <w:rsid w:val="00DA52DE"/>
    <w:rsid w:val="00DA542D"/>
    <w:rsid w:val="00DA5613"/>
    <w:rsid w:val="00DA56C2"/>
    <w:rsid w:val="00DA56FF"/>
    <w:rsid w:val="00DA57D3"/>
    <w:rsid w:val="00DA59D5"/>
    <w:rsid w:val="00DA5A77"/>
    <w:rsid w:val="00DA6320"/>
    <w:rsid w:val="00DA7515"/>
    <w:rsid w:val="00DA7E3E"/>
    <w:rsid w:val="00DB1B6B"/>
    <w:rsid w:val="00DB1E24"/>
    <w:rsid w:val="00DB2770"/>
    <w:rsid w:val="00DB3401"/>
    <w:rsid w:val="00DB3A81"/>
    <w:rsid w:val="00DB3DF6"/>
    <w:rsid w:val="00DB47DE"/>
    <w:rsid w:val="00DB4E18"/>
    <w:rsid w:val="00DB5F58"/>
    <w:rsid w:val="00DB65A5"/>
    <w:rsid w:val="00DB7794"/>
    <w:rsid w:val="00DC0DF3"/>
    <w:rsid w:val="00DC2036"/>
    <w:rsid w:val="00DC37B0"/>
    <w:rsid w:val="00DC3844"/>
    <w:rsid w:val="00DC4006"/>
    <w:rsid w:val="00DC431D"/>
    <w:rsid w:val="00DC4B40"/>
    <w:rsid w:val="00DC4EDD"/>
    <w:rsid w:val="00DC5256"/>
    <w:rsid w:val="00DC5B41"/>
    <w:rsid w:val="00DC6AA1"/>
    <w:rsid w:val="00DD008F"/>
    <w:rsid w:val="00DD037C"/>
    <w:rsid w:val="00DD1B6E"/>
    <w:rsid w:val="00DD1D96"/>
    <w:rsid w:val="00DD2707"/>
    <w:rsid w:val="00DD28E4"/>
    <w:rsid w:val="00DD3665"/>
    <w:rsid w:val="00DD36A1"/>
    <w:rsid w:val="00DD374E"/>
    <w:rsid w:val="00DD44D3"/>
    <w:rsid w:val="00DD48CD"/>
    <w:rsid w:val="00DD6914"/>
    <w:rsid w:val="00DD7A5E"/>
    <w:rsid w:val="00DE0402"/>
    <w:rsid w:val="00DE08DC"/>
    <w:rsid w:val="00DE0C26"/>
    <w:rsid w:val="00DE15E0"/>
    <w:rsid w:val="00DE1EF3"/>
    <w:rsid w:val="00DE2995"/>
    <w:rsid w:val="00DE2C60"/>
    <w:rsid w:val="00DE30DA"/>
    <w:rsid w:val="00DE33BD"/>
    <w:rsid w:val="00DE3C40"/>
    <w:rsid w:val="00DE4FA1"/>
    <w:rsid w:val="00DE5216"/>
    <w:rsid w:val="00DE5B9B"/>
    <w:rsid w:val="00DE6029"/>
    <w:rsid w:val="00DE6068"/>
    <w:rsid w:val="00DE619E"/>
    <w:rsid w:val="00DE6328"/>
    <w:rsid w:val="00DE6D55"/>
    <w:rsid w:val="00DE7BB8"/>
    <w:rsid w:val="00DE7C12"/>
    <w:rsid w:val="00DE7E9B"/>
    <w:rsid w:val="00DF0197"/>
    <w:rsid w:val="00DF059D"/>
    <w:rsid w:val="00DF12A5"/>
    <w:rsid w:val="00DF14E4"/>
    <w:rsid w:val="00DF1B1C"/>
    <w:rsid w:val="00DF1C86"/>
    <w:rsid w:val="00DF2DEE"/>
    <w:rsid w:val="00DF37D2"/>
    <w:rsid w:val="00DF3F9D"/>
    <w:rsid w:val="00DF42A9"/>
    <w:rsid w:val="00DF5BE2"/>
    <w:rsid w:val="00DF67B8"/>
    <w:rsid w:val="00DF7045"/>
    <w:rsid w:val="00DF7533"/>
    <w:rsid w:val="00DF765B"/>
    <w:rsid w:val="00E000D1"/>
    <w:rsid w:val="00E00175"/>
    <w:rsid w:val="00E00C12"/>
    <w:rsid w:val="00E00F00"/>
    <w:rsid w:val="00E017C0"/>
    <w:rsid w:val="00E02118"/>
    <w:rsid w:val="00E02BAE"/>
    <w:rsid w:val="00E0413C"/>
    <w:rsid w:val="00E06530"/>
    <w:rsid w:val="00E06B43"/>
    <w:rsid w:val="00E06C29"/>
    <w:rsid w:val="00E07B25"/>
    <w:rsid w:val="00E10565"/>
    <w:rsid w:val="00E1068A"/>
    <w:rsid w:val="00E10E19"/>
    <w:rsid w:val="00E11198"/>
    <w:rsid w:val="00E12386"/>
    <w:rsid w:val="00E1263D"/>
    <w:rsid w:val="00E1270F"/>
    <w:rsid w:val="00E12D5A"/>
    <w:rsid w:val="00E15393"/>
    <w:rsid w:val="00E16111"/>
    <w:rsid w:val="00E1648E"/>
    <w:rsid w:val="00E166E2"/>
    <w:rsid w:val="00E167FE"/>
    <w:rsid w:val="00E16CB0"/>
    <w:rsid w:val="00E17718"/>
    <w:rsid w:val="00E17872"/>
    <w:rsid w:val="00E20694"/>
    <w:rsid w:val="00E20841"/>
    <w:rsid w:val="00E21042"/>
    <w:rsid w:val="00E214DC"/>
    <w:rsid w:val="00E21672"/>
    <w:rsid w:val="00E22111"/>
    <w:rsid w:val="00E22427"/>
    <w:rsid w:val="00E227DE"/>
    <w:rsid w:val="00E22999"/>
    <w:rsid w:val="00E22AE4"/>
    <w:rsid w:val="00E235C9"/>
    <w:rsid w:val="00E235D2"/>
    <w:rsid w:val="00E23E80"/>
    <w:rsid w:val="00E23E9A"/>
    <w:rsid w:val="00E2406B"/>
    <w:rsid w:val="00E24548"/>
    <w:rsid w:val="00E2461C"/>
    <w:rsid w:val="00E25017"/>
    <w:rsid w:val="00E25A95"/>
    <w:rsid w:val="00E26128"/>
    <w:rsid w:val="00E265C2"/>
    <w:rsid w:val="00E26E1B"/>
    <w:rsid w:val="00E2711D"/>
    <w:rsid w:val="00E2728F"/>
    <w:rsid w:val="00E30147"/>
    <w:rsid w:val="00E302F6"/>
    <w:rsid w:val="00E30A1D"/>
    <w:rsid w:val="00E32849"/>
    <w:rsid w:val="00E3285A"/>
    <w:rsid w:val="00E331EC"/>
    <w:rsid w:val="00E3359E"/>
    <w:rsid w:val="00E336BA"/>
    <w:rsid w:val="00E351F3"/>
    <w:rsid w:val="00E36437"/>
    <w:rsid w:val="00E3794A"/>
    <w:rsid w:val="00E404D2"/>
    <w:rsid w:val="00E412EC"/>
    <w:rsid w:val="00E4241D"/>
    <w:rsid w:val="00E43459"/>
    <w:rsid w:val="00E435FA"/>
    <w:rsid w:val="00E442E0"/>
    <w:rsid w:val="00E44E51"/>
    <w:rsid w:val="00E457B1"/>
    <w:rsid w:val="00E4660A"/>
    <w:rsid w:val="00E4668A"/>
    <w:rsid w:val="00E47609"/>
    <w:rsid w:val="00E47791"/>
    <w:rsid w:val="00E47BB0"/>
    <w:rsid w:val="00E50512"/>
    <w:rsid w:val="00E506C4"/>
    <w:rsid w:val="00E519FE"/>
    <w:rsid w:val="00E51F73"/>
    <w:rsid w:val="00E52CE2"/>
    <w:rsid w:val="00E5366E"/>
    <w:rsid w:val="00E53BFF"/>
    <w:rsid w:val="00E53C73"/>
    <w:rsid w:val="00E53CDB"/>
    <w:rsid w:val="00E55002"/>
    <w:rsid w:val="00E55087"/>
    <w:rsid w:val="00E55A09"/>
    <w:rsid w:val="00E55A4E"/>
    <w:rsid w:val="00E55A6E"/>
    <w:rsid w:val="00E5635E"/>
    <w:rsid w:val="00E57132"/>
    <w:rsid w:val="00E57281"/>
    <w:rsid w:val="00E6016A"/>
    <w:rsid w:val="00E609D2"/>
    <w:rsid w:val="00E616C9"/>
    <w:rsid w:val="00E649E8"/>
    <w:rsid w:val="00E64C65"/>
    <w:rsid w:val="00E65AC0"/>
    <w:rsid w:val="00E7008F"/>
    <w:rsid w:val="00E701D9"/>
    <w:rsid w:val="00E70A4F"/>
    <w:rsid w:val="00E70D72"/>
    <w:rsid w:val="00E717DF"/>
    <w:rsid w:val="00E723C4"/>
    <w:rsid w:val="00E72934"/>
    <w:rsid w:val="00E73A37"/>
    <w:rsid w:val="00E73D9E"/>
    <w:rsid w:val="00E741FD"/>
    <w:rsid w:val="00E745B2"/>
    <w:rsid w:val="00E7495C"/>
    <w:rsid w:val="00E7496D"/>
    <w:rsid w:val="00E7627F"/>
    <w:rsid w:val="00E80055"/>
    <w:rsid w:val="00E802FF"/>
    <w:rsid w:val="00E808EE"/>
    <w:rsid w:val="00E80B82"/>
    <w:rsid w:val="00E81011"/>
    <w:rsid w:val="00E81085"/>
    <w:rsid w:val="00E81117"/>
    <w:rsid w:val="00E81216"/>
    <w:rsid w:val="00E81D40"/>
    <w:rsid w:val="00E81E61"/>
    <w:rsid w:val="00E82426"/>
    <w:rsid w:val="00E82487"/>
    <w:rsid w:val="00E82574"/>
    <w:rsid w:val="00E8282A"/>
    <w:rsid w:val="00E82F29"/>
    <w:rsid w:val="00E82FF9"/>
    <w:rsid w:val="00E834CE"/>
    <w:rsid w:val="00E836DC"/>
    <w:rsid w:val="00E83739"/>
    <w:rsid w:val="00E83F4E"/>
    <w:rsid w:val="00E86940"/>
    <w:rsid w:val="00E86E2F"/>
    <w:rsid w:val="00E86E5D"/>
    <w:rsid w:val="00E907B2"/>
    <w:rsid w:val="00E92537"/>
    <w:rsid w:val="00E92A05"/>
    <w:rsid w:val="00E93191"/>
    <w:rsid w:val="00E931FA"/>
    <w:rsid w:val="00E941FF"/>
    <w:rsid w:val="00E943CC"/>
    <w:rsid w:val="00E9495D"/>
    <w:rsid w:val="00E96CEB"/>
    <w:rsid w:val="00E96F76"/>
    <w:rsid w:val="00EA06BE"/>
    <w:rsid w:val="00EA2324"/>
    <w:rsid w:val="00EA27D3"/>
    <w:rsid w:val="00EA4176"/>
    <w:rsid w:val="00EA6D01"/>
    <w:rsid w:val="00EA733C"/>
    <w:rsid w:val="00EB0302"/>
    <w:rsid w:val="00EB0975"/>
    <w:rsid w:val="00EB1804"/>
    <w:rsid w:val="00EB19B0"/>
    <w:rsid w:val="00EB4714"/>
    <w:rsid w:val="00EB4FF2"/>
    <w:rsid w:val="00EB5497"/>
    <w:rsid w:val="00EB67C5"/>
    <w:rsid w:val="00EB708F"/>
    <w:rsid w:val="00EB783C"/>
    <w:rsid w:val="00EC0176"/>
    <w:rsid w:val="00EC0F1C"/>
    <w:rsid w:val="00EC2DE2"/>
    <w:rsid w:val="00EC2EBA"/>
    <w:rsid w:val="00EC4A48"/>
    <w:rsid w:val="00EC4F7A"/>
    <w:rsid w:val="00EC584E"/>
    <w:rsid w:val="00EC5935"/>
    <w:rsid w:val="00EC64B7"/>
    <w:rsid w:val="00EC7506"/>
    <w:rsid w:val="00EC75D9"/>
    <w:rsid w:val="00ED00F5"/>
    <w:rsid w:val="00ED0C67"/>
    <w:rsid w:val="00ED149F"/>
    <w:rsid w:val="00ED176D"/>
    <w:rsid w:val="00ED18AA"/>
    <w:rsid w:val="00ED1FFA"/>
    <w:rsid w:val="00ED2A78"/>
    <w:rsid w:val="00ED2EFA"/>
    <w:rsid w:val="00ED37C8"/>
    <w:rsid w:val="00ED3CC3"/>
    <w:rsid w:val="00ED4185"/>
    <w:rsid w:val="00ED4978"/>
    <w:rsid w:val="00ED5636"/>
    <w:rsid w:val="00ED69A2"/>
    <w:rsid w:val="00ED69E7"/>
    <w:rsid w:val="00ED6D9C"/>
    <w:rsid w:val="00ED6DE5"/>
    <w:rsid w:val="00ED7630"/>
    <w:rsid w:val="00EE023E"/>
    <w:rsid w:val="00EE0BD1"/>
    <w:rsid w:val="00EE271D"/>
    <w:rsid w:val="00EE2E4C"/>
    <w:rsid w:val="00EE32AE"/>
    <w:rsid w:val="00EE3C01"/>
    <w:rsid w:val="00EE40D1"/>
    <w:rsid w:val="00EE4351"/>
    <w:rsid w:val="00EE4E34"/>
    <w:rsid w:val="00EE4EE1"/>
    <w:rsid w:val="00EE620D"/>
    <w:rsid w:val="00EE6671"/>
    <w:rsid w:val="00EE726A"/>
    <w:rsid w:val="00EE73EF"/>
    <w:rsid w:val="00EF0523"/>
    <w:rsid w:val="00EF0575"/>
    <w:rsid w:val="00EF16AA"/>
    <w:rsid w:val="00EF27DA"/>
    <w:rsid w:val="00EF3C0D"/>
    <w:rsid w:val="00EF5804"/>
    <w:rsid w:val="00EF6C85"/>
    <w:rsid w:val="00EF72CB"/>
    <w:rsid w:val="00F02CDF"/>
    <w:rsid w:val="00F02FE6"/>
    <w:rsid w:val="00F03112"/>
    <w:rsid w:val="00F034CB"/>
    <w:rsid w:val="00F03574"/>
    <w:rsid w:val="00F046E0"/>
    <w:rsid w:val="00F0518E"/>
    <w:rsid w:val="00F05696"/>
    <w:rsid w:val="00F06C76"/>
    <w:rsid w:val="00F06EC1"/>
    <w:rsid w:val="00F0741A"/>
    <w:rsid w:val="00F10892"/>
    <w:rsid w:val="00F10DE2"/>
    <w:rsid w:val="00F114FC"/>
    <w:rsid w:val="00F11909"/>
    <w:rsid w:val="00F11F11"/>
    <w:rsid w:val="00F12123"/>
    <w:rsid w:val="00F1247A"/>
    <w:rsid w:val="00F1249D"/>
    <w:rsid w:val="00F128E5"/>
    <w:rsid w:val="00F12B1F"/>
    <w:rsid w:val="00F1312B"/>
    <w:rsid w:val="00F1411A"/>
    <w:rsid w:val="00F1431D"/>
    <w:rsid w:val="00F15292"/>
    <w:rsid w:val="00F15462"/>
    <w:rsid w:val="00F1572C"/>
    <w:rsid w:val="00F159CD"/>
    <w:rsid w:val="00F15FE2"/>
    <w:rsid w:val="00F1625F"/>
    <w:rsid w:val="00F16741"/>
    <w:rsid w:val="00F21509"/>
    <w:rsid w:val="00F21D6C"/>
    <w:rsid w:val="00F21F93"/>
    <w:rsid w:val="00F2312B"/>
    <w:rsid w:val="00F24A25"/>
    <w:rsid w:val="00F24E38"/>
    <w:rsid w:val="00F25365"/>
    <w:rsid w:val="00F2574C"/>
    <w:rsid w:val="00F27A0B"/>
    <w:rsid w:val="00F27DE1"/>
    <w:rsid w:val="00F302BD"/>
    <w:rsid w:val="00F30E78"/>
    <w:rsid w:val="00F30F34"/>
    <w:rsid w:val="00F311DC"/>
    <w:rsid w:val="00F31B9C"/>
    <w:rsid w:val="00F32C11"/>
    <w:rsid w:val="00F33E35"/>
    <w:rsid w:val="00F35D60"/>
    <w:rsid w:val="00F35F1B"/>
    <w:rsid w:val="00F36277"/>
    <w:rsid w:val="00F3655E"/>
    <w:rsid w:val="00F374AB"/>
    <w:rsid w:val="00F3758A"/>
    <w:rsid w:val="00F3769B"/>
    <w:rsid w:val="00F37F59"/>
    <w:rsid w:val="00F40217"/>
    <w:rsid w:val="00F41042"/>
    <w:rsid w:val="00F417AF"/>
    <w:rsid w:val="00F42059"/>
    <w:rsid w:val="00F4224D"/>
    <w:rsid w:val="00F42918"/>
    <w:rsid w:val="00F42B10"/>
    <w:rsid w:val="00F43610"/>
    <w:rsid w:val="00F43989"/>
    <w:rsid w:val="00F44266"/>
    <w:rsid w:val="00F444B5"/>
    <w:rsid w:val="00F45073"/>
    <w:rsid w:val="00F46480"/>
    <w:rsid w:val="00F47308"/>
    <w:rsid w:val="00F47F7A"/>
    <w:rsid w:val="00F5016F"/>
    <w:rsid w:val="00F501C8"/>
    <w:rsid w:val="00F501EF"/>
    <w:rsid w:val="00F50B50"/>
    <w:rsid w:val="00F513D7"/>
    <w:rsid w:val="00F51B62"/>
    <w:rsid w:val="00F52923"/>
    <w:rsid w:val="00F52B16"/>
    <w:rsid w:val="00F53C7E"/>
    <w:rsid w:val="00F54201"/>
    <w:rsid w:val="00F54858"/>
    <w:rsid w:val="00F55820"/>
    <w:rsid w:val="00F55AD4"/>
    <w:rsid w:val="00F55E91"/>
    <w:rsid w:val="00F56B72"/>
    <w:rsid w:val="00F56C13"/>
    <w:rsid w:val="00F56F65"/>
    <w:rsid w:val="00F57B29"/>
    <w:rsid w:val="00F57F6D"/>
    <w:rsid w:val="00F6029A"/>
    <w:rsid w:val="00F607C5"/>
    <w:rsid w:val="00F60C01"/>
    <w:rsid w:val="00F61566"/>
    <w:rsid w:val="00F61CDB"/>
    <w:rsid w:val="00F62662"/>
    <w:rsid w:val="00F62ED7"/>
    <w:rsid w:val="00F63145"/>
    <w:rsid w:val="00F636A0"/>
    <w:rsid w:val="00F63F50"/>
    <w:rsid w:val="00F67A10"/>
    <w:rsid w:val="00F67AD1"/>
    <w:rsid w:val="00F70D2C"/>
    <w:rsid w:val="00F7139A"/>
    <w:rsid w:val="00F71DBE"/>
    <w:rsid w:val="00F72F2A"/>
    <w:rsid w:val="00F751EE"/>
    <w:rsid w:val="00F759BC"/>
    <w:rsid w:val="00F800BE"/>
    <w:rsid w:val="00F8028B"/>
    <w:rsid w:val="00F804DA"/>
    <w:rsid w:val="00F80DCD"/>
    <w:rsid w:val="00F80E8C"/>
    <w:rsid w:val="00F81C11"/>
    <w:rsid w:val="00F820B5"/>
    <w:rsid w:val="00F82A88"/>
    <w:rsid w:val="00F83D35"/>
    <w:rsid w:val="00F83FB3"/>
    <w:rsid w:val="00F8448C"/>
    <w:rsid w:val="00F8490E"/>
    <w:rsid w:val="00F8519A"/>
    <w:rsid w:val="00F8627B"/>
    <w:rsid w:val="00F86C3A"/>
    <w:rsid w:val="00F8771F"/>
    <w:rsid w:val="00F90190"/>
    <w:rsid w:val="00F919C0"/>
    <w:rsid w:val="00F920DD"/>
    <w:rsid w:val="00F922EF"/>
    <w:rsid w:val="00F93270"/>
    <w:rsid w:val="00F935AC"/>
    <w:rsid w:val="00F93A22"/>
    <w:rsid w:val="00F946E3"/>
    <w:rsid w:val="00F95A89"/>
    <w:rsid w:val="00F95D1A"/>
    <w:rsid w:val="00F96395"/>
    <w:rsid w:val="00F96CE1"/>
    <w:rsid w:val="00F97229"/>
    <w:rsid w:val="00F978F3"/>
    <w:rsid w:val="00FA2158"/>
    <w:rsid w:val="00FA37DA"/>
    <w:rsid w:val="00FA5122"/>
    <w:rsid w:val="00FA5520"/>
    <w:rsid w:val="00FA6850"/>
    <w:rsid w:val="00FA7102"/>
    <w:rsid w:val="00FA764B"/>
    <w:rsid w:val="00FA7813"/>
    <w:rsid w:val="00FB01AE"/>
    <w:rsid w:val="00FB103F"/>
    <w:rsid w:val="00FB1BC3"/>
    <w:rsid w:val="00FB2691"/>
    <w:rsid w:val="00FB2AA7"/>
    <w:rsid w:val="00FB3002"/>
    <w:rsid w:val="00FB4569"/>
    <w:rsid w:val="00FB4FEE"/>
    <w:rsid w:val="00FB5E17"/>
    <w:rsid w:val="00FB65B4"/>
    <w:rsid w:val="00FB798D"/>
    <w:rsid w:val="00FC0634"/>
    <w:rsid w:val="00FC1F3B"/>
    <w:rsid w:val="00FC269C"/>
    <w:rsid w:val="00FC3230"/>
    <w:rsid w:val="00FC33D5"/>
    <w:rsid w:val="00FC48A2"/>
    <w:rsid w:val="00FC4975"/>
    <w:rsid w:val="00FC4E46"/>
    <w:rsid w:val="00FC62E6"/>
    <w:rsid w:val="00FC63C6"/>
    <w:rsid w:val="00FC69E0"/>
    <w:rsid w:val="00FC7328"/>
    <w:rsid w:val="00FC738F"/>
    <w:rsid w:val="00FD0B93"/>
    <w:rsid w:val="00FD1AF0"/>
    <w:rsid w:val="00FD2A1C"/>
    <w:rsid w:val="00FD446B"/>
    <w:rsid w:val="00FD4636"/>
    <w:rsid w:val="00FD4E1A"/>
    <w:rsid w:val="00FD5541"/>
    <w:rsid w:val="00FD6A07"/>
    <w:rsid w:val="00FD6DDF"/>
    <w:rsid w:val="00FE03D4"/>
    <w:rsid w:val="00FE0FCD"/>
    <w:rsid w:val="00FE1498"/>
    <w:rsid w:val="00FE2328"/>
    <w:rsid w:val="00FE330A"/>
    <w:rsid w:val="00FE3422"/>
    <w:rsid w:val="00FE3AC1"/>
    <w:rsid w:val="00FE3CDB"/>
    <w:rsid w:val="00FE4D5B"/>
    <w:rsid w:val="00FE54E5"/>
    <w:rsid w:val="00FE74AD"/>
    <w:rsid w:val="00FE7714"/>
    <w:rsid w:val="00FF0305"/>
    <w:rsid w:val="00FF056A"/>
    <w:rsid w:val="00FF1550"/>
    <w:rsid w:val="00FF296C"/>
    <w:rsid w:val="00FF4746"/>
    <w:rsid w:val="00FF4D1F"/>
    <w:rsid w:val="00FF6E1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colormenu v:ext="edit" fillcolor="#ffc000"/>
    </o:shapedefaults>
    <o:shapelayout v:ext="edit">
      <o:idmap v:ext="edit" data="1"/>
      <o:rules v:ext="edit">
        <o:r id="V:Rule1" type="callout" idref="#_x0000_s1625"/>
        <o:r id="V:Rule2" type="callout" idref="#_x0000_s1622"/>
        <o:r id="V:Rule3" type="callout" idref="#_x0000_s1034"/>
        <o:r id="V:Rule4" type="callout" idref="#_x0000_s1834"/>
        <o:r id="V:Rule5" type="callout" idref="#_x0000_s1642"/>
        <o:r id="V:Rule6" type="callout" idref="#_x0000_s1833"/>
        <o:r id="V:Rule7" type="callout" idref="#_x0000_s1623"/>
        <o:r id="V:Rule8" type="callout" idref="#_x0000_s1840"/>
        <o:r id="V:Rule9" type="callout" idref="#_x0000_s1830"/>
        <o:r id="V:Rule10" type="callout" idref="#_x0000_s1838"/>
        <o:r id="V:Rule11" type="callout" idref="#_x0000_s1829"/>
        <o:r id="V:Rule12" type="callout" idref="#_x0000_s1779"/>
      </o:rules>
    </o:shapelayout>
  </w:shapeDefaults>
  <w:decimalSymbol w:val="."/>
  <w:listSeparator w:val=","/>
  <w14:docId w14:val="472C2BB9"/>
  <w15:docId w15:val="{D5E4FBB0-CF3D-4EA3-87F9-E1F1D755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BE"/>
    <w:pPr>
      <w:spacing w:after="0" w:line="240" w:lineRule="auto"/>
    </w:pPr>
    <w:rPr>
      <w:rFonts w:ascii="Arial" w:eastAsia="Times New Roman" w:hAnsi="Arial" w:cs="Times New Roman"/>
      <w:szCs w:val="20"/>
    </w:rPr>
  </w:style>
  <w:style w:type="paragraph" w:styleId="Heading1">
    <w:name w:val="heading 1"/>
    <w:basedOn w:val="Normal"/>
    <w:next w:val="Normal"/>
    <w:link w:val="Heading1Char"/>
    <w:autoRedefine/>
    <w:uiPriority w:val="1"/>
    <w:qFormat/>
    <w:rsid w:val="00F60C01"/>
    <w:pPr>
      <w:keepNext/>
      <w:shd w:val="clear" w:color="auto" w:fill="365F91" w:themeFill="accent1" w:themeFillShade="BF"/>
      <w:spacing w:before="240" w:after="240" w:line="360" w:lineRule="auto"/>
      <w:outlineLvl w:val="0"/>
    </w:pPr>
    <w:rPr>
      <w:rFonts w:cs="Arial"/>
      <w:b/>
      <w:bCs/>
      <w:noProof/>
      <w:color w:val="FFFFFF" w:themeColor="background1"/>
      <w:kern w:val="32"/>
      <w:sz w:val="28"/>
      <w:szCs w:val="28"/>
      <w:lang w:eastAsia="en-GB"/>
    </w:rPr>
  </w:style>
  <w:style w:type="paragraph" w:styleId="Heading2">
    <w:name w:val="heading 2"/>
    <w:basedOn w:val="Normal"/>
    <w:next w:val="Normal"/>
    <w:link w:val="Heading2Char"/>
    <w:uiPriority w:val="99"/>
    <w:qFormat/>
    <w:rsid w:val="009F3805"/>
    <w:pPr>
      <w:keepNext/>
      <w:numPr>
        <w:ilvl w:val="1"/>
        <w:numId w:val="1"/>
      </w:numPr>
      <w:spacing w:before="120" w:after="60"/>
      <w:outlineLvl w:val="1"/>
    </w:pPr>
    <w:rPr>
      <w:rFonts w:cs="Arial"/>
      <w:b/>
      <w:bCs/>
      <w:iCs/>
      <w:color w:val="365F91" w:themeColor="accent1" w:themeShade="BF"/>
      <w:sz w:val="28"/>
      <w:szCs w:val="28"/>
    </w:rPr>
  </w:style>
  <w:style w:type="paragraph" w:styleId="Heading3">
    <w:name w:val="heading 3"/>
    <w:basedOn w:val="Normal"/>
    <w:next w:val="Normal"/>
    <w:link w:val="Heading3Char"/>
    <w:uiPriority w:val="9"/>
    <w:qFormat/>
    <w:rsid w:val="00234ABE"/>
    <w:pPr>
      <w:keepNext/>
      <w:numPr>
        <w:ilvl w:val="2"/>
        <w:numId w:val="1"/>
      </w:numPr>
      <w:spacing w:before="240" w:after="60"/>
      <w:outlineLvl w:val="2"/>
    </w:pPr>
    <w:rPr>
      <w:rFonts w:cs="Arial"/>
      <w:b/>
      <w:bCs/>
      <w:color w:val="365F91" w:themeColor="accent1" w:themeShade="BF"/>
      <w:sz w:val="26"/>
      <w:szCs w:val="26"/>
    </w:rPr>
  </w:style>
  <w:style w:type="paragraph" w:styleId="Heading4">
    <w:name w:val="heading 4"/>
    <w:aliases w:val="Sub-Minor,Oscar Faber 4,Te,Te1,Te2,Te3,Te4,Te5,Te6,Te7,Te8,Te9,Te10,Te11,Te91,Te12,Te21,Te31,Te41,Te51,Te61,Te71,Te81,Te92,Te101,Te111,Te911,Te13,Te22,Te32,Te42,Te52,Te62,Te72,Te82,Te93,Te102,Te112,Te912,Te14,Te23,Te33,Te43,Te53,Te63,Te73"/>
    <w:basedOn w:val="Normal"/>
    <w:next w:val="Normal"/>
    <w:link w:val="Heading4Char"/>
    <w:qFormat/>
    <w:rsid w:val="009F3805"/>
    <w:pPr>
      <w:keepNext/>
      <w:numPr>
        <w:ilvl w:val="3"/>
        <w:numId w:val="1"/>
      </w:numPr>
      <w:spacing w:before="120" w:after="60"/>
      <w:outlineLvl w:val="3"/>
    </w:pPr>
    <w:rPr>
      <w:b/>
      <w:bCs/>
      <w:color w:val="365F91" w:themeColor="accent1" w:themeShade="BF"/>
      <w:szCs w:val="28"/>
    </w:rPr>
  </w:style>
  <w:style w:type="paragraph" w:styleId="Heading5">
    <w:name w:val="heading 5"/>
    <w:basedOn w:val="Normal"/>
    <w:next w:val="Normal"/>
    <w:link w:val="Heading5Char"/>
    <w:uiPriority w:val="99"/>
    <w:qFormat/>
    <w:rsid w:val="00234ABE"/>
    <w:pPr>
      <w:numPr>
        <w:ilvl w:val="4"/>
        <w:numId w:val="1"/>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34AB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234AB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234AB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234AB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0C01"/>
    <w:rPr>
      <w:rFonts w:ascii="Arial" w:eastAsia="Times New Roman" w:hAnsi="Arial" w:cs="Arial"/>
      <w:b/>
      <w:bCs/>
      <w:noProof/>
      <w:color w:val="FFFFFF" w:themeColor="background1"/>
      <w:kern w:val="32"/>
      <w:sz w:val="28"/>
      <w:szCs w:val="28"/>
      <w:shd w:val="clear" w:color="auto" w:fill="365F91" w:themeFill="accent1" w:themeFillShade="BF"/>
      <w:lang w:eastAsia="en-GB"/>
    </w:rPr>
  </w:style>
  <w:style w:type="character" w:customStyle="1" w:styleId="Heading2Char">
    <w:name w:val="Heading 2 Char"/>
    <w:basedOn w:val="DefaultParagraphFont"/>
    <w:link w:val="Heading2"/>
    <w:uiPriority w:val="99"/>
    <w:rsid w:val="009F3805"/>
    <w:rPr>
      <w:rFonts w:ascii="Arial" w:eastAsia="Times New Roman" w:hAnsi="Arial" w:cs="Arial"/>
      <w:b/>
      <w:bCs/>
      <w:iCs/>
      <w:color w:val="365F91" w:themeColor="accent1" w:themeShade="BF"/>
      <w:sz w:val="28"/>
      <w:szCs w:val="28"/>
    </w:rPr>
  </w:style>
  <w:style w:type="character" w:customStyle="1" w:styleId="Heading3Char">
    <w:name w:val="Heading 3 Char"/>
    <w:basedOn w:val="DefaultParagraphFont"/>
    <w:link w:val="Heading3"/>
    <w:uiPriority w:val="9"/>
    <w:rsid w:val="00234ABE"/>
    <w:rPr>
      <w:rFonts w:ascii="Arial" w:eastAsia="Times New Roman" w:hAnsi="Arial" w:cs="Arial"/>
      <w:b/>
      <w:bCs/>
      <w:color w:val="365F91" w:themeColor="accent1" w:themeShade="BF"/>
      <w:sz w:val="26"/>
      <w:szCs w:val="26"/>
    </w:rPr>
  </w:style>
  <w:style w:type="character" w:customStyle="1" w:styleId="Heading4Char">
    <w:name w:val="Heading 4 Char"/>
    <w:aliases w:val="Sub-Minor Char,Oscar Faber 4 Char,Te Char,Te1 Char,Te2 Char,Te3 Char,Te4 Char,Te5 Char,Te6 Char,Te7 Char,Te8 Char,Te9 Char,Te10 Char,Te11 Char,Te91 Char,Te12 Char,Te21 Char,Te31 Char,Te41 Char,Te51 Char,Te61 Char,Te71 Char,Te81 Char"/>
    <w:basedOn w:val="DefaultParagraphFont"/>
    <w:link w:val="Heading4"/>
    <w:rsid w:val="009F3805"/>
    <w:rPr>
      <w:rFonts w:ascii="Arial" w:eastAsia="Times New Roman" w:hAnsi="Arial" w:cs="Times New Roman"/>
      <w:b/>
      <w:bCs/>
      <w:color w:val="365F91" w:themeColor="accent1" w:themeShade="BF"/>
      <w:szCs w:val="28"/>
    </w:rPr>
  </w:style>
  <w:style w:type="character" w:customStyle="1" w:styleId="Heading5Char">
    <w:name w:val="Heading 5 Char"/>
    <w:basedOn w:val="DefaultParagraphFont"/>
    <w:link w:val="Heading5"/>
    <w:uiPriority w:val="99"/>
    <w:rsid w:val="00234AB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234ABE"/>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34AB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34AB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34ABE"/>
    <w:rPr>
      <w:rFonts w:ascii="Arial" w:eastAsia="Times New Roman" w:hAnsi="Arial" w:cs="Arial"/>
    </w:rPr>
  </w:style>
  <w:style w:type="paragraph" w:styleId="Header">
    <w:name w:val="header"/>
    <w:basedOn w:val="Normal"/>
    <w:link w:val="HeaderChar"/>
    <w:rsid w:val="00234ABE"/>
    <w:pPr>
      <w:tabs>
        <w:tab w:val="center" w:pos="4320"/>
        <w:tab w:val="right" w:pos="8640"/>
      </w:tabs>
    </w:pPr>
  </w:style>
  <w:style w:type="character" w:customStyle="1" w:styleId="HeaderChar">
    <w:name w:val="Header Char"/>
    <w:basedOn w:val="DefaultParagraphFont"/>
    <w:link w:val="Header"/>
    <w:uiPriority w:val="99"/>
    <w:rsid w:val="00234ABE"/>
    <w:rPr>
      <w:rFonts w:ascii="Arial" w:eastAsia="Times New Roman" w:hAnsi="Arial" w:cs="Times New Roman"/>
      <w:szCs w:val="20"/>
      <w:lang w:val="en-US"/>
    </w:rPr>
  </w:style>
  <w:style w:type="paragraph" w:styleId="Footer">
    <w:name w:val="footer"/>
    <w:basedOn w:val="Normal"/>
    <w:link w:val="FooterChar"/>
    <w:rsid w:val="00234ABE"/>
    <w:pPr>
      <w:tabs>
        <w:tab w:val="center" w:pos="4320"/>
        <w:tab w:val="right" w:pos="8640"/>
      </w:tabs>
    </w:pPr>
  </w:style>
  <w:style w:type="character" w:customStyle="1" w:styleId="FooterChar">
    <w:name w:val="Footer Char"/>
    <w:basedOn w:val="DefaultParagraphFont"/>
    <w:link w:val="Footer"/>
    <w:uiPriority w:val="99"/>
    <w:rsid w:val="00234ABE"/>
    <w:rPr>
      <w:rFonts w:ascii="Arial" w:eastAsia="Times New Roman" w:hAnsi="Arial" w:cs="Times New Roman"/>
      <w:szCs w:val="20"/>
      <w:lang w:val="en-US"/>
    </w:rPr>
  </w:style>
  <w:style w:type="paragraph" w:styleId="ListParagraph">
    <w:name w:val="List Paragraph"/>
    <w:aliases w:val="F5 List Paragraph,List Paragraph2,MAIN CONTENT,List Paragraph12,Dot pt,List Paragraph1,Colorful List - Accent 11,List Paragraph Char Char Char,Indicator Text,Numbered Para 1,Bullet Points,Bullet 1,Normal numbered,OBC Bullet,L"/>
    <w:basedOn w:val="Normal"/>
    <w:link w:val="ListParagraphChar"/>
    <w:uiPriority w:val="34"/>
    <w:qFormat/>
    <w:rsid w:val="00234ABE"/>
    <w:pPr>
      <w:ind w:left="720"/>
    </w:pPr>
    <w:rPr>
      <w:sz w:val="24"/>
    </w:rPr>
  </w:style>
  <w:style w:type="character" w:styleId="Hyperlink">
    <w:name w:val="Hyperlink"/>
    <w:basedOn w:val="DefaultParagraphFont"/>
    <w:rsid w:val="00234ABE"/>
    <w:rPr>
      <w:color w:val="0000FF"/>
      <w:u w:val="single"/>
    </w:rPr>
  </w:style>
  <w:style w:type="paragraph" w:styleId="TOC1">
    <w:name w:val="toc 1"/>
    <w:basedOn w:val="Normal"/>
    <w:next w:val="Normal"/>
    <w:autoRedefine/>
    <w:uiPriority w:val="39"/>
    <w:rsid w:val="00234ABE"/>
    <w:pPr>
      <w:spacing w:after="100"/>
    </w:pPr>
  </w:style>
  <w:style w:type="paragraph" w:styleId="TOC2">
    <w:name w:val="toc 2"/>
    <w:basedOn w:val="Normal"/>
    <w:next w:val="Normal"/>
    <w:autoRedefine/>
    <w:uiPriority w:val="39"/>
    <w:rsid w:val="00234ABE"/>
    <w:pPr>
      <w:spacing w:after="100"/>
      <w:ind w:left="200"/>
    </w:pPr>
  </w:style>
  <w:style w:type="paragraph" w:styleId="Title">
    <w:name w:val="Title"/>
    <w:basedOn w:val="Normal"/>
    <w:next w:val="Normal"/>
    <w:link w:val="TitleChar"/>
    <w:uiPriority w:val="99"/>
    <w:qFormat/>
    <w:rsid w:val="00FE4D5B"/>
    <w:pPr>
      <w:pBdr>
        <w:bottom w:val="single" w:sz="8" w:space="4" w:color="4F81BD" w:themeColor="accent1"/>
      </w:pBdr>
      <w:spacing w:after="300"/>
      <w:contextualSpacing/>
    </w:pPr>
    <w:rPr>
      <w:rFonts w:eastAsiaTheme="majorEastAsia" w:cstheme="majorBidi"/>
      <w:b/>
      <w:color w:val="365F91" w:themeColor="accent1" w:themeShade="BF"/>
      <w:spacing w:val="5"/>
      <w:kern w:val="28"/>
      <w:sz w:val="40"/>
      <w:szCs w:val="52"/>
    </w:rPr>
  </w:style>
  <w:style w:type="character" w:customStyle="1" w:styleId="TitleChar">
    <w:name w:val="Title Char"/>
    <w:basedOn w:val="DefaultParagraphFont"/>
    <w:link w:val="Title"/>
    <w:uiPriority w:val="99"/>
    <w:rsid w:val="00FE4D5B"/>
    <w:rPr>
      <w:rFonts w:ascii="Arial" w:eastAsiaTheme="majorEastAsia" w:hAnsi="Arial" w:cstheme="majorBidi"/>
      <w:b/>
      <w:color w:val="365F91" w:themeColor="accent1" w:themeShade="BF"/>
      <w:spacing w:val="5"/>
      <w:kern w:val="28"/>
      <w:sz w:val="40"/>
      <w:szCs w:val="52"/>
      <w:lang w:val="en-US"/>
    </w:rPr>
  </w:style>
  <w:style w:type="paragraph" w:styleId="Subtitle">
    <w:name w:val="Subtitle"/>
    <w:basedOn w:val="Normal"/>
    <w:next w:val="Normal"/>
    <w:link w:val="SubtitleChar"/>
    <w:qFormat/>
    <w:rsid w:val="00234A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34ABE"/>
    <w:rPr>
      <w:rFonts w:asciiTheme="majorHAnsi" w:eastAsiaTheme="majorEastAsia" w:hAnsiTheme="majorHAnsi" w:cstheme="majorBidi"/>
      <w:i/>
      <w:iCs/>
      <w:color w:val="4F81BD" w:themeColor="accent1"/>
      <w:spacing w:val="15"/>
      <w:sz w:val="24"/>
      <w:szCs w:val="24"/>
      <w:lang w:val="en-US"/>
    </w:rPr>
  </w:style>
  <w:style w:type="character" w:styleId="Emphasis">
    <w:name w:val="Emphasis"/>
    <w:basedOn w:val="DefaultParagraphFont"/>
    <w:qFormat/>
    <w:rsid w:val="000E713E"/>
    <w:rPr>
      <w:rFonts w:ascii="Arial" w:hAnsi="Arial"/>
      <w:i/>
      <w:iCs/>
      <w:color w:val="365F91" w:themeColor="accent1" w:themeShade="BF"/>
      <w:sz w:val="22"/>
    </w:rPr>
  </w:style>
  <w:style w:type="character" w:styleId="BookTitle">
    <w:name w:val="Book Title"/>
    <w:basedOn w:val="DefaultParagraphFont"/>
    <w:uiPriority w:val="33"/>
    <w:qFormat/>
    <w:rsid w:val="00234ABE"/>
    <w:rPr>
      <w:b/>
      <w:bCs/>
      <w:smallCaps/>
      <w:spacing w:val="5"/>
    </w:rPr>
  </w:style>
  <w:style w:type="paragraph" w:styleId="BalloonText">
    <w:name w:val="Balloon Text"/>
    <w:basedOn w:val="Normal"/>
    <w:link w:val="BalloonTextChar"/>
    <w:uiPriority w:val="99"/>
    <w:unhideWhenUsed/>
    <w:rsid w:val="00234ABE"/>
    <w:rPr>
      <w:rFonts w:ascii="Tahoma" w:hAnsi="Tahoma" w:cs="Tahoma"/>
      <w:sz w:val="16"/>
      <w:szCs w:val="16"/>
    </w:rPr>
  </w:style>
  <w:style w:type="character" w:customStyle="1" w:styleId="BalloonTextChar">
    <w:name w:val="Balloon Text Char"/>
    <w:basedOn w:val="DefaultParagraphFont"/>
    <w:link w:val="BalloonText"/>
    <w:uiPriority w:val="99"/>
    <w:rsid w:val="00234ABE"/>
    <w:rPr>
      <w:rFonts w:ascii="Tahoma" w:eastAsia="Times New Roman" w:hAnsi="Tahoma" w:cs="Tahoma"/>
      <w:sz w:val="16"/>
      <w:szCs w:val="16"/>
      <w:lang w:val="en-US"/>
    </w:rPr>
  </w:style>
  <w:style w:type="paragraph" w:styleId="TOC3">
    <w:name w:val="toc 3"/>
    <w:basedOn w:val="Normal"/>
    <w:next w:val="Normal"/>
    <w:autoRedefine/>
    <w:uiPriority w:val="39"/>
    <w:unhideWhenUsed/>
    <w:rsid w:val="00234ABE"/>
    <w:pPr>
      <w:spacing w:after="100"/>
      <w:ind w:left="440"/>
    </w:pPr>
  </w:style>
  <w:style w:type="character" w:styleId="Strong">
    <w:name w:val="Strong"/>
    <w:basedOn w:val="DefaultParagraphFont"/>
    <w:qFormat/>
    <w:rsid w:val="000A09BA"/>
    <w:rPr>
      <w:b/>
      <w:bCs/>
    </w:rPr>
  </w:style>
  <w:style w:type="paragraph" w:styleId="NoSpacing">
    <w:name w:val="No Spacing"/>
    <w:uiPriority w:val="1"/>
    <w:qFormat/>
    <w:rsid w:val="0045709B"/>
    <w:pPr>
      <w:spacing w:after="0" w:line="240" w:lineRule="auto"/>
    </w:pPr>
    <w:rPr>
      <w:rFonts w:ascii="Arial" w:eastAsia="Times New Roman" w:hAnsi="Arial" w:cs="Times New Roman"/>
      <w:sz w:val="24"/>
      <w:szCs w:val="20"/>
    </w:rPr>
  </w:style>
  <w:style w:type="paragraph" w:customStyle="1" w:styleId="xl74">
    <w:name w:val="xl74"/>
    <w:basedOn w:val="Normal"/>
    <w:rsid w:val="00450A4B"/>
    <w:pPr>
      <w:spacing w:before="100" w:beforeAutospacing="1" w:after="100" w:afterAutospacing="1"/>
    </w:pPr>
    <w:rPr>
      <w:rFonts w:cs="Arial"/>
      <w:b/>
      <w:bCs/>
      <w:sz w:val="24"/>
      <w:szCs w:val="24"/>
      <w:lang w:eastAsia="en-GB"/>
    </w:rPr>
  </w:style>
  <w:style w:type="paragraph" w:customStyle="1" w:styleId="xl75">
    <w:name w:val="xl75"/>
    <w:basedOn w:val="Normal"/>
    <w:rsid w:val="00450A4B"/>
    <w:pPr>
      <w:spacing w:before="100" w:beforeAutospacing="1" w:after="100" w:afterAutospacing="1"/>
      <w:jc w:val="center"/>
    </w:pPr>
    <w:rPr>
      <w:rFonts w:cs="Arial"/>
      <w:b/>
      <w:bCs/>
      <w:sz w:val="24"/>
      <w:szCs w:val="24"/>
      <w:lang w:eastAsia="en-GB"/>
    </w:rPr>
  </w:style>
  <w:style w:type="paragraph" w:customStyle="1" w:styleId="xl76">
    <w:name w:val="xl76"/>
    <w:basedOn w:val="Normal"/>
    <w:rsid w:val="00450A4B"/>
    <w:pPr>
      <w:spacing w:before="100" w:beforeAutospacing="1" w:after="100" w:afterAutospacing="1"/>
    </w:pPr>
    <w:rPr>
      <w:rFonts w:cs="Arial"/>
      <w:sz w:val="24"/>
      <w:szCs w:val="24"/>
      <w:lang w:eastAsia="en-GB"/>
    </w:rPr>
  </w:style>
  <w:style w:type="paragraph" w:customStyle="1" w:styleId="xl77">
    <w:name w:val="xl77"/>
    <w:basedOn w:val="Normal"/>
    <w:rsid w:val="00450A4B"/>
    <w:pPr>
      <w:spacing w:before="100" w:beforeAutospacing="1" w:after="100" w:afterAutospacing="1"/>
    </w:pPr>
    <w:rPr>
      <w:rFonts w:cs="Arial"/>
      <w:sz w:val="24"/>
      <w:szCs w:val="24"/>
      <w:lang w:eastAsia="en-GB"/>
    </w:rPr>
  </w:style>
  <w:style w:type="paragraph" w:customStyle="1" w:styleId="xl78">
    <w:name w:val="xl78"/>
    <w:basedOn w:val="Normal"/>
    <w:rsid w:val="00450A4B"/>
    <w:pPr>
      <w:spacing w:before="100" w:beforeAutospacing="1" w:after="100" w:afterAutospacing="1"/>
      <w:jc w:val="center"/>
    </w:pPr>
    <w:rPr>
      <w:rFonts w:cs="Arial"/>
      <w:sz w:val="24"/>
      <w:szCs w:val="24"/>
      <w:lang w:eastAsia="en-GB"/>
    </w:rPr>
  </w:style>
  <w:style w:type="paragraph" w:customStyle="1" w:styleId="xl79">
    <w:name w:val="xl79"/>
    <w:basedOn w:val="Normal"/>
    <w:rsid w:val="00450A4B"/>
    <w:pPr>
      <w:pBdr>
        <w:top w:val="single" w:sz="4" w:space="0" w:color="auto"/>
        <w:left w:val="single" w:sz="4" w:space="0" w:color="auto"/>
      </w:pBdr>
      <w:spacing w:before="100" w:beforeAutospacing="1" w:after="100" w:afterAutospacing="1"/>
    </w:pPr>
    <w:rPr>
      <w:rFonts w:cs="Arial"/>
      <w:b/>
      <w:bCs/>
      <w:sz w:val="24"/>
      <w:szCs w:val="24"/>
      <w:lang w:eastAsia="en-GB"/>
    </w:rPr>
  </w:style>
  <w:style w:type="paragraph" w:customStyle="1" w:styleId="xl80">
    <w:name w:val="xl80"/>
    <w:basedOn w:val="Normal"/>
    <w:rsid w:val="00450A4B"/>
    <w:pPr>
      <w:pBdr>
        <w:top w:val="single" w:sz="4" w:space="0" w:color="auto"/>
        <w:left w:val="single" w:sz="4" w:space="0" w:color="auto"/>
      </w:pBdr>
      <w:spacing w:before="100" w:beforeAutospacing="1" w:after="100" w:afterAutospacing="1"/>
      <w:jc w:val="center"/>
    </w:pPr>
    <w:rPr>
      <w:rFonts w:cs="Arial"/>
      <w:b/>
      <w:bCs/>
      <w:sz w:val="24"/>
      <w:szCs w:val="24"/>
      <w:lang w:eastAsia="en-GB"/>
    </w:rPr>
  </w:style>
  <w:style w:type="paragraph" w:customStyle="1" w:styleId="xl81">
    <w:name w:val="xl81"/>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2">
    <w:name w:val="xl82"/>
    <w:basedOn w:val="Normal"/>
    <w:rsid w:val="00450A4B"/>
    <w:pPr>
      <w:pBdr>
        <w:top w:val="single" w:sz="4" w:space="0" w:color="auto"/>
      </w:pBdr>
      <w:spacing w:before="100" w:beforeAutospacing="1" w:after="100" w:afterAutospacing="1"/>
      <w:jc w:val="center"/>
    </w:pPr>
    <w:rPr>
      <w:rFonts w:cs="Arial"/>
      <w:b/>
      <w:bCs/>
      <w:sz w:val="24"/>
      <w:szCs w:val="24"/>
      <w:lang w:eastAsia="en-GB"/>
    </w:rPr>
  </w:style>
  <w:style w:type="paragraph" w:customStyle="1" w:styleId="xl83">
    <w:name w:val="xl83"/>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4">
    <w:name w:val="xl84"/>
    <w:basedOn w:val="Normal"/>
    <w:rsid w:val="00450A4B"/>
    <w:pPr>
      <w:pBdr>
        <w:top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5">
    <w:name w:val="xl85"/>
    <w:basedOn w:val="Normal"/>
    <w:rsid w:val="00450A4B"/>
    <w:pPr>
      <w:pBdr>
        <w:left w:val="single" w:sz="4" w:space="0" w:color="auto"/>
      </w:pBdr>
      <w:spacing w:before="100" w:beforeAutospacing="1" w:after="100" w:afterAutospacing="1"/>
    </w:pPr>
    <w:rPr>
      <w:rFonts w:cs="Arial"/>
      <w:b/>
      <w:bCs/>
      <w:sz w:val="24"/>
      <w:szCs w:val="24"/>
      <w:lang w:eastAsia="en-GB"/>
    </w:rPr>
  </w:style>
  <w:style w:type="paragraph" w:customStyle="1" w:styleId="xl86">
    <w:name w:val="xl86"/>
    <w:basedOn w:val="Normal"/>
    <w:rsid w:val="00450A4B"/>
    <w:pPr>
      <w:pBdr>
        <w:left w:val="single" w:sz="4" w:space="0" w:color="auto"/>
      </w:pBdr>
      <w:spacing w:before="100" w:beforeAutospacing="1" w:after="100" w:afterAutospacing="1"/>
      <w:jc w:val="center"/>
    </w:pPr>
    <w:rPr>
      <w:rFonts w:cs="Arial"/>
      <w:b/>
      <w:bCs/>
      <w:sz w:val="24"/>
      <w:szCs w:val="24"/>
      <w:lang w:eastAsia="en-GB"/>
    </w:rPr>
  </w:style>
  <w:style w:type="paragraph" w:customStyle="1" w:styleId="xl87">
    <w:name w:val="xl8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8">
    <w:name w:val="xl88"/>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9">
    <w:name w:val="xl89"/>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90">
    <w:name w:val="xl90"/>
    <w:basedOn w:val="Normal"/>
    <w:rsid w:val="00450A4B"/>
    <w:pPr>
      <w:pBdr>
        <w:left w:val="single" w:sz="4" w:space="0" w:color="auto"/>
        <w:bottom w:val="single" w:sz="4" w:space="0" w:color="auto"/>
      </w:pBdr>
      <w:spacing w:before="100" w:beforeAutospacing="1" w:after="100" w:afterAutospacing="1"/>
    </w:pPr>
    <w:rPr>
      <w:rFonts w:cs="Arial"/>
      <w:b/>
      <w:bCs/>
      <w:sz w:val="24"/>
      <w:szCs w:val="24"/>
      <w:lang w:eastAsia="en-GB"/>
    </w:rPr>
  </w:style>
  <w:style w:type="paragraph" w:customStyle="1" w:styleId="xl91">
    <w:name w:val="xl91"/>
    <w:basedOn w:val="Normal"/>
    <w:rsid w:val="00450A4B"/>
    <w:pPr>
      <w:pBdr>
        <w:left w:val="single" w:sz="4" w:space="0" w:color="auto"/>
        <w:bottom w:val="single" w:sz="4" w:space="0" w:color="auto"/>
      </w:pBdr>
      <w:spacing w:before="100" w:beforeAutospacing="1" w:after="100" w:afterAutospacing="1"/>
      <w:jc w:val="center"/>
    </w:pPr>
    <w:rPr>
      <w:rFonts w:cs="Arial"/>
      <w:b/>
      <w:bCs/>
      <w:sz w:val="24"/>
      <w:szCs w:val="24"/>
      <w:lang w:eastAsia="en-GB"/>
    </w:rPr>
  </w:style>
  <w:style w:type="paragraph" w:customStyle="1" w:styleId="xl92">
    <w:name w:val="xl92"/>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93">
    <w:name w:val="xl93"/>
    <w:basedOn w:val="Normal"/>
    <w:rsid w:val="00450A4B"/>
    <w:pPr>
      <w:pBdr>
        <w:bottom w:val="single" w:sz="4" w:space="0" w:color="auto"/>
      </w:pBdr>
      <w:spacing w:before="100" w:beforeAutospacing="1" w:after="100" w:afterAutospacing="1"/>
      <w:jc w:val="center"/>
    </w:pPr>
    <w:rPr>
      <w:rFonts w:cs="Arial"/>
      <w:b/>
      <w:bCs/>
      <w:sz w:val="24"/>
      <w:szCs w:val="24"/>
      <w:lang w:eastAsia="en-GB"/>
    </w:rPr>
  </w:style>
  <w:style w:type="paragraph" w:customStyle="1" w:styleId="xl94">
    <w:name w:val="xl94"/>
    <w:basedOn w:val="Normal"/>
    <w:rsid w:val="00450A4B"/>
    <w:pPr>
      <w:pBdr>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5">
    <w:name w:val="xl95"/>
    <w:basedOn w:val="Normal"/>
    <w:rsid w:val="00450A4B"/>
    <w:pPr>
      <w:pBdr>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6">
    <w:name w:val="xl96"/>
    <w:basedOn w:val="Normal"/>
    <w:rsid w:val="00450A4B"/>
    <w:pPr>
      <w:pBdr>
        <w:top w:val="single" w:sz="4" w:space="0" w:color="auto"/>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97">
    <w:name w:val="xl97"/>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98">
    <w:name w:val="xl98"/>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99">
    <w:name w:val="xl99"/>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00">
    <w:name w:val="xl10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01">
    <w:name w:val="xl101"/>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02">
    <w:name w:val="xl10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3">
    <w:name w:val="xl103"/>
    <w:basedOn w:val="Normal"/>
    <w:rsid w:val="00450A4B"/>
    <w:pPr>
      <w:spacing w:before="100" w:beforeAutospacing="1" w:after="100" w:afterAutospacing="1"/>
    </w:pPr>
    <w:rPr>
      <w:rFonts w:cs="Arial"/>
      <w:sz w:val="24"/>
      <w:szCs w:val="24"/>
      <w:lang w:eastAsia="en-GB"/>
    </w:rPr>
  </w:style>
  <w:style w:type="paragraph" w:customStyle="1" w:styleId="xl104">
    <w:name w:val="xl104"/>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5">
    <w:name w:val="xl105"/>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6">
    <w:name w:val="xl106"/>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07">
    <w:name w:val="xl107"/>
    <w:basedOn w:val="Normal"/>
    <w:rsid w:val="00450A4B"/>
    <w:pPr>
      <w:pBdr>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8">
    <w:name w:val="xl108"/>
    <w:basedOn w:val="Normal"/>
    <w:rsid w:val="00450A4B"/>
    <w:pPr>
      <w:pBdr>
        <w:right w:val="single" w:sz="4" w:space="0" w:color="auto"/>
      </w:pBdr>
      <w:spacing w:before="100" w:beforeAutospacing="1" w:after="100" w:afterAutospacing="1"/>
    </w:pPr>
    <w:rPr>
      <w:rFonts w:cs="Arial"/>
      <w:b/>
      <w:bCs/>
      <w:sz w:val="24"/>
      <w:szCs w:val="24"/>
      <w:u w:val="single"/>
      <w:lang w:eastAsia="en-GB"/>
    </w:rPr>
  </w:style>
  <w:style w:type="paragraph" w:customStyle="1" w:styleId="xl109">
    <w:name w:val="xl109"/>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10">
    <w:name w:val="xl110"/>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11">
    <w:name w:val="xl111"/>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2">
    <w:name w:val="xl11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3">
    <w:name w:val="xl11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4">
    <w:name w:val="xl11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5">
    <w:name w:val="xl115"/>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6">
    <w:name w:val="xl116"/>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7">
    <w:name w:val="xl117"/>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8">
    <w:name w:val="xl118"/>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19">
    <w:name w:val="xl119"/>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u w:val="single"/>
      <w:lang w:eastAsia="en-GB"/>
    </w:rPr>
  </w:style>
  <w:style w:type="paragraph" w:customStyle="1" w:styleId="xl120">
    <w:name w:val="xl12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1">
    <w:name w:val="xl121"/>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22">
    <w:name w:val="xl12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23">
    <w:name w:val="xl123"/>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4">
    <w:name w:val="xl124"/>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125">
    <w:name w:val="xl125"/>
    <w:basedOn w:val="Normal"/>
    <w:rsid w:val="00450A4B"/>
    <w:pPr>
      <w:spacing w:before="100" w:beforeAutospacing="1" w:after="100" w:afterAutospacing="1"/>
    </w:pPr>
    <w:rPr>
      <w:rFonts w:cs="Arial"/>
      <w:b/>
      <w:bCs/>
      <w:sz w:val="24"/>
      <w:szCs w:val="24"/>
      <w:lang w:eastAsia="en-GB"/>
    </w:rPr>
  </w:style>
  <w:style w:type="paragraph" w:customStyle="1" w:styleId="xl126">
    <w:name w:val="xl126"/>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7">
    <w:name w:val="xl127"/>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28">
    <w:name w:val="xl128"/>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9">
    <w:name w:val="xl129"/>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0">
    <w:name w:val="xl130"/>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1">
    <w:name w:val="xl131"/>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2">
    <w:name w:val="xl13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3">
    <w:name w:val="xl13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4">
    <w:name w:val="xl13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sz w:val="24"/>
      <w:szCs w:val="24"/>
      <w:lang w:eastAsia="en-GB"/>
    </w:rPr>
  </w:style>
  <w:style w:type="paragraph" w:customStyle="1" w:styleId="xl135">
    <w:name w:val="xl135"/>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6">
    <w:name w:val="xl136"/>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u w:val="single"/>
      <w:lang w:eastAsia="en-GB"/>
    </w:rPr>
  </w:style>
  <w:style w:type="paragraph" w:customStyle="1" w:styleId="xl137">
    <w:name w:val="xl13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38">
    <w:name w:val="xl138"/>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9">
    <w:name w:val="xl139"/>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40">
    <w:name w:val="xl14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1">
    <w:name w:val="xl141"/>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2">
    <w:name w:val="xl142"/>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43">
    <w:name w:val="xl143"/>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144">
    <w:name w:val="xl144"/>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5">
    <w:name w:val="xl145"/>
    <w:basedOn w:val="Normal"/>
    <w:rsid w:val="00450A4B"/>
    <w:pPr>
      <w:spacing w:before="100" w:beforeAutospacing="1" w:after="100" w:afterAutospacing="1"/>
      <w:jc w:val="center"/>
    </w:pPr>
    <w:rPr>
      <w:rFonts w:cs="Arial"/>
      <w:sz w:val="24"/>
      <w:szCs w:val="24"/>
      <w:lang w:eastAsia="en-GB"/>
    </w:rPr>
  </w:style>
  <w:style w:type="paragraph" w:customStyle="1" w:styleId="xl146">
    <w:name w:val="xl146"/>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7">
    <w:name w:val="xl14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48">
    <w:name w:val="xl148"/>
    <w:basedOn w:val="Normal"/>
    <w:rsid w:val="00450A4B"/>
    <w:pPr>
      <w:shd w:val="clear" w:color="000000" w:fill="FFFF00"/>
      <w:spacing w:before="100" w:beforeAutospacing="1" w:after="100" w:afterAutospacing="1"/>
      <w:jc w:val="center"/>
    </w:pPr>
    <w:rPr>
      <w:rFonts w:cs="Arial"/>
      <w:sz w:val="24"/>
      <w:szCs w:val="24"/>
      <w:lang w:eastAsia="en-GB"/>
    </w:rPr>
  </w:style>
  <w:style w:type="paragraph" w:customStyle="1" w:styleId="xl149">
    <w:name w:val="xl149"/>
    <w:basedOn w:val="Normal"/>
    <w:rsid w:val="00450A4B"/>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Default">
    <w:name w:val="Default"/>
    <w:uiPriority w:val="99"/>
    <w:rsid w:val="0068306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uiPriority w:val="99"/>
    <w:unhideWhenUsed/>
    <w:rsid w:val="00224170"/>
    <w:rPr>
      <w:sz w:val="20"/>
    </w:rPr>
  </w:style>
  <w:style w:type="character" w:customStyle="1" w:styleId="CommentTextChar">
    <w:name w:val="Comment Text Char"/>
    <w:basedOn w:val="DefaultParagraphFont"/>
    <w:link w:val="CommentText"/>
    <w:uiPriority w:val="99"/>
    <w:rsid w:val="00224170"/>
    <w:rPr>
      <w:rFonts w:ascii="Arial" w:eastAsia="Times New Roman" w:hAnsi="Arial" w:cs="Times New Roman"/>
      <w:sz w:val="20"/>
      <w:szCs w:val="20"/>
      <w:lang w:val="en-US"/>
    </w:rPr>
  </w:style>
  <w:style w:type="character" w:customStyle="1" w:styleId="CommentSubjectChar">
    <w:name w:val="Comment Subject Char"/>
    <w:basedOn w:val="CommentTextChar"/>
    <w:link w:val="CommentSubject"/>
    <w:uiPriority w:val="99"/>
    <w:rsid w:val="00224170"/>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uiPriority w:val="99"/>
    <w:unhideWhenUsed/>
    <w:rsid w:val="00224170"/>
    <w:rPr>
      <w:b/>
      <w:bCs/>
    </w:rPr>
  </w:style>
  <w:style w:type="paragraph" w:styleId="Caption">
    <w:name w:val="caption"/>
    <w:basedOn w:val="Normal"/>
    <w:next w:val="Normal"/>
    <w:uiPriority w:val="35"/>
    <w:unhideWhenUsed/>
    <w:qFormat/>
    <w:rsid w:val="00834162"/>
    <w:pPr>
      <w:spacing w:after="200"/>
    </w:pPr>
    <w:rPr>
      <w:rFonts w:asciiTheme="minorHAnsi" w:eastAsiaTheme="minorHAnsi" w:hAnsiTheme="minorHAnsi" w:cstheme="minorBidi"/>
      <w:b/>
      <w:bCs/>
      <w:color w:val="4F81BD" w:themeColor="accent1"/>
      <w:sz w:val="18"/>
      <w:szCs w:val="18"/>
    </w:rPr>
  </w:style>
  <w:style w:type="table" w:styleId="TableGrid">
    <w:name w:val="Table Grid"/>
    <w:basedOn w:val="TableNormal"/>
    <w:uiPriority w:val="99"/>
    <w:rsid w:val="000960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E1F4F"/>
    <w:rPr>
      <w:sz w:val="16"/>
      <w:szCs w:val="16"/>
    </w:rPr>
  </w:style>
  <w:style w:type="paragraph" w:styleId="NormalWeb">
    <w:name w:val="Normal (Web)"/>
    <w:basedOn w:val="Normal"/>
    <w:unhideWhenUsed/>
    <w:rsid w:val="00286139"/>
    <w:pPr>
      <w:spacing w:before="100" w:beforeAutospacing="1" w:after="100" w:afterAutospacing="1"/>
    </w:pPr>
    <w:rPr>
      <w:rFonts w:ascii="Times New Roman" w:hAnsi="Times New Roman"/>
      <w:sz w:val="24"/>
      <w:szCs w:val="24"/>
      <w:lang w:eastAsia="en-GB"/>
    </w:rPr>
  </w:style>
  <w:style w:type="paragraph" w:customStyle="1" w:styleId="NoSpacing1">
    <w:name w:val="No Spacing1"/>
    <w:link w:val="NoSpacingChar"/>
    <w:uiPriority w:val="1"/>
    <w:qFormat/>
    <w:rsid w:val="00024F25"/>
    <w:pPr>
      <w:spacing w:after="0" w:line="240" w:lineRule="auto"/>
    </w:pPr>
    <w:rPr>
      <w:rFonts w:ascii="Calibri" w:eastAsia="Calibri" w:hAnsi="Calibri" w:cs="Times New Roman"/>
    </w:rPr>
  </w:style>
  <w:style w:type="character" w:customStyle="1" w:styleId="NoSpacingChar">
    <w:name w:val="No Spacing Char"/>
    <w:link w:val="NoSpacing1"/>
    <w:uiPriority w:val="1"/>
    <w:rsid w:val="00024F25"/>
    <w:rPr>
      <w:rFonts w:ascii="Calibri" w:eastAsia="Calibri" w:hAnsi="Calibri" w:cs="Times New Roman"/>
    </w:rPr>
  </w:style>
  <w:style w:type="character" w:customStyle="1" w:styleId="ListParagraphChar">
    <w:name w:val="List Paragraph Char"/>
    <w:aliases w:val="F5 List Paragraph Char,List Paragraph2 Char,MAIN CONTENT Char,List Paragraph12 Char,Dot pt Char,List Paragraph1 Char,Colorful List - Accent 11 Char,List Paragraph Char Char Char Char,Indicator Text Char,Numbered Para 1 Char,L Char"/>
    <w:link w:val="ListParagraph"/>
    <w:uiPriority w:val="34"/>
    <w:qFormat/>
    <w:locked/>
    <w:rsid w:val="009206B3"/>
    <w:rPr>
      <w:rFonts w:ascii="Arial" w:eastAsia="Times New Roman" w:hAnsi="Arial" w:cs="Times New Roman"/>
      <w:sz w:val="24"/>
      <w:szCs w:val="20"/>
    </w:rPr>
  </w:style>
  <w:style w:type="paragraph" w:styleId="BodyTextIndent2">
    <w:name w:val="Body Text Indent 2"/>
    <w:basedOn w:val="Normal"/>
    <w:link w:val="BodyTextIndent2Char"/>
    <w:uiPriority w:val="99"/>
    <w:rsid w:val="00242DC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242DC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40704"/>
    <w:pPr>
      <w:spacing w:after="120"/>
      <w:ind w:left="283"/>
    </w:pPr>
  </w:style>
  <w:style w:type="character" w:customStyle="1" w:styleId="BodyTextIndentChar">
    <w:name w:val="Body Text Indent Char"/>
    <w:basedOn w:val="DefaultParagraphFont"/>
    <w:link w:val="BodyTextIndent"/>
    <w:uiPriority w:val="99"/>
    <w:rsid w:val="00D40704"/>
    <w:rPr>
      <w:rFonts w:ascii="Arial" w:eastAsia="Times New Roman" w:hAnsi="Arial" w:cs="Times New Roman"/>
      <w:szCs w:val="20"/>
    </w:rPr>
  </w:style>
  <w:style w:type="character" w:styleId="PageNumber">
    <w:name w:val="page number"/>
    <w:basedOn w:val="DefaultParagraphFont"/>
    <w:rsid w:val="00D40704"/>
  </w:style>
  <w:style w:type="paragraph" w:styleId="DocumentMap">
    <w:name w:val="Document Map"/>
    <w:basedOn w:val="Normal"/>
    <w:link w:val="DocumentMapChar"/>
    <w:uiPriority w:val="99"/>
    <w:semiHidden/>
    <w:rsid w:val="00D4070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0704"/>
    <w:rPr>
      <w:rFonts w:ascii="Tahoma" w:eastAsia="Times New Roman" w:hAnsi="Tahoma" w:cs="Tahoma"/>
      <w:sz w:val="20"/>
      <w:szCs w:val="20"/>
      <w:shd w:val="clear" w:color="auto" w:fill="000080"/>
    </w:rPr>
  </w:style>
  <w:style w:type="paragraph" w:styleId="BodyTextIndent3">
    <w:name w:val="Body Text Indent 3"/>
    <w:basedOn w:val="Normal"/>
    <w:link w:val="BodyTextIndent3Char"/>
    <w:uiPriority w:val="99"/>
    <w:rsid w:val="00D40704"/>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D40704"/>
    <w:rPr>
      <w:rFonts w:ascii="Times New Roman" w:eastAsia="Times New Roman" w:hAnsi="Times New Roman" w:cs="Times New Roman"/>
      <w:sz w:val="16"/>
      <w:szCs w:val="16"/>
    </w:rPr>
  </w:style>
  <w:style w:type="paragraph" w:styleId="BodyText">
    <w:name w:val="Body Text"/>
    <w:basedOn w:val="Normal"/>
    <w:link w:val="BodyTextChar"/>
    <w:uiPriority w:val="1"/>
    <w:qFormat/>
    <w:rsid w:val="00D40704"/>
    <w:pPr>
      <w:spacing w:after="120"/>
    </w:pPr>
    <w:rPr>
      <w:rFonts w:ascii="Times New Roman" w:hAnsi="Times New Roman"/>
      <w:sz w:val="24"/>
      <w:szCs w:val="24"/>
    </w:rPr>
  </w:style>
  <w:style w:type="character" w:customStyle="1" w:styleId="BodyTextChar">
    <w:name w:val="Body Text Char"/>
    <w:basedOn w:val="DefaultParagraphFont"/>
    <w:link w:val="BodyText"/>
    <w:uiPriority w:val="1"/>
    <w:rsid w:val="00D40704"/>
    <w:rPr>
      <w:rFonts w:ascii="Times New Roman" w:eastAsia="Times New Roman" w:hAnsi="Times New Roman" w:cs="Times New Roman"/>
      <w:sz w:val="24"/>
      <w:szCs w:val="24"/>
    </w:rPr>
  </w:style>
  <w:style w:type="paragraph" w:styleId="BodyText2">
    <w:name w:val="Body Text 2"/>
    <w:basedOn w:val="Normal"/>
    <w:link w:val="BodyText2Char"/>
    <w:uiPriority w:val="99"/>
    <w:rsid w:val="00D40704"/>
    <w:pPr>
      <w:jc w:val="center"/>
    </w:pPr>
    <w:rPr>
      <w:rFonts w:cs="Arial"/>
      <w:b/>
      <w:bCs/>
      <w:sz w:val="24"/>
      <w:szCs w:val="24"/>
    </w:rPr>
  </w:style>
  <w:style w:type="character" w:customStyle="1" w:styleId="BodyText2Char">
    <w:name w:val="Body Text 2 Char"/>
    <w:basedOn w:val="DefaultParagraphFont"/>
    <w:link w:val="BodyText2"/>
    <w:uiPriority w:val="99"/>
    <w:rsid w:val="00D40704"/>
    <w:rPr>
      <w:rFonts w:ascii="Arial" w:eastAsia="Times New Roman" w:hAnsi="Arial" w:cs="Arial"/>
      <w:b/>
      <w:bCs/>
      <w:sz w:val="24"/>
      <w:szCs w:val="24"/>
    </w:rPr>
  </w:style>
  <w:style w:type="paragraph" w:customStyle="1" w:styleId="Pa3">
    <w:name w:val="Pa3"/>
    <w:basedOn w:val="Normal"/>
    <w:next w:val="Normal"/>
    <w:uiPriority w:val="99"/>
    <w:rsid w:val="00D40704"/>
    <w:pPr>
      <w:autoSpaceDE w:val="0"/>
      <w:autoSpaceDN w:val="0"/>
      <w:adjustRightInd w:val="0"/>
      <w:spacing w:after="220" w:line="201" w:lineRule="atLeast"/>
    </w:pPr>
    <w:rPr>
      <w:rFonts w:ascii="Univers" w:hAnsi="Univers"/>
      <w:sz w:val="24"/>
      <w:szCs w:val="24"/>
      <w:lang w:val="en-US"/>
    </w:rPr>
  </w:style>
  <w:style w:type="character" w:customStyle="1" w:styleId="CharChar4">
    <w:name w:val="Char Char4"/>
    <w:basedOn w:val="DefaultParagraphFont"/>
    <w:uiPriority w:val="99"/>
    <w:locked/>
    <w:rsid w:val="00D40704"/>
    <w:rPr>
      <w:rFonts w:cs="Times New Roman"/>
      <w:iCs/>
      <w:sz w:val="24"/>
      <w:szCs w:val="24"/>
      <w:lang w:eastAsia="en-US"/>
    </w:rPr>
  </w:style>
  <w:style w:type="character" w:customStyle="1" w:styleId="CharChar6">
    <w:name w:val="Char Char6"/>
    <w:basedOn w:val="DefaultParagraphFont"/>
    <w:uiPriority w:val="99"/>
    <w:locked/>
    <w:rsid w:val="00D40704"/>
    <w:rPr>
      <w:rFonts w:cs="Times New Roman"/>
      <w:iCs/>
      <w:sz w:val="24"/>
      <w:szCs w:val="24"/>
      <w:lang w:eastAsia="en-US"/>
    </w:rPr>
  </w:style>
  <w:style w:type="paragraph" w:customStyle="1" w:styleId="TableBullet2">
    <w:name w:val="Table Bullet 2"/>
    <w:basedOn w:val="Normal"/>
    <w:qFormat/>
    <w:rsid w:val="00D40704"/>
    <w:pPr>
      <w:numPr>
        <w:numId w:val="3"/>
      </w:numPr>
    </w:pPr>
    <w:rPr>
      <w:rFonts w:asciiTheme="minorHAnsi" w:hAnsiTheme="minorHAnsi"/>
      <w:sz w:val="18"/>
      <w:szCs w:val="18"/>
    </w:rPr>
  </w:style>
  <w:style w:type="table" w:customStyle="1" w:styleId="TableStyle1">
    <w:name w:val="Table Style1"/>
    <w:basedOn w:val="TableNormal"/>
    <w:rsid w:val="00F0741A"/>
    <w:pPr>
      <w:spacing w:after="0" w:line="240" w:lineRule="auto"/>
    </w:pPr>
    <w:rPr>
      <w:rFonts w:ascii="Times New Roman" w:eastAsia="Times New Roman" w:hAnsi="Times New Roman" w:cs="Times New Roman"/>
      <w:sz w:val="20"/>
      <w:szCs w:val="20"/>
      <w:lang w:eastAsia="en-GB"/>
    </w:rPr>
    <w:tblPr/>
  </w:style>
  <w:style w:type="table" w:styleId="TableList3">
    <w:name w:val="Table List 3"/>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0741A"/>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Style2">
    <w:name w:val="Table Style2"/>
    <w:basedOn w:val="TableGrid"/>
    <w:rsid w:val="00F0741A"/>
    <w:tblPr/>
  </w:style>
  <w:style w:type="character" w:customStyle="1" w:styleId="y0nh2b">
    <w:name w:val="y0nh2b"/>
    <w:basedOn w:val="DefaultParagraphFont"/>
    <w:rsid w:val="00936AB9"/>
  </w:style>
  <w:style w:type="paragraph" w:customStyle="1" w:styleId="BodyText1">
    <w:name w:val="Body Text1"/>
    <w:basedOn w:val="Normal"/>
    <w:rsid w:val="00632915"/>
    <w:rPr>
      <w:sz w:val="24"/>
      <w:lang w:eastAsia="en-GB"/>
    </w:rPr>
  </w:style>
  <w:style w:type="paragraph" w:customStyle="1" w:styleId="BodyText10">
    <w:name w:val="Body Text1"/>
    <w:basedOn w:val="Normal"/>
    <w:rsid w:val="00632915"/>
    <w:rPr>
      <w:sz w:val="24"/>
      <w:lang w:eastAsia="en-GB"/>
    </w:rPr>
  </w:style>
  <w:style w:type="paragraph" w:customStyle="1" w:styleId="BodyText20">
    <w:name w:val="Body Text2"/>
    <w:basedOn w:val="Normal"/>
    <w:rsid w:val="00830ED8"/>
    <w:rPr>
      <w:sz w:val="24"/>
      <w:lang w:eastAsia="en-GB"/>
    </w:rPr>
  </w:style>
  <w:style w:type="paragraph" w:styleId="Revision">
    <w:name w:val="Revision"/>
    <w:hidden/>
    <w:uiPriority w:val="99"/>
    <w:semiHidden/>
    <w:rsid w:val="002A4EB1"/>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076">
      <w:bodyDiv w:val="1"/>
      <w:marLeft w:val="0"/>
      <w:marRight w:val="0"/>
      <w:marTop w:val="0"/>
      <w:marBottom w:val="0"/>
      <w:divBdr>
        <w:top w:val="none" w:sz="0" w:space="0" w:color="auto"/>
        <w:left w:val="none" w:sz="0" w:space="0" w:color="auto"/>
        <w:bottom w:val="none" w:sz="0" w:space="0" w:color="auto"/>
        <w:right w:val="none" w:sz="0" w:space="0" w:color="auto"/>
      </w:divBdr>
    </w:div>
    <w:div w:id="83578705">
      <w:bodyDiv w:val="1"/>
      <w:marLeft w:val="0"/>
      <w:marRight w:val="0"/>
      <w:marTop w:val="0"/>
      <w:marBottom w:val="0"/>
      <w:divBdr>
        <w:top w:val="none" w:sz="0" w:space="0" w:color="auto"/>
        <w:left w:val="none" w:sz="0" w:space="0" w:color="auto"/>
        <w:bottom w:val="none" w:sz="0" w:space="0" w:color="auto"/>
        <w:right w:val="none" w:sz="0" w:space="0" w:color="auto"/>
      </w:divBdr>
    </w:div>
    <w:div w:id="124156679">
      <w:bodyDiv w:val="1"/>
      <w:marLeft w:val="0"/>
      <w:marRight w:val="0"/>
      <w:marTop w:val="0"/>
      <w:marBottom w:val="0"/>
      <w:divBdr>
        <w:top w:val="none" w:sz="0" w:space="0" w:color="auto"/>
        <w:left w:val="none" w:sz="0" w:space="0" w:color="auto"/>
        <w:bottom w:val="none" w:sz="0" w:space="0" w:color="auto"/>
        <w:right w:val="none" w:sz="0" w:space="0" w:color="auto"/>
      </w:divBdr>
    </w:div>
    <w:div w:id="200896850">
      <w:bodyDiv w:val="1"/>
      <w:marLeft w:val="0"/>
      <w:marRight w:val="0"/>
      <w:marTop w:val="0"/>
      <w:marBottom w:val="0"/>
      <w:divBdr>
        <w:top w:val="none" w:sz="0" w:space="0" w:color="auto"/>
        <w:left w:val="none" w:sz="0" w:space="0" w:color="auto"/>
        <w:bottom w:val="none" w:sz="0" w:space="0" w:color="auto"/>
        <w:right w:val="none" w:sz="0" w:space="0" w:color="auto"/>
      </w:divBdr>
    </w:div>
    <w:div w:id="213002974">
      <w:bodyDiv w:val="1"/>
      <w:marLeft w:val="0"/>
      <w:marRight w:val="0"/>
      <w:marTop w:val="0"/>
      <w:marBottom w:val="0"/>
      <w:divBdr>
        <w:top w:val="none" w:sz="0" w:space="0" w:color="auto"/>
        <w:left w:val="none" w:sz="0" w:space="0" w:color="auto"/>
        <w:bottom w:val="none" w:sz="0" w:space="0" w:color="auto"/>
        <w:right w:val="none" w:sz="0" w:space="0" w:color="auto"/>
      </w:divBdr>
    </w:div>
    <w:div w:id="357237629">
      <w:bodyDiv w:val="1"/>
      <w:marLeft w:val="0"/>
      <w:marRight w:val="0"/>
      <w:marTop w:val="0"/>
      <w:marBottom w:val="0"/>
      <w:divBdr>
        <w:top w:val="none" w:sz="0" w:space="0" w:color="auto"/>
        <w:left w:val="none" w:sz="0" w:space="0" w:color="auto"/>
        <w:bottom w:val="none" w:sz="0" w:space="0" w:color="auto"/>
        <w:right w:val="none" w:sz="0" w:space="0" w:color="auto"/>
      </w:divBdr>
    </w:div>
    <w:div w:id="402022396">
      <w:bodyDiv w:val="1"/>
      <w:marLeft w:val="0"/>
      <w:marRight w:val="0"/>
      <w:marTop w:val="0"/>
      <w:marBottom w:val="0"/>
      <w:divBdr>
        <w:top w:val="none" w:sz="0" w:space="0" w:color="auto"/>
        <w:left w:val="none" w:sz="0" w:space="0" w:color="auto"/>
        <w:bottom w:val="none" w:sz="0" w:space="0" w:color="auto"/>
        <w:right w:val="none" w:sz="0" w:space="0" w:color="auto"/>
      </w:divBdr>
    </w:div>
    <w:div w:id="462231145">
      <w:bodyDiv w:val="1"/>
      <w:marLeft w:val="0"/>
      <w:marRight w:val="0"/>
      <w:marTop w:val="0"/>
      <w:marBottom w:val="0"/>
      <w:divBdr>
        <w:top w:val="none" w:sz="0" w:space="0" w:color="auto"/>
        <w:left w:val="none" w:sz="0" w:space="0" w:color="auto"/>
        <w:bottom w:val="none" w:sz="0" w:space="0" w:color="auto"/>
        <w:right w:val="none" w:sz="0" w:space="0" w:color="auto"/>
      </w:divBdr>
    </w:div>
    <w:div w:id="554201265">
      <w:bodyDiv w:val="1"/>
      <w:marLeft w:val="0"/>
      <w:marRight w:val="0"/>
      <w:marTop w:val="0"/>
      <w:marBottom w:val="0"/>
      <w:divBdr>
        <w:top w:val="none" w:sz="0" w:space="0" w:color="auto"/>
        <w:left w:val="none" w:sz="0" w:space="0" w:color="auto"/>
        <w:bottom w:val="none" w:sz="0" w:space="0" w:color="auto"/>
        <w:right w:val="none" w:sz="0" w:space="0" w:color="auto"/>
      </w:divBdr>
    </w:div>
    <w:div w:id="557522276">
      <w:bodyDiv w:val="1"/>
      <w:marLeft w:val="0"/>
      <w:marRight w:val="0"/>
      <w:marTop w:val="0"/>
      <w:marBottom w:val="0"/>
      <w:divBdr>
        <w:top w:val="none" w:sz="0" w:space="0" w:color="auto"/>
        <w:left w:val="none" w:sz="0" w:space="0" w:color="auto"/>
        <w:bottom w:val="none" w:sz="0" w:space="0" w:color="auto"/>
        <w:right w:val="none" w:sz="0" w:space="0" w:color="auto"/>
      </w:divBdr>
    </w:div>
    <w:div w:id="610162808">
      <w:bodyDiv w:val="1"/>
      <w:marLeft w:val="0"/>
      <w:marRight w:val="0"/>
      <w:marTop w:val="0"/>
      <w:marBottom w:val="0"/>
      <w:divBdr>
        <w:top w:val="none" w:sz="0" w:space="0" w:color="auto"/>
        <w:left w:val="none" w:sz="0" w:space="0" w:color="auto"/>
        <w:bottom w:val="none" w:sz="0" w:space="0" w:color="auto"/>
        <w:right w:val="none" w:sz="0" w:space="0" w:color="auto"/>
      </w:divBdr>
    </w:div>
    <w:div w:id="669674612">
      <w:bodyDiv w:val="1"/>
      <w:marLeft w:val="0"/>
      <w:marRight w:val="0"/>
      <w:marTop w:val="0"/>
      <w:marBottom w:val="0"/>
      <w:divBdr>
        <w:top w:val="none" w:sz="0" w:space="0" w:color="auto"/>
        <w:left w:val="none" w:sz="0" w:space="0" w:color="auto"/>
        <w:bottom w:val="none" w:sz="0" w:space="0" w:color="auto"/>
        <w:right w:val="none" w:sz="0" w:space="0" w:color="auto"/>
      </w:divBdr>
    </w:div>
    <w:div w:id="1018238346">
      <w:bodyDiv w:val="1"/>
      <w:marLeft w:val="0"/>
      <w:marRight w:val="0"/>
      <w:marTop w:val="0"/>
      <w:marBottom w:val="0"/>
      <w:divBdr>
        <w:top w:val="none" w:sz="0" w:space="0" w:color="auto"/>
        <w:left w:val="none" w:sz="0" w:space="0" w:color="auto"/>
        <w:bottom w:val="none" w:sz="0" w:space="0" w:color="auto"/>
        <w:right w:val="none" w:sz="0" w:space="0" w:color="auto"/>
      </w:divBdr>
    </w:div>
    <w:div w:id="1053849540">
      <w:bodyDiv w:val="1"/>
      <w:marLeft w:val="0"/>
      <w:marRight w:val="0"/>
      <w:marTop w:val="0"/>
      <w:marBottom w:val="0"/>
      <w:divBdr>
        <w:top w:val="none" w:sz="0" w:space="0" w:color="auto"/>
        <w:left w:val="none" w:sz="0" w:space="0" w:color="auto"/>
        <w:bottom w:val="none" w:sz="0" w:space="0" w:color="auto"/>
        <w:right w:val="none" w:sz="0" w:space="0" w:color="auto"/>
      </w:divBdr>
    </w:div>
    <w:div w:id="1285035547">
      <w:bodyDiv w:val="1"/>
      <w:marLeft w:val="0"/>
      <w:marRight w:val="0"/>
      <w:marTop w:val="0"/>
      <w:marBottom w:val="0"/>
      <w:divBdr>
        <w:top w:val="none" w:sz="0" w:space="0" w:color="auto"/>
        <w:left w:val="none" w:sz="0" w:space="0" w:color="auto"/>
        <w:bottom w:val="none" w:sz="0" w:space="0" w:color="auto"/>
        <w:right w:val="none" w:sz="0" w:space="0" w:color="auto"/>
      </w:divBdr>
    </w:div>
    <w:div w:id="1431658754">
      <w:bodyDiv w:val="1"/>
      <w:marLeft w:val="0"/>
      <w:marRight w:val="0"/>
      <w:marTop w:val="0"/>
      <w:marBottom w:val="0"/>
      <w:divBdr>
        <w:top w:val="none" w:sz="0" w:space="0" w:color="auto"/>
        <w:left w:val="none" w:sz="0" w:space="0" w:color="auto"/>
        <w:bottom w:val="none" w:sz="0" w:space="0" w:color="auto"/>
        <w:right w:val="none" w:sz="0" w:space="0" w:color="auto"/>
      </w:divBdr>
    </w:div>
    <w:div w:id="1452357359">
      <w:bodyDiv w:val="1"/>
      <w:marLeft w:val="0"/>
      <w:marRight w:val="0"/>
      <w:marTop w:val="0"/>
      <w:marBottom w:val="0"/>
      <w:divBdr>
        <w:top w:val="none" w:sz="0" w:space="0" w:color="auto"/>
        <w:left w:val="none" w:sz="0" w:space="0" w:color="auto"/>
        <w:bottom w:val="none" w:sz="0" w:space="0" w:color="auto"/>
        <w:right w:val="none" w:sz="0" w:space="0" w:color="auto"/>
      </w:divBdr>
    </w:div>
    <w:div w:id="1603108024">
      <w:bodyDiv w:val="1"/>
      <w:marLeft w:val="0"/>
      <w:marRight w:val="0"/>
      <w:marTop w:val="0"/>
      <w:marBottom w:val="0"/>
      <w:divBdr>
        <w:top w:val="none" w:sz="0" w:space="0" w:color="auto"/>
        <w:left w:val="none" w:sz="0" w:space="0" w:color="auto"/>
        <w:bottom w:val="none" w:sz="0" w:space="0" w:color="auto"/>
        <w:right w:val="none" w:sz="0" w:space="0" w:color="auto"/>
      </w:divBdr>
    </w:div>
    <w:div w:id="1667434509">
      <w:bodyDiv w:val="1"/>
      <w:marLeft w:val="0"/>
      <w:marRight w:val="0"/>
      <w:marTop w:val="0"/>
      <w:marBottom w:val="0"/>
      <w:divBdr>
        <w:top w:val="none" w:sz="0" w:space="0" w:color="auto"/>
        <w:left w:val="none" w:sz="0" w:space="0" w:color="auto"/>
        <w:bottom w:val="none" w:sz="0" w:space="0" w:color="auto"/>
        <w:right w:val="none" w:sz="0" w:space="0" w:color="auto"/>
      </w:divBdr>
    </w:div>
    <w:div w:id="1692681252">
      <w:bodyDiv w:val="1"/>
      <w:marLeft w:val="0"/>
      <w:marRight w:val="0"/>
      <w:marTop w:val="0"/>
      <w:marBottom w:val="0"/>
      <w:divBdr>
        <w:top w:val="none" w:sz="0" w:space="0" w:color="auto"/>
        <w:left w:val="none" w:sz="0" w:space="0" w:color="auto"/>
        <w:bottom w:val="none" w:sz="0" w:space="0" w:color="auto"/>
        <w:right w:val="none" w:sz="0" w:space="0" w:color="auto"/>
      </w:divBdr>
    </w:div>
    <w:div w:id="1788424403">
      <w:bodyDiv w:val="1"/>
      <w:marLeft w:val="0"/>
      <w:marRight w:val="0"/>
      <w:marTop w:val="0"/>
      <w:marBottom w:val="0"/>
      <w:divBdr>
        <w:top w:val="none" w:sz="0" w:space="0" w:color="auto"/>
        <w:left w:val="none" w:sz="0" w:space="0" w:color="auto"/>
        <w:bottom w:val="none" w:sz="0" w:space="0" w:color="auto"/>
        <w:right w:val="none" w:sz="0" w:space="0" w:color="auto"/>
      </w:divBdr>
    </w:div>
    <w:div w:id="1790857033">
      <w:bodyDiv w:val="1"/>
      <w:marLeft w:val="0"/>
      <w:marRight w:val="0"/>
      <w:marTop w:val="0"/>
      <w:marBottom w:val="0"/>
      <w:divBdr>
        <w:top w:val="none" w:sz="0" w:space="0" w:color="auto"/>
        <w:left w:val="none" w:sz="0" w:space="0" w:color="auto"/>
        <w:bottom w:val="none" w:sz="0" w:space="0" w:color="auto"/>
        <w:right w:val="none" w:sz="0" w:space="0" w:color="auto"/>
      </w:divBdr>
    </w:div>
    <w:div w:id="1837577203">
      <w:bodyDiv w:val="1"/>
      <w:marLeft w:val="0"/>
      <w:marRight w:val="0"/>
      <w:marTop w:val="0"/>
      <w:marBottom w:val="0"/>
      <w:divBdr>
        <w:top w:val="none" w:sz="0" w:space="0" w:color="auto"/>
        <w:left w:val="none" w:sz="0" w:space="0" w:color="auto"/>
        <w:bottom w:val="none" w:sz="0" w:space="0" w:color="auto"/>
        <w:right w:val="none" w:sz="0" w:space="0" w:color="auto"/>
      </w:divBdr>
    </w:div>
    <w:div w:id="1962296308">
      <w:bodyDiv w:val="1"/>
      <w:marLeft w:val="0"/>
      <w:marRight w:val="0"/>
      <w:marTop w:val="0"/>
      <w:marBottom w:val="0"/>
      <w:divBdr>
        <w:top w:val="none" w:sz="0" w:space="0" w:color="auto"/>
        <w:left w:val="none" w:sz="0" w:space="0" w:color="auto"/>
        <w:bottom w:val="none" w:sz="0" w:space="0" w:color="auto"/>
        <w:right w:val="none" w:sz="0" w:space="0" w:color="auto"/>
      </w:divBdr>
    </w:div>
    <w:div w:id="2002269538">
      <w:bodyDiv w:val="1"/>
      <w:marLeft w:val="0"/>
      <w:marRight w:val="0"/>
      <w:marTop w:val="0"/>
      <w:marBottom w:val="0"/>
      <w:divBdr>
        <w:top w:val="none" w:sz="0" w:space="0" w:color="auto"/>
        <w:left w:val="none" w:sz="0" w:space="0" w:color="auto"/>
        <w:bottom w:val="none" w:sz="0" w:space="0" w:color="auto"/>
        <w:right w:val="none" w:sz="0" w:space="0" w:color="auto"/>
      </w:divBdr>
    </w:div>
    <w:div w:id="21115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A0831-1AB8-4962-8753-800679E9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cummingsl</dc:creator>
  <cp:lastModifiedBy>Liane McGrath</cp:lastModifiedBy>
  <cp:revision>17</cp:revision>
  <cp:lastPrinted>2019-09-19T15:32:00Z</cp:lastPrinted>
  <dcterms:created xsi:type="dcterms:W3CDTF">2019-09-17T20:49:00Z</dcterms:created>
  <dcterms:modified xsi:type="dcterms:W3CDTF">2019-09-20T08:22:00Z</dcterms:modified>
</cp:coreProperties>
</file>