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14" w:rsidRDefault="006E2514" w:rsidP="001318A5">
      <w:pPr>
        <w:pStyle w:val="BodyText"/>
        <w:kinsoku w:val="0"/>
        <w:overflowPunct w:val="0"/>
        <w:spacing w:before="100" w:line="254" w:lineRule="auto"/>
        <w:ind w:left="1856" w:right="1639"/>
        <w:jc w:val="center"/>
        <w:rPr>
          <w:rFonts w:ascii="Arial" w:hAnsi="Arial" w:cs="Arial"/>
          <w:b/>
          <w:bCs/>
          <w:iCs/>
          <w:color w:val="4F82BD"/>
          <w:sz w:val="64"/>
          <w:szCs w:val="64"/>
        </w:rPr>
      </w:pPr>
      <w:r>
        <w:rPr>
          <w:rFonts w:ascii="Arial" w:hAnsi="Arial" w:cs="Arial"/>
          <w:b/>
          <w:bCs/>
          <w:iCs/>
          <w:noProof/>
          <w:color w:val="4F82BD"/>
          <w:sz w:val="64"/>
          <w:szCs w:val="64"/>
        </w:rPr>
        <w:drawing>
          <wp:anchor distT="0" distB="0" distL="114300" distR="114300" simplePos="0" relativeHeight="251665408" behindDoc="0" locked="0" layoutInCell="1" allowOverlap="1">
            <wp:simplePos x="0" y="0"/>
            <wp:positionH relativeFrom="margin">
              <wp:posOffset>3663950</wp:posOffset>
            </wp:positionH>
            <wp:positionV relativeFrom="margin">
              <wp:posOffset>79375</wp:posOffset>
            </wp:positionV>
            <wp:extent cx="2505075" cy="10445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ual bran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5075" cy="1044575"/>
                    </a:xfrm>
                    <a:prstGeom prst="rect">
                      <a:avLst/>
                    </a:prstGeom>
                  </pic:spPr>
                </pic:pic>
              </a:graphicData>
            </a:graphic>
            <wp14:sizeRelH relativeFrom="margin">
              <wp14:pctWidth>0</wp14:pctWidth>
            </wp14:sizeRelH>
            <wp14:sizeRelV relativeFrom="margin">
              <wp14:pctHeight>0</wp14:pctHeight>
            </wp14:sizeRelV>
          </wp:anchor>
        </w:drawing>
      </w:r>
    </w:p>
    <w:p w:rsidR="006E2514" w:rsidRDefault="006E2514" w:rsidP="001318A5">
      <w:pPr>
        <w:pStyle w:val="BodyText"/>
        <w:kinsoku w:val="0"/>
        <w:overflowPunct w:val="0"/>
        <w:spacing w:before="100" w:line="254" w:lineRule="auto"/>
        <w:ind w:left="1856" w:right="1639"/>
        <w:jc w:val="center"/>
        <w:rPr>
          <w:rFonts w:ascii="Arial" w:hAnsi="Arial" w:cs="Arial"/>
          <w:b/>
          <w:bCs/>
          <w:iCs/>
          <w:color w:val="4F82BD"/>
          <w:sz w:val="64"/>
          <w:szCs w:val="64"/>
        </w:rPr>
      </w:pPr>
    </w:p>
    <w:p w:rsidR="006E2514" w:rsidRDefault="006E2514" w:rsidP="001318A5">
      <w:pPr>
        <w:pStyle w:val="BodyText"/>
        <w:kinsoku w:val="0"/>
        <w:overflowPunct w:val="0"/>
        <w:spacing w:before="100" w:line="254" w:lineRule="auto"/>
        <w:ind w:left="1856" w:right="1639"/>
        <w:jc w:val="center"/>
        <w:rPr>
          <w:rFonts w:ascii="Arial" w:hAnsi="Arial" w:cs="Arial"/>
          <w:b/>
          <w:bCs/>
          <w:iCs/>
          <w:color w:val="4F82BD"/>
          <w:sz w:val="64"/>
          <w:szCs w:val="64"/>
        </w:rPr>
      </w:pPr>
    </w:p>
    <w:p w:rsidR="001318A5" w:rsidRPr="00A67C03" w:rsidRDefault="00E22B67" w:rsidP="00570658">
      <w:pPr>
        <w:pStyle w:val="BodyText"/>
        <w:kinsoku w:val="0"/>
        <w:overflowPunct w:val="0"/>
        <w:spacing w:before="100" w:line="254" w:lineRule="auto"/>
        <w:ind w:left="426" w:right="1316"/>
        <w:rPr>
          <w:rFonts w:ascii="Arial" w:hAnsi="Arial" w:cs="Arial"/>
          <w:b/>
          <w:bCs/>
          <w:iCs/>
          <w:color w:val="4F82BD"/>
          <w:sz w:val="64"/>
          <w:szCs w:val="64"/>
        </w:rPr>
      </w:pPr>
      <w:r>
        <w:rPr>
          <w:rFonts w:ascii="Arial" w:hAnsi="Arial" w:cs="Arial"/>
          <w:b/>
          <w:bCs/>
          <w:iCs/>
          <w:color w:val="4F82BD"/>
          <w:sz w:val="64"/>
          <w:szCs w:val="64"/>
        </w:rPr>
        <w:t>NHS Golden Jubilee</w:t>
      </w:r>
      <w:r w:rsidR="001318A5" w:rsidRPr="00A67C03">
        <w:rPr>
          <w:rFonts w:ascii="Arial" w:hAnsi="Arial" w:cs="Arial"/>
          <w:b/>
          <w:bCs/>
          <w:iCs/>
          <w:color w:val="4F82BD"/>
          <w:sz w:val="64"/>
          <w:szCs w:val="64"/>
        </w:rPr>
        <w:t xml:space="preserve"> Revenue an</w:t>
      </w:r>
      <w:r w:rsidR="008E5C77">
        <w:rPr>
          <w:rFonts w:ascii="Arial" w:hAnsi="Arial" w:cs="Arial"/>
          <w:b/>
          <w:bCs/>
          <w:iCs/>
          <w:color w:val="4F82BD"/>
          <w:sz w:val="64"/>
          <w:szCs w:val="64"/>
        </w:rPr>
        <w:t xml:space="preserve">d Capital </w:t>
      </w:r>
      <w:r w:rsidR="00570658">
        <w:rPr>
          <w:rFonts w:ascii="Arial" w:hAnsi="Arial" w:cs="Arial"/>
          <w:b/>
          <w:bCs/>
          <w:iCs/>
          <w:color w:val="4F82BD"/>
          <w:sz w:val="64"/>
          <w:szCs w:val="64"/>
        </w:rPr>
        <w:t>R</w:t>
      </w:r>
      <w:r w:rsidR="008E5C77">
        <w:rPr>
          <w:rFonts w:ascii="Arial" w:hAnsi="Arial" w:cs="Arial"/>
          <w:b/>
          <w:bCs/>
          <w:iCs/>
          <w:color w:val="4F82BD"/>
          <w:sz w:val="64"/>
          <w:szCs w:val="64"/>
        </w:rPr>
        <w:t>eport to 31</w:t>
      </w:r>
      <w:r w:rsidR="001318A5" w:rsidRPr="00A67C03">
        <w:rPr>
          <w:rFonts w:ascii="Arial" w:hAnsi="Arial" w:cs="Arial"/>
          <w:b/>
          <w:bCs/>
          <w:iCs/>
          <w:color w:val="4F82BD"/>
          <w:sz w:val="64"/>
          <w:szCs w:val="64"/>
        </w:rPr>
        <w:t xml:space="preserve"> </w:t>
      </w:r>
      <w:r w:rsidR="008E5C77">
        <w:rPr>
          <w:rFonts w:ascii="Arial" w:hAnsi="Arial" w:cs="Arial"/>
          <w:b/>
          <w:bCs/>
          <w:iCs/>
          <w:color w:val="4F82BD"/>
          <w:sz w:val="64"/>
          <w:szCs w:val="64"/>
        </w:rPr>
        <w:t>May</w:t>
      </w:r>
      <w:r w:rsidR="001318A5" w:rsidRPr="00A67C03">
        <w:rPr>
          <w:rFonts w:ascii="Arial" w:hAnsi="Arial" w:cs="Arial"/>
          <w:b/>
          <w:bCs/>
          <w:iCs/>
          <w:color w:val="4F82BD"/>
          <w:sz w:val="64"/>
          <w:szCs w:val="64"/>
        </w:rPr>
        <w:t xml:space="preserve"> 2019</w:t>
      </w:r>
      <w:bookmarkStart w:id="0" w:name="_GoBack"/>
      <w:bookmarkEnd w:id="0"/>
    </w:p>
    <w:p w:rsidR="001318A5" w:rsidRDefault="001318A5" w:rsidP="001318A5">
      <w:pPr>
        <w:pStyle w:val="BodyText"/>
        <w:kinsoku w:val="0"/>
        <w:overflowPunct w:val="0"/>
        <w:spacing w:before="1"/>
        <w:rPr>
          <w:rFonts w:ascii="Georgia-BoldItalic" w:hAnsi="Georgia-BoldItalic" w:cs="Georgia-BoldItalic"/>
          <w:b/>
          <w:bCs/>
          <w:i/>
          <w:iCs/>
          <w:sz w:val="29"/>
          <w:szCs w:val="29"/>
        </w:rPr>
      </w:pPr>
    </w:p>
    <w:p w:rsidR="001318A5" w:rsidRDefault="001318A5" w:rsidP="001318A5">
      <w:pPr>
        <w:pStyle w:val="BodyText"/>
        <w:kinsoku w:val="0"/>
        <w:overflowPunct w:val="0"/>
        <w:jc w:val="center"/>
        <w:rPr>
          <w:color w:val="898989"/>
        </w:rPr>
        <w:sectPr w:rsidR="001318A5" w:rsidSect="001318A5">
          <w:headerReference w:type="even" r:id="rId8"/>
          <w:footerReference w:type="even" r:id="rId9"/>
          <w:footerReference w:type="default" r:id="rId10"/>
          <w:footerReference w:type="first" r:id="rId11"/>
          <w:pgSz w:w="11910" w:h="16840"/>
          <w:pgMar w:top="1420" w:right="280" w:bottom="1200" w:left="1100" w:header="720" w:footer="720" w:gutter="0"/>
          <w:cols w:space="720"/>
          <w:noEndnote/>
          <w:docGrid w:linePitch="299"/>
        </w:sectPr>
      </w:pPr>
      <w:r>
        <w:rPr>
          <w:rFonts w:ascii="Georgia-BoldItalic" w:hAnsi="Georgia-BoldItalic" w:cs="Georgia-BoldItalic"/>
          <w:b/>
          <w:bCs/>
          <w:i/>
          <w:iCs/>
          <w:noProof/>
          <w:color w:val="4F82BD"/>
          <w:sz w:val="56"/>
          <w:szCs w:val="56"/>
        </w:rPr>
        <w:drawing>
          <wp:inline distT="0" distB="0" distL="0" distR="0" wp14:anchorId="07FC3547" wp14:editId="7194A89A">
            <wp:extent cx="6082812" cy="405520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6095747" cy="4063831"/>
                    </a:xfrm>
                    <a:prstGeom prst="rect">
                      <a:avLst/>
                    </a:prstGeom>
                    <a:noFill/>
                    <a:ln>
                      <a:noFill/>
                    </a:ln>
                  </pic:spPr>
                </pic:pic>
              </a:graphicData>
            </a:graphic>
          </wp:inline>
        </w:drawing>
      </w:r>
    </w:p>
    <w:p w:rsidR="001318A5" w:rsidRPr="003A04F5" w:rsidRDefault="001318A5" w:rsidP="001318A5">
      <w:pPr>
        <w:pStyle w:val="BodyText"/>
        <w:kinsoku w:val="0"/>
        <w:overflowPunct w:val="0"/>
        <w:ind w:right="-613"/>
        <w:rPr>
          <w:rFonts w:ascii="Arial" w:hAnsi="Arial" w:cs="Arial"/>
          <w:bCs/>
          <w:iCs/>
          <w:color w:val="000000" w:themeColor="text1"/>
          <w:sz w:val="24"/>
          <w:szCs w:val="24"/>
        </w:rPr>
      </w:pPr>
      <w:r w:rsidRPr="003A04F5">
        <w:rPr>
          <w:rFonts w:ascii="Arial" w:hAnsi="Arial" w:cs="Arial"/>
          <w:bCs/>
          <w:iCs/>
          <w:color w:val="000000" w:themeColor="text1"/>
          <w:sz w:val="24"/>
          <w:szCs w:val="24"/>
        </w:rPr>
        <w:lastRenderedPageBreak/>
        <w:t>This finance report describes the financial position</w:t>
      </w:r>
      <w:r w:rsidR="004D4A04">
        <w:rPr>
          <w:rFonts w:ascii="Arial" w:hAnsi="Arial" w:cs="Arial"/>
          <w:bCs/>
          <w:iCs/>
          <w:color w:val="000000" w:themeColor="text1"/>
          <w:sz w:val="24"/>
          <w:szCs w:val="24"/>
        </w:rPr>
        <w:t xml:space="preserve"> as at month 2, for the period ending</w:t>
      </w:r>
      <w:r>
        <w:rPr>
          <w:rFonts w:ascii="Arial" w:hAnsi="Arial" w:cs="Arial"/>
          <w:bCs/>
          <w:iCs/>
          <w:color w:val="000000" w:themeColor="text1"/>
          <w:sz w:val="24"/>
          <w:szCs w:val="24"/>
        </w:rPr>
        <w:t xml:space="preserve"> 31 May </w:t>
      </w:r>
      <w:r w:rsidRPr="003A04F5">
        <w:rPr>
          <w:rFonts w:ascii="Arial" w:hAnsi="Arial" w:cs="Arial"/>
          <w:bCs/>
          <w:iCs/>
          <w:color w:val="000000" w:themeColor="text1"/>
          <w:sz w:val="24"/>
          <w:szCs w:val="24"/>
        </w:rPr>
        <w:t xml:space="preserve">2019. </w:t>
      </w:r>
    </w:p>
    <w:p w:rsidR="001318A5" w:rsidRPr="00527DCA" w:rsidRDefault="001318A5" w:rsidP="001318A5">
      <w:pPr>
        <w:pStyle w:val="BodyText"/>
        <w:kinsoku w:val="0"/>
        <w:overflowPunct w:val="0"/>
        <w:spacing w:before="2"/>
        <w:rPr>
          <w:rFonts w:ascii="Arial" w:hAnsi="Arial" w:cs="Arial"/>
          <w:bCs/>
          <w:iCs/>
          <w:color w:val="000000" w:themeColor="text1"/>
          <w:sz w:val="24"/>
          <w:szCs w:val="24"/>
        </w:rPr>
      </w:pPr>
    </w:p>
    <w:tbl>
      <w:tblPr>
        <w:tblStyle w:val="TableGrid"/>
        <w:tblW w:w="0" w:type="auto"/>
        <w:tblInd w:w="108" w:type="dxa"/>
        <w:tblLook w:val="04A0" w:firstRow="1" w:lastRow="0" w:firstColumn="1" w:lastColumn="0" w:noHBand="0" w:noVBand="1"/>
      </w:tblPr>
      <w:tblGrid>
        <w:gridCol w:w="9134"/>
      </w:tblGrid>
      <w:tr w:rsidR="001318A5" w:rsidTr="001318A5">
        <w:tc>
          <w:tcPr>
            <w:tcW w:w="9134" w:type="dxa"/>
          </w:tcPr>
          <w:p w:rsidR="001318A5" w:rsidRPr="003A04F5" w:rsidRDefault="001318A5" w:rsidP="00577564">
            <w:pPr>
              <w:pStyle w:val="BodyText"/>
              <w:kinsoku w:val="0"/>
              <w:overflowPunct w:val="0"/>
              <w:spacing w:before="2"/>
              <w:rPr>
                <w:rFonts w:ascii="Arial" w:hAnsi="Arial" w:cs="Arial"/>
                <w:b/>
                <w:bCs/>
                <w:iCs/>
                <w:color w:val="000000" w:themeColor="text1"/>
                <w:sz w:val="24"/>
                <w:szCs w:val="24"/>
              </w:rPr>
            </w:pPr>
            <w:r w:rsidRPr="003A04F5">
              <w:rPr>
                <w:rFonts w:ascii="Arial" w:hAnsi="Arial" w:cs="Arial"/>
                <w:b/>
                <w:bCs/>
                <w:iCs/>
                <w:color w:val="000000" w:themeColor="text1"/>
                <w:sz w:val="24"/>
                <w:szCs w:val="24"/>
              </w:rPr>
              <w:t xml:space="preserve">The Board are asked to </w:t>
            </w:r>
          </w:p>
          <w:p w:rsidR="001318A5" w:rsidRPr="00254480" w:rsidRDefault="001318A5" w:rsidP="001318A5">
            <w:pPr>
              <w:pStyle w:val="BodyText"/>
              <w:numPr>
                <w:ilvl w:val="0"/>
                <w:numId w:val="3"/>
              </w:numPr>
              <w:kinsoku w:val="0"/>
              <w:overflowPunct w:val="0"/>
              <w:spacing w:before="2"/>
              <w:rPr>
                <w:rFonts w:ascii="Arial" w:hAnsi="Arial" w:cs="Arial"/>
                <w:bCs/>
                <w:iCs/>
                <w:color w:val="000000" w:themeColor="text1"/>
                <w:sz w:val="24"/>
                <w:szCs w:val="24"/>
              </w:rPr>
            </w:pPr>
            <w:r w:rsidRPr="00254480">
              <w:rPr>
                <w:rFonts w:ascii="Arial" w:hAnsi="Arial" w:cs="Arial"/>
                <w:bCs/>
                <w:iCs/>
                <w:color w:val="000000" w:themeColor="text1"/>
                <w:sz w:val="24"/>
                <w:szCs w:val="24"/>
              </w:rPr>
              <w:t>Note the financ</w:t>
            </w:r>
            <w:r w:rsidR="004D4A04">
              <w:rPr>
                <w:rFonts w:ascii="Arial" w:hAnsi="Arial" w:cs="Arial"/>
                <w:bCs/>
                <w:iCs/>
                <w:color w:val="000000" w:themeColor="text1"/>
                <w:sz w:val="24"/>
                <w:szCs w:val="24"/>
              </w:rPr>
              <w:t>ial position for month 2, as at</w:t>
            </w:r>
            <w:r w:rsidRPr="00254480">
              <w:rPr>
                <w:rFonts w:ascii="Arial" w:hAnsi="Arial" w:cs="Arial"/>
                <w:bCs/>
                <w:iCs/>
                <w:color w:val="000000" w:themeColor="text1"/>
                <w:sz w:val="24"/>
                <w:szCs w:val="24"/>
              </w:rPr>
              <w:t xml:space="preserve"> 31 May 2019 for the financial year 2019/20</w:t>
            </w:r>
          </w:p>
          <w:p w:rsidR="001318A5" w:rsidRPr="00254480" w:rsidRDefault="001318A5" w:rsidP="001318A5">
            <w:pPr>
              <w:pStyle w:val="BodyText"/>
              <w:numPr>
                <w:ilvl w:val="0"/>
                <w:numId w:val="3"/>
              </w:numPr>
              <w:kinsoku w:val="0"/>
              <w:overflowPunct w:val="0"/>
              <w:spacing w:before="2"/>
              <w:rPr>
                <w:rFonts w:ascii="Arial" w:hAnsi="Arial" w:cs="Arial"/>
                <w:bCs/>
                <w:iCs/>
                <w:color w:val="000000" w:themeColor="text1"/>
                <w:sz w:val="24"/>
                <w:szCs w:val="24"/>
              </w:rPr>
            </w:pPr>
            <w:r w:rsidRPr="00254480">
              <w:rPr>
                <w:rFonts w:ascii="Arial" w:hAnsi="Arial" w:cs="Arial"/>
                <w:bCs/>
                <w:iCs/>
                <w:color w:val="000000" w:themeColor="text1"/>
                <w:sz w:val="24"/>
                <w:szCs w:val="24"/>
              </w:rPr>
              <w:t>Note the key messages as highlighted including agreed actions</w:t>
            </w:r>
          </w:p>
          <w:p w:rsidR="001318A5" w:rsidRPr="00095306" w:rsidRDefault="001318A5" w:rsidP="00577564">
            <w:pPr>
              <w:pStyle w:val="BodyText"/>
              <w:numPr>
                <w:ilvl w:val="0"/>
                <w:numId w:val="3"/>
              </w:numPr>
              <w:kinsoku w:val="0"/>
              <w:overflowPunct w:val="0"/>
              <w:spacing w:before="2"/>
              <w:rPr>
                <w:rFonts w:ascii="Arial" w:hAnsi="Arial" w:cs="Arial"/>
                <w:bCs/>
                <w:iCs/>
                <w:color w:val="000000" w:themeColor="text1"/>
                <w:sz w:val="24"/>
                <w:szCs w:val="24"/>
              </w:rPr>
            </w:pPr>
            <w:r w:rsidRPr="00254480">
              <w:rPr>
                <w:rFonts w:ascii="Arial" w:hAnsi="Arial" w:cs="Arial"/>
                <w:bCs/>
                <w:iCs/>
                <w:color w:val="000000" w:themeColor="text1"/>
                <w:sz w:val="24"/>
                <w:szCs w:val="24"/>
              </w:rPr>
              <w:t>Note the key risks and management of these</w:t>
            </w:r>
          </w:p>
        </w:tc>
      </w:tr>
      <w:tr w:rsidR="001318A5" w:rsidTr="001318A5">
        <w:tc>
          <w:tcPr>
            <w:tcW w:w="9134" w:type="dxa"/>
          </w:tcPr>
          <w:p w:rsidR="001318A5" w:rsidRPr="007B06DD" w:rsidRDefault="001318A5" w:rsidP="00577564">
            <w:pPr>
              <w:pStyle w:val="BodyText"/>
              <w:kinsoku w:val="0"/>
              <w:overflowPunct w:val="0"/>
              <w:spacing w:before="2"/>
              <w:rPr>
                <w:rFonts w:ascii="Arial" w:hAnsi="Arial" w:cs="Arial"/>
                <w:b/>
                <w:bCs/>
                <w:iCs/>
                <w:color w:val="0070C0"/>
                <w:sz w:val="24"/>
                <w:szCs w:val="24"/>
              </w:rPr>
            </w:pPr>
            <w:r w:rsidRPr="007B06DD">
              <w:rPr>
                <w:rFonts w:ascii="Arial" w:hAnsi="Arial" w:cs="Arial"/>
                <w:b/>
                <w:bCs/>
                <w:iCs/>
                <w:color w:val="0070C0"/>
                <w:sz w:val="24"/>
                <w:szCs w:val="24"/>
              </w:rPr>
              <w:t>Key Messages</w:t>
            </w:r>
          </w:p>
          <w:p w:rsidR="001318A5" w:rsidRPr="003A04F5" w:rsidRDefault="001318A5" w:rsidP="001318A5">
            <w:pPr>
              <w:pStyle w:val="BodyText"/>
              <w:numPr>
                <w:ilvl w:val="0"/>
                <w:numId w:val="2"/>
              </w:numPr>
              <w:kinsoku w:val="0"/>
              <w:overflowPunct w:val="0"/>
              <w:spacing w:before="114" w:line="254" w:lineRule="auto"/>
              <w:ind w:right="1043"/>
              <w:rPr>
                <w:rFonts w:ascii="Arial" w:hAnsi="Arial" w:cs="Arial"/>
                <w:sz w:val="24"/>
                <w:szCs w:val="24"/>
              </w:rPr>
            </w:pPr>
            <w:r>
              <w:rPr>
                <w:rFonts w:ascii="Arial" w:hAnsi="Arial" w:cs="Arial"/>
                <w:sz w:val="24"/>
                <w:szCs w:val="24"/>
              </w:rPr>
              <w:t>Total surplus as at Month two (2) of £1.094</w:t>
            </w:r>
            <w:r w:rsidRPr="003A04F5">
              <w:rPr>
                <w:rFonts w:ascii="Arial" w:hAnsi="Arial" w:cs="Arial"/>
                <w:sz w:val="24"/>
                <w:szCs w:val="24"/>
              </w:rPr>
              <w:t>m (includes both core and non-core expenditure).</w:t>
            </w:r>
          </w:p>
          <w:p w:rsidR="001318A5" w:rsidRPr="003A04F5" w:rsidRDefault="001318A5" w:rsidP="001318A5">
            <w:pPr>
              <w:pStyle w:val="BodyText"/>
              <w:numPr>
                <w:ilvl w:val="0"/>
                <w:numId w:val="2"/>
              </w:numPr>
              <w:kinsoku w:val="0"/>
              <w:overflowPunct w:val="0"/>
              <w:spacing w:before="114" w:line="254" w:lineRule="auto"/>
              <w:ind w:right="1043"/>
              <w:rPr>
                <w:rFonts w:ascii="Arial" w:hAnsi="Arial" w:cs="Arial"/>
                <w:sz w:val="24"/>
                <w:szCs w:val="24"/>
              </w:rPr>
            </w:pPr>
            <w:r w:rsidRPr="003A04F5">
              <w:rPr>
                <w:rFonts w:ascii="Arial" w:hAnsi="Arial" w:cs="Arial"/>
                <w:sz w:val="24"/>
                <w:szCs w:val="24"/>
              </w:rPr>
              <w:t>This is in line with t</w:t>
            </w:r>
            <w:r>
              <w:rPr>
                <w:rFonts w:ascii="Arial" w:hAnsi="Arial" w:cs="Arial"/>
                <w:sz w:val="24"/>
                <w:szCs w:val="24"/>
              </w:rPr>
              <w:t>he Forecast Financial Plan of £1.000</w:t>
            </w:r>
            <w:r w:rsidRPr="003A04F5">
              <w:rPr>
                <w:rFonts w:ascii="Arial" w:hAnsi="Arial" w:cs="Arial"/>
                <w:sz w:val="24"/>
                <w:szCs w:val="24"/>
              </w:rPr>
              <w:t xml:space="preserve">m under-spend against core RRL by the end of </w:t>
            </w:r>
            <w:r>
              <w:rPr>
                <w:rFonts w:ascii="Arial" w:hAnsi="Arial" w:cs="Arial"/>
                <w:sz w:val="24"/>
                <w:szCs w:val="24"/>
              </w:rPr>
              <w:t>quarter 1- June 2019</w:t>
            </w:r>
            <w:r w:rsidRPr="003A04F5">
              <w:rPr>
                <w:rFonts w:ascii="Arial" w:hAnsi="Arial" w:cs="Arial"/>
                <w:sz w:val="24"/>
                <w:szCs w:val="24"/>
              </w:rPr>
              <w:t xml:space="preserve">. </w:t>
            </w:r>
          </w:p>
          <w:p w:rsidR="001318A5" w:rsidRPr="003A04F5" w:rsidRDefault="001318A5" w:rsidP="001318A5">
            <w:pPr>
              <w:pStyle w:val="BodyText"/>
              <w:numPr>
                <w:ilvl w:val="0"/>
                <w:numId w:val="2"/>
              </w:numPr>
              <w:kinsoku w:val="0"/>
              <w:overflowPunct w:val="0"/>
              <w:spacing w:before="114" w:line="254" w:lineRule="auto"/>
              <w:ind w:right="1043"/>
              <w:rPr>
                <w:rFonts w:ascii="Arial" w:hAnsi="Arial" w:cs="Arial"/>
                <w:sz w:val="24"/>
                <w:szCs w:val="24"/>
              </w:rPr>
            </w:pPr>
            <w:r w:rsidRPr="003A04F5">
              <w:rPr>
                <w:rFonts w:ascii="Arial" w:hAnsi="Arial" w:cs="Arial"/>
                <w:sz w:val="24"/>
                <w:szCs w:val="24"/>
              </w:rPr>
              <w:t>The Core surplus is made up of the following: -</w:t>
            </w:r>
          </w:p>
          <w:p w:rsidR="001318A5" w:rsidRPr="003A04F5" w:rsidRDefault="001318A5" w:rsidP="001318A5">
            <w:pPr>
              <w:pStyle w:val="BodyText"/>
              <w:numPr>
                <w:ilvl w:val="0"/>
                <w:numId w:val="1"/>
              </w:numPr>
              <w:kinsoku w:val="0"/>
              <w:overflowPunct w:val="0"/>
              <w:spacing w:before="114" w:line="254" w:lineRule="auto"/>
              <w:ind w:right="1043"/>
              <w:rPr>
                <w:rFonts w:ascii="Arial" w:hAnsi="Arial" w:cs="Arial"/>
                <w:sz w:val="24"/>
                <w:szCs w:val="24"/>
              </w:rPr>
            </w:pPr>
            <w:r>
              <w:rPr>
                <w:rFonts w:ascii="Arial" w:hAnsi="Arial" w:cs="Arial"/>
                <w:sz w:val="24"/>
                <w:szCs w:val="24"/>
              </w:rPr>
              <w:t>Income – above target by £</w:t>
            </w:r>
            <w:r w:rsidR="004D4A04">
              <w:rPr>
                <w:rFonts w:ascii="Arial" w:hAnsi="Arial" w:cs="Arial"/>
                <w:sz w:val="24"/>
                <w:szCs w:val="24"/>
              </w:rPr>
              <w:t>0.01</w:t>
            </w:r>
            <w:r w:rsidR="00AE5418">
              <w:rPr>
                <w:rFonts w:ascii="Arial" w:hAnsi="Arial" w:cs="Arial"/>
                <w:sz w:val="24"/>
                <w:szCs w:val="24"/>
              </w:rPr>
              <w:t>6</w:t>
            </w:r>
            <w:r w:rsidR="004D4A04">
              <w:rPr>
                <w:rFonts w:ascii="Arial" w:hAnsi="Arial" w:cs="Arial"/>
                <w:sz w:val="24"/>
                <w:szCs w:val="24"/>
              </w:rPr>
              <w:t>m</w:t>
            </w:r>
            <w:r w:rsidRPr="003A04F5">
              <w:rPr>
                <w:rFonts w:ascii="Arial" w:hAnsi="Arial" w:cs="Arial"/>
                <w:sz w:val="24"/>
                <w:szCs w:val="24"/>
              </w:rPr>
              <w:t xml:space="preserve"> year to date.</w:t>
            </w:r>
          </w:p>
          <w:p w:rsidR="001318A5" w:rsidRPr="003A04F5" w:rsidRDefault="001318A5" w:rsidP="001318A5">
            <w:pPr>
              <w:pStyle w:val="BodyText"/>
              <w:numPr>
                <w:ilvl w:val="0"/>
                <w:numId w:val="1"/>
              </w:numPr>
              <w:kinsoku w:val="0"/>
              <w:overflowPunct w:val="0"/>
              <w:spacing w:before="114" w:line="254" w:lineRule="auto"/>
              <w:ind w:right="1043"/>
              <w:rPr>
                <w:rFonts w:ascii="Arial" w:hAnsi="Arial" w:cs="Arial"/>
                <w:sz w:val="24"/>
                <w:szCs w:val="24"/>
              </w:rPr>
            </w:pPr>
            <w:r>
              <w:rPr>
                <w:rFonts w:ascii="Arial" w:hAnsi="Arial" w:cs="Arial"/>
                <w:sz w:val="24"/>
                <w:szCs w:val="24"/>
              </w:rPr>
              <w:t>Core expenditure – und</w:t>
            </w:r>
            <w:r w:rsidRPr="003A04F5">
              <w:rPr>
                <w:rFonts w:ascii="Arial" w:hAnsi="Arial" w:cs="Arial"/>
                <w:sz w:val="24"/>
                <w:szCs w:val="24"/>
              </w:rPr>
              <w:t>er</w:t>
            </w:r>
            <w:r>
              <w:rPr>
                <w:rFonts w:ascii="Arial" w:hAnsi="Arial" w:cs="Arial"/>
                <w:sz w:val="24"/>
                <w:szCs w:val="24"/>
              </w:rPr>
              <w:t>-</w:t>
            </w:r>
            <w:r w:rsidRPr="003A04F5">
              <w:rPr>
                <w:rFonts w:ascii="Arial" w:hAnsi="Arial" w:cs="Arial"/>
                <w:sz w:val="24"/>
                <w:szCs w:val="24"/>
              </w:rPr>
              <w:t xml:space="preserve">spend of </w:t>
            </w:r>
            <w:r w:rsidR="004D4A04">
              <w:rPr>
                <w:rFonts w:ascii="Arial" w:hAnsi="Arial" w:cs="Arial"/>
                <w:sz w:val="24"/>
                <w:szCs w:val="24"/>
              </w:rPr>
              <w:t>£1.</w:t>
            </w:r>
            <w:r>
              <w:rPr>
                <w:rFonts w:ascii="Arial" w:hAnsi="Arial" w:cs="Arial"/>
                <w:sz w:val="24"/>
                <w:szCs w:val="24"/>
              </w:rPr>
              <w:t>04</w:t>
            </w:r>
            <w:r w:rsidR="004D4A04">
              <w:rPr>
                <w:rFonts w:ascii="Arial" w:hAnsi="Arial" w:cs="Arial"/>
                <w:sz w:val="24"/>
                <w:szCs w:val="24"/>
              </w:rPr>
              <w:t>9m</w:t>
            </w:r>
            <w:r w:rsidRPr="003A04F5">
              <w:rPr>
                <w:rFonts w:ascii="Arial" w:hAnsi="Arial" w:cs="Arial"/>
                <w:sz w:val="24"/>
                <w:szCs w:val="24"/>
              </w:rPr>
              <w:t xml:space="preserve"> year to date.</w:t>
            </w:r>
          </w:p>
          <w:p w:rsidR="001318A5" w:rsidRPr="003A04F5" w:rsidRDefault="001318A5" w:rsidP="001318A5">
            <w:pPr>
              <w:pStyle w:val="BodyText"/>
              <w:numPr>
                <w:ilvl w:val="0"/>
                <w:numId w:val="1"/>
              </w:numPr>
              <w:kinsoku w:val="0"/>
              <w:overflowPunct w:val="0"/>
              <w:spacing w:before="114" w:line="254" w:lineRule="auto"/>
              <w:ind w:right="1043"/>
              <w:rPr>
                <w:rFonts w:ascii="Arial" w:hAnsi="Arial" w:cs="Arial"/>
                <w:sz w:val="24"/>
                <w:szCs w:val="24"/>
              </w:rPr>
            </w:pPr>
            <w:r w:rsidRPr="003A04F5">
              <w:rPr>
                <w:rFonts w:ascii="Arial" w:hAnsi="Arial" w:cs="Arial"/>
                <w:sz w:val="24"/>
                <w:szCs w:val="24"/>
              </w:rPr>
              <w:t>Non-core expenditu</w:t>
            </w:r>
            <w:r>
              <w:rPr>
                <w:rFonts w:ascii="Arial" w:hAnsi="Arial" w:cs="Arial"/>
                <w:sz w:val="24"/>
                <w:szCs w:val="24"/>
              </w:rPr>
              <w:t>re reflects an under-spend of £</w:t>
            </w:r>
            <w:r w:rsidR="004D4A04">
              <w:rPr>
                <w:rFonts w:ascii="Arial" w:hAnsi="Arial" w:cs="Arial"/>
                <w:sz w:val="24"/>
                <w:szCs w:val="24"/>
              </w:rPr>
              <w:t>0.0</w:t>
            </w:r>
            <w:r>
              <w:rPr>
                <w:rFonts w:ascii="Arial" w:hAnsi="Arial" w:cs="Arial"/>
                <w:sz w:val="24"/>
                <w:szCs w:val="24"/>
              </w:rPr>
              <w:t>29</w:t>
            </w:r>
            <w:r w:rsidR="004D4A04">
              <w:rPr>
                <w:rFonts w:ascii="Arial" w:hAnsi="Arial" w:cs="Arial"/>
                <w:sz w:val="24"/>
                <w:szCs w:val="24"/>
              </w:rPr>
              <w:t>m</w:t>
            </w:r>
            <w:r w:rsidRPr="003A04F5">
              <w:rPr>
                <w:rFonts w:ascii="Arial" w:hAnsi="Arial" w:cs="Arial"/>
                <w:sz w:val="24"/>
                <w:szCs w:val="24"/>
              </w:rPr>
              <w:t xml:space="preserve"> year to date.</w:t>
            </w:r>
          </w:p>
          <w:p w:rsidR="001318A5" w:rsidRDefault="004D4A04" w:rsidP="001318A5">
            <w:pPr>
              <w:pStyle w:val="BodyText"/>
              <w:numPr>
                <w:ilvl w:val="0"/>
                <w:numId w:val="1"/>
              </w:numPr>
              <w:kinsoku w:val="0"/>
              <w:overflowPunct w:val="0"/>
              <w:spacing w:before="114" w:line="254" w:lineRule="auto"/>
              <w:ind w:right="1043"/>
              <w:rPr>
                <w:rFonts w:ascii="Arial" w:hAnsi="Arial" w:cs="Arial"/>
                <w:sz w:val="24"/>
                <w:szCs w:val="24"/>
              </w:rPr>
            </w:pPr>
            <w:r>
              <w:rPr>
                <w:rFonts w:ascii="Arial" w:hAnsi="Arial" w:cs="Arial"/>
                <w:sz w:val="24"/>
                <w:szCs w:val="24"/>
              </w:rPr>
              <w:t>Divisional budget sign-</w:t>
            </w:r>
            <w:r w:rsidR="001318A5">
              <w:rPr>
                <w:rFonts w:ascii="Arial" w:hAnsi="Arial" w:cs="Arial"/>
                <w:sz w:val="24"/>
                <w:szCs w:val="24"/>
              </w:rPr>
              <w:t xml:space="preserve">off is in final stage and therefore budget position reflects the roll forward recurring baseline as at April 2019 plus 2019/20 AFC pay award only. Superannuation increased costs are reflected from April 2019 within each Division’s expenditure and will be a driver of the current overspend by circa </w:t>
            </w:r>
            <w:r w:rsidR="001318A5" w:rsidRPr="00E11639">
              <w:rPr>
                <w:rFonts w:ascii="Arial" w:hAnsi="Arial" w:cs="Arial"/>
                <w:sz w:val="24"/>
                <w:szCs w:val="24"/>
              </w:rPr>
              <w:t>£</w:t>
            </w:r>
            <w:r w:rsidR="00AE5418">
              <w:rPr>
                <w:rFonts w:ascii="Arial" w:hAnsi="Arial" w:cs="Arial"/>
                <w:sz w:val="24"/>
                <w:szCs w:val="24"/>
              </w:rPr>
              <w:t>0.600m</w:t>
            </w:r>
            <w:r w:rsidR="001318A5">
              <w:rPr>
                <w:rFonts w:ascii="Arial" w:hAnsi="Arial" w:cs="Arial"/>
                <w:sz w:val="24"/>
                <w:szCs w:val="24"/>
              </w:rPr>
              <w:t xml:space="preserve">. </w:t>
            </w:r>
          </w:p>
          <w:p w:rsidR="001318A5" w:rsidRDefault="001318A5" w:rsidP="001318A5">
            <w:pPr>
              <w:pStyle w:val="BodyText"/>
              <w:numPr>
                <w:ilvl w:val="0"/>
                <w:numId w:val="1"/>
              </w:numPr>
              <w:kinsoku w:val="0"/>
              <w:overflowPunct w:val="0"/>
              <w:spacing w:before="114" w:line="254" w:lineRule="auto"/>
              <w:ind w:right="1043"/>
              <w:rPr>
                <w:rFonts w:ascii="Arial" w:hAnsi="Arial" w:cs="Arial"/>
                <w:sz w:val="24"/>
                <w:szCs w:val="24"/>
              </w:rPr>
            </w:pPr>
            <w:r>
              <w:rPr>
                <w:rFonts w:ascii="Arial" w:hAnsi="Arial" w:cs="Arial"/>
                <w:sz w:val="24"/>
                <w:szCs w:val="24"/>
              </w:rPr>
              <w:t>Pay award for medical and Senior Management/Executive staff has been budgeted within reserves but not yet allocated to divisions as this has not yet been processed via payroll. The superannuation increase has been provided for on the basis of the 6% increase on budgeted wte. As described in the financial plan the Board is anticipating funding from Scottish Government (SG) to cover the superannuation increase however funding is calculated on the basis of the March’19</w:t>
            </w:r>
            <w:r w:rsidR="004D4A04">
              <w:rPr>
                <w:rFonts w:ascii="Arial" w:hAnsi="Arial" w:cs="Arial"/>
                <w:sz w:val="24"/>
                <w:szCs w:val="24"/>
              </w:rPr>
              <w:t xml:space="preserve"> cumulative</w:t>
            </w:r>
            <w:r>
              <w:rPr>
                <w:rFonts w:ascii="Arial" w:hAnsi="Arial" w:cs="Arial"/>
                <w:sz w:val="24"/>
                <w:szCs w:val="24"/>
              </w:rPr>
              <w:t xml:space="preserve"> SPPA contributions for the Board. Budget will be released once this allocation has been received.</w:t>
            </w:r>
          </w:p>
          <w:p w:rsidR="001318A5" w:rsidRPr="009B559F" w:rsidRDefault="001318A5" w:rsidP="001318A5">
            <w:pPr>
              <w:pStyle w:val="BodyText"/>
              <w:numPr>
                <w:ilvl w:val="0"/>
                <w:numId w:val="1"/>
              </w:numPr>
              <w:kinsoku w:val="0"/>
              <w:overflowPunct w:val="0"/>
              <w:spacing w:before="114" w:line="254" w:lineRule="auto"/>
              <w:ind w:right="1043"/>
              <w:rPr>
                <w:rFonts w:ascii="Arial" w:hAnsi="Arial" w:cs="Arial"/>
                <w:sz w:val="24"/>
                <w:szCs w:val="24"/>
              </w:rPr>
            </w:pPr>
            <w:r w:rsidRPr="009B559F">
              <w:rPr>
                <w:rFonts w:ascii="Arial" w:hAnsi="Arial" w:cs="Arial"/>
                <w:sz w:val="24"/>
                <w:szCs w:val="24"/>
              </w:rPr>
              <w:t>Efficiency Savings target of £4.807m reflects a gap of £</w:t>
            </w:r>
            <w:r w:rsidR="00AE5418">
              <w:rPr>
                <w:rFonts w:ascii="Arial" w:hAnsi="Arial" w:cs="Arial"/>
                <w:sz w:val="24"/>
                <w:szCs w:val="24"/>
              </w:rPr>
              <w:t>0.955m</w:t>
            </w:r>
            <w:r w:rsidRPr="009B559F">
              <w:rPr>
                <w:rFonts w:ascii="Arial" w:hAnsi="Arial" w:cs="Arial"/>
                <w:sz w:val="24"/>
                <w:szCs w:val="24"/>
              </w:rPr>
              <w:t xml:space="preserve"> at this point but </w:t>
            </w:r>
            <w:r>
              <w:rPr>
                <w:rFonts w:ascii="Arial" w:hAnsi="Arial" w:cs="Arial"/>
                <w:sz w:val="24"/>
                <w:szCs w:val="24"/>
              </w:rPr>
              <w:t>some corporate schemes have yet to be defined and calculated and will reduce the gap further. W</w:t>
            </w:r>
            <w:r w:rsidRPr="009B559F">
              <w:rPr>
                <w:rFonts w:ascii="Arial" w:hAnsi="Arial" w:cs="Arial"/>
                <w:sz w:val="24"/>
                <w:szCs w:val="24"/>
              </w:rPr>
              <w:t>ork continues with budget managers and Divisions to bring this in line.</w:t>
            </w:r>
          </w:p>
          <w:p w:rsidR="001318A5" w:rsidRPr="000C4806" w:rsidRDefault="001318A5" w:rsidP="001318A5">
            <w:pPr>
              <w:pStyle w:val="BodyText"/>
              <w:numPr>
                <w:ilvl w:val="0"/>
                <w:numId w:val="1"/>
              </w:numPr>
              <w:kinsoku w:val="0"/>
              <w:overflowPunct w:val="0"/>
              <w:spacing w:before="114" w:line="254" w:lineRule="auto"/>
              <w:ind w:right="1043"/>
              <w:rPr>
                <w:rFonts w:ascii="Arial" w:hAnsi="Arial" w:cs="Arial"/>
                <w:sz w:val="24"/>
                <w:szCs w:val="24"/>
              </w:rPr>
            </w:pPr>
            <w:r>
              <w:rPr>
                <w:rFonts w:ascii="Arial" w:hAnsi="Arial" w:cs="Arial"/>
                <w:sz w:val="24"/>
                <w:szCs w:val="24"/>
              </w:rPr>
              <w:t xml:space="preserve">There are no reasons, at this early stage in the financial year, that cause any undue concern. </w:t>
            </w:r>
            <w:r w:rsidRPr="003A04F5">
              <w:rPr>
                <w:rFonts w:ascii="Arial" w:hAnsi="Arial" w:cs="Arial"/>
                <w:sz w:val="24"/>
                <w:szCs w:val="24"/>
              </w:rPr>
              <w:t xml:space="preserve">It is </w:t>
            </w:r>
            <w:r>
              <w:rPr>
                <w:rFonts w:ascii="Arial" w:hAnsi="Arial" w:cs="Arial"/>
                <w:sz w:val="24"/>
                <w:szCs w:val="24"/>
              </w:rPr>
              <w:t xml:space="preserve">therefore </w:t>
            </w:r>
            <w:r w:rsidRPr="003A04F5">
              <w:rPr>
                <w:rFonts w:ascii="Arial" w:hAnsi="Arial" w:cs="Arial"/>
                <w:sz w:val="24"/>
                <w:szCs w:val="24"/>
              </w:rPr>
              <w:t>anticipated that the Board will achieve the target agreed with the Scottish Government Health and Social Care Directorate and the delivery of our approved financial plan.</w:t>
            </w:r>
          </w:p>
        </w:tc>
      </w:tr>
    </w:tbl>
    <w:p w:rsidR="001318A5" w:rsidRPr="007B06DD" w:rsidRDefault="001318A5" w:rsidP="001318A5">
      <w:pPr>
        <w:pStyle w:val="BodyText"/>
        <w:kinsoku w:val="0"/>
        <w:overflowPunct w:val="0"/>
        <w:spacing w:before="114" w:line="254" w:lineRule="auto"/>
        <w:ind w:right="1043"/>
        <w:rPr>
          <w:rFonts w:ascii="Arial" w:hAnsi="Arial" w:cs="Arial"/>
          <w:b/>
          <w:color w:val="0070C0"/>
          <w:sz w:val="24"/>
          <w:szCs w:val="24"/>
        </w:rPr>
      </w:pPr>
      <w:r w:rsidRPr="007B06DD">
        <w:rPr>
          <w:rFonts w:ascii="Arial" w:hAnsi="Arial" w:cs="Arial"/>
          <w:b/>
          <w:color w:val="0070C0"/>
          <w:sz w:val="24"/>
          <w:szCs w:val="24"/>
        </w:rPr>
        <w:lastRenderedPageBreak/>
        <w:t>Key Actions Agreed in this Period</w:t>
      </w:r>
    </w:p>
    <w:p w:rsidR="001318A5" w:rsidRPr="00532EE0" w:rsidRDefault="001318A5" w:rsidP="001318A5">
      <w:pPr>
        <w:pStyle w:val="BodyText"/>
        <w:numPr>
          <w:ilvl w:val="0"/>
          <w:numId w:val="6"/>
        </w:numPr>
        <w:kinsoku w:val="0"/>
        <w:overflowPunct w:val="0"/>
        <w:spacing w:before="114" w:line="254" w:lineRule="auto"/>
        <w:ind w:right="1043"/>
        <w:rPr>
          <w:rFonts w:ascii="Arial" w:hAnsi="Arial" w:cs="Arial"/>
          <w:sz w:val="24"/>
          <w:szCs w:val="24"/>
        </w:rPr>
      </w:pPr>
      <w:r w:rsidRPr="00532EE0">
        <w:rPr>
          <w:rFonts w:ascii="Arial" w:hAnsi="Arial" w:cs="Arial"/>
          <w:b/>
          <w:sz w:val="24"/>
          <w:szCs w:val="24"/>
        </w:rPr>
        <w:t>Efficiency Savings</w:t>
      </w:r>
      <w:r w:rsidRPr="00532EE0">
        <w:rPr>
          <w:rFonts w:ascii="Arial" w:hAnsi="Arial" w:cs="Arial"/>
          <w:sz w:val="24"/>
          <w:szCs w:val="24"/>
        </w:rPr>
        <w:t xml:space="preserve"> </w:t>
      </w:r>
    </w:p>
    <w:p w:rsidR="001318A5" w:rsidRPr="00532EE0" w:rsidRDefault="001318A5" w:rsidP="001318A5">
      <w:pPr>
        <w:pStyle w:val="BodyText"/>
        <w:kinsoku w:val="0"/>
        <w:overflowPunct w:val="0"/>
        <w:spacing w:before="114" w:line="254" w:lineRule="auto"/>
        <w:ind w:left="360" w:right="1043"/>
        <w:rPr>
          <w:rFonts w:ascii="Arial" w:hAnsi="Arial" w:cs="Arial"/>
          <w:sz w:val="24"/>
          <w:szCs w:val="24"/>
        </w:rPr>
      </w:pPr>
      <w:r w:rsidRPr="00532EE0">
        <w:rPr>
          <w:rFonts w:ascii="Arial" w:hAnsi="Arial" w:cs="Arial"/>
          <w:sz w:val="24"/>
          <w:szCs w:val="24"/>
        </w:rPr>
        <w:t xml:space="preserve">As </w:t>
      </w:r>
      <w:r>
        <w:rPr>
          <w:rFonts w:ascii="Arial" w:hAnsi="Arial" w:cs="Arial"/>
          <w:sz w:val="24"/>
          <w:szCs w:val="24"/>
        </w:rPr>
        <w:t>Highlighted above there remains a gap of £</w:t>
      </w:r>
      <w:r w:rsidR="004D4A04">
        <w:rPr>
          <w:rFonts w:ascii="Arial" w:hAnsi="Arial" w:cs="Arial"/>
          <w:sz w:val="24"/>
          <w:szCs w:val="24"/>
        </w:rPr>
        <w:t>0.955m</w:t>
      </w:r>
      <w:r>
        <w:rPr>
          <w:rFonts w:ascii="Arial" w:hAnsi="Arial" w:cs="Arial"/>
          <w:sz w:val="24"/>
          <w:szCs w:val="24"/>
        </w:rPr>
        <w:t xml:space="preserve"> in detailed efficiency schemes to achieve the current annual 2019/20 £4.807m target. Most of the schemes identified at this stage are earmarked as recurring.</w:t>
      </w:r>
    </w:p>
    <w:p w:rsidR="001318A5" w:rsidRDefault="001318A5" w:rsidP="001318A5">
      <w:pPr>
        <w:pStyle w:val="BodyText"/>
        <w:kinsoku w:val="0"/>
        <w:overflowPunct w:val="0"/>
        <w:spacing w:before="114" w:line="254" w:lineRule="auto"/>
        <w:ind w:left="360" w:right="1043"/>
        <w:rPr>
          <w:rFonts w:ascii="Arial" w:hAnsi="Arial" w:cs="Arial"/>
          <w:sz w:val="24"/>
          <w:szCs w:val="24"/>
        </w:rPr>
      </w:pPr>
      <w:r w:rsidRPr="00B25D8E">
        <w:rPr>
          <w:rFonts w:ascii="Arial" w:hAnsi="Arial" w:cs="Arial"/>
          <w:b/>
          <w:sz w:val="24"/>
          <w:szCs w:val="24"/>
        </w:rPr>
        <w:t>ACTION:</w:t>
      </w:r>
      <w:r>
        <w:rPr>
          <w:rFonts w:ascii="Arial" w:hAnsi="Arial" w:cs="Arial"/>
          <w:sz w:val="24"/>
          <w:szCs w:val="24"/>
        </w:rPr>
        <w:t xml:space="preserve">   Final corporate budget meetings identified some new schemes of smaller value to further reduce the £</w:t>
      </w:r>
      <w:r w:rsidR="004D4A04">
        <w:rPr>
          <w:rFonts w:ascii="Arial" w:hAnsi="Arial" w:cs="Arial"/>
          <w:sz w:val="24"/>
          <w:szCs w:val="24"/>
        </w:rPr>
        <w:t>0</w:t>
      </w:r>
      <w:r w:rsidR="00AE5418">
        <w:rPr>
          <w:rFonts w:ascii="Arial" w:hAnsi="Arial" w:cs="Arial"/>
          <w:sz w:val="24"/>
          <w:szCs w:val="24"/>
        </w:rPr>
        <w:t>.</w:t>
      </w:r>
      <w:r w:rsidR="004D4A04">
        <w:rPr>
          <w:rFonts w:ascii="Arial" w:hAnsi="Arial" w:cs="Arial"/>
          <w:sz w:val="24"/>
          <w:szCs w:val="24"/>
        </w:rPr>
        <w:t>955m</w:t>
      </w:r>
      <w:r>
        <w:rPr>
          <w:rFonts w:ascii="Arial" w:hAnsi="Arial" w:cs="Arial"/>
          <w:sz w:val="24"/>
          <w:szCs w:val="24"/>
        </w:rPr>
        <w:t xml:space="preserve"> gap with some areas not yet calculated. Discussions continue at Divisional and finance meetings to remove the gap. Cost containment will be a focus at all levels to support achievement of the financial plan target. As per the financial plan if there remains a significant gap by September 2019 the internal escalation process will commence.</w:t>
      </w:r>
    </w:p>
    <w:p w:rsidR="001318A5" w:rsidRDefault="001318A5" w:rsidP="001318A5">
      <w:pPr>
        <w:pStyle w:val="BodyText"/>
        <w:numPr>
          <w:ilvl w:val="0"/>
          <w:numId w:val="6"/>
        </w:numPr>
        <w:kinsoku w:val="0"/>
        <w:overflowPunct w:val="0"/>
        <w:spacing w:before="114" w:line="254" w:lineRule="auto"/>
        <w:ind w:right="1043"/>
        <w:rPr>
          <w:rFonts w:ascii="Arial" w:hAnsi="Arial" w:cs="Arial"/>
          <w:b/>
          <w:sz w:val="24"/>
          <w:szCs w:val="24"/>
        </w:rPr>
      </w:pPr>
      <w:r w:rsidRPr="00532EE0">
        <w:rPr>
          <w:rFonts w:ascii="Arial" w:hAnsi="Arial" w:cs="Arial"/>
          <w:b/>
          <w:sz w:val="24"/>
          <w:szCs w:val="24"/>
        </w:rPr>
        <w:t>Scottish Government</w:t>
      </w:r>
      <w:r>
        <w:rPr>
          <w:rFonts w:ascii="Arial" w:hAnsi="Arial" w:cs="Arial"/>
          <w:b/>
          <w:sz w:val="24"/>
          <w:szCs w:val="24"/>
        </w:rPr>
        <w:t xml:space="preserve"> three year Pay policy</w:t>
      </w:r>
    </w:p>
    <w:p w:rsidR="001318A5" w:rsidRDefault="001318A5" w:rsidP="001318A5">
      <w:pPr>
        <w:pStyle w:val="BodyText"/>
        <w:kinsoku w:val="0"/>
        <w:overflowPunct w:val="0"/>
        <w:spacing w:before="114" w:line="254" w:lineRule="auto"/>
        <w:ind w:left="360" w:right="1043"/>
        <w:rPr>
          <w:rFonts w:ascii="Arial" w:hAnsi="Arial" w:cs="Arial"/>
          <w:sz w:val="24"/>
          <w:szCs w:val="24"/>
        </w:rPr>
      </w:pPr>
      <w:r w:rsidRPr="004C034F">
        <w:rPr>
          <w:rFonts w:ascii="Arial" w:hAnsi="Arial" w:cs="Arial"/>
          <w:sz w:val="24"/>
          <w:szCs w:val="24"/>
        </w:rPr>
        <w:t>Year two of the three year pay deal applied from 2019/20 and indicates an average pay rise of 2.57% across the AFC bands</w:t>
      </w:r>
      <w:r>
        <w:rPr>
          <w:rFonts w:ascii="Arial" w:hAnsi="Arial" w:cs="Arial"/>
          <w:sz w:val="24"/>
          <w:szCs w:val="24"/>
        </w:rPr>
        <w:t>. The pay award has been implemented from April 2019 across all AFC staff group at this stage.</w:t>
      </w:r>
    </w:p>
    <w:p w:rsidR="001318A5" w:rsidRDefault="001318A5" w:rsidP="001318A5">
      <w:pPr>
        <w:pStyle w:val="BodyText"/>
        <w:kinsoku w:val="0"/>
        <w:overflowPunct w:val="0"/>
        <w:spacing w:before="114" w:line="254" w:lineRule="auto"/>
        <w:ind w:left="360" w:right="1043"/>
        <w:rPr>
          <w:rFonts w:ascii="Arial" w:hAnsi="Arial" w:cs="Arial"/>
          <w:sz w:val="24"/>
          <w:szCs w:val="24"/>
        </w:rPr>
      </w:pPr>
      <w:r>
        <w:rPr>
          <w:rFonts w:ascii="Arial" w:hAnsi="Arial" w:cs="Arial"/>
          <w:b/>
          <w:sz w:val="24"/>
          <w:szCs w:val="24"/>
        </w:rPr>
        <w:t xml:space="preserve">ACTION: </w:t>
      </w:r>
      <w:r w:rsidRPr="0020040F">
        <w:rPr>
          <w:rFonts w:ascii="Arial" w:hAnsi="Arial" w:cs="Arial"/>
          <w:sz w:val="24"/>
          <w:szCs w:val="24"/>
        </w:rPr>
        <w:t xml:space="preserve">Provision has been made for </w:t>
      </w:r>
      <w:r>
        <w:rPr>
          <w:rFonts w:ascii="Arial" w:hAnsi="Arial" w:cs="Arial"/>
          <w:sz w:val="24"/>
          <w:szCs w:val="24"/>
        </w:rPr>
        <w:t xml:space="preserve">Medical and Dental, </w:t>
      </w:r>
      <w:r w:rsidRPr="0020040F">
        <w:rPr>
          <w:rFonts w:ascii="Arial" w:hAnsi="Arial" w:cs="Arial"/>
          <w:sz w:val="24"/>
          <w:szCs w:val="24"/>
        </w:rPr>
        <w:t xml:space="preserve">Senior </w:t>
      </w:r>
      <w:r>
        <w:rPr>
          <w:rFonts w:ascii="Arial" w:hAnsi="Arial" w:cs="Arial"/>
          <w:sz w:val="24"/>
          <w:szCs w:val="24"/>
        </w:rPr>
        <w:t>M</w:t>
      </w:r>
      <w:r w:rsidRPr="0020040F">
        <w:rPr>
          <w:rFonts w:ascii="Arial" w:hAnsi="Arial" w:cs="Arial"/>
          <w:sz w:val="24"/>
          <w:szCs w:val="24"/>
        </w:rPr>
        <w:t>anagers and Executives Pay</w:t>
      </w:r>
      <w:r>
        <w:rPr>
          <w:rFonts w:ascii="Arial" w:hAnsi="Arial" w:cs="Arial"/>
          <w:sz w:val="24"/>
          <w:szCs w:val="24"/>
        </w:rPr>
        <w:t xml:space="preserve"> </w:t>
      </w:r>
      <w:r w:rsidRPr="0020040F">
        <w:rPr>
          <w:rFonts w:ascii="Arial" w:hAnsi="Arial" w:cs="Arial"/>
          <w:sz w:val="24"/>
          <w:szCs w:val="24"/>
        </w:rPr>
        <w:t>award</w:t>
      </w:r>
      <w:r>
        <w:rPr>
          <w:rFonts w:ascii="Arial" w:hAnsi="Arial" w:cs="Arial"/>
          <w:sz w:val="24"/>
          <w:szCs w:val="24"/>
        </w:rPr>
        <w:t xml:space="preserve"> not yet implemented. Budget will be</w:t>
      </w:r>
      <w:r w:rsidRPr="0020040F">
        <w:rPr>
          <w:rFonts w:ascii="Arial" w:hAnsi="Arial" w:cs="Arial"/>
          <w:sz w:val="24"/>
          <w:szCs w:val="24"/>
        </w:rPr>
        <w:t xml:space="preserve"> allocated</w:t>
      </w:r>
      <w:r>
        <w:rPr>
          <w:rFonts w:ascii="Arial" w:hAnsi="Arial" w:cs="Arial"/>
          <w:sz w:val="24"/>
          <w:szCs w:val="24"/>
        </w:rPr>
        <w:t xml:space="preserve"> on processing of agreed uplift once agreed. </w:t>
      </w:r>
    </w:p>
    <w:p w:rsidR="001318A5" w:rsidRDefault="001318A5" w:rsidP="001318A5">
      <w:pPr>
        <w:pStyle w:val="BodyText"/>
        <w:numPr>
          <w:ilvl w:val="0"/>
          <w:numId w:val="6"/>
        </w:numPr>
        <w:kinsoku w:val="0"/>
        <w:overflowPunct w:val="0"/>
        <w:spacing w:before="114" w:line="254" w:lineRule="auto"/>
        <w:ind w:right="1043"/>
        <w:rPr>
          <w:rFonts w:ascii="Arial" w:hAnsi="Arial" w:cs="Arial"/>
          <w:b/>
          <w:sz w:val="24"/>
          <w:szCs w:val="24"/>
        </w:rPr>
      </w:pPr>
      <w:r w:rsidRPr="00532EE0">
        <w:rPr>
          <w:rFonts w:ascii="Arial" w:hAnsi="Arial" w:cs="Arial"/>
          <w:b/>
          <w:sz w:val="24"/>
          <w:szCs w:val="24"/>
        </w:rPr>
        <w:t>Scottish Government</w:t>
      </w:r>
      <w:r>
        <w:rPr>
          <w:rFonts w:ascii="Arial" w:hAnsi="Arial" w:cs="Arial"/>
          <w:b/>
          <w:sz w:val="24"/>
          <w:szCs w:val="24"/>
        </w:rPr>
        <w:t xml:space="preserve"> Superannuation </w:t>
      </w:r>
    </w:p>
    <w:p w:rsidR="001318A5" w:rsidRDefault="001318A5" w:rsidP="001318A5">
      <w:pPr>
        <w:pStyle w:val="BodyText"/>
        <w:kinsoku w:val="0"/>
        <w:overflowPunct w:val="0"/>
        <w:spacing w:before="114" w:line="254" w:lineRule="auto"/>
        <w:ind w:left="360" w:right="1043"/>
        <w:rPr>
          <w:rFonts w:ascii="Arial" w:hAnsi="Arial" w:cs="Arial"/>
          <w:color w:val="222222"/>
          <w:sz w:val="24"/>
          <w:szCs w:val="24"/>
          <w:shd w:val="clear" w:color="auto" w:fill="FFFFFF"/>
        </w:rPr>
      </w:pPr>
      <w:r>
        <w:rPr>
          <w:rFonts w:ascii="Arial" w:hAnsi="Arial" w:cs="Arial"/>
          <w:color w:val="222222"/>
          <w:sz w:val="24"/>
          <w:szCs w:val="24"/>
          <w:shd w:val="clear" w:color="auto" w:fill="FFFFFF"/>
        </w:rPr>
        <w:t>Following the recent consultation on</w:t>
      </w:r>
      <w:r w:rsidRPr="005070DE">
        <w:rPr>
          <w:rFonts w:ascii="Arial" w:hAnsi="Arial" w:cs="Arial"/>
          <w:color w:val="222222"/>
          <w:sz w:val="24"/>
          <w:szCs w:val="24"/>
          <w:shd w:val="clear" w:color="auto" w:fill="FFFFFF"/>
        </w:rPr>
        <w:t xml:space="preserve"> the employer contribution rate </w:t>
      </w:r>
      <w:r w:rsidRPr="005070DE">
        <w:rPr>
          <w:rFonts w:ascii="Arial" w:hAnsi="Arial" w:cs="Arial"/>
          <w:b/>
          <w:bCs/>
          <w:color w:val="222222"/>
          <w:sz w:val="24"/>
          <w:szCs w:val="24"/>
          <w:shd w:val="clear" w:color="auto" w:fill="FFFFFF"/>
        </w:rPr>
        <w:t>increase</w:t>
      </w:r>
      <w:r w:rsidRPr="005070DE">
        <w:rPr>
          <w:rFonts w:ascii="Arial" w:hAnsi="Arial" w:cs="Arial"/>
          <w:color w:val="222222"/>
          <w:sz w:val="24"/>
          <w:szCs w:val="24"/>
          <w:shd w:val="clear" w:color="auto" w:fill="FFFFFF"/>
        </w:rPr>
        <w:t> from</w:t>
      </w:r>
      <w:r>
        <w:rPr>
          <w:rFonts w:ascii="Arial" w:hAnsi="Arial" w:cs="Arial"/>
          <w:color w:val="222222"/>
          <w:sz w:val="24"/>
          <w:szCs w:val="24"/>
          <w:shd w:val="clear" w:color="auto" w:fill="FFFFFF"/>
        </w:rPr>
        <w:t xml:space="preserve"> 14.3 per cent to 20.6 per cent a short life working group led by Scottish Government was compiled to identify the Scotland wide NHS impact. The outcome of this was that funding would be agreed on the March 2019 SSPA contributions on staff in post as which equated to £3.2m for GJ.</w:t>
      </w:r>
    </w:p>
    <w:p w:rsidR="001318A5" w:rsidRPr="005070DE" w:rsidRDefault="001318A5" w:rsidP="001318A5">
      <w:pPr>
        <w:pStyle w:val="BodyText"/>
        <w:kinsoku w:val="0"/>
        <w:overflowPunct w:val="0"/>
        <w:spacing w:before="114" w:line="254" w:lineRule="auto"/>
        <w:ind w:left="360" w:right="1043"/>
        <w:rPr>
          <w:rFonts w:ascii="Arial" w:hAnsi="Arial" w:cs="Arial"/>
          <w:sz w:val="24"/>
          <w:szCs w:val="24"/>
        </w:rPr>
      </w:pPr>
      <w:r>
        <w:rPr>
          <w:rFonts w:ascii="Arial" w:hAnsi="Arial" w:cs="Arial"/>
          <w:b/>
          <w:sz w:val="24"/>
          <w:szCs w:val="24"/>
        </w:rPr>
        <w:t xml:space="preserve">ACTION: </w:t>
      </w:r>
      <w:r w:rsidRPr="0020040F">
        <w:rPr>
          <w:rFonts w:ascii="Arial" w:hAnsi="Arial" w:cs="Arial"/>
          <w:sz w:val="24"/>
          <w:szCs w:val="24"/>
        </w:rPr>
        <w:t>Provision has been made for</w:t>
      </w:r>
      <w:r>
        <w:rPr>
          <w:rFonts w:ascii="Arial" w:hAnsi="Arial" w:cs="Arial"/>
          <w:sz w:val="24"/>
          <w:szCs w:val="24"/>
        </w:rPr>
        <w:t xml:space="preserve"> the income and cost of this increase in financial planning. This will be aligned to reflect agreed funding basis from Scottish Government and held in reserve. Budget will be</w:t>
      </w:r>
      <w:r w:rsidRPr="0020040F">
        <w:rPr>
          <w:rFonts w:ascii="Arial" w:hAnsi="Arial" w:cs="Arial"/>
          <w:sz w:val="24"/>
          <w:szCs w:val="24"/>
        </w:rPr>
        <w:t xml:space="preserve"> allocated</w:t>
      </w:r>
      <w:r>
        <w:rPr>
          <w:rFonts w:ascii="Arial" w:hAnsi="Arial" w:cs="Arial"/>
          <w:sz w:val="24"/>
          <w:szCs w:val="24"/>
        </w:rPr>
        <w:t xml:space="preserve"> on receipt of funding from Scottish Government through RRL allocations.</w:t>
      </w:r>
    </w:p>
    <w:p w:rsidR="001318A5" w:rsidRPr="001318A5" w:rsidRDefault="001318A5" w:rsidP="001318A5">
      <w:pPr>
        <w:pStyle w:val="BodyText"/>
        <w:numPr>
          <w:ilvl w:val="0"/>
          <w:numId w:val="6"/>
        </w:numPr>
        <w:kinsoku w:val="0"/>
        <w:overflowPunct w:val="0"/>
        <w:spacing w:before="114" w:line="254" w:lineRule="auto"/>
        <w:ind w:right="1043"/>
        <w:rPr>
          <w:rFonts w:ascii="Arial" w:hAnsi="Arial" w:cs="Arial"/>
          <w:b/>
          <w:sz w:val="24"/>
          <w:szCs w:val="24"/>
        </w:rPr>
      </w:pPr>
      <w:r>
        <w:rPr>
          <w:rFonts w:ascii="Arial" w:hAnsi="Arial" w:cs="Arial"/>
          <w:b/>
          <w:sz w:val="24"/>
          <w:szCs w:val="24"/>
        </w:rPr>
        <w:t>Annual Operational Plan meeting with Scottish Government</w:t>
      </w:r>
    </w:p>
    <w:p w:rsidR="001318A5" w:rsidRPr="000666E3" w:rsidRDefault="001318A5" w:rsidP="001318A5">
      <w:pPr>
        <w:pStyle w:val="BodyText"/>
        <w:kinsoku w:val="0"/>
        <w:overflowPunct w:val="0"/>
        <w:spacing w:before="114" w:line="254" w:lineRule="auto"/>
        <w:ind w:left="360" w:right="1043"/>
        <w:rPr>
          <w:rFonts w:ascii="Arial" w:hAnsi="Arial" w:cs="Arial"/>
          <w:sz w:val="24"/>
          <w:szCs w:val="24"/>
        </w:rPr>
      </w:pPr>
      <w:r w:rsidRPr="000666E3">
        <w:rPr>
          <w:rFonts w:ascii="Arial" w:hAnsi="Arial" w:cs="Arial"/>
          <w:sz w:val="24"/>
          <w:szCs w:val="24"/>
        </w:rPr>
        <w:t xml:space="preserve">Following the submission of the Boards Annual Operational Plan </w:t>
      </w:r>
      <w:r>
        <w:rPr>
          <w:rFonts w:ascii="Arial" w:hAnsi="Arial" w:cs="Arial"/>
          <w:sz w:val="24"/>
          <w:szCs w:val="24"/>
        </w:rPr>
        <w:t>to Scottish Government, agreement of funding assumptions will be discussed through GJ Annual Operational plan meetings and the financial plan future funding forecast will reflect the outcome of these discussions.</w:t>
      </w:r>
    </w:p>
    <w:p w:rsidR="001318A5" w:rsidRDefault="001318A5" w:rsidP="001318A5">
      <w:pPr>
        <w:pStyle w:val="BodyText"/>
        <w:kinsoku w:val="0"/>
        <w:overflowPunct w:val="0"/>
        <w:spacing w:before="114" w:line="254" w:lineRule="auto"/>
        <w:ind w:left="360" w:right="1043"/>
        <w:rPr>
          <w:rFonts w:ascii="Arial" w:hAnsi="Arial" w:cs="Arial"/>
          <w:sz w:val="24"/>
          <w:szCs w:val="24"/>
        </w:rPr>
      </w:pPr>
      <w:r w:rsidRPr="0020040F">
        <w:rPr>
          <w:rFonts w:ascii="Arial" w:hAnsi="Arial" w:cs="Arial"/>
          <w:b/>
          <w:sz w:val="24"/>
          <w:szCs w:val="24"/>
        </w:rPr>
        <w:t>ACTION:</w:t>
      </w:r>
      <w:r>
        <w:rPr>
          <w:rFonts w:ascii="Arial" w:hAnsi="Arial" w:cs="Arial"/>
          <w:b/>
          <w:sz w:val="24"/>
          <w:szCs w:val="24"/>
        </w:rPr>
        <w:t xml:space="preserve"> </w:t>
      </w:r>
      <w:r>
        <w:rPr>
          <w:rFonts w:ascii="Arial" w:hAnsi="Arial" w:cs="Arial"/>
          <w:sz w:val="24"/>
          <w:szCs w:val="24"/>
        </w:rPr>
        <w:t xml:space="preserve"> Subject to final approval by GJ income assumptions from Scottish Government (including £600k towards Cardiology or Cardiac activity pressures) then budget will be released accordingly and service plans put in place until final regional agreement on activity increases </w:t>
      </w:r>
      <w:r>
        <w:rPr>
          <w:rFonts w:ascii="Arial" w:hAnsi="Arial" w:cs="Arial"/>
          <w:sz w:val="24"/>
          <w:szCs w:val="24"/>
        </w:rPr>
        <w:lastRenderedPageBreak/>
        <w:t>are funded.</w:t>
      </w: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1318A5" w:rsidRDefault="001318A5" w:rsidP="001318A5">
      <w:pPr>
        <w:pStyle w:val="BodyText"/>
        <w:kinsoku w:val="0"/>
        <w:overflowPunct w:val="0"/>
        <w:spacing w:before="114" w:line="254" w:lineRule="auto"/>
        <w:ind w:right="-46"/>
        <w:rPr>
          <w:rFonts w:ascii="Arial" w:hAnsi="Arial" w:cs="Arial"/>
          <w:b/>
          <w:color w:val="0070C0"/>
          <w:sz w:val="24"/>
          <w:szCs w:val="24"/>
        </w:rPr>
      </w:pPr>
      <w:r w:rsidRPr="007B06DD">
        <w:rPr>
          <w:rFonts w:ascii="Arial" w:hAnsi="Arial" w:cs="Arial"/>
          <w:b/>
          <w:color w:val="0070C0"/>
          <w:sz w:val="24"/>
          <w:szCs w:val="24"/>
        </w:rPr>
        <w:t>Financial Risk Considerations noted in this period</w:t>
      </w:r>
    </w:p>
    <w:p w:rsidR="001318A5" w:rsidRDefault="001318A5" w:rsidP="001318A5">
      <w:pPr>
        <w:pStyle w:val="BodyText"/>
        <w:kinsoku w:val="0"/>
        <w:overflowPunct w:val="0"/>
        <w:spacing w:line="254" w:lineRule="auto"/>
        <w:ind w:right="-46"/>
        <w:rPr>
          <w:rFonts w:ascii="Arial" w:hAnsi="Arial" w:cs="Arial"/>
          <w:sz w:val="24"/>
          <w:szCs w:val="24"/>
        </w:rPr>
      </w:pPr>
      <w:r w:rsidRPr="00E61CD6">
        <w:rPr>
          <w:rFonts w:ascii="Arial" w:hAnsi="Arial" w:cs="Arial"/>
          <w:sz w:val="24"/>
          <w:szCs w:val="24"/>
        </w:rPr>
        <w:t>It was assumed the Board would receive waiting times monies for the Interventional Cardiology</w:t>
      </w:r>
      <w:r>
        <w:rPr>
          <w:rFonts w:ascii="Arial" w:hAnsi="Arial" w:cs="Arial"/>
          <w:sz w:val="24"/>
          <w:szCs w:val="24"/>
        </w:rPr>
        <w:t xml:space="preserve"> and EP </w:t>
      </w:r>
      <w:r w:rsidRPr="00E61CD6">
        <w:rPr>
          <w:rFonts w:ascii="Arial" w:hAnsi="Arial" w:cs="Arial"/>
          <w:sz w:val="24"/>
          <w:szCs w:val="24"/>
        </w:rPr>
        <w:t>waiting times</w:t>
      </w:r>
      <w:r>
        <w:rPr>
          <w:rFonts w:ascii="Arial" w:hAnsi="Arial" w:cs="Arial"/>
          <w:sz w:val="24"/>
          <w:szCs w:val="24"/>
        </w:rPr>
        <w:t xml:space="preserve"> pressures</w:t>
      </w:r>
      <w:r w:rsidRPr="00E61CD6">
        <w:rPr>
          <w:rFonts w:ascii="Arial" w:hAnsi="Arial" w:cs="Arial"/>
          <w:sz w:val="24"/>
          <w:szCs w:val="24"/>
        </w:rPr>
        <w:t xml:space="preserve">. </w:t>
      </w:r>
      <w:r w:rsidRPr="00157C82">
        <w:rPr>
          <w:rFonts w:ascii="Arial" w:hAnsi="Arial" w:cs="Arial"/>
          <w:sz w:val="24"/>
          <w:szCs w:val="24"/>
        </w:rPr>
        <w:t>This income is currently being pursued from the referring Health Boards with a detailed business case planned presented to the May Board meeting. Scottish Government have allocated in year monies to manage the pressure while the Health Board discussions continue. Non recurring funding was received in 18/19 and used to fund the temporary mobile cath lab. In anticipation of full year recurring funding substantive nursing staff appointments were agreed in 18/19 to the full year value of £</w:t>
      </w:r>
      <w:r w:rsidR="00AE5418">
        <w:rPr>
          <w:rFonts w:ascii="Arial" w:hAnsi="Arial" w:cs="Arial"/>
          <w:sz w:val="24"/>
          <w:szCs w:val="24"/>
        </w:rPr>
        <w:t>0.255m</w:t>
      </w:r>
      <w:r w:rsidRPr="00157C82">
        <w:rPr>
          <w:rFonts w:ascii="Arial" w:hAnsi="Arial" w:cs="Arial"/>
          <w:sz w:val="24"/>
          <w:szCs w:val="24"/>
        </w:rPr>
        <w:t>. There is a risk of financial exposure if the Health Board funding is not approved. The in year non</w:t>
      </w:r>
      <w:r>
        <w:rPr>
          <w:rFonts w:ascii="Arial" w:hAnsi="Arial" w:cs="Arial"/>
          <w:sz w:val="24"/>
          <w:szCs w:val="24"/>
        </w:rPr>
        <w:t>-</w:t>
      </w:r>
      <w:r w:rsidRPr="00157C82">
        <w:rPr>
          <w:rFonts w:ascii="Arial" w:hAnsi="Arial" w:cs="Arial"/>
          <w:sz w:val="24"/>
          <w:szCs w:val="24"/>
        </w:rPr>
        <w:t>recurring monies from Scottish Government will support this pressure until September/October.</w:t>
      </w:r>
    </w:p>
    <w:p w:rsidR="001318A5" w:rsidRDefault="001318A5" w:rsidP="001318A5">
      <w:pPr>
        <w:pStyle w:val="BodyText"/>
        <w:kinsoku w:val="0"/>
        <w:overflowPunct w:val="0"/>
        <w:spacing w:line="254" w:lineRule="auto"/>
        <w:ind w:right="-46"/>
        <w:rPr>
          <w:rFonts w:ascii="Arial" w:hAnsi="Arial" w:cs="Arial"/>
          <w:sz w:val="24"/>
          <w:szCs w:val="24"/>
        </w:rPr>
      </w:pPr>
    </w:p>
    <w:p w:rsidR="001318A5" w:rsidRPr="00E61CD6" w:rsidRDefault="001318A5" w:rsidP="001318A5">
      <w:pPr>
        <w:pStyle w:val="BodyText"/>
        <w:kinsoku w:val="0"/>
        <w:overflowPunct w:val="0"/>
        <w:spacing w:line="254" w:lineRule="auto"/>
        <w:ind w:right="-46"/>
        <w:rPr>
          <w:rFonts w:ascii="Arial" w:hAnsi="Arial" w:cs="Arial"/>
          <w:color w:val="0070C0"/>
          <w:sz w:val="28"/>
          <w:szCs w:val="28"/>
          <w:u w:val="single"/>
        </w:rPr>
      </w:pPr>
      <w:r>
        <w:rPr>
          <w:rFonts w:ascii="Arial" w:hAnsi="Arial" w:cs="Arial"/>
          <w:sz w:val="24"/>
          <w:szCs w:val="24"/>
        </w:rPr>
        <w:t xml:space="preserve">Superannuation funding will be based on the underlying March 2019 </w:t>
      </w:r>
      <w:r w:rsidR="0067583A">
        <w:rPr>
          <w:rFonts w:ascii="Arial" w:hAnsi="Arial" w:cs="Arial"/>
          <w:sz w:val="24"/>
          <w:szCs w:val="24"/>
        </w:rPr>
        <w:t xml:space="preserve">cumulative </w:t>
      </w:r>
      <w:r>
        <w:rPr>
          <w:rFonts w:ascii="Arial" w:hAnsi="Arial" w:cs="Arial"/>
          <w:sz w:val="24"/>
          <w:szCs w:val="24"/>
        </w:rPr>
        <w:t>SPPA contributions versus staff whole time equivalent (wte) budget as previously earmarked within the boards financial plan. Any vacancies in place at March 2019 will not be incorporated and is the basis of the difference between budget calculations of £4m versus March’19 SSPA calculations of £3.2m and may impact on financial performance if there is significant difference in vacancy rates during 2019/20. In addition, there requires quantification of how much of the March’19 SSPA contributions would be covered via service level agreements (SLA).</w:t>
      </w:r>
    </w:p>
    <w:p w:rsidR="001318A5" w:rsidRDefault="001318A5"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577564" w:rsidRDefault="00577564" w:rsidP="001318A5">
      <w:pPr>
        <w:pStyle w:val="BodyText"/>
        <w:kinsoku w:val="0"/>
        <w:overflowPunct w:val="0"/>
        <w:spacing w:before="114" w:line="254" w:lineRule="auto"/>
        <w:ind w:left="360" w:right="1043"/>
        <w:rPr>
          <w:rFonts w:ascii="Arial" w:hAnsi="Arial" w:cs="Arial"/>
          <w:sz w:val="24"/>
          <w:szCs w:val="24"/>
        </w:rPr>
      </w:pPr>
    </w:p>
    <w:p w:rsidR="001318A5" w:rsidRPr="007B06DD" w:rsidRDefault="001318A5" w:rsidP="001318A5">
      <w:pPr>
        <w:pStyle w:val="Heading1"/>
        <w:spacing w:before="0"/>
        <w:ind w:left="0"/>
        <w:rPr>
          <w:rFonts w:ascii="Arial" w:hAnsi="Arial" w:cs="Arial"/>
          <w:i w:val="0"/>
          <w:color w:val="0070C0"/>
          <w:sz w:val="28"/>
          <w:szCs w:val="28"/>
          <w:u w:val="single"/>
        </w:rPr>
      </w:pPr>
      <w:r w:rsidRPr="007B06DD">
        <w:rPr>
          <w:rFonts w:ascii="Arial" w:hAnsi="Arial" w:cs="Arial"/>
          <w:i w:val="0"/>
          <w:color w:val="0070C0"/>
          <w:sz w:val="28"/>
          <w:szCs w:val="28"/>
          <w:u w:val="single"/>
        </w:rPr>
        <w:t xml:space="preserve">Month </w:t>
      </w:r>
      <w:r>
        <w:rPr>
          <w:rFonts w:ascii="Arial" w:hAnsi="Arial" w:cs="Arial"/>
          <w:i w:val="0"/>
          <w:color w:val="0070C0"/>
          <w:sz w:val="28"/>
          <w:szCs w:val="28"/>
          <w:u w:val="single"/>
        </w:rPr>
        <w:t>two</w:t>
      </w:r>
      <w:r w:rsidRPr="007B06DD">
        <w:rPr>
          <w:rFonts w:ascii="Arial" w:hAnsi="Arial" w:cs="Arial"/>
          <w:i w:val="0"/>
          <w:color w:val="0070C0"/>
          <w:sz w:val="28"/>
          <w:szCs w:val="28"/>
          <w:u w:val="single"/>
        </w:rPr>
        <w:t xml:space="preserve"> (</w:t>
      </w:r>
      <w:r>
        <w:rPr>
          <w:rFonts w:ascii="Arial" w:hAnsi="Arial" w:cs="Arial"/>
          <w:i w:val="0"/>
          <w:color w:val="0070C0"/>
          <w:sz w:val="28"/>
          <w:szCs w:val="28"/>
          <w:u w:val="single"/>
        </w:rPr>
        <w:t>2</w:t>
      </w:r>
      <w:r w:rsidRPr="007B06DD">
        <w:rPr>
          <w:rFonts w:ascii="Arial" w:hAnsi="Arial" w:cs="Arial"/>
          <w:i w:val="0"/>
          <w:color w:val="0070C0"/>
          <w:sz w:val="28"/>
          <w:szCs w:val="28"/>
          <w:u w:val="single"/>
        </w:rPr>
        <w:t>) Revenue Position</w:t>
      </w:r>
    </w:p>
    <w:p w:rsidR="001318A5" w:rsidRPr="007B06DD" w:rsidRDefault="001318A5" w:rsidP="001318A5">
      <w:pPr>
        <w:jc w:val="center"/>
        <w:rPr>
          <w:b/>
          <w:bCs/>
          <w:iCs/>
        </w:rPr>
      </w:pPr>
    </w:p>
    <w:p w:rsidR="001318A5" w:rsidRPr="007B06DD" w:rsidRDefault="001318A5" w:rsidP="001318A5">
      <w:pPr>
        <w:pStyle w:val="BodyText"/>
        <w:kinsoku w:val="0"/>
        <w:overflowPunct w:val="0"/>
        <w:spacing w:before="8"/>
        <w:rPr>
          <w:rFonts w:ascii="Arial" w:hAnsi="Arial" w:cs="Arial"/>
          <w:b/>
          <w:bCs/>
          <w:iCs/>
          <w:color w:val="0070C0"/>
          <w:sz w:val="24"/>
          <w:szCs w:val="24"/>
        </w:rPr>
      </w:pPr>
      <w:r w:rsidRPr="007B06DD">
        <w:rPr>
          <w:rFonts w:ascii="Arial" w:hAnsi="Arial" w:cs="Arial"/>
          <w:b/>
          <w:bCs/>
          <w:iCs/>
          <w:color w:val="0070C0"/>
          <w:sz w:val="24"/>
          <w:szCs w:val="24"/>
        </w:rPr>
        <w:lastRenderedPageBreak/>
        <w:t>Introduction</w:t>
      </w:r>
    </w:p>
    <w:p w:rsidR="001318A5" w:rsidRPr="00744B5F" w:rsidRDefault="001318A5" w:rsidP="001318A5">
      <w:pPr>
        <w:pStyle w:val="BodyText"/>
        <w:kinsoku w:val="0"/>
        <w:overflowPunct w:val="0"/>
        <w:spacing w:before="8"/>
        <w:rPr>
          <w:rFonts w:ascii="Arial" w:hAnsi="Arial" w:cs="Arial"/>
          <w:b/>
          <w:bCs/>
          <w:i/>
          <w:iCs/>
          <w:color w:val="0070C0"/>
          <w:sz w:val="24"/>
          <w:szCs w:val="24"/>
        </w:rPr>
      </w:pPr>
    </w:p>
    <w:p w:rsidR="001318A5" w:rsidRPr="00532EE0" w:rsidRDefault="001318A5" w:rsidP="001318A5">
      <w:pPr>
        <w:pStyle w:val="BodyText"/>
        <w:kinsoku w:val="0"/>
        <w:overflowPunct w:val="0"/>
        <w:spacing w:line="254" w:lineRule="auto"/>
        <w:ind w:right="1043"/>
        <w:rPr>
          <w:rFonts w:ascii="Arial" w:hAnsi="Arial" w:cs="Arial"/>
          <w:sz w:val="24"/>
          <w:szCs w:val="24"/>
        </w:rPr>
      </w:pPr>
      <w:r w:rsidRPr="00532EE0">
        <w:rPr>
          <w:rFonts w:ascii="Arial" w:hAnsi="Arial" w:cs="Arial"/>
          <w:sz w:val="24"/>
          <w:szCs w:val="24"/>
        </w:rPr>
        <w:t>This paper gives details of the financial</w:t>
      </w:r>
      <w:r>
        <w:rPr>
          <w:rFonts w:ascii="Arial" w:hAnsi="Arial" w:cs="Arial"/>
          <w:sz w:val="24"/>
          <w:szCs w:val="24"/>
        </w:rPr>
        <w:t xml:space="preserve"> results for the period ending 31 May 2019</w:t>
      </w:r>
      <w:r w:rsidRPr="00532EE0">
        <w:rPr>
          <w:rFonts w:ascii="Arial" w:hAnsi="Arial" w:cs="Arial"/>
          <w:sz w:val="24"/>
          <w:szCs w:val="24"/>
        </w:rPr>
        <w:t xml:space="preserve">, as reported to the Scottish Government Health and Social Care Directorate (SGHSCD).  Budget meetings with Divisional and Corporate managers are now </w:t>
      </w:r>
      <w:r>
        <w:rPr>
          <w:rFonts w:ascii="Arial" w:hAnsi="Arial" w:cs="Arial"/>
          <w:sz w:val="24"/>
          <w:szCs w:val="24"/>
        </w:rPr>
        <w:t xml:space="preserve">complete with </w:t>
      </w:r>
      <w:r w:rsidRPr="00532EE0">
        <w:rPr>
          <w:rFonts w:ascii="Arial" w:hAnsi="Arial" w:cs="Arial"/>
          <w:sz w:val="24"/>
          <w:szCs w:val="24"/>
        </w:rPr>
        <w:t>budget plans</w:t>
      </w:r>
      <w:r>
        <w:rPr>
          <w:rFonts w:ascii="Arial" w:hAnsi="Arial" w:cs="Arial"/>
          <w:sz w:val="24"/>
          <w:szCs w:val="24"/>
        </w:rPr>
        <w:t>, efficiencies and financial pressures</w:t>
      </w:r>
      <w:r w:rsidRPr="00532EE0">
        <w:rPr>
          <w:rFonts w:ascii="Arial" w:hAnsi="Arial" w:cs="Arial"/>
          <w:sz w:val="24"/>
          <w:szCs w:val="24"/>
        </w:rPr>
        <w:t xml:space="preserve"> reviewed and agreed, taking cognisance of the activity changes, recurring and non-recurring costs pressures, and any new funded developments</w:t>
      </w:r>
      <w:r>
        <w:rPr>
          <w:rFonts w:ascii="Arial" w:hAnsi="Arial" w:cs="Arial"/>
          <w:sz w:val="24"/>
          <w:szCs w:val="24"/>
        </w:rPr>
        <w:t>. Final Division and service budget sign of will be complete in line with the financial plan process this month and a budget paper completed summarising the overall Board position.</w:t>
      </w:r>
    </w:p>
    <w:p w:rsidR="001318A5" w:rsidRPr="00532EE0" w:rsidRDefault="001318A5" w:rsidP="001318A5">
      <w:pPr>
        <w:pStyle w:val="BodyText"/>
        <w:kinsoku w:val="0"/>
        <w:overflowPunct w:val="0"/>
        <w:spacing w:before="9"/>
        <w:rPr>
          <w:rFonts w:ascii="Arial" w:hAnsi="Arial" w:cs="Arial"/>
          <w:sz w:val="24"/>
          <w:szCs w:val="24"/>
        </w:rPr>
      </w:pPr>
    </w:p>
    <w:p w:rsidR="001318A5" w:rsidRPr="00532EE0" w:rsidRDefault="001318A5" w:rsidP="001318A5">
      <w:pPr>
        <w:pStyle w:val="BodyText"/>
        <w:kinsoku w:val="0"/>
        <w:overflowPunct w:val="0"/>
        <w:spacing w:line="254" w:lineRule="auto"/>
        <w:ind w:right="1043"/>
        <w:rPr>
          <w:rFonts w:ascii="Arial" w:hAnsi="Arial" w:cs="Arial"/>
          <w:sz w:val="24"/>
          <w:szCs w:val="24"/>
        </w:rPr>
      </w:pPr>
      <w:r w:rsidRPr="00532EE0">
        <w:rPr>
          <w:rFonts w:ascii="Arial" w:hAnsi="Arial" w:cs="Arial"/>
          <w:sz w:val="24"/>
          <w:szCs w:val="24"/>
        </w:rPr>
        <w:t xml:space="preserve">The Finance team </w:t>
      </w:r>
      <w:r>
        <w:rPr>
          <w:rFonts w:ascii="Arial" w:hAnsi="Arial" w:cs="Arial"/>
          <w:sz w:val="24"/>
          <w:szCs w:val="24"/>
        </w:rPr>
        <w:t xml:space="preserve">continue to drive focussed discussions with budget managers on </w:t>
      </w:r>
      <w:r w:rsidRPr="00532EE0">
        <w:rPr>
          <w:rFonts w:ascii="Arial" w:hAnsi="Arial" w:cs="Arial"/>
          <w:sz w:val="24"/>
          <w:szCs w:val="24"/>
        </w:rPr>
        <w:t xml:space="preserve">potential sources of non-recurring income </w:t>
      </w:r>
      <w:r>
        <w:rPr>
          <w:rFonts w:ascii="Arial" w:hAnsi="Arial" w:cs="Arial"/>
          <w:sz w:val="24"/>
          <w:szCs w:val="24"/>
        </w:rPr>
        <w:t xml:space="preserve">and cost containment </w:t>
      </w:r>
      <w:r w:rsidRPr="00532EE0">
        <w:rPr>
          <w:rFonts w:ascii="Arial" w:hAnsi="Arial" w:cs="Arial"/>
          <w:sz w:val="24"/>
          <w:szCs w:val="24"/>
        </w:rPr>
        <w:t xml:space="preserve">to ensure every opportunity is </w:t>
      </w:r>
      <w:r>
        <w:rPr>
          <w:rFonts w:ascii="Arial" w:hAnsi="Arial" w:cs="Arial"/>
          <w:sz w:val="24"/>
          <w:szCs w:val="24"/>
        </w:rPr>
        <w:t>consider</w:t>
      </w:r>
      <w:r w:rsidRPr="00532EE0">
        <w:rPr>
          <w:rFonts w:ascii="Arial" w:hAnsi="Arial" w:cs="Arial"/>
          <w:sz w:val="24"/>
          <w:szCs w:val="24"/>
        </w:rPr>
        <w:t>ed.</w:t>
      </w:r>
    </w:p>
    <w:p w:rsidR="001318A5" w:rsidRDefault="001318A5" w:rsidP="001318A5">
      <w:pPr>
        <w:pStyle w:val="BodyText"/>
        <w:kinsoku w:val="0"/>
        <w:overflowPunct w:val="0"/>
        <w:spacing w:line="254" w:lineRule="auto"/>
        <w:ind w:left="3394" w:right="1043"/>
        <w:jc w:val="both"/>
        <w:rPr>
          <w:rFonts w:ascii="Arial" w:hAnsi="Arial" w:cs="Arial"/>
          <w:sz w:val="24"/>
          <w:szCs w:val="24"/>
        </w:rPr>
      </w:pPr>
    </w:p>
    <w:p w:rsidR="001318A5" w:rsidRDefault="001318A5" w:rsidP="001318A5">
      <w:pPr>
        <w:pStyle w:val="BodyText"/>
        <w:kinsoku w:val="0"/>
        <w:overflowPunct w:val="0"/>
        <w:spacing w:line="254" w:lineRule="auto"/>
        <w:ind w:right="1043"/>
        <w:jc w:val="both"/>
        <w:rPr>
          <w:rFonts w:ascii="Arial" w:hAnsi="Arial" w:cs="Arial"/>
          <w:sz w:val="24"/>
          <w:szCs w:val="24"/>
        </w:rPr>
      </w:pPr>
      <w:r>
        <w:rPr>
          <w:rFonts w:ascii="Arial" w:hAnsi="Arial" w:cs="Arial"/>
          <w:sz w:val="24"/>
          <w:szCs w:val="24"/>
        </w:rPr>
        <w:t>For the purpose of understanding the financial data tabled within this report the following guidelines are provided:</w:t>
      </w:r>
    </w:p>
    <w:p w:rsidR="001318A5" w:rsidRDefault="001318A5" w:rsidP="008E5C77">
      <w:pPr>
        <w:pStyle w:val="BodyText"/>
        <w:kinsoku w:val="0"/>
        <w:overflowPunct w:val="0"/>
        <w:spacing w:line="254" w:lineRule="auto"/>
        <w:ind w:right="1043"/>
        <w:rPr>
          <w:rFonts w:ascii="Arial" w:hAnsi="Arial" w:cs="Arial"/>
          <w:sz w:val="24"/>
          <w:szCs w:val="24"/>
        </w:rPr>
      </w:pPr>
    </w:p>
    <w:p w:rsidR="001318A5" w:rsidRDefault="001318A5" w:rsidP="008E5C77">
      <w:pPr>
        <w:pStyle w:val="BodyText"/>
        <w:numPr>
          <w:ilvl w:val="0"/>
          <w:numId w:val="7"/>
        </w:numPr>
        <w:kinsoku w:val="0"/>
        <w:overflowPunct w:val="0"/>
        <w:spacing w:line="254" w:lineRule="auto"/>
        <w:ind w:right="1043"/>
        <w:rPr>
          <w:rFonts w:ascii="Arial" w:hAnsi="Arial" w:cs="Arial"/>
          <w:sz w:val="24"/>
          <w:szCs w:val="24"/>
        </w:rPr>
      </w:pPr>
      <w:r>
        <w:rPr>
          <w:rFonts w:ascii="Arial" w:hAnsi="Arial" w:cs="Arial"/>
          <w:sz w:val="24"/>
          <w:szCs w:val="24"/>
        </w:rPr>
        <w:t>All Income budget and actual figures are presented as credit values (in brackets), a positive variance value against income reflects an improved performance against income plan whereas a negative variance is reflective of an underperformance contrary to income plan.</w:t>
      </w:r>
    </w:p>
    <w:p w:rsidR="001318A5" w:rsidRDefault="001318A5" w:rsidP="008E5C77">
      <w:pPr>
        <w:pStyle w:val="BodyText"/>
        <w:numPr>
          <w:ilvl w:val="0"/>
          <w:numId w:val="7"/>
        </w:numPr>
        <w:kinsoku w:val="0"/>
        <w:overflowPunct w:val="0"/>
        <w:spacing w:line="254" w:lineRule="auto"/>
        <w:ind w:right="1043"/>
        <w:rPr>
          <w:rFonts w:ascii="Arial" w:hAnsi="Arial" w:cs="Arial"/>
          <w:sz w:val="24"/>
          <w:szCs w:val="24"/>
        </w:rPr>
      </w:pPr>
      <w:r>
        <w:rPr>
          <w:rFonts w:ascii="Arial" w:hAnsi="Arial" w:cs="Arial"/>
          <w:sz w:val="24"/>
          <w:szCs w:val="24"/>
        </w:rPr>
        <w:t>All Expenditure budget and actual values are shown as positive figures; a positive variance value against expenditure reflects a favourable under-spend against budget plan whereas a negative variance is reflected of an adverse performance on budget plan.</w:t>
      </w:r>
    </w:p>
    <w:p w:rsidR="001318A5" w:rsidRDefault="001318A5" w:rsidP="001318A5">
      <w:pPr>
        <w:pStyle w:val="BodyText"/>
        <w:kinsoku w:val="0"/>
        <w:overflowPunct w:val="0"/>
        <w:spacing w:line="254" w:lineRule="auto"/>
        <w:ind w:left="720" w:right="1043"/>
        <w:jc w:val="both"/>
        <w:rPr>
          <w:rFonts w:ascii="Arial" w:hAnsi="Arial" w:cs="Arial"/>
          <w:sz w:val="24"/>
          <w:szCs w:val="24"/>
        </w:rPr>
      </w:pPr>
    </w:p>
    <w:p w:rsidR="001318A5" w:rsidRDefault="001318A5" w:rsidP="008E5C77">
      <w:pPr>
        <w:rPr>
          <w:rFonts w:ascii="Arial" w:hAnsi="Arial" w:cs="Arial"/>
          <w:bCs/>
          <w:iCs/>
          <w:sz w:val="24"/>
          <w:szCs w:val="24"/>
        </w:rPr>
      </w:pPr>
      <w:r>
        <w:rPr>
          <w:rFonts w:ascii="Arial" w:hAnsi="Arial" w:cs="Arial"/>
          <w:bCs/>
          <w:iCs/>
          <w:sz w:val="24"/>
          <w:szCs w:val="24"/>
        </w:rPr>
        <w:t xml:space="preserve">Before progressing into the detail of the financial position the next section summaries any key developments noted in this period that have taken place within the wider NHS environment that may impact on the financial planning of the Board. </w:t>
      </w:r>
    </w:p>
    <w:p w:rsidR="001318A5" w:rsidRDefault="001318A5" w:rsidP="008E5C77">
      <w:pPr>
        <w:rPr>
          <w:rFonts w:ascii="Arial" w:hAnsi="Arial" w:cs="Arial"/>
          <w:bCs/>
          <w:iCs/>
          <w:sz w:val="24"/>
          <w:szCs w:val="24"/>
        </w:rPr>
      </w:pPr>
    </w:p>
    <w:p w:rsidR="001318A5" w:rsidRDefault="001318A5" w:rsidP="008E5C77">
      <w:pPr>
        <w:rPr>
          <w:rFonts w:ascii="Arial" w:hAnsi="Arial" w:cs="Arial"/>
          <w:bCs/>
          <w:iCs/>
          <w:sz w:val="24"/>
          <w:szCs w:val="24"/>
        </w:rPr>
      </w:pPr>
      <w:r>
        <w:rPr>
          <w:rFonts w:ascii="Arial" w:hAnsi="Arial" w:cs="Arial"/>
          <w:bCs/>
          <w:iCs/>
          <w:sz w:val="24"/>
          <w:szCs w:val="24"/>
        </w:rPr>
        <w:t>These are summarised below:</w:t>
      </w:r>
    </w:p>
    <w:p w:rsidR="001318A5" w:rsidRPr="003A04F5" w:rsidRDefault="001318A5" w:rsidP="001318A5">
      <w:pPr>
        <w:jc w:val="both"/>
        <w:rPr>
          <w:rFonts w:ascii="Arial" w:hAnsi="Arial" w:cs="Arial"/>
          <w:bCs/>
          <w:iCs/>
          <w:sz w:val="24"/>
          <w:szCs w:val="24"/>
        </w:rPr>
      </w:pPr>
    </w:p>
    <w:p w:rsidR="001318A5" w:rsidRDefault="001318A5" w:rsidP="001318A5">
      <w:pPr>
        <w:pStyle w:val="BodyText"/>
        <w:kinsoku w:val="0"/>
        <w:overflowPunct w:val="0"/>
        <w:jc w:val="both"/>
        <w:rPr>
          <w:rFonts w:ascii="Arial" w:hAnsi="Arial" w:cs="Arial"/>
          <w:b/>
          <w:sz w:val="24"/>
          <w:szCs w:val="24"/>
        </w:rPr>
      </w:pPr>
      <w:r w:rsidRPr="007B06DD">
        <w:rPr>
          <w:rFonts w:ascii="Arial" w:hAnsi="Arial" w:cs="Arial"/>
          <w:b/>
          <w:sz w:val="24"/>
          <w:szCs w:val="24"/>
        </w:rPr>
        <w:t>NSI Business Intelligence Finance Tableau Visualisation Tool</w:t>
      </w:r>
    </w:p>
    <w:p w:rsidR="001318A5" w:rsidRDefault="001318A5" w:rsidP="001318A5">
      <w:pPr>
        <w:pStyle w:val="BodyText"/>
        <w:kinsoku w:val="0"/>
        <w:overflowPunct w:val="0"/>
        <w:jc w:val="both"/>
        <w:rPr>
          <w:rFonts w:ascii="Arial" w:hAnsi="Arial" w:cs="Arial"/>
          <w:sz w:val="24"/>
          <w:szCs w:val="24"/>
        </w:rPr>
      </w:pPr>
    </w:p>
    <w:p w:rsidR="001318A5" w:rsidRDefault="001318A5" w:rsidP="001318A5">
      <w:pPr>
        <w:pStyle w:val="BodyText"/>
        <w:kinsoku w:val="0"/>
        <w:overflowPunct w:val="0"/>
        <w:rPr>
          <w:rFonts w:ascii="Arial" w:hAnsi="Arial" w:cs="Arial"/>
          <w:sz w:val="24"/>
          <w:szCs w:val="24"/>
        </w:rPr>
      </w:pPr>
      <w:r>
        <w:rPr>
          <w:rFonts w:ascii="Arial" w:hAnsi="Arial" w:cs="Arial"/>
          <w:sz w:val="24"/>
          <w:szCs w:val="24"/>
        </w:rPr>
        <w:t>The GJ Finance training lead has completed the detailed training modules required to be the Finance Tableau local expert for future reports or dashboard requests from within the finance team. A training event in Edinburgh is arranged for 13</w:t>
      </w:r>
      <w:r w:rsidRPr="00DE32F3">
        <w:rPr>
          <w:rFonts w:ascii="Arial" w:hAnsi="Arial" w:cs="Arial"/>
          <w:sz w:val="24"/>
          <w:szCs w:val="24"/>
          <w:vertAlign w:val="superscript"/>
        </w:rPr>
        <w:t>th</w:t>
      </w:r>
      <w:r>
        <w:rPr>
          <w:rFonts w:ascii="Arial" w:hAnsi="Arial" w:cs="Arial"/>
          <w:sz w:val="24"/>
          <w:szCs w:val="24"/>
        </w:rPr>
        <w:t xml:space="preserve"> June for Finance Training leads and NSS to undertake a report development task within Tableau to consolidated skills development and identify any final training gaps.</w:t>
      </w:r>
    </w:p>
    <w:p w:rsidR="001318A5" w:rsidRDefault="001318A5" w:rsidP="001318A5">
      <w:pPr>
        <w:pStyle w:val="BodyText"/>
        <w:kinsoku w:val="0"/>
        <w:overflowPunct w:val="0"/>
        <w:rPr>
          <w:rFonts w:ascii="Arial" w:hAnsi="Arial" w:cs="Arial"/>
          <w:sz w:val="24"/>
          <w:szCs w:val="24"/>
        </w:rPr>
      </w:pPr>
    </w:p>
    <w:p w:rsidR="001318A5" w:rsidRDefault="001318A5" w:rsidP="001318A5">
      <w:pPr>
        <w:pStyle w:val="BodyText"/>
        <w:kinsoku w:val="0"/>
        <w:overflowPunct w:val="0"/>
        <w:rPr>
          <w:rFonts w:ascii="Arial" w:hAnsi="Arial" w:cs="Arial"/>
          <w:sz w:val="24"/>
          <w:szCs w:val="24"/>
        </w:rPr>
      </w:pPr>
      <w:r>
        <w:rPr>
          <w:rFonts w:ascii="Arial" w:hAnsi="Arial" w:cs="Arial"/>
          <w:sz w:val="24"/>
          <w:szCs w:val="24"/>
        </w:rPr>
        <w:t xml:space="preserve">A collective list of all budget managers has been shared with NSS/NSI technical team for system level access set-up and Finance have had discussion with e-health health intelligence analyst to ensure appropriate access on budget managers PC/laptops is in place for point of implementation from end of June 2019. The plan remains as to roll out the system to the Finance team for the first few months to build </w:t>
      </w:r>
      <w:r>
        <w:rPr>
          <w:rFonts w:ascii="Arial" w:hAnsi="Arial" w:cs="Arial"/>
          <w:sz w:val="24"/>
          <w:szCs w:val="24"/>
        </w:rPr>
        <w:lastRenderedPageBreak/>
        <w:t>experience and knowledge before full roll-out to all Divisions for self-service Finance Dashboard and reporting access (planned from Month 6). The Directorate Accountants will liaise with the budget holders in advance of implementation.</w:t>
      </w:r>
    </w:p>
    <w:p w:rsidR="001318A5" w:rsidRDefault="001318A5" w:rsidP="001318A5">
      <w:pPr>
        <w:pStyle w:val="BodyText"/>
        <w:kinsoku w:val="0"/>
        <w:overflowPunct w:val="0"/>
        <w:rPr>
          <w:rFonts w:ascii="Arial" w:hAnsi="Arial" w:cs="Arial"/>
          <w:sz w:val="24"/>
          <w:szCs w:val="24"/>
        </w:rPr>
      </w:pPr>
    </w:p>
    <w:p w:rsidR="001318A5" w:rsidRDefault="001318A5" w:rsidP="001318A5">
      <w:pPr>
        <w:pStyle w:val="BodyText"/>
        <w:kinsoku w:val="0"/>
        <w:overflowPunct w:val="0"/>
        <w:rPr>
          <w:rFonts w:ascii="Arial" w:hAnsi="Arial" w:cs="Arial"/>
          <w:b/>
          <w:sz w:val="24"/>
          <w:szCs w:val="24"/>
        </w:rPr>
      </w:pPr>
      <w:r w:rsidRPr="007B06DD">
        <w:rPr>
          <w:rFonts w:ascii="Arial" w:hAnsi="Arial" w:cs="Arial"/>
          <w:b/>
          <w:sz w:val="24"/>
          <w:szCs w:val="24"/>
        </w:rPr>
        <w:t>Clinical Waste Contract and service Contingency</w:t>
      </w:r>
    </w:p>
    <w:p w:rsidR="001318A5" w:rsidRPr="007B06DD" w:rsidRDefault="001318A5" w:rsidP="001318A5">
      <w:pPr>
        <w:pStyle w:val="BodyText"/>
        <w:kinsoku w:val="0"/>
        <w:overflowPunct w:val="0"/>
        <w:rPr>
          <w:rFonts w:ascii="Arial" w:hAnsi="Arial" w:cs="Arial"/>
          <w:b/>
          <w:sz w:val="24"/>
          <w:szCs w:val="24"/>
        </w:rPr>
      </w:pPr>
    </w:p>
    <w:p w:rsidR="001318A5" w:rsidRDefault="001318A5" w:rsidP="001318A5">
      <w:pPr>
        <w:pStyle w:val="BodyText"/>
        <w:kinsoku w:val="0"/>
        <w:overflowPunct w:val="0"/>
        <w:rPr>
          <w:rFonts w:ascii="Arial" w:hAnsi="Arial" w:cs="Arial"/>
          <w:sz w:val="24"/>
          <w:szCs w:val="24"/>
        </w:rPr>
      </w:pPr>
      <w:r>
        <w:rPr>
          <w:rFonts w:ascii="Arial" w:hAnsi="Arial" w:cs="Arial"/>
          <w:sz w:val="24"/>
          <w:szCs w:val="24"/>
        </w:rPr>
        <w:t xml:space="preserve">In discussion at the Corporate Finance Network it was confirmed that as a result of a combination of a contingency contract agreement with Viridor at Dunbar and the access to an Alternative Treatment plant through WH Malcolm that previous contingency cost reported to the April 2019 Director of Finance (DoF) meeting there had been further reduction in the contingency costs to July 2019. </w:t>
      </w:r>
    </w:p>
    <w:p w:rsidR="001318A5" w:rsidRDefault="001318A5" w:rsidP="001318A5">
      <w:pPr>
        <w:pStyle w:val="BodyText"/>
        <w:kinsoku w:val="0"/>
        <w:overflowPunct w:val="0"/>
        <w:rPr>
          <w:rFonts w:ascii="Arial" w:hAnsi="Arial" w:cs="Arial"/>
          <w:sz w:val="24"/>
          <w:szCs w:val="24"/>
        </w:rPr>
      </w:pPr>
      <w:r>
        <w:rPr>
          <w:rFonts w:ascii="Arial" w:hAnsi="Arial" w:cs="Arial"/>
          <w:sz w:val="24"/>
          <w:szCs w:val="24"/>
        </w:rPr>
        <w:t>Assumptions have been made within the Board financial plan to manage these costs however and this contingency cost movement along with any future provision changes will continue be closely monitored.</w:t>
      </w:r>
    </w:p>
    <w:p w:rsidR="001318A5" w:rsidRDefault="001318A5"/>
    <w:p w:rsidR="001318A5" w:rsidRDefault="001318A5">
      <w:pPr>
        <w:widowControl/>
        <w:autoSpaceDE/>
        <w:autoSpaceDN/>
        <w:adjustRightInd/>
      </w:pPr>
      <w:r>
        <w:br w:type="page"/>
      </w:r>
    </w:p>
    <w:p w:rsidR="001318A5" w:rsidRPr="00BA4793" w:rsidRDefault="001318A5" w:rsidP="001318A5">
      <w:pPr>
        <w:pStyle w:val="BodyText"/>
        <w:kinsoku w:val="0"/>
        <w:overflowPunct w:val="0"/>
        <w:jc w:val="both"/>
        <w:rPr>
          <w:rFonts w:ascii="Arial" w:hAnsi="Arial" w:cs="Arial"/>
          <w:sz w:val="24"/>
          <w:szCs w:val="24"/>
        </w:rPr>
      </w:pPr>
      <w:r>
        <w:rPr>
          <w:rFonts w:ascii="Arial" w:hAnsi="Arial" w:cs="Arial"/>
          <w:sz w:val="24"/>
          <w:szCs w:val="24"/>
        </w:rPr>
        <w:lastRenderedPageBreak/>
        <w:t>The following</w:t>
      </w:r>
      <w:r w:rsidRPr="00532EE0">
        <w:rPr>
          <w:rFonts w:ascii="Arial" w:hAnsi="Arial" w:cs="Arial"/>
          <w:sz w:val="24"/>
          <w:szCs w:val="24"/>
        </w:rPr>
        <w:t xml:space="preserve"> section of the report </w:t>
      </w:r>
      <w:r>
        <w:rPr>
          <w:rFonts w:ascii="Arial" w:hAnsi="Arial" w:cs="Arial"/>
          <w:sz w:val="24"/>
          <w:szCs w:val="24"/>
        </w:rPr>
        <w:t xml:space="preserve">now </w:t>
      </w:r>
      <w:r w:rsidRPr="00532EE0">
        <w:rPr>
          <w:rFonts w:ascii="Arial" w:hAnsi="Arial" w:cs="Arial"/>
          <w:sz w:val="24"/>
          <w:szCs w:val="24"/>
        </w:rPr>
        <w:t xml:space="preserve">provides </w:t>
      </w:r>
      <w:r>
        <w:rPr>
          <w:rFonts w:ascii="Arial" w:hAnsi="Arial" w:cs="Arial"/>
          <w:sz w:val="24"/>
          <w:szCs w:val="24"/>
        </w:rPr>
        <w:t xml:space="preserve">additional </w:t>
      </w:r>
      <w:r w:rsidRPr="00532EE0">
        <w:rPr>
          <w:rFonts w:ascii="Arial" w:hAnsi="Arial" w:cs="Arial"/>
          <w:sz w:val="24"/>
          <w:szCs w:val="24"/>
        </w:rPr>
        <w:t xml:space="preserve">analysis of the financial position </w:t>
      </w:r>
      <w:r>
        <w:rPr>
          <w:rFonts w:ascii="Arial" w:hAnsi="Arial" w:cs="Arial"/>
          <w:sz w:val="24"/>
          <w:szCs w:val="24"/>
        </w:rPr>
        <w:t>as at 31 May 2019</w:t>
      </w:r>
      <w:r w:rsidRPr="00532EE0">
        <w:rPr>
          <w:rFonts w:ascii="Arial" w:hAnsi="Arial" w:cs="Arial"/>
          <w:sz w:val="24"/>
          <w:szCs w:val="24"/>
        </w:rPr>
        <w:t>.</w:t>
      </w:r>
    </w:p>
    <w:p w:rsidR="001318A5" w:rsidRDefault="001318A5" w:rsidP="001318A5">
      <w:pPr>
        <w:rPr>
          <w:b/>
          <w:bCs/>
          <w:i/>
          <w:iCs/>
        </w:rPr>
      </w:pPr>
    </w:p>
    <w:p w:rsidR="001318A5" w:rsidRPr="007B06DD" w:rsidRDefault="001318A5" w:rsidP="001318A5">
      <w:pPr>
        <w:rPr>
          <w:rFonts w:ascii="Arial" w:hAnsi="Arial" w:cs="Arial"/>
          <w:b/>
          <w:bCs/>
          <w:iCs/>
          <w:caps/>
        </w:rPr>
      </w:pPr>
      <w:r w:rsidRPr="007B06DD">
        <w:rPr>
          <w:rFonts w:ascii="Arial" w:hAnsi="Arial" w:cs="Arial"/>
          <w:b/>
          <w:bCs/>
          <w:iCs/>
          <w:caps/>
        </w:rPr>
        <w:t>summary of the overall year to date position</w:t>
      </w:r>
    </w:p>
    <w:p w:rsidR="001318A5" w:rsidRDefault="00B46062" w:rsidP="001318A5">
      <w:pPr>
        <w:kinsoku w:val="0"/>
        <w:overflowPunct w:val="0"/>
        <w:rPr>
          <w:rFonts w:ascii="Arial" w:hAnsi="Arial" w:cs="Arial"/>
          <w:sz w:val="24"/>
          <w:szCs w:val="24"/>
        </w:rPr>
      </w:pPr>
      <w:r w:rsidRPr="00B46062">
        <w:rPr>
          <w:noProof/>
        </w:rPr>
        <w:drawing>
          <wp:inline distT="0" distB="0" distL="0" distR="0">
            <wp:extent cx="5731510" cy="37653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765389"/>
                    </a:xfrm>
                    <a:prstGeom prst="rect">
                      <a:avLst/>
                    </a:prstGeom>
                    <a:noFill/>
                    <a:ln>
                      <a:noFill/>
                    </a:ln>
                  </pic:spPr>
                </pic:pic>
              </a:graphicData>
            </a:graphic>
          </wp:inline>
        </w:drawing>
      </w:r>
    </w:p>
    <w:p w:rsidR="00036BE9" w:rsidRDefault="00036BE9" w:rsidP="001318A5">
      <w:pPr>
        <w:kinsoku w:val="0"/>
        <w:overflowPunct w:val="0"/>
        <w:rPr>
          <w:rFonts w:ascii="Arial" w:hAnsi="Arial" w:cs="Arial"/>
          <w:sz w:val="24"/>
          <w:szCs w:val="24"/>
        </w:rPr>
      </w:pPr>
    </w:p>
    <w:p w:rsidR="001318A5" w:rsidRPr="00AA5131" w:rsidRDefault="001318A5" w:rsidP="001318A5">
      <w:pPr>
        <w:kinsoku w:val="0"/>
        <w:overflowPunct w:val="0"/>
        <w:rPr>
          <w:rFonts w:ascii="Arial" w:hAnsi="Arial" w:cs="Arial"/>
          <w:sz w:val="24"/>
          <w:szCs w:val="24"/>
        </w:rPr>
      </w:pPr>
      <w:r w:rsidRPr="00AA5131">
        <w:rPr>
          <w:rFonts w:ascii="Arial" w:hAnsi="Arial" w:cs="Arial"/>
          <w:sz w:val="24"/>
          <w:szCs w:val="24"/>
        </w:rPr>
        <w:t>The movement in the Scottish Government RRL forecast is as a result of incr</w:t>
      </w:r>
      <w:r>
        <w:rPr>
          <w:rFonts w:ascii="Arial" w:hAnsi="Arial" w:cs="Arial"/>
          <w:sz w:val="24"/>
          <w:szCs w:val="24"/>
        </w:rPr>
        <w:t>eased baseline uplift higher tha</w:t>
      </w:r>
      <w:r w:rsidRPr="00AA5131">
        <w:rPr>
          <w:rFonts w:ascii="Arial" w:hAnsi="Arial" w:cs="Arial"/>
          <w:sz w:val="24"/>
          <w:szCs w:val="24"/>
        </w:rPr>
        <w:t>n</w:t>
      </w:r>
      <w:r w:rsidR="00B46062">
        <w:rPr>
          <w:rFonts w:ascii="Arial" w:hAnsi="Arial" w:cs="Arial"/>
          <w:sz w:val="24"/>
          <w:szCs w:val="24"/>
        </w:rPr>
        <w:t xml:space="preserve"> minimum 1.7% modelled within</w:t>
      </w:r>
      <w:r w:rsidRPr="00AA5131">
        <w:rPr>
          <w:rFonts w:ascii="Arial" w:hAnsi="Arial" w:cs="Arial"/>
          <w:sz w:val="24"/>
          <w:szCs w:val="24"/>
        </w:rPr>
        <w:t xml:space="preserve"> the financial plan and higher deduction towards territorial boards contribution to £15m th</w:t>
      </w:r>
      <w:r w:rsidR="00B46062">
        <w:rPr>
          <w:rFonts w:ascii="Arial" w:hAnsi="Arial" w:cs="Arial"/>
          <w:sz w:val="24"/>
          <w:szCs w:val="24"/>
        </w:rPr>
        <w:t>an planned, the latter is planned</w:t>
      </w:r>
      <w:r w:rsidRPr="00AA5131">
        <w:rPr>
          <w:rFonts w:ascii="Arial" w:hAnsi="Arial" w:cs="Arial"/>
          <w:sz w:val="24"/>
          <w:szCs w:val="24"/>
        </w:rPr>
        <w:t xml:space="preserve"> to reduce back in line with original Financial Plan subject to NBC programme Board meeting.</w:t>
      </w:r>
    </w:p>
    <w:p w:rsidR="001318A5" w:rsidRDefault="001318A5" w:rsidP="001318A5">
      <w:pPr>
        <w:pStyle w:val="BodyText"/>
        <w:kinsoku w:val="0"/>
        <w:overflowPunct w:val="0"/>
        <w:rPr>
          <w:rFonts w:ascii="Arial" w:hAnsi="Arial" w:cs="Arial"/>
          <w:b/>
          <w:i/>
          <w:color w:val="0070C0"/>
          <w:sz w:val="24"/>
          <w:szCs w:val="24"/>
        </w:rPr>
      </w:pPr>
      <w:r>
        <w:rPr>
          <w:rFonts w:ascii="Arial" w:hAnsi="Arial" w:cs="Arial"/>
          <w:b/>
          <w:i/>
          <w:color w:val="0070C0"/>
          <w:sz w:val="24"/>
          <w:szCs w:val="24"/>
        </w:rPr>
        <w:t xml:space="preserve">                                                          </w:t>
      </w:r>
    </w:p>
    <w:p w:rsidR="001318A5" w:rsidRPr="00DB5329" w:rsidRDefault="001318A5" w:rsidP="001318A5">
      <w:pPr>
        <w:pStyle w:val="BodyText"/>
        <w:kinsoku w:val="0"/>
        <w:overflowPunct w:val="0"/>
        <w:rPr>
          <w:rFonts w:ascii="Arial" w:hAnsi="Arial" w:cs="Arial"/>
          <w:b/>
          <w:i/>
          <w:color w:val="0070C0"/>
          <w:sz w:val="24"/>
          <w:szCs w:val="24"/>
        </w:rPr>
      </w:pPr>
      <w:r w:rsidRPr="00602D88">
        <w:rPr>
          <w:rFonts w:ascii="Arial" w:hAnsi="Arial" w:cs="Arial"/>
          <w:sz w:val="24"/>
          <w:szCs w:val="24"/>
        </w:rPr>
        <w:t>Our financial performance compared to budget is shown on the diagram</w:t>
      </w:r>
      <w:r>
        <w:rPr>
          <w:rFonts w:ascii="Arial" w:hAnsi="Arial" w:cs="Arial"/>
          <w:sz w:val="24"/>
          <w:szCs w:val="24"/>
        </w:rPr>
        <w:t>s</w:t>
      </w:r>
      <w:r w:rsidRPr="00602D88">
        <w:rPr>
          <w:rFonts w:ascii="Arial" w:hAnsi="Arial" w:cs="Arial"/>
          <w:sz w:val="24"/>
          <w:szCs w:val="24"/>
        </w:rPr>
        <w:t xml:space="preserve"> below </w:t>
      </w:r>
      <w:r w:rsidR="00AE5418">
        <w:rPr>
          <w:rFonts w:ascii="Arial" w:hAnsi="Arial" w:cs="Arial"/>
          <w:sz w:val="24"/>
          <w:szCs w:val="24"/>
        </w:rPr>
        <w:t>as at Month two</w:t>
      </w:r>
      <w:r>
        <w:rPr>
          <w:rFonts w:ascii="Arial" w:hAnsi="Arial" w:cs="Arial"/>
          <w:sz w:val="24"/>
          <w:szCs w:val="24"/>
        </w:rPr>
        <w:t>:</w:t>
      </w:r>
    </w:p>
    <w:p w:rsidR="001318A5" w:rsidRDefault="001318A5">
      <w:pPr>
        <w:widowControl/>
        <w:autoSpaceDE/>
        <w:autoSpaceDN/>
        <w:adjustRightInd/>
      </w:pPr>
      <w:r>
        <w:br w:type="page"/>
      </w:r>
    </w:p>
    <w:p w:rsidR="001318A5" w:rsidRDefault="001318A5" w:rsidP="001318A5">
      <w:pPr>
        <w:pStyle w:val="BodyText"/>
        <w:kinsoku w:val="0"/>
        <w:overflowPunct w:val="0"/>
        <w:jc w:val="both"/>
        <w:rPr>
          <w:rFonts w:ascii="Arial" w:hAnsi="Arial" w:cs="Arial"/>
          <w:noProof/>
          <w:sz w:val="24"/>
          <w:szCs w:val="24"/>
        </w:rPr>
      </w:pPr>
      <w:r>
        <w:rPr>
          <w:rFonts w:ascii="Arial" w:hAnsi="Arial" w:cs="Arial"/>
          <w:noProof/>
          <w:sz w:val="24"/>
          <w:szCs w:val="24"/>
        </w:rPr>
        <w:lastRenderedPageBreak/>
        <w:drawing>
          <wp:inline distT="0" distB="0" distL="0" distR="0" wp14:anchorId="6B1B8EAE" wp14:editId="1B3D9B67">
            <wp:extent cx="5582112" cy="4135053"/>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607597" cy="4153932"/>
                    </a:xfrm>
                    <a:prstGeom prst="rect">
                      <a:avLst/>
                    </a:prstGeom>
                    <a:noFill/>
                  </pic:spPr>
                </pic:pic>
              </a:graphicData>
            </a:graphic>
          </wp:inline>
        </w:drawing>
      </w:r>
    </w:p>
    <w:p w:rsidR="001318A5" w:rsidRDefault="001318A5" w:rsidP="001318A5"/>
    <w:p w:rsidR="001318A5" w:rsidRDefault="001318A5" w:rsidP="001318A5"/>
    <w:p w:rsidR="001318A5" w:rsidRDefault="00036BE9" w:rsidP="00036BE9">
      <w:pPr>
        <w:widowControl/>
        <w:autoSpaceDE/>
        <w:autoSpaceDN/>
        <w:adjustRightInd/>
      </w:pPr>
      <w:r>
        <w:rPr>
          <w:rFonts w:ascii="Arial" w:hAnsi="Arial" w:cs="Arial"/>
          <w:noProof/>
          <w:sz w:val="24"/>
          <w:szCs w:val="24"/>
        </w:rPr>
        <w:drawing>
          <wp:inline distT="0" distB="0" distL="0" distR="0" wp14:anchorId="5F4B04D9" wp14:editId="5C05D930">
            <wp:extent cx="5662863" cy="42346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684002" cy="4250492"/>
                    </a:xfrm>
                    <a:prstGeom prst="rect">
                      <a:avLst/>
                    </a:prstGeom>
                    <a:noFill/>
                  </pic:spPr>
                </pic:pic>
              </a:graphicData>
            </a:graphic>
          </wp:inline>
        </w:drawing>
      </w:r>
      <w:r w:rsidR="001318A5">
        <w:br w:type="page"/>
      </w:r>
    </w:p>
    <w:p w:rsidR="001318A5" w:rsidRDefault="001318A5">
      <w:pPr>
        <w:widowControl/>
        <w:autoSpaceDE/>
        <w:autoSpaceDN/>
        <w:adjustRightInd/>
      </w:pPr>
    </w:p>
    <w:p w:rsidR="001318A5" w:rsidRDefault="001318A5" w:rsidP="001318A5">
      <w:pPr>
        <w:pStyle w:val="BodyText"/>
        <w:numPr>
          <w:ilvl w:val="0"/>
          <w:numId w:val="8"/>
        </w:numPr>
        <w:kinsoku w:val="0"/>
        <w:overflowPunct w:val="0"/>
        <w:rPr>
          <w:rFonts w:ascii="Arial" w:hAnsi="Arial" w:cs="Arial"/>
          <w:noProof/>
          <w:sz w:val="24"/>
          <w:szCs w:val="24"/>
        </w:rPr>
      </w:pPr>
      <w:r w:rsidRPr="009763B0">
        <w:rPr>
          <w:rFonts w:ascii="Arial" w:hAnsi="Arial" w:cs="Arial"/>
          <w:noProof/>
          <w:sz w:val="24"/>
          <w:szCs w:val="24"/>
        </w:rPr>
        <w:t xml:space="preserve">the </w:t>
      </w:r>
      <w:r w:rsidRPr="009763B0">
        <w:rPr>
          <w:rFonts w:ascii="Arial" w:hAnsi="Arial" w:cs="Arial"/>
          <w:b/>
          <w:noProof/>
          <w:sz w:val="24"/>
          <w:szCs w:val="24"/>
        </w:rPr>
        <w:t>pay</w:t>
      </w:r>
      <w:r>
        <w:rPr>
          <w:rFonts w:ascii="Arial" w:hAnsi="Arial" w:cs="Arial"/>
          <w:noProof/>
          <w:sz w:val="24"/>
          <w:szCs w:val="24"/>
        </w:rPr>
        <w:t xml:space="preserve"> graph above reflects both, year to date budget and year to date actual spend for financial year 2018/19 and 2019/20, these are plotted on the graph but as th</w:t>
      </w:r>
      <w:r w:rsidR="00B46062">
        <w:rPr>
          <w:rFonts w:ascii="Arial" w:hAnsi="Arial" w:cs="Arial"/>
          <w:noProof/>
          <w:sz w:val="24"/>
          <w:szCs w:val="24"/>
        </w:rPr>
        <w:t xml:space="preserve">e 2019/20 values  reflect the first two months </w:t>
      </w:r>
      <w:r>
        <w:rPr>
          <w:rFonts w:ascii="Arial" w:hAnsi="Arial" w:cs="Arial"/>
          <w:noProof/>
          <w:sz w:val="24"/>
          <w:szCs w:val="24"/>
        </w:rPr>
        <w:t>only at this point the trend analysis is not yet clear. Although it should be noted that as at May 2018 budget was £13,877 and actual  expenditure £15,366  compared to May 2019 budget of £13,752 and £13,982 which refects an increase in cost of £1,384k due mainly to AFC pay award and superannuation increase applied from April 2019. Budget as at May 2019 only reflects the AFC budget allocation as received through RRL in May’19 however Superannuation funding is not yet received and is forecast on the basis of £3.2m at this stage. This represents circa £</w:t>
      </w:r>
      <w:r w:rsidR="005620BA">
        <w:rPr>
          <w:rFonts w:ascii="Arial" w:hAnsi="Arial" w:cs="Arial"/>
          <w:noProof/>
          <w:sz w:val="24"/>
          <w:szCs w:val="24"/>
        </w:rPr>
        <w:t>0.600m</w:t>
      </w:r>
      <w:r>
        <w:rPr>
          <w:rFonts w:ascii="Arial" w:hAnsi="Arial" w:cs="Arial"/>
          <w:noProof/>
          <w:sz w:val="24"/>
          <w:szCs w:val="24"/>
        </w:rPr>
        <w:t xml:space="preserve"> of the total pay adverse variance as at May 2019 reporting.  </w:t>
      </w:r>
    </w:p>
    <w:p w:rsidR="001318A5" w:rsidRDefault="001318A5" w:rsidP="001318A5">
      <w:pPr>
        <w:pStyle w:val="BodyText"/>
        <w:kinsoku w:val="0"/>
        <w:overflowPunct w:val="0"/>
        <w:jc w:val="both"/>
        <w:rPr>
          <w:rFonts w:ascii="Arial" w:hAnsi="Arial" w:cs="Arial"/>
          <w:noProof/>
          <w:sz w:val="24"/>
          <w:szCs w:val="24"/>
        </w:rPr>
      </w:pPr>
    </w:p>
    <w:p w:rsidR="001318A5" w:rsidRDefault="001318A5" w:rsidP="001318A5">
      <w:pPr>
        <w:pStyle w:val="BodyText"/>
        <w:numPr>
          <w:ilvl w:val="0"/>
          <w:numId w:val="8"/>
        </w:numPr>
        <w:kinsoku w:val="0"/>
        <w:overflowPunct w:val="0"/>
        <w:rPr>
          <w:rFonts w:ascii="Arial" w:hAnsi="Arial" w:cs="Arial"/>
          <w:noProof/>
          <w:sz w:val="24"/>
          <w:szCs w:val="24"/>
        </w:rPr>
      </w:pPr>
      <w:r>
        <w:rPr>
          <w:rFonts w:ascii="Arial" w:hAnsi="Arial" w:cs="Arial"/>
          <w:noProof/>
          <w:sz w:val="24"/>
          <w:szCs w:val="24"/>
        </w:rPr>
        <w:t xml:space="preserve">the </w:t>
      </w:r>
      <w:r w:rsidRPr="00C40FA2">
        <w:rPr>
          <w:rFonts w:ascii="Arial" w:hAnsi="Arial" w:cs="Arial"/>
          <w:b/>
          <w:noProof/>
          <w:sz w:val="24"/>
          <w:szCs w:val="24"/>
        </w:rPr>
        <w:t>non-pay</w:t>
      </w:r>
      <w:r>
        <w:rPr>
          <w:rFonts w:ascii="Arial" w:hAnsi="Arial" w:cs="Arial"/>
          <w:noProof/>
          <w:sz w:val="24"/>
          <w:szCs w:val="24"/>
        </w:rPr>
        <w:t xml:space="preserve"> graph above reflects both, year to date budget and year to date actual spend for financial year 2018/19 and 2019/20, these are plotted on the graph with the 2019/20 values for month two of the financial year reflects an underspend position and is due to reserves held in place for pay/superannuation impact and financial plan pressures and developments yet to be released on agreement of final Divisional budget sign off. To date annual non-pays expenditure reflects a cost reduction of £</w:t>
      </w:r>
      <w:r w:rsidR="005620BA">
        <w:rPr>
          <w:rFonts w:ascii="Arial" w:hAnsi="Arial" w:cs="Arial"/>
          <w:noProof/>
          <w:sz w:val="24"/>
          <w:szCs w:val="24"/>
        </w:rPr>
        <w:t>0.333m</w:t>
      </w:r>
      <w:r>
        <w:rPr>
          <w:rFonts w:ascii="Arial" w:hAnsi="Arial" w:cs="Arial"/>
          <w:noProof/>
          <w:sz w:val="24"/>
          <w:szCs w:val="24"/>
        </w:rPr>
        <w:t>.</w:t>
      </w:r>
    </w:p>
    <w:p w:rsidR="001318A5" w:rsidRDefault="001318A5" w:rsidP="001318A5">
      <w:pPr>
        <w:rPr>
          <w:rFonts w:ascii="Arial" w:hAnsi="Arial" w:cs="Arial"/>
          <w:b/>
          <w:i/>
          <w:color w:val="0070C0"/>
          <w:sz w:val="24"/>
          <w:szCs w:val="24"/>
        </w:rPr>
      </w:pPr>
    </w:p>
    <w:p w:rsidR="001318A5" w:rsidRDefault="001318A5" w:rsidP="001318A5">
      <w:pPr>
        <w:rPr>
          <w:rFonts w:ascii="Arial" w:hAnsi="Arial" w:cs="Arial"/>
          <w:b/>
          <w:i/>
          <w:color w:val="0070C0"/>
          <w:sz w:val="24"/>
          <w:szCs w:val="24"/>
        </w:rPr>
      </w:pPr>
    </w:p>
    <w:p w:rsidR="001318A5" w:rsidRPr="00920335" w:rsidRDefault="001318A5" w:rsidP="001318A5">
      <w:pPr>
        <w:rPr>
          <w:rFonts w:ascii="Arial" w:hAnsi="Arial" w:cs="Arial"/>
          <w:sz w:val="24"/>
          <w:szCs w:val="24"/>
        </w:rPr>
      </w:pPr>
      <w:r>
        <w:rPr>
          <w:rFonts w:ascii="Arial" w:hAnsi="Arial" w:cs="Arial"/>
          <w:sz w:val="24"/>
          <w:szCs w:val="24"/>
        </w:rPr>
        <w:t>Due to inclusion of only two</w:t>
      </w:r>
      <w:r w:rsidRPr="00920335">
        <w:rPr>
          <w:rFonts w:ascii="Arial" w:hAnsi="Arial" w:cs="Arial"/>
          <w:sz w:val="24"/>
          <w:szCs w:val="24"/>
        </w:rPr>
        <w:t xml:space="preserve"> month</w:t>
      </w:r>
      <w:r>
        <w:rPr>
          <w:rFonts w:ascii="Arial" w:hAnsi="Arial" w:cs="Arial"/>
          <w:sz w:val="24"/>
          <w:szCs w:val="24"/>
        </w:rPr>
        <w:t>s of</w:t>
      </w:r>
      <w:r w:rsidRPr="00920335">
        <w:rPr>
          <w:rFonts w:ascii="Arial" w:hAnsi="Arial" w:cs="Arial"/>
          <w:sz w:val="24"/>
          <w:szCs w:val="24"/>
        </w:rPr>
        <w:t xml:space="preserve"> data reported for 2019/20 at this stage the above </w:t>
      </w:r>
      <w:r>
        <w:rPr>
          <w:rFonts w:ascii="Arial" w:hAnsi="Arial" w:cs="Arial"/>
          <w:sz w:val="24"/>
          <w:szCs w:val="24"/>
        </w:rPr>
        <w:t xml:space="preserve">provides limited information but this will be developed as the year progress and will allow identification of any major shift in either cost or budget or both. </w:t>
      </w:r>
    </w:p>
    <w:p w:rsidR="001318A5" w:rsidRDefault="001318A5">
      <w:pPr>
        <w:widowControl/>
        <w:autoSpaceDE/>
        <w:autoSpaceDN/>
        <w:adjustRightInd/>
      </w:pPr>
      <w:r>
        <w:br w:type="page"/>
      </w:r>
    </w:p>
    <w:p w:rsidR="001318A5" w:rsidRPr="00EB01CA" w:rsidRDefault="001318A5" w:rsidP="001318A5">
      <w:pPr>
        <w:rPr>
          <w:rFonts w:ascii="Arial" w:hAnsi="Arial" w:cs="Arial"/>
          <w:sz w:val="24"/>
          <w:szCs w:val="24"/>
        </w:rPr>
      </w:pPr>
      <w:r w:rsidRPr="00EB01CA">
        <w:rPr>
          <w:rFonts w:ascii="Arial" w:hAnsi="Arial" w:cs="Arial"/>
          <w:b/>
          <w:color w:val="0070C0"/>
          <w:sz w:val="24"/>
          <w:szCs w:val="24"/>
        </w:rPr>
        <w:lastRenderedPageBreak/>
        <w:t>Efficiency Savings</w:t>
      </w:r>
    </w:p>
    <w:p w:rsidR="001318A5" w:rsidRPr="00EB01CA" w:rsidRDefault="001318A5" w:rsidP="001318A5">
      <w:pPr>
        <w:rPr>
          <w:rFonts w:ascii="Arial" w:hAnsi="Arial" w:cs="Arial"/>
          <w:sz w:val="24"/>
          <w:szCs w:val="24"/>
        </w:rPr>
      </w:pPr>
    </w:p>
    <w:p w:rsidR="001318A5" w:rsidRDefault="001318A5" w:rsidP="001318A5">
      <w:pPr>
        <w:rPr>
          <w:rFonts w:ascii="Arial" w:hAnsi="Arial" w:cs="Arial"/>
          <w:sz w:val="24"/>
          <w:szCs w:val="24"/>
        </w:rPr>
      </w:pPr>
      <w:r w:rsidRPr="00EB01CA">
        <w:rPr>
          <w:rFonts w:ascii="Arial" w:hAnsi="Arial" w:cs="Arial"/>
          <w:sz w:val="24"/>
          <w:szCs w:val="24"/>
        </w:rPr>
        <w:t>At month two (2), efficiency savings schemes are not yet fully defined and calculated while work continues in agreeing the full year target with corporate schemes being finalised by finance and the budget holders. For the full year target there remains a gap of £955k to achieve financial plan target and this will be monitored against the forecast projected below. Note this gap has reduced from the £1.4m gap described within the financial plan so good progress is being made, and the indicative additional corporate schemes once fully costed are likely to reduce the gap further by £200k. The savings achieved reported from month 3 will be shown in the table below to demonstrate achievement against planned trajectory</w:t>
      </w:r>
      <w:r>
        <w:rPr>
          <w:rFonts w:ascii="Arial" w:hAnsi="Arial" w:cs="Arial"/>
          <w:sz w:val="24"/>
          <w:szCs w:val="24"/>
        </w:rPr>
        <w:t>.</w:t>
      </w:r>
    </w:p>
    <w:p w:rsidR="001318A5" w:rsidRDefault="001318A5" w:rsidP="001318A5">
      <w:pPr>
        <w:rPr>
          <w:rFonts w:ascii="Arial" w:hAnsi="Arial" w:cs="Arial"/>
          <w:b/>
          <w:i/>
          <w:color w:val="0070C0"/>
          <w:sz w:val="24"/>
          <w:szCs w:val="24"/>
        </w:rPr>
      </w:pPr>
    </w:p>
    <w:p w:rsidR="001318A5" w:rsidRDefault="001318A5" w:rsidP="001318A5">
      <w:pPr>
        <w:rPr>
          <w:rFonts w:ascii="Arial" w:hAnsi="Arial" w:cs="Arial"/>
          <w:b/>
          <w:i/>
          <w:color w:val="0070C0"/>
          <w:sz w:val="24"/>
          <w:szCs w:val="24"/>
        </w:rPr>
      </w:pPr>
    </w:p>
    <w:tbl>
      <w:tblPr>
        <w:tblW w:w="19742" w:type="dxa"/>
        <w:tblInd w:w="108" w:type="dxa"/>
        <w:tblLook w:val="04A0" w:firstRow="1" w:lastRow="0" w:firstColumn="1" w:lastColumn="0" w:noHBand="0" w:noVBand="1"/>
      </w:tblPr>
      <w:tblGrid>
        <w:gridCol w:w="17791"/>
        <w:gridCol w:w="6072"/>
        <w:gridCol w:w="221"/>
        <w:gridCol w:w="476"/>
        <w:gridCol w:w="4598"/>
        <w:gridCol w:w="1327"/>
        <w:gridCol w:w="285"/>
        <w:gridCol w:w="910"/>
      </w:tblGrid>
      <w:tr w:rsidR="001318A5" w:rsidRPr="00AD7CC4" w:rsidTr="00577564">
        <w:trPr>
          <w:trHeight w:val="300"/>
        </w:trPr>
        <w:tc>
          <w:tcPr>
            <w:tcW w:w="3969" w:type="dxa"/>
            <w:tcBorders>
              <w:top w:val="nil"/>
              <w:left w:val="nil"/>
              <w:bottom w:val="nil"/>
              <w:right w:val="nil"/>
            </w:tcBorders>
            <w:shd w:val="clear" w:color="000000" w:fill="FFFFFF"/>
            <w:noWrap/>
            <w:vAlign w:val="bottom"/>
            <w:hideMark/>
          </w:tcPr>
          <w:tbl>
            <w:tblPr>
              <w:tblW w:w="19752" w:type="dxa"/>
              <w:tblInd w:w="98" w:type="dxa"/>
              <w:tblLook w:val="04A0" w:firstRow="1" w:lastRow="0" w:firstColumn="1" w:lastColumn="0" w:noHBand="0" w:noVBand="1"/>
            </w:tblPr>
            <w:tblGrid>
              <w:gridCol w:w="216"/>
              <w:gridCol w:w="1152"/>
              <w:gridCol w:w="862"/>
              <w:gridCol w:w="1338"/>
              <w:gridCol w:w="6072"/>
              <w:gridCol w:w="221"/>
              <w:gridCol w:w="476"/>
              <w:gridCol w:w="4598"/>
              <w:gridCol w:w="1327"/>
              <w:gridCol w:w="285"/>
              <w:gridCol w:w="910"/>
            </w:tblGrid>
            <w:tr w:rsidR="001318A5" w:rsidRPr="004D7C31" w:rsidTr="00577564">
              <w:trPr>
                <w:gridAfter w:val="7"/>
                <w:wAfter w:w="15773" w:type="dxa"/>
                <w:trHeight w:val="1905"/>
              </w:trPr>
              <w:tc>
                <w:tcPr>
                  <w:tcW w:w="1510" w:type="dxa"/>
                  <w:gridSpan w:val="2"/>
                  <w:tcBorders>
                    <w:top w:val="single" w:sz="8" w:space="0" w:color="auto"/>
                    <w:left w:val="single" w:sz="8" w:space="0" w:color="auto"/>
                    <w:bottom w:val="single" w:sz="8" w:space="0" w:color="auto"/>
                    <w:right w:val="single" w:sz="8" w:space="0" w:color="auto"/>
                  </w:tcBorders>
                  <w:shd w:val="clear" w:color="000000" w:fill="8DB3E2"/>
                  <w:vAlign w:val="bottom"/>
                  <w:hideMark/>
                </w:tcPr>
                <w:p w:rsidR="001318A5" w:rsidRPr="004D7C31" w:rsidRDefault="001318A5" w:rsidP="00577564">
                  <w:pPr>
                    <w:widowControl/>
                    <w:autoSpaceDE/>
                    <w:autoSpaceDN/>
                    <w:adjustRightInd/>
                    <w:rPr>
                      <w:rFonts w:ascii="Arial" w:hAnsi="Arial" w:cs="Arial"/>
                      <w:b/>
                      <w:bCs/>
                      <w:color w:val="000000"/>
                      <w:sz w:val="24"/>
                      <w:szCs w:val="24"/>
                    </w:rPr>
                  </w:pPr>
                  <w:r w:rsidRPr="004D7C31">
                    <w:rPr>
                      <w:rFonts w:ascii="Arial" w:hAnsi="Arial" w:cs="Arial"/>
                      <w:b/>
                      <w:bCs/>
                      <w:color w:val="000000"/>
                      <w:sz w:val="24"/>
                      <w:szCs w:val="24"/>
                    </w:rPr>
                    <w:t>Cumulative value of efficiency savings as at the end of:</w:t>
                  </w:r>
                </w:p>
              </w:tc>
              <w:tc>
                <w:tcPr>
                  <w:tcW w:w="960" w:type="dxa"/>
                  <w:tcBorders>
                    <w:top w:val="single" w:sz="8" w:space="0" w:color="auto"/>
                    <w:left w:val="nil"/>
                    <w:bottom w:val="single" w:sz="8" w:space="0" w:color="auto"/>
                    <w:right w:val="single" w:sz="8" w:space="0" w:color="auto"/>
                  </w:tcBorders>
                  <w:shd w:val="clear" w:color="000000" w:fill="8DB3E2"/>
                  <w:vAlign w:val="bottom"/>
                  <w:hideMark/>
                </w:tcPr>
                <w:p w:rsidR="001318A5" w:rsidRPr="004D7C31" w:rsidRDefault="001318A5" w:rsidP="00577564">
                  <w:pPr>
                    <w:widowControl/>
                    <w:autoSpaceDE/>
                    <w:autoSpaceDN/>
                    <w:adjustRightInd/>
                    <w:jc w:val="center"/>
                    <w:rPr>
                      <w:rFonts w:ascii="Arial" w:hAnsi="Arial" w:cs="Arial"/>
                      <w:b/>
                      <w:bCs/>
                      <w:color w:val="000000"/>
                      <w:sz w:val="24"/>
                      <w:szCs w:val="24"/>
                    </w:rPr>
                  </w:pPr>
                  <w:r w:rsidRPr="004D7C31">
                    <w:rPr>
                      <w:rFonts w:ascii="Arial" w:hAnsi="Arial" w:cs="Arial"/>
                      <w:b/>
                      <w:bCs/>
                      <w:color w:val="000000"/>
                      <w:sz w:val="24"/>
                      <w:szCs w:val="24"/>
                    </w:rPr>
                    <w:t>Total Plan</w:t>
                  </w:r>
                </w:p>
              </w:tc>
              <w:tc>
                <w:tcPr>
                  <w:tcW w:w="1509" w:type="dxa"/>
                  <w:tcBorders>
                    <w:top w:val="single" w:sz="8" w:space="0" w:color="auto"/>
                    <w:left w:val="nil"/>
                    <w:bottom w:val="single" w:sz="8" w:space="0" w:color="auto"/>
                    <w:right w:val="single" w:sz="8" w:space="0" w:color="auto"/>
                  </w:tcBorders>
                  <w:shd w:val="clear" w:color="000000" w:fill="8DB3E2"/>
                  <w:vAlign w:val="bottom"/>
                  <w:hideMark/>
                </w:tcPr>
                <w:p w:rsidR="001318A5" w:rsidRPr="004D7C31" w:rsidRDefault="001318A5" w:rsidP="00577564">
                  <w:pPr>
                    <w:widowControl/>
                    <w:autoSpaceDE/>
                    <w:autoSpaceDN/>
                    <w:adjustRightInd/>
                    <w:jc w:val="center"/>
                    <w:rPr>
                      <w:rFonts w:ascii="Arial" w:hAnsi="Arial" w:cs="Arial"/>
                      <w:b/>
                      <w:bCs/>
                      <w:color w:val="000000"/>
                      <w:sz w:val="24"/>
                      <w:szCs w:val="24"/>
                    </w:rPr>
                  </w:pPr>
                  <w:r w:rsidRPr="004D7C31">
                    <w:rPr>
                      <w:rFonts w:ascii="Arial" w:hAnsi="Arial" w:cs="Arial"/>
                      <w:b/>
                      <w:bCs/>
                      <w:color w:val="000000"/>
                      <w:sz w:val="24"/>
                      <w:szCs w:val="24"/>
                    </w:rPr>
                    <w:t>Total Achieved</w:t>
                  </w:r>
                </w:p>
              </w:tc>
            </w:tr>
            <w:tr w:rsidR="001318A5" w:rsidRPr="004D7C31" w:rsidTr="00577564">
              <w:trPr>
                <w:gridAfter w:val="7"/>
                <w:wAfter w:w="15773" w:type="dxa"/>
                <w:trHeight w:val="330"/>
              </w:trPr>
              <w:tc>
                <w:tcPr>
                  <w:tcW w:w="1510" w:type="dxa"/>
                  <w:gridSpan w:val="2"/>
                  <w:tcBorders>
                    <w:top w:val="nil"/>
                    <w:left w:val="single" w:sz="8" w:space="0" w:color="auto"/>
                    <w:bottom w:val="single" w:sz="8" w:space="0" w:color="auto"/>
                    <w:right w:val="single" w:sz="8" w:space="0" w:color="auto"/>
                  </w:tcBorders>
                  <w:shd w:val="clear" w:color="auto" w:fill="auto"/>
                  <w:noWrap/>
                  <w:vAlign w:val="bottom"/>
                  <w:hideMark/>
                </w:tcPr>
                <w:p w:rsidR="001318A5" w:rsidRPr="004D7C31" w:rsidRDefault="001318A5" w:rsidP="00577564">
                  <w:pPr>
                    <w:widowControl/>
                    <w:autoSpaceDE/>
                    <w:autoSpaceDN/>
                    <w:adjustRightInd/>
                    <w:rPr>
                      <w:rFonts w:ascii="Arial" w:hAnsi="Arial" w:cs="Arial"/>
                      <w:color w:val="000000"/>
                      <w:sz w:val="24"/>
                      <w:szCs w:val="24"/>
                    </w:rPr>
                  </w:pPr>
                  <w:r>
                    <w:rPr>
                      <w:rFonts w:ascii="Arial" w:hAnsi="Arial" w:cs="Arial"/>
                      <w:color w:val="000000"/>
                      <w:sz w:val="24"/>
                      <w:szCs w:val="24"/>
                    </w:rPr>
                    <w:t xml:space="preserve">  </w:t>
                  </w:r>
                  <w:r w:rsidRPr="004D7C31">
                    <w:rPr>
                      <w:rFonts w:ascii="Arial" w:hAnsi="Arial" w:cs="Arial"/>
                      <w:color w:val="000000"/>
                      <w:sz w:val="24"/>
                      <w:szCs w:val="24"/>
                    </w:rPr>
                    <w:t> </w:t>
                  </w:r>
                </w:p>
              </w:tc>
              <w:tc>
                <w:tcPr>
                  <w:tcW w:w="960" w:type="dxa"/>
                  <w:tcBorders>
                    <w:top w:val="nil"/>
                    <w:left w:val="nil"/>
                    <w:bottom w:val="single" w:sz="8" w:space="0" w:color="auto"/>
                    <w:right w:val="single" w:sz="8" w:space="0" w:color="auto"/>
                  </w:tcBorders>
                  <w:shd w:val="clear" w:color="auto" w:fill="auto"/>
                  <w:vAlign w:val="bottom"/>
                  <w:hideMark/>
                </w:tcPr>
                <w:p w:rsidR="001318A5" w:rsidRPr="004D7C31" w:rsidRDefault="001318A5" w:rsidP="00577564">
                  <w:pPr>
                    <w:widowControl/>
                    <w:autoSpaceDE/>
                    <w:autoSpaceDN/>
                    <w:adjustRightInd/>
                    <w:jc w:val="center"/>
                    <w:rPr>
                      <w:rFonts w:ascii="Arial" w:hAnsi="Arial" w:cs="Arial"/>
                      <w:b/>
                      <w:bCs/>
                      <w:color w:val="000000"/>
                      <w:sz w:val="24"/>
                      <w:szCs w:val="24"/>
                    </w:rPr>
                  </w:pPr>
                  <w:r w:rsidRPr="004D7C31">
                    <w:rPr>
                      <w:rFonts w:ascii="Arial" w:hAnsi="Arial" w:cs="Arial"/>
                      <w:b/>
                      <w:bCs/>
                      <w:color w:val="000000"/>
                      <w:sz w:val="24"/>
                      <w:szCs w:val="24"/>
                    </w:rPr>
                    <w:t>£000s</w:t>
                  </w:r>
                </w:p>
              </w:tc>
              <w:tc>
                <w:tcPr>
                  <w:tcW w:w="1509" w:type="dxa"/>
                  <w:tcBorders>
                    <w:top w:val="nil"/>
                    <w:left w:val="nil"/>
                    <w:bottom w:val="single" w:sz="8" w:space="0" w:color="auto"/>
                    <w:right w:val="single" w:sz="8" w:space="0" w:color="auto"/>
                  </w:tcBorders>
                  <w:shd w:val="clear" w:color="auto" w:fill="auto"/>
                  <w:vAlign w:val="bottom"/>
                  <w:hideMark/>
                </w:tcPr>
                <w:p w:rsidR="001318A5" w:rsidRPr="004D7C31" w:rsidRDefault="001318A5" w:rsidP="00577564">
                  <w:pPr>
                    <w:widowControl/>
                    <w:autoSpaceDE/>
                    <w:autoSpaceDN/>
                    <w:adjustRightInd/>
                    <w:jc w:val="center"/>
                    <w:rPr>
                      <w:rFonts w:ascii="Arial" w:hAnsi="Arial" w:cs="Arial"/>
                      <w:b/>
                      <w:bCs/>
                      <w:color w:val="000000"/>
                      <w:sz w:val="24"/>
                      <w:szCs w:val="24"/>
                    </w:rPr>
                  </w:pPr>
                  <w:r w:rsidRPr="004D7C31">
                    <w:rPr>
                      <w:rFonts w:ascii="Arial" w:hAnsi="Arial" w:cs="Arial"/>
                      <w:b/>
                      <w:bCs/>
                      <w:color w:val="000000"/>
                      <w:sz w:val="24"/>
                      <w:szCs w:val="24"/>
                    </w:rPr>
                    <w:t>£000s</w:t>
                  </w:r>
                </w:p>
              </w:tc>
            </w:tr>
            <w:tr w:rsidR="001318A5" w:rsidRPr="004D7C31" w:rsidTr="00577564">
              <w:trPr>
                <w:gridAfter w:val="7"/>
                <w:wAfter w:w="15773" w:type="dxa"/>
                <w:trHeight w:val="315"/>
              </w:trPr>
              <w:tc>
                <w:tcPr>
                  <w:tcW w:w="1510" w:type="dxa"/>
                  <w:gridSpan w:val="2"/>
                  <w:tcBorders>
                    <w:top w:val="single" w:sz="4" w:space="0" w:color="auto"/>
                    <w:left w:val="single" w:sz="8" w:space="0" w:color="auto"/>
                    <w:bottom w:val="nil"/>
                    <w:right w:val="single" w:sz="4" w:space="0" w:color="auto"/>
                  </w:tcBorders>
                  <w:shd w:val="clear" w:color="auto" w:fill="auto"/>
                  <w:noWrap/>
                  <w:hideMark/>
                </w:tcPr>
                <w:p w:rsidR="001318A5" w:rsidRPr="004D7C31" w:rsidRDefault="001318A5" w:rsidP="00577564">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April</w:t>
                  </w:r>
                </w:p>
              </w:tc>
              <w:tc>
                <w:tcPr>
                  <w:tcW w:w="960" w:type="dxa"/>
                  <w:tcBorders>
                    <w:top w:val="nil"/>
                    <w:left w:val="single" w:sz="8" w:space="0" w:color="auto"/>
                    <w:bottom w:val="dotted" w:sz="4" w:space="0" w:color="auto"/>
                    <w:right w:val="single" w:sz="8" w:space="0" w:color="auto"/>
                  </w:tcBorders>
                  <w:shd w:val="clear" w:color="auto" w:fill="auto"/>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c>
                <w:tcPr>
                  <w:tcW w:w="1509" w:type="dxa"/>
                  <w:tcBorders>
                    <w:top w:val="nil"/>
                    <w:left w:val="nil"/>
                    <w:bottom w:val="dotted" w:sz="4" w:space="0" w:color="auto"/>
                    <w:right w:val="single" w:sz="8" w:space="0" w:color="auto"/>
                  </w:tcBorders>
                  <w:shd w:val="clear" w:color="auto" w:fill="auto"/>
                  <w:vAlign w:val="bottom"/>
                  <w:hideMark/>
                </w:tcPr>
                <w:p w:rsidR="001318A5" w:rsidRPr="004D7C31" w:rsidRDefault="001318A5" w:rsidP="00577564">
                  <w:pPr>
                    <w:widowControl/>
                    <w:autoSpaceDE/>
                    <w:autoSpaceDN/>
                    <w:adjustRightInd/>
                    <w:jc w:val="center"/>
                    <w:rPr>
                      <w:rFonts w:ascii="Arial" w:hAnsi="Arial" w:cs="Arial"/>
                      <w:b/>
                      <w:bCs/>
                      <w:color w:val="000000"/>
                      <w:sz w:val="24"/>
                      <w:szCs w:val="24"/>
                    </w:rPr>
                  </w:pPr>
                  <w:r w:rsidRPr="004D7C31">
                    <w:rPr>
                      <w:rFonts w:ascii="Arial" w:hAnsi="Arial" w:cs="Arial"/>
                      <w:b/>
                      <w:bCs/>
                      <w:color w:val="000000"/>
                      <w:sz w:val="24"/>
                      <w:szCs w:val="24"/>
                    </w:rPr>
                    <w:t> </w:t>
                  </w:r>
                  <w:r>
                    <w:rPr>
                      <w:rFonts w:ascii="Arial" w:hAnsi="Arial" w:cs="Arial"/>
                      <w:b/>
                      <w:bCs/>
                      <w:color w:val="000000"/>
                      <w:sz w:val="24"/>
                      <w:szCs w:val="24"/>
                    </w:rPr>
                    <w:t>n/a</w:t>
                  </w:r>
                </w:p>
              </w:tc>
            </w:tr>
            <w:tr w:rsidR="001318A5" w:rsidRPr="004D7C31" w:rsidTr="00577564">
              <w:trPr>
                <w:gridAfter w:val="7"/>
                <w:wAfter w:w="15773" w:type="dxa"/>
                <w:trHeight w:val="315"/>
              </w:trPr>
              <w:tc>
                <w:tcPr>
                  <w:tcW w:w="1510" w:type="dxa"/>
                  <w:gridSpan w:val="2"/>
                  <w:tcBorders>
                    <w:top w:val="dotted" w:sz="4" w:space="0" w:color="auto"/>
                    <w:left w:val="single" w:sz="8" w:space="0" w:color="auto"/>
                    <w:bottom w:val="dotted" w:sz="4" w:space="0" w:color="auto"/>
                    <w:right w:val="single" w:sz="8" w:space="0" w:color="auto"/>
                  </w:tcBorders>
                  <w:shd w:val="clear" w:color="auto" w:fill="auto"/>
                  <w:noWrap/>
                  <w:hideMark/>
                </w:tcPr>
                <w:p w:rsidR="001318A5" w:rsidRPr="004D7C31" w:rsidRDefault="001318A5" w:rsidP="00577564">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May</w:t>
                  </w:r>
                </w:p>
              </w:tc>
              <w:tc>
                <w:tcPr>
                  <w:tcW w:w="960" w:type="dxa"/>
                  <w:tcBorders>
                    <w:top w:val="nil"/>
                    <w:left w:val="nil"/>
                    <w:bottom w:val="dotted" w:sz="4" w:space="0" w:color="auto"/>
                    <w:right w:val="single" w:sz="8" w:space="0" w:color="auto"/>
                  </w:tcBorders>
                  <w:shd w:val="clear" w:color="auto" w:fill="auto"/>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c>
                <w:tcPr>
                  <w:tcW w:w="1509" w:type="dxa"/>
                  <w:tcBorders>
                    <w:top w:val="nil"/>
                    <w:left w:val="nil"/>
                    <w:bottom w:val="dotted" w:sz="4" w:space="0" w:color="auto"/>
                    <w:right w:val="single" w:sz="8" w:space="0" w:color="auto"/>
                  </w:tcBorders>
                  <w:shd w:val="clear" w:color="auto" w:fill="auto"/>
                  <w:vAlign w:val="bottom"/>
                  <w:hideMark/>
                </w:tcPr>
                <w:p w:rsidR="001318A5" w:rsidRPr="004D7C31" w:rsidRDefault="001318A5" w:rsidP="00577564">
                  <w:pPr>
                    <w:widowControl/>
                    <w:autoSpaceDE/>
                    <w:autoSpaceDN/>
                    <w:adjustRightInd/>
                    <w:jc w:val="center"/>
                    <w:rPr>
                      <w:rFonts w:ascii="Arial" w:hAnsi="Arial" w:cs="Arial"/>
                      <w:b/>
                      <w:bCs/>
                      <w:color w:val="000000"/>
                      <w:sz w:val="24"/>
                      <w:szCs w:val="24"/>
                    </w:rPr>
                  </w:pPr>
                  <w:r w:rsidRPr="004D7C31">
                    <w:rPr>
                      <w:rFonts w:ascii="Arial" w:hAnsi="Arial" w:cs="Arial"/>
                      <w:b/>
                      <w:bCs/>
                      <w:color w:val="000000"/>
                      <w:sz w:val="24"/>
                      <w:szCs w:val="24"/>
                    </w:rPr>
                    <w:t> </w:t>
                  </w:r>
                  <w:r>
                    <w:rPr>
                      <w:rFonts w:ascii="Arial" w:hAnsi="Arial" w:cs="Arial"/>
                      <w:b/>
                      <w:bCs/>
                      <w:color w:val="000000"/>
                      <w:sz w:val="24"/>
                      <w:szCs w:val="24"/>
                    </w:rPr>
                    <w:t>n/a</w:t>
                  </w:r>
                </w:p>
              </w:tc>
            </w:tr>
            <w:tr w:rsidR="001318A5" w:rsidRPr="004D7C31" w:rsidTr="0057756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1318A5" w:rsidRPr="004D7C31" w:rsidRDefault="001318A5" w:rsidP="00577564">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June</w:t>
                  </w:r>
                </w:p>
              </w:tc>
              <w:tc>
                <w:tcPr>
                  <w:tcW w:w="960" w:type="dxa"/>
                  <w:tcBorders>
                    <w:top w:val="nil"/>
                    <w:left w:val="single" w:sz="8" w:space="0" w:color="auto"/>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590</w:t>
                  </w:r>
                </w:p>
              </w:tc>
              <w:tc>
                <w:tcPr>
                  <w:tcW w:w="1509" w:type="dxa"/>
                  <w:tcBorders>
                    <w:top w:val="nil"/>
                    <w:left w:val="nil"/>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1318A5" w:rsidRPr="004D7C31" w:rsidTr="0057756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1318A5" w:rsidRPr="004D7C31" w:rsidRDefault="001318A5" w:rsidP="00577564">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July</w:t>
                  </w:r>
                </w:p>
              </w:tc>
              <w:tc>
                <w:tcPr>
                  <w:tcW w:w="960" w:type="dxa"/>
                  <w:tcBorders>
                    <w:top w:val="nil"/>
                    <w:left w:val="single" w:sz="8" w:space="0" w:color="auto"/>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900</w:t>
                  </w:r>
                </w:p>
              </w:tc>
              <w:tc>
                <w:tcPr>
                  <w:tcW w:w="1509" w:type="dxa"/>
                  <w:tcBorders>
                    <w:top w:val="nil"/>
                    <w:left w:val="nil"/>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1318A5" w:rsidRPr="004D7C31" w:rsidTr="0057756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1318A5" w:rsidRPr="004D7C31" w:rsidRDefault="001318A5" w:rsidP="00577564">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Aug</w:t>
                  </w:r>
                </w:p>
              </w:tc>
              <w:tc>
                <w:tcPr>
                  <w:tcW w:w="960" w:type="dxa"/>
                  <w:tcBorders>
                    <w:top w:val="nil"/>
                    <w:left w:val="single" w:sz="8" w:space="0" w:color="auto"/>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1,251</w:t>
                  </w:r>
                </w:p>
              </w:tc>
              <w:tc>
                <w:tcPr>
                  <w:tcW w:w="1509" w:type="dxa"/>
                  <w:tcBorders>
                    <w:top w:val="nil"/>
                    <w:left w:val="nil"/>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1318A5" w:rsidRPr="004D7C31" w:rsidTr="0057756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1318A5" w:rsidRPr="004D7C31" w:rsidRDefault="001318A5" w:rsidP="00577564">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Sept</w:t>
                  </w:r>
                </w:p>
              </w:tc>
              <w:tc>
                <w:tcPr>
                  <w:tcW w:w="960" w:type="dxa"/>
                  <w:tcBorders>
                    <w:top w:val="nil"/>
                    <w:left w:val="single" w:sz="8" w:space="0" w:color="auto"/>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1,765</w:t>
                  </w:r>
                </w:p>
              </w:tc>
              <w:tc>
                <w:tcPr>
                  <w:tcW w:w="1509" w:type="dxa"/>
                  <w:tcBorders>
                    <w:top w:val="nil"/>
                    <w:left w:val="nil"/>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1318A5" w:rsidRPr="004D7C31" w:rsidTr="00577564">
              <w:trPr>
                <w:gridAfter w:val="7"/>
                <w:wAfter w:w="15773" w:type="dxa"/>
                <w:trHeight w:val="315"/>
              </w:trPr>
              <w:tc>
                <w:tcPr>
                  <w:tcW w:w="1510" w:type="dxa"/>
                  <w:gridSpan w:val="2"/>
                  <w:tcBorders>
                    <w:top w:val="nil"/>
                    <w:left w:val="single" w:sz="8" w:space="0" w:color="auto"/>
                    <w:bottom w:val="dotted" w:sz="4" w:space="0" w:color="auto"/>
                    <w:right w:val="single" w:sz="8" w:space="0" w:color="auto"/>
                  </w:tcBorders>
                  <w:shd w:val="clear" w:color="000000" w:fill="FFFFFF"/>
                  <w:noWrap/>
                  <w:vAlign w:val="bottom"/>
                  <w:hideMark/>
                </w:tcPr>
                <w:p w:rsidR="001318A5" w:rsidRPr="004D7C31" w:rsidRDefault="001318A5" w:rsidP="00577564">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Oct</w:t>
                  </w:r>
                </w:p>
              </w:tc>
              <w:tc>
                <w:tcPr>
                  <w:tcW w:w="960" w:type="dxa"/>
                  <w:tcBorders>
                    <w:top w:val="nil"/>
                    <w:left w:val="nil"/>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2,134</w:t>
                  </w:r>
                </w:p>
              </w:tc>
              <w:tc>
                <w:tcPr>
                  <w:tcW w:w="1509" w:type="dxa"/>
                  <w:tcBorders>
                    <w:top w:val="nil"/>
                    <w:left w:val="nil"/>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1318A5" w:rsidRPr="004D7C31" w:rsidTr="0057756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1318A5" w:rsidRPr="004D7C31" w:rsidRDefault="001318A5" w:rsidP="00577564">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Nov</w:t>
                  </w:r>
                </w:p>
              </w:tc>
              <w:tc>
                <w:tcPr>
                  <w:tcW w:w="960" w:type="dxa"/>
                  <w:tcBorders>
                    <w:top w:val="nil"/>
                    <w:left w:val="single" w:sz="8" w:space="0" w:color="auto"/>
                    <w:bottom w:val="nil"/>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2,690</w:t>
                  </w:r>
                </w:p>
              </w:tc>
              <w:tc>
                <w:tcPr>
                  <w:tcW w:w="1509" w:type="dxa"/>
                  <w:tcBorders>
                    <w:top w:val="nil"/>
                    <w:left w:val="nil"/>
                    <w:bottom w:val="nil"/>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1318A5" w:rsidRPr="004D7C31" w:rsidTr="00577564">
              <w:trPr>
                <w:gridAfter w:val="7"/>
                <w:wAfter w:w="15773" w:type="dxa"/>
                <w:trHeight w:val="315"/>
              </w:trPr>
              <w:tc>
                <w:tcPr>
                  <w:tcW w:w="1510" w:type="dxa"/>
                  <w:gridSpan w:val="2"/>
                  <w:tcBorders>
                    <w:top w:val="nil"/>
                    <w:left w:val="single" w:sz="8" w:space="0" w:color="auto"/>
                    <w:bottom w:val="dotted" w:sz="4" w:space="0" w:color="auto"/>
                    <w:right w:val="single" w:sz="8" w:space="0" w:color="auto"/>
                  </w:tcBorders>
                  <w:shd w:val="clear" w:color="000000" w:fill="FFFFFF"/>
                  <w:noWrap/>
                  <w:vAlign w:val="bottom"/>
                  <w:hideMark/>
                </w:tcPr>
                <w:p w:rsidR="001318A5" w:rsidRPr="004D7C31" w:rsidRDefault="001318A5" w:rsidP="00577564">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Dec</w:t>
                  </w:r>
                </w:p>
              </w:tc>
              <w:tc>
                <w:tcPr>
                  <w:tcW w:w="960" w:type="dxa"/>
                  <w:tcBorders>
                    <w:top w:val="dotted" w:sz="4" w:space="0" w:color="auto"/>
                    <w:left w:val="nil"/>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3,115</w:t>
                  </w:r>
                </w:p>
              </w:tc>
              <w:tc>
                <w:tcPr>
                  <w:tcW w:w="1509" w:type="dxa"/>
                  <w:tcBorders>
                    <w:top w:val="dotted" w:sz="4" w:space="0" w:color="auto"/>
                    <w:left w:val="nil"/>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1318A5" w:rsidRPr="004D7C31" w:rsidTr="0057756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1318A5" w:rsidRPr="004D7C31" w:rsidRDefault="001318A5" w:rsidP="00577564">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Jan</w:t>
                  </w:r>
                </w:p>
              </w:tc>
              <w:tc>
                <w:tcPr>
                  <w:tcW w:w="960" w:type="dxa"/>
                  <w:tcBorders>
                    <w:top w:val="nil"/>
                    <w:left w:val="single" w:sz="8" w:space="0" w:color="auto"/>
                    <w:bottom w:val="nil"/>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3,689</w:t>
                  </w:r>
                </w:p>
              </w:tc>
              <w:tc>
                <w:tcPr>
                  <w:tcW w:w="1509" w:type="dxa"/>
                  <w:tcBorders>
                    <w:top w:val="nil"/>
                    <w:left w:val="nil"/>
                    <w:bottom w:val="nil"/>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1318A5" w:rsidRPr="004D7C31" w:rsidTr="0057756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1318A5" w:rsidRPr="004D7C31" w:rsidRDefault="001318A5" w:rsidP="00577564">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Feb</w:t>
                  </w:r>
                </w:p>
              </w:tc>
              <w:tc>
                <w:tcPr>
                  <w:tcW w:w="960" w:type="dxa"/>
                  <w:tcBorders>
                    <w:top w:val="dotted" w:sz="4" w:space="0" w:color="auto"/>
                    <w:left w:val="single" w:sz="8" w:space="0" w:color="auto"/>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4,201</w:t>
                  </w:r>
                </w:p>
              </w:tc>
              <w:tc>
                <w:tcPr>
                  <w:tcW w:w="1509" w:type="dxa"/>
                  <w:tcBorders>
                    <w:top w:val="dotted" w:sz="4" w:space="0" w:color="auto"/>
                    <w:left w:val="nil"/>
                    <w:bottom w:val="dotted" w:sz="4" w:space="0" w:color="auto"/>
                    <w:right w:val="single" w:sz="8" w:space="0" w:color="auto"/>
                  </w:tcBorders>
                  <w:shd w:val="clear" w:color="000000" w:fill="FFFF99"/>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1318A5" w:rsidRPr="004D7C31" w:rsidTr="00577564">
              <w:trPr>
                <w:gridAfter w:val="7"/>
                <w:wAfter w:w="15773" w:type="dxa"/>
                <w:trHeight w:val="330"/>
              </w:trPr>
              <w:tc>
                <w:tcPr>
                  <w:tcW w:w="1510" w:type="dxa"/>
                  <w:gridSpan w:val="2"/>
                  <w:tcBorders>
                    <w:top w:val="nil"/>
                    <w:left w:val="single" w:sz="8" w:space="0" w:color="auto"/>
                    <w:bottom w:val="single" w:sz="8" w:space="0" w:color="auto"/>
                    <w:right w:val="nil"/>
                  </w:tcBorders>
                  <w:shd w:val="clear" w:color="000000" w:fill="FFFFFF"/>
                  <w:noWrap/>
                  <w:vAlign w:val="bottom"/>
                  <w:hideMark/>
                </w:tcPr>
                <w:p w:rsidR="001318A5" w:rsidRPr="004D7C31" w:rsidRDefault="001318A5" w:rsidP="00577564">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Mar</w:t>
                  </w:r>
                </w:p>
              </w:tc>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4,807</w:t>
                  </w:r>
                </w:p>
              </w:tc>
              <w:tc>
                <w:tcPr>
                  <w:tcW w:w="1509" w:type="dxa"/>
                  <w:tcBorders>
                    <w:top w:val="nil"/>
                    <w:left w:val="nil"/>
                    <w:bottom w:val="single" w:sz="8" w:space="0" w:color="auto"/>
                    <w:right w:val="single" w:sz="8" w:space="0" w:color="auto"/>
                  </w:tcBorders>
                  <w:shd w:val="clear" w:color="000000" w:fill="FFFFFF"/>
                  <w:noWrap/>
                  <w:vAlign w:val="bottom"/>
                  <w:hideMark/>
                </w:tcPr>
                <w:p w:rsidR="001318A5" w:rsidRPr="004D7C31" w:rsidRDefault="001318A5" w:rsidP="00577564">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1318A5" w:rsidRPr="00AD7CC4" w:rsidTr="00577564">
              <w:trPr>
                <w:gridBefore w:val="1"/>
                <w:wBefore w:w="10" w:type="dxa"/>
                <w:trHeight w:val="300"/>
              </w:trPr>
              <w:tc>
                <w:tcPr>
                  <w:tcW w:w="3969" w:type="dxa"/>
                  <w:gridSpan w:val="3"/>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rPr>
                      <w:rFonts w:ascii="Arial" w:eastAsiaTheme="minorEastAsia" w:hAnsi="Arial" w:cs="Arial"/>
                      <w:sz w:val="24"/>
                      <w:szCs w:val="24"/>
                    </w:rPr>
                  </w:pPr>
                </w:p>
                <w:p w:rsidR="001318A5" w:rsidRPr="00AD7CC4" w:rsidRDefault="001318A5" w:rsidP="00577564">
                  <w:pPr>
                    <w:widowControl/>
                    <w:autoSpaceDE/>
                    <w:autoSpaceDN/>
                    <w:adjustRightInd/>
                    <w:rPr>
                      <w:rFonts w:ascii="Arial" w:eastAsiaTheme="minorEastAsia" w:hAnsi="Arial" w:cs="Arial"/>
                      <w:sz w:val="24"/>
                      <w:szCs w:val="24"/>
                    </w:rPr>
                  </w:pPr>
                </w:p>
              </w:tc>
              <w:tc>
                <w:tcPr>
                  <w:tcW w:w="6963" w:type="dxa"/>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jc w:val="center"/>
                    <w:rPr>
                      <w:rFonts w:ascii="Arial" w:eastAsiaTheme="minorEastAsia" w:hAnsi="Arial" w:cs="Arial"/>
                      <w:sz w:val="24"/>
                      <w:szCs w:val="24"/>
                    </w:rPr>
                  </w:pPr>
                </w:p>
              </w:tc>
              <w:tc>
                <w:tcPr>
                  <w:tcW w:w="222" w:type="dxa"/>
                  <w:tcBorders>
                    <w:top w:val="nil"/>
                    <w:left w:val="nil"/>
                    <w:bottom w:val="nil"/>
                    <w:right w:val="nil"/>
                  </w:tcBorders>
                  <w:shd w:val="clear" w:color="000000" w:fill="FFFFFF"/>
                </w:tcPr>
                <w:p w:rsidR="001318A5" w:rsidRPr="00AD7CC4" w:rsidRDefault="001318A5" w:rsidP="00577564">
                  <w:pPr>
                    <w:widowControl/>
                    <w:autoSpaceDE/>
                    <w:autoSpaceDN/>
                    <w:adjustRightInd/>
                    <w:jc w:val="center"/>
                    <w:rPr>
                      <w:rFonts w:ascii="Arial" w:eastAsiaTheme="minorEastAsia" w:hAnsi="Arial" w:cs="Arial"/>
                      <w:sz w:val="24"/>
                      <w:szCs w:val="24"/>
                    </w:rPr>
                  </w:pPr>
                </w:p>
              </w:tc>
              <w:tc>
                <w:tcPr>
                  <w:tcW w:w="515" w:type="dxa"/>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jc w:val="center"/>
                    <w:rPr>
                      <w:rFonts w:ascii="Arial" w:eastAsiaTheme="minorEastAsia" w:hAnsi="Arial" w:cs="Arial"/>
                      <w:sz w:val="24"/>
                      <w:szCs w:val="24"/>
                    </w:rPr>
                  </w:pPr>
                </w:p>
              </w:tc>
              <w:tc>
                <w:tcPr>
                  <w:tcW w:w="5265" w:type="dxa"/>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jc w:val="center"/>
                    <w:rPr>
                      <w:rFonts w:ascii="Arial" w:eastAsiaTheme="minorEastAsia" w:hAnsi="Arial" w:cs="Arial"/>
                      <w:sz w:val="24"/>
                      <w:szCs w:val="24"/>
                    </w:rPr>
                  </w:pPr>
                </w:p>
              </w:tc>
              <w:tc>
                <w:tcPr>
                  <w:tcW w:w="1496" w:type="dxa"/>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rPr>
                      <w:rFonts w:ascii="Arial" w:eastAsiaTheme="minorEastAsia" w:hAnsi="Arial" w:cs="Arial"/>
                      <w:sz w:val="24"/>
                      <w:szCs w:val="24"/>
                    </w:rPr>
                  </w:pPr>
                </w:p>
              </w:tc>
              <w:tc>
                <w:tcPr>
                  <w:tcW w:w="296" w:type="dxa"/>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rPr>
                      <w:rFonts w:ascii="Arial" w:eastAsiaTheme="minorEastAsia" w:hAnsi="Arial" w:cs="Arial"/>
                      <w:sz w:val="24"/>
                      <w:szCs w:val="24"/>
                    </w:rPr>
                  </w:pPr>
                </w:p>
              </w:tc>
              <w:tc>
                <w:tcPr>
                  <w:tcW w:w="1016" w:type="dxa"/>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rPr>
                      <w:rFonts w:ascii="Arial" w:eastAsiaTheme="minorEastAsia" w:hAnsi="Arial" w:cs="Arial"/>
                      <w:sz w:val="24"/>
                      <w:szCs w:val="24"/>
                    </w:rPr>
                  </w:pPr>
                </w:p>
              </w:tc>
            </w:tr>
          </w:tbl>
          <w:p w:rsidR="001318A5" w:rsidRPr="00AD7CC4" w:rsidRDefault="001318A5" w:rsidP="00577564">
            <w:pPr>
              <w:widowControl/>
              <w:autoSpaceDE/>
              <w:autoSpaceDN/>
              <w:adjustRightInd/>
              <w:rPr>
                <w:rFonts w:ascii="Arial" w:eastAsiaTheme="minorEastAsia" w:hAnsi="Arial" w:cs="Arial"/>
                <w:sz w:val="24"/>
                <w:szCs w:val="24"/>
              </w:rPr>
            </w:pPr>
          </w:p>
        </w:tc>
        <w:tc>
          <w:tcPr>
            <w:tcW w:w="6963" w:type="dxa"/>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jc w:val="center"/>
              <w:rPr>
                <w:rFonts w:ascii="Arial" w:eastAsiaTheme="minorEastAsia" w:hAnsi="Arial" w:cs="Arial"/>
                <w:sz w:val="24"/>
                <w:szCs w:val="24"/>
              </w:rPr>
            </w:pPr>
          </w:p>
        </w:tc>
        <w:tc>
          <w:tcPr>
            <w:tcW w:w="222" w:type="dxa"/>
            <w:tcBorders>
              <w:top w:val="nil"/>
              <w:left w:val="nil"/>
              <w:bottom w:val="nil"/>
              <w:right w:val="nil"/>
            </w:tcBorders>
            <w:shd w:val="clear" w:color="000000" w:fill="FFFFFF"/>
          </w:tcPr>
          <w:p w:rsidR="001318A5" w:rsidRPr="00AD7CC4" w:rsidRDefault="001318A5" w:rsidP="00577564">
            <w:pPr>
              <w:widowControl/>
              <w:autoSpaceDE/>
              <w:autoSpaceDN/>
              <w:adjustRightInd/>
              <w:jc w:val="center"/>
              <w:rPr>
                <w:rFonts w:ascii="Arial" w:eastAsiaTheme="minorEastAsia" w:hAnsi="Arial" w:cs="Arial"/>
                <w:sz w:val="24"/>
                <w:szCs w:val="24"/>
              </w:rPr>
            </w:pPr>
          </w:p>
        </w:tc>
        <w:tc>
          <w:tcPr>
            <w:tcW w:w="515" w:type="dxa"/>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jc w:val="center"/>
              <w:rPr>
                <w:rFonts w:ascii="Arial" w:eastAsiaTheme="minorEastAsia" w:hAnsi="Arial" w:cs="Arial"/>
                <w:sz w:val="24"/>
                <w:szCs w:val="24"/>
              </w:rPr>
            </w:pPr>
          </w:p>
        </w:tc>
        <w:tc>
          <w:tcPr>
            <w:tcW w:w="5265" w:type="dxa"/>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jc w:val="center"/>
              <w:rPr>
                <w:rFonts w:ascii="Arial" w:eastAsiaTheme="minorEastAsia" w:hAnsi="Arial" w:cs="Arial"/>
                <w:sz w:val="24"/>
                <w:szCs w:val="24"/>
              </w:rPr>
            </w:pPr>
          </w:p>
        </w:tc>
        <w:tc>
          <w:tcPr>
            <w:tcW w:w="1496" w:type="dxa"/>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rPr>
                <w:rFonts w:ascii="Arial" w:eastAsiaTheme="minorEastAsia" w:hAnsi="Arial" w:cs="Arial"/>
                <w:sz w:val="24"/>
                <w:szCs w:val="24"/>
              </w:rPr>
            </w:pPr>
          </w:p>
        </w:tc>
        <w:tc>
          <w:tcPr>
            <w:tcW w:w="296" w:type="dxa"/>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rPr>
                <w:rFonts w:ascii="Arial" w:eastAsiaTheme="minorEastAsia" w:hAnsi="Arial" w:cs="Arial"/>
                <w:sz w:val="24"/>
                <w:szCs w:val="24"/>
              </w:rPr>
            </w:pPr>
          </w:p>
        </w:tc>
        <w:tc>
          <w:tcPr>
            <w:tcW w:w="1016" w:type="dxa"/>
            <w:tcBorders>
              <w:top w:val="nil"/>
              <w:left w:val="nil"/>
              <w:bottom w:val="nil"/>
              <w:right w:val="nil"/>
            </w:tcBorders>
            <w:shd w:val="clear" w:color="000000" w:fill="FFFFFF"/>
            <w:noWrap/>
            <w:vAlign w:val="bottom"/>
            <w:hideMark/>
          </w:tcPr>
          <w:p w:rsidR="001318A5" w:rsidRPr="00AD7CC4" w:rsidRDefault="001318A5" w:rsidP="00577564">
            <w:pPr>
              <w:widowControl/>
              <w:autoSpaceDE/>
              <w:autoSpaceDN/>
              <w:adjustRightInd/>
              <w:rPr>
                <w:rFonts w:ascii="Arial" w:eastAsiaTheme="minorEastAsia" w:hAnsi="Arial" w:cs="Arial"/>
                <w:sz w:val="24"/>
                <w:szCs w:val="24"/>
              </w:rPr>
            </w:pPr>
          </w:p>
        </w:tc>
      </w:tr>
    </w:tbl>
    <w:p w:rsidR="001318A5" w:rsidRDefault="001318A5" w:rsidP="001318A5"/>
    <w:p w:rsidR="001318A5" w:rsidRDefault="001318A5">
      <w:pPr>
        <w:widowControl/>
        <w:autoSpaceDE/>
        <w:autoSpaceDN/>
        <w:adjustRightInd/>
      </w:pPr>
      <w:r>
        <w:br w:type="page"/>
      </w:r>
    </w:p>
    <w:p w:rsidR="001318A5" w:rsidRPr="00EB01CA" w:rsidRDefault="001318A5" w:rsidP="001318A5">
      <w:pPr>
        <w:kinsoku w:val="0"/>
        <w:overflowPunct w:val="0"/>
        <w:rPr>
          <w:rFonts w:ascii="Arial" w:hAnsi="Arial" w:cs="Arial"/>
          <w:sz w:val="24"/>
          <w:szCs w:val="24"/>
        </w:rPr>
      </w:pPr>
      <w:r w:rsidRPr="00EB01CA">
        <w:rPr>
          <w:rFonts w:ascii="Arial" w:hAnsi="Arial" w:cs="Arial"/>
          <w:sz w:val="24"/>
          <w:szCs w:val="24"/>
        </w:rPr>
        <w:lastRenderedPageBreak/>
        <w:t>The financial position is now described further.</w:t>
      </w:r>
    </w:p>
    <w:p w:rsidR="001318A5" w:rsidRPr="00EB01CA" w:rsidRDefault="001318A5" w:rsidP="001318A5">
      <w:pPr>
        <w:kinsoku w:val="0"/>
        <w:overflowPunct w:val="0"/>
        <w:rPr>
          <w:rFonts w:ascii="Arial" w:hAnsi="Arial" w:cs="Arial"/>
          <w:sz w:val="24"/>
          <w:szCs w:val="24"/>
        </w:rPr>
      </w:pPr>
    </w:p>
    <w:p w:rsidR="001318A5" w:rsidRPr="00EB01CA" w:rsidRDefault="001318A5" w:rsidP="001318A5">
      <w:pPr>
        <w:kinsoku w:val="0"/>
        <w:overflowPunct w:val="0"/>
        <w:spacing w:before="116"/>
        <w:outlineLvl w:val="2"/>
        <w:rPr>
          <w:rFonts w:ascii="Arial" w:hAnsi="Arial" w:cs="Arial"/>
          <w:bCs/>
          <w:iCs/>
          <w:sz w:val="24"/>
          <w:szCs w:val="24"/>
        </w:rPr>
      </w:pPr>
      <w:r w:rsidRPr="00EB01CA">
        <w:rPr>
          <w:rFonts w:ascii="Arial" w:hAnsi="Arial" w:cs="Arial"/>
          <w:bCs/>
          <w:iCs/>
          <w:sz w:val="24"/>
          <w:szCs w:val="24"/>
        </w:rPr>
        <w:t>Details of the financial performance analysed into specific income and funding sources are noted in the table below.  This includes scrutiny of the key movements and pressure areas.</w:t>
      </w:r>
    </w:p>
    <w:p w:rsidR="001318A5" w:rsidRPr="00EB01CA" w:rsidRDefault="001318A5" w:rsidP="001318A5"/>
    <w:p w:rsidR="001318A5" w:rsidRDefault="001318A5" w:rsidP="001318A5">
      <w:pPr>
        <w:rPr>
          <w:rFonts w:ascii="Arial" w:hAnsi="Arial" w:cs="Arial"/>
          <w:b/>
          <w:color w:val="0070C0"/>
          <w:sz w:val="28"/>
          <w:szCs w:val="28"/>
          <w:u w:val="single"/>
        </w:rPr>
      </w:pPr>
      <w:r w:rsidRPr="00EB01CA">
        <w:rPr>
          <w:rFonts w:ascii="Arial" w:hAnsi="Arial" w:cs="Arial"/>
          <w:b/>
          <w:color w:val="0070C0"/>
          <w:sz w:val="28"/>
          <w:szCs w:val="28"/>
          <w:u w:val="single"/>
        </w:rPr>
        <w:t>Income Analysis</w:t>
      </w:r>
    </w:p>
    <w:p w:rsidR="00B46062" w:rsidRPr="00EB01CA" w:rsidRDefault="00B46062" w:rsidP="001318A5">
      <w:pPr>
        <w:rPr>
          <w:rFonts w:ascii="Arial" w:hAnsi="Arial" w:cs="Arial"/>
          <w:b/>
          <w:color w:val="0070C0"/>
          <w:sz w:val="28"/>
          <w:szCs w:val="28"/>
          <w:u w:val="single"/>
        </w:rPr>
      </w:pPr>
    </w:p>
    <w:p w:rsidR="001318A5" w:rsidRDefault="00B46062" w:rsidP="001318A5">
      <w:pPr>
        <w:rPr>
          <w:rFonts w:ascii="Arial" w:hAnsi="Arial" w:cs="Arial"/>
          <w:b/>
          <w:i/>
          <w:color w:val="0070C0"/>
          <w:sz w:val="28"/>
          <w:szCs w:val="28"/>
          <w:u w:val="single"/>
        </w:rPr>
      </w:pPr>
      <w:r w:rsidRPr="00B46062">
        <w:rPr>
          <w:noProof/>
        </w:rPr>
        <w:drawing>
          <wp:inline distT="0" distB="0" distL="0" distR="0">
            <wp:extent cx="5731510" cy="29024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902440"/>
                    </a:xfrm>
                    <a:prstGeom prst="rect">
                      <a:avLst/>
                    </a:prstGeom>
                    <a:noFill/>
                    <a:ln>
                      <a:noFill/>
                    </a:ln>
                  </pic:spPr>
                </pic:pic>
              </a:graphicData>
            </a:graphic>
          </wp:inline>
        </w:drawing>
      </w:r>
    </w:p>
    <w:p w:rsidR="00B46062" w:rsidRPr="00EB01CA" w:rsidRDefault="00B46062" w:rsidP="001318A5">
      <w:pPr>
        <w:rPr>
          <w:rFonts w:ascii="Arial" w:hAnsi="Arial" w:cs="Arial"/>
          <w:b/>
          <w:i/>
          <w:color w:val="0070C0"/>
          <w:sz w:val="28"/>
          <w:szCs w:val="28"/>
          <w:u w:val="single"/>
        </w:rPr>
      </w:pPr>
    </w:p>
    <w:p w:rsidR="001318A5" w:rsidRPr="00EB01CA" w:rsidRDefault="001318A5" w:rsidP="001318A5">
      <w:pPr>
        <w:widowControl/>
        <w:autoSpaceDE/>
        <w:autoSpaceDN/>
        <w:adjustRightInd/>
        <w:rPr>
          <w:rFonts w:ascii="Arial" w:hAnsi="Arial" w:cs="Arial"/>
          <w:sz w:val="24"/>
          <w:szCs w:val="24"/>
          <w:lang w:eastAsia="en-US"/>
        </w:rPr>
      </w:pPr>
      <w:r w:rsidRPr="00EB01CA">
        <w:rPr>
          <w:rFonts w:ascii="Arial" w:hAnsi="Arial" w:cs="Arial"/>
          <w:sz w:val="24"/>
          <w:szCs w:val="24"/>
          <w:lang w:eastAsia="en-US"/>
        </w:rPr>
        <w:t>Total core income/funding position to date is £0.016m or 0.07% over year to date budget plan.</w:t>
      </w:r>
    </w:p>
    <w:p w:rsidR="001318A5" w:rsidRPr="00EB01CA" w:rsidRDefault="001318A5" w:rsidP="001318A5">
      <w:pPr>
        <w:rPr>
          <w:rFonts w:ascii="Arial" w:hAnsi="Arial" w:cs="Arial"/>
          <w:b/>
          <w:bCs/>
          <w:iCs/>
        </w:rPr>
      </w:pPr>
    </w:p>
    <w:p w:rsidR="001318A5" w:rsidRDefault="001318A5" w:rsidP="001318A5">
      <w:pPr>
        <w:widowControl/>
        <w:autoSpaceDE/>
        <w:autoSpaceDN/>
        <w:adjustRightInd/>
        <w:rPr>
          <w:rFonts w:ascii="Arial" w:hAnsi="Arial" w:cs="Arial"/>
          <w:sz w:val="24"/>
          <w:szCs w:val="24"/>
          <w:lang w:eastAsia="en-US"/>
        </w:rPr>
      </w:pPr>
      <w:r w:rsidRPr="00EB01CA">
        <w:rPr>
          <w:rFonts w:ascii="Arial" w:hAnsi="Arial" w:cs="Arial"/>
          <w:sz w:val="24"/>
          <w:szCs w:val="24"/>
          <w:lang w:eastAsia="en-US"/>
        </w:rPr>
        <w:t>Total core full year income forecast is reported as £145.593m in line with current annual budget</w:t>
      </w:r>
      <w:r>
        <w:rPr>
          <w:rFonts w:ascii="Arial" w:hAnsi="Arial" w:cs="Arial"/>
          <w:sz w:val="24"/>
          <w:szCs w:val="24"/>
          <w:lang w:eastAsia="en-US"/>
        </w:rPr>
        <w:t>, this has increased from original financial plan as a result of the following;</w:t>
      </w:r>
    </w:p>
    <w:p w:rsidR="001318A5" w:rsidRDefault="001318A5" w:rsidP="001318A5">
      <w:pPr>
        <w:widowControl/>
        <w:autoSpaceDE/>
        <w:autoSpaceDN/>
        <w:adjustRightInd/>
        <w:rPr>
          <w:rFonts w:ascii="Arial" w:hAnsi="Arial" w:cs="Arial"/>
          <w:sz w:val="24"/>
          <w:szCs w:val="24"/>
          <w:lang w:eastAsia="en-US"/>
        </w:rPr>
      </w:pPr>
    </w:p>
    <w:p w:rsidR="001318A5" w:rsidRDefault="001318A5" w:rsidP="001318A5">
      <w:pPr>
        <w:pStyle w:val="ListParagraph"/>
        <w:widowControl/>
        <w:numPr>
          <w:ilvl w:val="0"/>
          <w:numId w:val="10"/>
        </w:numPr>
        <w:autoSpaceDE/>
        <w:autoSpaceDN/>
        <w:adjustRightInd/>
        <w:rPr>
          <w:rFonts w:ascii="Arial" w:hAnsi="Arial" w:cs="Arial"/>
          <w:lang w:eastAsia="en-US"/>
        </w:rPr>
      </w:pPr>
      <w:r>
        <w:rPr>
          <w:rFonts w:ascii="Arial" w:hAnsi="Arial" w:cs="Arial"/>
        </w:rPr>
        <w:t>I</w:t>
      </w:r>
      <w:r w:rsidRPr="00AA5131">
        <w:rPr>
          <w:rFonts w:ascii="Arial" w:hAnsi="Arial" w:cs="Arial"/>
        </w:rPr>
        <w:t>ncr</w:t>
      </w:r>
      <w:r>
        <w:rPr>
          <w:rFonts w:ascii="Arial" w:hAnsi="Arial" w:cs="Arial"/>
        </w:rPr>
        <w:t>eased baseline uplift higher tha</w:t>
      </w:r>
      <w:r w:rsidRPr="00AA5131">
        <w:rPr>
          <w:rFonts w:ascii="Arial" w:hAnsi="Arial" w:cs="Arial"/>
        </w:rPr>
        <w:t xml:space="preserve">n minimum 1.7% modelled </w:t>
      </w:r>
      <w:r>
        <w:rPr>
          <w:rFonts w:ascii="Arial" w:hAnsi="Arial" w:cs="Arial"/>
        </w:rPr>
        <w:t xml:space="preserve">within the financial plan. </w:t>
      </w:r>
    </w:p>
    <w:p w:rsidR="001318A5" w:rsidRDefault="001318A5" w:rsidP="001318A5">
      <w:pPr>
        <w:pStyle w:val="ListParagraph"/>
        <w:widowControl/>
        <w:numPr>
          <w:ilvl w:val="0"/>
          <w:numId w:val="10"/>
        </w:numPr>
        <w:autoSpaceDE/>
        <w:autoSpaceDN/>
        <w:adjustRightInd/>
        <w:rPr>
          <w:rFonts w:ascii="Arial" w:hAnsi="Arial" w:cs="Arial"/>
          <w:lang w:eastAsia="en-US"/>
        </w:rPr>
      </w:pPr>
      <w:r>
        <w:rPr>
          <w:rFonts w:ascii="Arial" w:hAnsi="Arial" w:cs="Arial"/>
        </w:rPr>
        <w:t>H</w:t>
      </w:r>
      <w:r w:rsidRPr="00AA5131">
        <w:rPr>
          <w:rFonts w:ascii="Arial" w:hAnsi="Arial" w:cs="Arial"/>
        </w:rPr>
        <w:t xml:space="preserve">igher deduction towards territorial boards contribution to £15m than planned, </w:t>
      </w:r>
      <w:r>
        <w:rPr>
          <w:rFonts w:ascii="Arial" w:hAnsi="Arial" w:cs="Arial"/>
        </w:rPr>
        <w:t xml:space="preserve">this </w:t>
      </w:r>
      <w:r w:rsidRPr="00AA5131">
        <w:rPr>
          <w:rFonts w:ascii="Arial" w:hAnsi="Arial" w:cs="Arial"/>
        </w:rPr>
        <w:t>is likely to reduce back in line with original Financial Plan subject to NBC programme Board meeting.</w:t>
      </w:r>
    </w:p>
    <w:p w:rsidR="001318A5" w:rsidRDefault="001318A5" w:rsidP="001318A5">
      <w:pPr>
        <w:pStyle w:val="ListParagraph"/>
        <w:widowControl/>
        <w:numPr>
          <w:ilvl w:val="0"/>
          <w:numId w:val="10"/>
        </w:numPr>
        <w:autoSpaceDE/>
        <w:autoSpaceDN/>
        <w:adjustRightInd/>
        <w:rPr>
          <w:rFonts w:ascii="Arial" w:hAnsi="Arial" w:cs="Arial"/>
          <w:lang w:eastAsia="en-US"/>
        </w:rPr>
      </w:pPr>
      <w:r>
        <w:rPr>
          <w:rFonts w:ascii="Arial" w:hAnsi="Arial" w:cs="Arial"/>
        </w:rPr>
        <w:t>Golden Jubilee Conference Hotel final income budget plan approved £</w:t>
      </w:r>
      <w:r w:rsidR="0096632E">
        <w:rPr>
          <w:rFonts w:ascii="Arial" w:hAnsi="Arial" w:cs="Arial"/>
        </w:rPr>
        <w:t xml:space="preserve">0.121km </w:t>
      </w:r>
      <w:r>
        <w:rPr>
          <w:rFonts w:ascii="Arial" w:hAnsi="Arial" w:cs="Arial"/>
        </w:rPr>
        <w:t>higher than £5m modelled in financial plan submission at that stage.</w:t>
      </w:r>
    </w:p>
    <w:p w:rsidR="001318A5" w:rsidRDefault="001318A5" w:rsidP="001318A5">
      <w:pPr>
        <w:pStyle w:val="ListParagraph"/>
        <w:widowControl/>
        <w:autoSpaceDE/>
        <w:autoSpaceDN/>
        <w:adjustRightInd/>
        <w:ind w:left="720" w:firstLine="0"/>
        <w:rPr>
          <w:rFonts w:ascii="Arial" w:hAnsi="Arial" w:cs="Arial"/>
          <w:lang w:eastAsia="en-US"/>
        </w:rPr>
      </w:pPr>
    </w:p>
    <w:p w:rsidR="0096632E" w:rsidRDefault="0096632E" w:rsidP="001318A5">
      <w:pPr>
        <w:pStyle w:val="ListParagraph"/>
        <w:widowControl/>
        <w:autoSpaceDE/>
        <w:autoSpaceDN/>
        <w:adjustRightInd/>
        <w:ind w:left="720" w:firstLine="0"/>
        <w:rPr>
          <w:rFonts w:ascii="Arial" w:hAnsi="Arial" w:cs="Arial"/>
          <w:lang w:eastAsia="en-US"/>
        </w:rPr>
      </w:pPr>
    </w:p>
    <w:p w:rsidR="0096632E" w:rsidRDefault="0096632E" w:rsidP="001318A5">
      <w:pPr>
        <w:pStyle w:val="ListParagraph"/>
        <w:widowControl/>
        <w:autoSpaceDE/>
        <w:autoSpaceDN/>
        <w:adjustRightInd/>
        <w:ind w:left="720" w:firstLine="0"/>
        <w:rPr>
          <w:rFonts w:ascii="Arial" w:hAnsi="Arial" w:cs="Arial"/>
          <w:lang w:eastAsia="en-US"/>
        </w:rPr>
      </w:pPr>
    </w:p>
    <w:p w:rsidR="0096632E" w:rsidRDefault="0096632E" w:rsidP="001318A5">
      <w:pPr>
        <w:pStyle w:val="ListParagraph"/>
        <w:widowControl/>
        <w:autoSpaceDE/>
        <w:autoSpaceDN/>
        <w:adjustRightInd/>
        <w:ind w:left="720" w:firstLine="0"/>
        <w:rPr>
          <w:rFonts w:ascii="Arial" w:hAnsi="Arial" w:cs="Arial"/>
          <w:lang w:eastAsia="en-US"/>
        </w:rPr>
      </w:pPr>
    </w:p>
    <w:p w:rsidR="0096632E" w:rsidRDefault="0096632E" w:rsidP="001318A5">
      <w:pPr>
        <w:pStyle w:val="ListParagraph"/>
        <w:widowControl/>
        <w:autoSpaceDE/>
        <w:autoSpaceDN/>
        <w:adjustRightInd/>
        <w:ind w:left="720" w:firstLine="0"/>
        <w:rPr>
          <w:rFonts w:ascii="Arial" w:hAnsi="Arial" w:cs="Arial"/>
          <w:lang w:eastAsia="en-US"/>
        </w:rPr>
      </w:pPr>
    </w:p>
    <w:p w:rsidR="0096632E" w:rsidRPr="00AA5131" w:rsidRDefault="0096632E" w:rsidP="001318A5">
      <w:pPr>
        <w:pStyle w:val="ListParagraph"/>
        <w:widowControl/>
        <w:autoSpaceDE/>
        <w:autoSpaceDN/>
        <w:adjustRightInd/>
        <w:ind w:left="720" w:firstLine="0"/>
        <w:rPr>
          <w:rFonts w:ascii="Arial" w:hAnsi="Arial" w:cs="Arial"/>
          <w:lang w:eastAsia="en-US"/>
        </w:rPr>
      </w:pPr>
    </w:p>
    <w:p w:rsidR="001318A5" w:rsidRPr="00EB01CA" w:rsidRDefault="001318A5" w:rsidP="001318A5">
      <w:pPr>
        <w:widowControl/>
        <w:autoSpaceDE/>
        <w:autoSpaceDN/>
        <w:adjustRightInd/>
        <w:rPr>
          <w:rFonts w:ascii="Arial" w:hAnsi="Arial" w:cs="Arial"/>
          <w:sz w:val="24"/>
          <w:szCs w:val="24"/>
          <w:lang w:eastAsia="en-US"/>
        </w:rPr>
      </w:pPr>
      <w:r w:rsidRPr="00EB01CA">
        <w:rPr>
          <w:rFonts w:ascii="Arial" w:hAnsi="Arial" w:cs="Arial"/>
          <w:sz w:val="24"/>
          <w:szCs w:val="24"/>
          <w:lang w:eastAsia="en-US"/>
        </w:rPr>
        <w:t>Adjustments are made on a monthly basis to the forecast income to include all income movements as they are notified to the Board from Scottish Government and other NHS Boards. Key movements identified from Annual Operational plan discussions will be updated and reflected from month 2 reporting onward.</w:t>
      </w:r>
    </w:p>
    <w:p w:rsidR="001318A5" w:rsidRPr="00EB01CA" w:rsidRDefault="001318A5" w:rsidP="001318A5">
      <w:pPr>
        <w:widowControl/>
        <w:autoSpaceDE/>
        <w:autoSpaceDN/>
        <w:adjustRightInd/>
        <w:rPr>
          <w:rFonts w:ascii="Arial" w:hAnsi="Arial" w:cs="Arial"/>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318A5" w:rsidRPr="00AA5131" w:rsidTr="00577564">
        <w:tc>
          <w:tcPr>
            <w:tcW w:w="5000" w:type="pct"/>
          </w:tcPr>
          <w:p w:rsidR="001318A5" w:rsidRPr="00AA5131" w:rsidRDefault="001318A5" w:rsidP="001318A5">
            <w:pPr>
              <w:widowControl/>
              <w:numPr>
                <w:ilvl w:val="0"/>
                <w:numId w:val="9"/>
              </w:numPr>
              <w:autoSpaceDE/>
              <w:autoSpaceDN/>
              <w:adjustRightInd/>
              <w:rPr>
                <w:rFonts w:ascii="Arial" w:eastAsiaTheme="minorEastAsia" w:hAnsi="Arial" w:cs="Arial"/>
                <w:sz w:val="24"/>
                <w:szCs w:val="24"/>
                <w:lang w:eastAsia="en-US"/>
              </w:rPr>
            </w:pPr>
            <w:r w:rsidRPr="00AA5131">
              <w:rPr>
                <w:rFonts w:ascii="Arial" w:eastAsiaTheme="minorEastAsia" w:hAnsi="Arial" w:cs="Arial"/>
                <w:sz w:val="24"/>
                <w:szCs w:val="24"/>
                <w:lang w:eastAsia="en-US"/>
              </w:rPr>
              <w:t xml:space="preserve">Non-WoS Cardiac, Thoracic, Cardiology and SPVU activity (including all NSD nationally funded services) reflect a net under performance of </w:t>
            </w:r>
            <w:r w:rsidRPr="00AA5131">
              <w:rPr>
                <w:rFonts w:ascii="Arial" w:eastAsiaTheme="minorEastAsia" w:hAnsi="Arial" w:cs="Arial"/>
                <w:color w:val="FF0000"/>
                <w:sz w:val="24"/>
                <w:szCs w:val="24"/>
                <w:lang w:eastAsia="en-US"/>
              </w:rPr>
              <w:t>(£</w:t>
            </w:r>
            <w:r w:rsidR="0096632E">
              <w:rPr>
                <w:rFonts w:ascii="Arial" w:eastAsiaTheme="minorEastAsia" w:hAnsi="Arial" w:cs="Arial"/>
                <w:color w:val="FF0000"/>
                <w:sz w:val="24"/>
                <w:szCs w:val="24"/>
                <w:lang w:eastAsia="en-US"/>
              </w:rPr>
              <w:t>0137m</w:t>
            </w:r>
            <w:r w:rsidRPr="00AA5131">
              <w:rPr>
                <w:rFonts w:ascii="Arial" w:eastAsiaTheme="minorEastAsia" w:hAnsi="Arial" w:cs="Arial"/>
                <w:color w:val="FF0000"/>
                <w:sz w:val="24"/>
                <w:szCs w:val="24"/>
                <w:lang w:eastAsia="en-US"/>
              </w:rPr>
              <w:t>).</w:t>
            </w:r>
            <w:r w:rsidRPr="00AA5131">
              <w:rPr>
                <w:rFonts w:ascii="Arial" w:eastAsiaTheme="minorEastAsia" w:hAnsi="Arial" w:cs="Arial"/>
                <w:sz w:val="24"/>
                <w:szCs w:val="24"/>
                <w:lang w:eastAsia="en-US"/>
              </w:rPr>
              <w:t xml:space="preserve"> The most significant position is noted within Cardiology/SPVU and is associated with a reduction in Non-WoS referrals and Non-NHS patient activity as unplanned and subject to variation in levels.</w:t>
            </w:r>
          </w:p>
        </w:tc>
      </w:tr>
      <w:tr w:rsidR="001318A5" w:rsidRPr="00AA5131" w:rsidTr="00577564">
        <w:tc>
          <w:tcPr>
            <w:tcW w:w="5000" w:type="pct"/>
          </w:tcPr>
          <w:p w:rsidR="001318A5" w:rsidRPr="00AA5131" w:rsidRDefault="001318A5" w:rsidP="001318A5">
            <w:pPr>
              <w:widowControl/>
              <w:numPr>
                <w:ilvl w:val="0"/>
                <w:numId w:val="9"/>
              </w:numPr>
              <w:autoSpaceDE/>
              <w:autoSpaceDN/>
              <w:adjustRightInd/>
              <w:rPr>
                <w:rFonts w:ascii="Arial" w:eastAsiaTheme="minorEastAsia" w:hAnsi="Arial" w:cs="Arial"/>
                <w:sz w:val="24"/>
                <w:szCs w:val="24"/>
                <w:lang w:eastAsia="en-US"/>
              </w:rPr>
            </w:pPr>
            <w:r w:rsidRPr="00AA5131">
              <w:rPr>
                <w:rFonts w:ascii="Arial" w:eastAsiaTheme="minorEastAsia" w:hAnsi="Arial" w:cs="Arial"/>
                <w:color w:val="FF0000"/>
                <w:sz w:val="24"/>
                <w:szCs w:val="24"/>
                <w:lang w:eastAsia="en-US"/>
              </w:rPr>
              <w:t>(£</w:t>
            </w:r>
            <w:r w:rsidR="0096632E">
              <w:rPr>
                <w:rFonts w:ascii="Arial" w:eastAsiaTheme="minorEastAsia" w:hAnsi="Arial" w:cs="Arial"/>
                <w:color w:val="FF0000"/>
                <w:sz w:val="24"/>
                <w:szCs w:val="24"/>
                <w:lang w:eastAsia="en-US"/>
              </w:rPr>
              <w:t>0.015m</w:t>
            </w:r>
            <w:r w:rsidRPr="00AA5131">
              <w:rPr>
                <w:rFonts w:ascii="Arial" w:eastAsiaTheme="minorEastAsia" w:hAnsi="Arial" w:cs="Arial"/>
                <w:color w:val="FF0000"/>
                <w:sz w:val="24"/>
                <w:szCs w:val="24"/>
                <w:lang w:eastAsia="en-US"/>
              </w:rPr>
              <w:t>)</w:t>
            </w:r>
            <w:r w:rsidRPr="00AA5131">
              <w:rPr>
                <w:rFonts w:ascii="Arial" w:eastAsiaTheme="minorEastAsia" w:hAnsi="Arial" w:cs="Arial"/>
                <w:sz w:val="24"/>
                <w:szCs w:val="24"/>
                <w:lang w:eastAsia="en-US"/>
              </w:rPr>
              <w:t xml:space="preserve">  adverse in month performance and year to date performance for Golden Jubilee Conference Hotel income,  this is mostly due to a reduction in bedrooms performance, with each room occupancy taking  £70 from bottom line.</w:t>
            </w:r>
          </w:p>
        </w:tc>
      </w:tr>
      <w:tr w:rsidR="001318A5" w:rsidRPr="00AA5131" w:rsidTr="00577564">
        <w:tc>
          <w:tcPr>
            <w:tcW w:w="5000" w:type="pct"/>
          </w:tcPr>
          <w:p w:rsidR="001318A5" w:rsidRPr="00AA5131" w:rsidRDefault="001318A5" w:rsidP="001318A5">
            <w:pPr>
              <w:widowControl/>
              <w:numPr>
                <w:ilvl w:val="0"/>
                <w:numId w:val="9"/>
              </w:numPr>
              <w:autoSpaceDE/>
              <w:autoSpaceDN/>
              <w:adjustRightInd/>
              <w:rPr>
                <w:rFonts w:ascii="Arial" w:eastAsiaTheme="minorEastAsia" w:hAnsi="Arial" w:cs="Arial"/>
                <w:sz w:val="24"/>
                <w:szCs w:val="24"/>
                <w:lang w:eastAsia="en-US"/>
              </w:rPr>
            </w:pPr>
            <w:r w:rsidRPr="00AA5131">
              <w:rPr>
                <w:rFonts w:ascii="Arial" w:eastAsiaTheme="minorEastAsia" w:hAnsi="Arial" w:cs="Arial"/>
                <w:sz w:val="24"/>
                <w:szCs w:val="24"/>
                <w:lang w:eastAsia="en-US"/>
              </w:rPr>
              <w:t>£</w:t>
            </w:r>
            <w:r w:rsidR="0096632E">
              <w:rPr>
                <w:rFonts w:ascii="Arial" w:eastAsiaTheme="minorEastAsia" w:hAnsi="Arial" w:cs="Arial"/>
                <w:sz w:val="24"/>
                <w:szCs w:val="24"/>
                <w:lang w:eastAsia="en-US"/>
              </w:rPr>
              <w:t>0.168m</w:t>
            </w:r>
            <w:r w:rsidRPr="00AA5131">
              <w:rPr>
                <w:rFonts w:ascii="Arial" w:eastAsiaTheme="minorEastAsia" w:hAnsi="Arial" w:cs="Arial"/>
                <w:sz w:val="24"/>
                <w:szCs w:val="24"/>
                <w:lang w:eastAsia="en-US"/>
              </w:rPr>
              <w:t xml:space="preserve"> improved performance for other income and specifically related to Research and development projects. </w:t>
            </w:r>
          </w:p>
        </w:tc>
      </w:tr>
    </w:tbl>
    <w:p w:rsidR="001318A5" w:rsidRPr="00F36773" w:rsidRDefault="001318A5" w:rsidP="001318A5">
      <w:pPr>
        <w:pStyle w:val="BodyTextIndent3"/>
        <w:spacing w:after="0"/>
        <w:ind w:left="0"/>
        <w:rPr>
          <w:rFonts w:ascii="Arial" w:hAnsi="Arial" w:cs="Arial"/>
          <w:sz w:val="24"/>
          <w:szCs w:val="24"/>
        </w:rPr>
      </w:pPr>
    </w:p>
    <w:p w:rsidR="001318A5" w:rsidRDefault="001318A5" w:rsidP="001318A5">
      <w:pPr>
        <w:pStyle w:val="BodyTextIndent3"/>
        <w:spacing w:after="0"/>
        <w:ind w:left="0"/>
        <w:rPr>
          <w:rFonts w:ascii="Arial" w:hAnsi="Arial" w:cs="Arial"/>
          <w:sz w:val="24"/>
          <w:szCs w:val="24"/>
        </w:rPr>
      </w:pPr>
    </w:p>
    <w:p w:rsidR="001318A5" w:rsidRPr="00AA5131" w:rsidRDefault="001318A5" w:rsidP="001318A5">
      <w:pPr>
        <w:widowControl/>
        <w:autoSpaceDE/>
        <w:autoSpaceDN/>
        <w:adjustRightInd/>
        <w:rPr>
          <w:rFonts w:ascii="Arial" w:hAnsi="Arial" w:cs="Arial"/>
          <w:sz w:val="24"/>
          <w:szCs w:val="24"/>
          <w:lang w:eastAsia="en-US"/>
        </w:rPr>
      </w:pPr>
      <w:r w:rsidRPr="00AA5131">
        <w:rPr>
          <w:rFonts w:ascii="Arial" w:hAnsi="Arial" w:cs="Arial"/>
          <w:sz w:val="24"/>
          <w:szCs w:val="24"/>
          <w:lang w:eastAsia="en-US"/>
        </w:rPr>
        <w:t>Trans Aortic Valve activity (TAVI) at the GJ commences into 2019/20. As at the end of Month two (2) reporting the Board has undertaken 15 cases. An updated position on the final TAVI criteria, activity numbers and future planning will be presented to the Chief Executive (CE) meeting in June and the forecast income and costs will be included within the next month’s report.</w:t>
      </w:r>
    </w:p>
    <w:p w:rsidR="001318A5" w:rsidRPr="00AA5131" w:rsidRDefault="001318A5" w:rsidP="001318A5">
      <w:pPr>
        <w:widowControl/>
        <w:autoSpaceDE/>
        <w:autoSpaceDN/>
        <w:adjustRightInd/>
        <w:rPr>
          <w:rFonts w:ascii="Arial" w:hAnsi="Arial" w:cs="Arial"/>
          <w:sz w:val="24"/>
          <w:szCs w:val="24"/>
          <w:lang w:eastAsia="en-US"/>
        </w:rPr>
      </w:pPr>
    </w:p>
    <w:p w:rsidR="001318A5" w:rsidRPr="00AA5131" w:rsidRDefault="001318A5" w:rsidP="001318A5">
      <w:pPr>
        <w:widowControl/>
        <w:autoSpaceDE/>
        <w:autoSpaceDN/>
        <w:adjustRightInd/>
        <w:rPr>
          <w:rFonts w:ascii="Arial" w:hAnsi="Arial" w:cs="Arial"/>
          <w:sz w:val="24"/>
          <w:szCs w:val="24"/>
          <w:lang w:eastAsia="en-US"/>
        </w:rPr>
      </w:pPr>
      <w:r w:rsidRPr="00AA5131">
        <w:rPr>
          <w:rFonts w:ascii="Arial" w:hAnsi="Arial" w:cs="Arial"/>
          <w:sz w:val="24"/>
          <w:szCs w:val="24"/>
          <w:lang w:eastAsia="en-US"/>
        </w:rPr>
        <w:t>Total non-core funding for the year reflects a forecast of £6.765m as per the original financial plan, due to movement in Depreciation from forecasted future Capital projects and impairment increase. This will be reflected from month 3 reporting.  The impairment value will be monitored in year with the key driver being the implementation of the new Cath Lab in 19/20 which is likely to increase the assumed £</w:t>
      </w:r>
      <w:r w:rsidR="0096632E">
        <w:rPr>
          <w:rFonts w:ascii="Arial" w:hAnsi="Arial" w:cs="Arial"/>
          <w:sz w:val="24"/>
          <w:szCs w:val="24"/>
          <w:lang w:eastAsia="en-US"/>
        </w:rPr>
        <w:t>0.150m</w:t>
      </w:r>
      <w:r w:rsidRPr="00AA5131">
        <w:rPr>
          <w:rFonts w:ascii="Arial" w:hAnsi="Arial" w:cs="Arial"/>
          <w:sz w:val="24"/>
          <w:szCs w:val="24"/>
          <w:lang w:eastAsia="en-US"/>
        </w:rPr>
        <w:t xml:space="preserve"> currently within the capital plan. </w:t>
      </w:r>
    </w:p>
    <w:p w:rsidR="001318A5" w:rsidRPr="00AA5131" w:rsidRDefault="001318A5" w:rsidP="001318A5">
      <w:pPr>
        <w:widowControl/>
        <w:autoSpaceDE/>
        <w:autoSpaceDN/>
        <w:adjustRightInd/>
        <w:rPr>
          <w:rFonts w:ascii="Arial" w:hAnsi="Arial" w:cs="Arial"/>
          <w:sz w:val="24"/>
          <w:szCs w:val="24"/>
          <w:lang w:eastAsia="en-US"/>
        </w:rPr>
      </w:pPr>
      <w:r w:rsidRPr="00AA5131">
        <w:rPr>
          <w:rFonts w:ascii="Arial" w:hAnsi="Arial" w:cs="Arial"/>
          <w:sz w:val="24"/>
          <w:szCs w:val="24"/>
          <w:lang w:eastAsia="en-US"/>
        </w:rPr>
        <w:t xml:space="preserve"> </w:t>
      </w:r>
    </w:p>
    <w:p w:rsidR="001318A5" w:rsidRDefault="001318A5" w:rsidP="001318A5">
      <w:pPr>
        <w:pStyle w:val="BodyTextIndent3"/>
        <w:spacing w:after="0"/>
        <w:ind w:left="0"/>
        <w:rPr>
          <w:rFonts w:ascii="Arial" w:hAnsi="Arial" w:cs="Arial"/>
          <w:sz w:val="24"/>
          <w:szCs w:val="24"/>
        </w:rPr>
      </w:pPr>
      <w:r w:rsidRPr="00AA5131">
        <w:rPr>
          <w:rFonts w:ascii="Arial" w:hAnsi="Arial" w:cs="Arial"/>
          <w:sz w:val="24"/>
          <w:szCs w:val="24"/>
        </w:rPr>
        <w:t>The base Revenue Resource Limit (RRL) is detailed in table 3 below which have been advised to the Board for financial year 2019/20.  Further adjustments to the RRL will be presented in future reports</w:t>
      </w:r>
    </w:p>
    <w:p w:rsidR="00036BE9" w:rsidRDefault="00036BE9" w:rsidP="001318A5">
      <w:pPr>
        <w:pStyle w:val="BodyTextIndent3"/>
        <w:spacing w:after="0"/>
        <w:ind w:left="0"/>
        <w:rPr>
          <w:rFonts w:ascii="Arial" w:hAnsi="Arial" w:cs="Arial"/>
          <w:sz w:val="24"/>
          <w:szCs w:val="24"/>
        </w:rPr>
      </w:pPr>
    </w:p>
    <w:p w:rsidR="001318A5" w:rsidRDefault="001318A5" w:rsidP="001318A5"/>
    <w:p w:rsidR="001318A5" w:rsidRPr="007B06DD" w:rsidRDefault="001318A5" w:rsidP="001318A5">
      <w:pPr>
        <w:pStyle w:val="BodyTextIndent3"/>
        <w:spacing w:after="0"/>
        <w:ind w:left="0"/>
        <w:rPr>
          <w:rFonts w:ascii="Arial" w:hAnsi="Arial" w:cs="Arial"/>
          <w:b/>
          <w:color w:val="0070C0"/>
          <w:sz w:val="24"/>
          <w:szCs w:val="24"/>
        </w:rPr>
      </w:pPr>
      <w:r w:rsidRPr="007B06DD">
        <w:rPr>
          <w:rFonts w:ascii="Arial" w:hAnsi="Arial" w:cs="Arial"/>
          <w:b/>
          <w:color w:val="0070C0"/>
          <w:sz w:val="24"/>
          <w:szCs w:val="24"/>
        </w:rPr>
        <w:t>Anticipated Scottish Government RRL allocations:</w:t>
      </w:r>
    </w:p>
    <w:p w:rsidR="001318A5" w:rsidRDefault="001318A5" w:rsidP="001318A5">
      <w:pPr>
        <w:pStyle w:val="BodyText"/>
        <w:kinsoku w:val="0"/>
        <w:overflowPunct w:val="0"/>
        <w:rPr>
          <w:rFonts w:ascii="Arial" w:hAnsi="Arial" w:cs="Arial"/>
          <w:b/>
          <w:noProof/>
          <w:color w:val="0070C0"/>
          <w:sz w:val="24"/>
          <w:szCs w:val="24"/>
        </w:rPr>
      </w:pPr>
    </w:p>
    <w:p w:rsidR="001318A5" w:rsidRDefault="001318A5" w:rsidP="001318A5">
      <w:pPr>
        <w:widowControl/>
        <w:autoSpaceDE/>
        <w:autoSpaceDN/>
        <w:adjustRightInd/>
        <w:rPr>
          <w:rFonts w:ascii="Arial" w:hAnsi="Arial" w:cs="Arial"/>
          <w:sz w:val="24"/>
          <w:szCs w:val="24"/>
          <w:lang w:eastAsia="en-US"/>
        </w:rPr>
      </w:pPr>
      <w:r w:rsidRPr="00AA5131">
        <w:rPr>
          <w:rFonts w:ascii="Arial" w:hAnsi="Arial" w:cs="Arial"/>
          <w:sz w:val="24"/>
          <w:szCs w:val="24"/>
          <w:lang w:eastAsia="en-US"/>
        </w:rPr>
        <w:t>May 2019 (month 2) reflects the first RRL allocation receipt and reconciles to the Boards Financial Plan and incorporates the recurring 2019/20 baseline, 2019/20 pay award and inflation uplift (2.5% of baseline combined) and the 2018/19 recurring allocations for MRI/Ultrasound and prior years Orthopaedic/Ophthalmology expansion. Anticipated allocations not yet received mainly include prior year expansions within Orthopaedic, Endoscopy, General Surgery and CT in addition to NHS Boards SLA Top slice, superannuation 6% increase, Outpatients framework and Research CSO/NRS funding;</w:t>
      </w:r>
    </w:p>
    <w:p w:rsidR="0096632E" w:rsidRDefault="0096632E" w:rsidP="001318A5">
      <w:pPr>
        <w:widowControl/>
        <w:autoSpaceDE/>
        <w:autoSpaceDN/>
        <w:adjustRightInd/>
        <w:rPr>
          <w:rFonts w:ascii="Arial" w:hAnsi="Arial" w:cs="Arial"/>
          <w:sz w:val="24"/>
          <w:szCs w:val="24"/>
          <w:lang w:eastAsia="en-US"/>
        </w:rPr>
      </w:pPr>
    </w:p>
    <w:p w:rsidR="0096632E" w:rsidRDefault="0096632E" w:rsidP="001318A5">
      <w:pPr>
        <w:widowControl/>
        <w:autoSpaceDE/>
        <w:autoSpaceDN/>
        <w:adjustRightInd/>
        <w:rPr>
          <w:rFonts w:ascii="Arial" w:hAnsi="Arial" w:cs="Arial"/>
          <w:sz w:val="24"/>
          <w:szCs w:val="24"/>
          <w:lang w:eastAsia="en-US"/>
        </w:rPr>
      </w:pPr>
    </w:p>
    <w:p w:rsidR="0096632E" w:rsidRPr="00AA5131" w:rsidRDefault="0096632E" w:rsidP="001318A5">
      <w:pPr>
        <w:widowControl/>
        <w:autoSpaceDE/>
        <w:autoSpaceDN/>
        <w:adjustRightInd/>
        <w:rPr>
          <w:rFonts w:ascii="Arial" w:hAnsi="Arial" w:cs="Arial"/>
          <w:sz w:val="24"/>
          <w:szCs w:val="24"/>
          <w:lang w:eastAsia="en-US"/>
        </w:rPr>
      </w:pPr>
    </w:p>
    <w:p w:rsidR="001318A5" w:rsidRDefault="001318A5" w:rsidP="001318A5">
      <w:pPr>
        <w:widowControl/>
        <w:autoSpaceDE/>
        <w:autoSpaceDN/>
        <w:adjustRightInd/>
        <w:rPr>
          <w:rFonts w:ascii="Arial" w:hAnsi="Arial" w:cs="Arial"/>
          <w:b/>
          <w:i/>
          <w:color w:val="0070C0"/>
          <w:sz w:val="24"/>
          <w:szCs w:val="24"/>
          <w:lang w:eastAsia="en-US"/>
        </w:rPr>
      </w:pPr>
    </w:p>
    <w:p w:rsidR="008E5C77" w:rsidRPr="00AA5131" w:rsidRDefault="008E5C77" w:rsidP="001318A5">
      <w:pPr>
        <w:widowControl/>
        <w:autoSpaceDE/>
        <w:autoSpaceDN/>
        <w:adjustRightInd/>
        <w:rPr>
          <w:rFonts w:ascii="Arial" w:hAnsi="Arial" w:cs="Arial"/>
          <w:b/>
          <w:i/>
          <w:color w:val="0070C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1954"/>
        <w:gridCol w:w="2482"/>
        <w:gridCol w:w="1972"/>
      </w:tblGrid>
      <w:tr w:rsidR="008E5C77" w:rsidRPr="00AA5131" w:rsidTr="00577564">
        <w:tc>
          <w:tcPr>
            <w:tcW w:w="2837"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 xml:space="preserve">Core Revenue Allocation </w:t>
            </w:r>
          </w:p>
        </w:tc>
        <w:tc>
          <w:tcPr>
            <w:tcW w:w="1988"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 xml:space="preserve">Included in Operational plan </w:t>
            </w:r>
          </w:p>
        </w:tc>
        <w:tc>
          <w:tcPr>
            <w:tcW w:w="2526"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Recurring/Non-recurring</w:t>
            </w:r>
          </w:p>
        </w:tc>
        <w:tc>
          <w:tcPr>
            <w:tcW w:w="2047"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Value - £m</w:t>
            </w:r>
          </w:p>
        </w:tc>
      </w:tr>
      <w:tr w:rsidR="008E5C77" w:rsidRPr="00AA5131" w:rsidTr="00577564">
        <w:tc>
          <w:tcPr>
            <w:tcW w:w="2837"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Core Allocation  planned as at May 2019</w:t>
            </w:r>
          </w:p>
        </w:tc>
        <w:tc>
          <w:tcPr>
            <w:tcW w:w="1988"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sz w:val="24"/>
                <w:szCs w:val="24"/>
                <w:lang w:eastAsia="en-US"/>
              </w:rPr>
            </w:pPr>
          </w:p>
        </w:tc>
        <w:tc>
          <w:tcPr>
            <w:tcW w:w="2526"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sz w:val="24"/>
                <w:szCs w:val="24"/>
                <w:lang w:eastAsia="en-US"/>
              </w:rPr>
            </w:pPr>
          </w:p>
        </w:tc>
        <w:tc>
          <w:tcPr>
            <w:tcW w:w="2047"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£56.112</w:t>
            </w:r>
          </w:p>
        </w:tc>
      </w:tr>
      <w:tr w:rsidR="008E5C77" w:rsidRPr="00AA5131" w:rsidTr="00577564">
        <w:tc>
          <w:tcPr>
            <w:tcW w:w="2837" w:type="dxa"/>
          </w:tcPr>
          <w:p w:rsidR="001318A5" w:rsidRPr="00AA5131" w:rsidRDefault="001318A5" w:rsidP="00577564">
            <w:pPr>
              <w:widowControl/>
              <w:autoSpaceDE/>
              <w:autoSpaceDN/>
              <w:adjustRightInd/>
              <w:rPr>
                <w:rFonts w:ascii="Arial" w:eastAsiaTheme="minorEastAsia" w:hAnsi="Arial" w:cs="Arial"/>
                <w:sz w:val="24"/>
                <w:szCs w:val="24"/>
                <w:lang w:eastAsia="en-US"/>
              </w:rPr>
            </w:pPr>
            <w:r w:rsidRPr="00AA5131">
              <w:rPr>
                <w:rFonts w:ascii="Arial" w:eastAsiaTheme="minorEastAsia" w:hAnsi="Arial" w:cs="Arial"/>
                <w:sz w:val="24"/>
                <w:szCs w:val="24"/>
                <w:lang w:eastAsia="en-US"/>
              </w:rPr>
              <w:t xml:space="preserve">Anticipated Allocations </w:t>
            </w:r>
          </w:p>
        </w:tc>
        <w:tc>
          <w:tcPr>
            <w:tcW w:w="1988" w:type="dxa"/>
          </w:tcPr>
          <w:p w:rsidR="001318A5" w:rsidRPr="00AA5131" w:rsidRDefault="001318A5" w:rsidP="00577564">
            <w:pPr>
              <w:widowControl/>
              <w:autoSpaceDE/>
              <w:autoSpaceDN/>
              <w:adjustRightInd/>
              <w:rPr>
                <w:rFonts w:ascii="Arial" w:eastAsiaTheme="minorEastAsia" w:hAnsi="Arial" w:cs="Arial"/>
                <w:sz w:val="24"/>
                <w:szCs w:val="24"/>
                <w:lang w:eastAsia="en-US"/>
              </w:rPr>
            </w:pPr>
          </w:p>
        </w:tc>
        <w:tc>
          <w:tcPr>
            <w:tcW w:w="2526" w:type="dxa"/>
          </w:tcPr>
          <w:p w:rsidR="001318A5" w:rsidRPr="00AA5131" w:rsidRDefault="001318A5" w:rsidP="00577564">
            <w:pPr>
              <w:widowControl/>
              <w:autoSpaceDE/>
              <w:autoSpaceDN/>
              <w:adjustRightInd/>
              <w:rPr>
                <w:rFonts w:ascii="Arial" w:eastAsiaTheme="minorEastAsia" w:hAnsi="Arial" w:cs="Arial"/>
                <w:sz w:val="24"/>
                <w:szCs w:val="24"/>
                <w:lang w:eastAsia="en-US"/>
              </w:rPr>
            </w:pPr>
          </w:p>
        </w:tc>
        <w:tc>
          <w:tcPr>
            <w:tcW w:w="2047" w:type="dxa"/>
          </w:tcPr>
          <w:p w:rsidR="001318A5" w:rsidRPr="00AA5131" w:rsidRDefault="001318A5" w:rsidP="00577564">
            <w:pPr>
              <w:widowControl/>
              <w:autoSpaceDE/>
              <w:autoSpaceDN/>
              <w:adjustRightInd/>
              <w:rPr>
                <w:rFonts w:ascii="Arial" w:eastAsiaTheme="minorEastAsia" w:hAnsi="Arial" w:cs="Arial"/>
                <w:sz w:val="24"/>
                <w:szCs w:val="24"/>
                <w:lang w:eastAsia="en-US"/>
              </w:rPr>
            </w:pPr>
            <w:r w:rsidRPr="00AA5131">
              <w:rPr>
                <w:rFonts w:ascii="Arial" w:eastAsiaTheme="minorEastAsia" w:hAnsi="Arial" w:cs="Arial"/>
                <w:sz w:val="24"/>
                <w:szCs w:val="24"/>
                <w:lang w:eastAsia="en-US"/>
              </w:rPr>
              <w:t>£24.107</w:t>
            </w:r>
          </w:p>
        </w:tc>
      </w:tr>
      <w:tr w:rsidR="008E5C77" w:rsidRPr="00AA5131" w:rsidTr="00577564">
        <w:tc>
          <w:tcPr>
            <w:tcW w:w="2837" w:type="dxa"/>
          </w:tcPr>
          <w:p w:rsidR="001318A5" w:rsidRPr="00AA5131" w:rsidRDefault="001318A5" w:rsidP="00577564">
            <w:pPr>
              <w:widowControl/>
              <w:autoSpaceDE/>
              <w:autoSpaceDN/>
              <w:adjustRightInd/>
              <w:rPr>
                <w:rFonts w:ascii="Arial" w:eastAsiaTheme="minorEastAsia" w:hAnsi="Arial" w:cs="Arial"/>
                <w:sz w:val="24"/>
                <w:szCs w:val="24"/>
                <w:lang w:eastAsia="en-US"/>
              </w:rPr>
            </w:pPr>
          </w:p>
        </w:tc>
        <w:tc>
          <w:tcPr>
            <w:tcW w:w="1988" w:type="dxa"/>
          </w:tcPr>
          <w:p w:rsidR="001318A5" w:rsidRPr="00AA5131" w:rsidRDefault="001318A5" w:rsidP="00577564">
            <w:pPr>
              <w:widowControl/>
              <w:autoSpaceDE/>
              <w:autoSpaceDN/>
              <w:adjustRightInd/>
              <w:rPr>
                <w:rFonts w:ascii="Arial" w:eastAsiaTheme="minorEastAsia" w:hAnsi="Arial" w:cs="Arial"/>
                <w:sz w:val="24"/>
                <w:szCs w:val="24"/>
                <w:lang w:eastAsia="en-US"/>
              </w:rPr>
            </w:pPr>
          </w:p>
        </w:tc>
        <w:tc>
          <w:tcPr>
            <w:tcW w:w="2526" w:type="dxa"/>
          </w:tcPr>
          <w:p w:rsidR="001318A5" w:rsidRPr="00AA5131" w:rsidRDefault="001318A5" w:rsidP="00577564">
            <w:pPr>
              <w:widowControl/>
              <w:autoSpaceDE/>
              <w:autoSpaceDN/>
              <w:adjustRightInd/>
              <w:rPr>
                <w:rFonts w:ascii="Arial" w:eastAsiaTheme="minorEastAsia" w:hAnsi="Arial" w:cs="Arial"/>
                <w:sz w:val="24"/>
                <w:szCs w:val="24"/>
                <w:lang w:eastAsia="en-US"/>
              </w:rPr>
            </w:pPr>
          </w:p>
        </w:tc>
        <w:tc>
          <w:tcPr>
            <w:tcW w:w="2047" w:type="dxa"/>
          </w:tcPr>
          <w:p w:rsidR="001318A5" w:rsidRPr="00AA5131" w:rsidRDefault="001318A5" w:rsidP="00577564">
            <w:pPr>
              <w:widowControl/>
              <w:autoSpaceDE/>
              <w:autoSpaceDN/>
              <w:adjustRightInd/>
              <w:rPr>
                <w:rFonts w:ascii="Arial" w:eastAsiaTheme="minorEastAsia" w:hAnsi="Arial" w:cs="Arial"/>
                <w:sz w:val="24"/>
                <w:szCs w:val="24"/>
                <w:lang w:eastAsia="en-US"/>
              </w:rPr>
            </w:pPr>
          </w:p>
        </w:tc>
      </w:tr>
      <w:tr w:rsidR="008E5C77" w:rsidRPr="00AA5131" w:rsidTr="00577564">
        <w:tc>
          <w:tcPr>
            <w:tcW w:w="2837" w:type="dxa"/>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Total Forecast RRL allocation</w:t>
            </w:r>
          </w:p>
        </w:tc>
        <w:tc>
          <w:tcPr>
            <w:tcW w:w="1988" w:type="dxa"/>
          </w:tcPr>
          <w:p w:rsidR="001318A5" w:rsidRPr="00AA5131" w:rsidRDefault="001318A5" w:rsidP="00577564">
            <w:pPr>
              <w:widowControl/>
              <w:autoSpaceDE/>
              <w:autoSpaceDN/>
              <w:adjustRightInd/>
              <w:rPr>
                <w:rFonts w:ascii="Arial" w:eastAsiaTheme="minorEastAsia" w:hAnsi="Arial" w:cs="Arial"/>
                <w:b/>
                <w:sz w:val="24"/>
                <w:szCs w:val="24"/>
                <w:lang w:eastAsia="en-US"/>
              </w:rPr>
            </w:pPr>
          </w:p>
        </w:tc>
        <w:tc>
          <w:tcPr>
            <w:tcW w:w="2526" w:type="dxa"/>
          </w:tcPr>
          <w:p w:rsidR="001318A5" w:rsidRPr="00AA5131" w:rsidRDefault="001318A5" w:rsidP="00577564">
            <w:pPr>
              <w:widowControl/>
              <w:autoSpaceDE/>
              <w:autoSpaceDN/>
              <w:adjustRightInd/>
              <w:rPr>
                <w:rFonts w:ascii="Arial" w:eastAsiaTheme="minorEastAsia" w:hAnsi="Arial" w:cs="Arial"/>
                <w:b/>
                <w:sz w:val="24"/>
                <w:szCs w:val="24"/>
                <w:lang w:eastAsia="en-US"/>
              </w:rPr>
            </w:pPr>
          </w:p>
        </w:tc>
        <w:tc>
          <w:tcPr>
            <w:tcW w:w="2047" w:type="dxa"/>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£80.219</w:t>
            </w:r>
          </w:p>
        </w:tc>
      </w:tr>
      <w:tr w:rsidR="001318A5" w:rsidRPr="00AA5131" w:rsidTr="00577564">
        <w:tc>
          <w:tcPr>
            <w:tcW w:w="9398" w:type="dxa"/>
            <w:gridSpan w:val="4"/>
          </w:tcPr>
          <w:p w:rsidR="001318A5" w:rsidRPr="00AA5131" w:rsidRDefault="001318A5" w:rsidP="00577564">
            <w:pPr>
              <w:widowControl/>
              <w:autoSpaceDE/>
              <w:autoSpaceDN/>
              <w:adjustRightInd/>
              <w:jc w:val="both"/>
              <w:rPr>
                <w:rFonts w:ascii="Arial" w:eastAsiaTheme="minorEastAsia" w:hAnsi="Arial" w:cs="Arial"/>
                <w:sz w:val="24"/>
                <w:szCs w:val="24"/>
                <w:lang w:eastAsia="en-US"/>
              </w:rPr>
            </w:pPr>
            <w:r w:rsidRPr="00AA5131">
              <w:rPr>
                <w:rFonts w:ascii="Arial" w:eastAsiaTheme="minorEastAsia" w:hAnsi="Arial" w:cs="Arial"/>
                <w:sz w:val="24"/>
                <w:szCs w:val="24"/>
                <w:lang w:eastAsia="en-US"/>
              </w:rPr>
              <w:t>Therefore any future core anticipated allocation adjustments different to original financial plan will be reflected in the table above.</w:t>
            </w:r>
          </w:p>
        </w:tc>
      </w:tr>
      <w:tr w:rsidR="008E5C77" w:rsidRPr="00AA5131" w:rsidTr="00577564">
        <w:tc>
          <w:tcPr>
            <w:tcW w:w="2837" w:type="dxa"/>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 xml:space="preserve">Non- Core Allocation </w:t>
            </w:r>
          </w:p>
        </w:tc>
        <w:tc>
          <w:tcPr>
            <w:tcW w:w="1988" w:type="dxa"/>
          </w:tcPr>
          <w:p w:rsidR="001318A5" w:rsidRPr="00AA5131" w:rsidRDefault="001318A5" w:rsidP="00577564">
            <w:pPr>
              <w:widowControl/>
              <w:autoSpaceDE/>
              <w:autoSpaceDN/>
              <w:adjustRightInd/>
              <w:rPr>
                <w:rFonts w:ascii="Arial" w:eastAsiaTheme="minorEastAsia" w:hAnsi="Arial" w:cs="Arial"/>
                <w:sz w:val="24"/>
                <w:szCs w:val="24"/>
                <w:lang w:eastAsia="en-US"/>
              </w:rPr>
            </w:pPr>
          </w:p>
        </w:tc>
        <w:tc>
          <w:tcPr>
            <w:tcW w:w="2526" w:type="dxa"/>
          </w:tcPr>
          <w:p w:rsidR="001318A5" w:rsidRPr="00AA5131" w:rsidRDefault="001318A5" w:rsidP="00577564">
            <w:pPr>
              <w:widowControl/>
              <w:autoSpaceDE/>
              <w:autoSpaceDN/>
              <w:adjustRightInd/>
              <w:rPr>
                <w:rFonts w:ascii="Arial" w:eastAsiaTheme="minorEastAsia" w:hAnsi="Arial" w:cs="Arial"/>
                <w:sz w:val="24"/>
                <w:szCs w:val="24"/>
                <w:lang w:eastAsia="en-US"/>
              </w:rPr>
            </w:pPr>
          </w:p>
        </w:tc>
        <w:tc>
          <w:tcPr>
            <w:tcW w:w="2047" w:type="dxa"/>
          </w:tcPr>
          <w:p w:rsidR="001318A5" w:rsidRPr="00AA5131" w:rsidRDefault="001318A5" w:rsidP="00577564">
            <w:pPr>
              <w:widowControl/>
              <w:autoSpaceDE/>
              <w:autoSpaceDN/>
              <w:adjustRightInd/>
              <w:rPr>
                <w:rFonts w:ascii="Arial" w:eastAsiaTheme="minorEastAsia" w:hAnsi="Arial" w:cs="Arial"/>
                <w:sz w:val="24"/>
                <w:szCs w:val="24"/>
                <w:lang w:eastAsia="en-US"/>
              </w:rPr>
            </w:pPr>
          </w:p>
        </w:tc>
      </w:tr>
      <w:tr w:rsidR="008E5C77" w:rsidRPr="00AA5131" w:rsidTr="00577564">
        <w:tc>
          <w:tcPr>
            <w:tcW w:w="2837"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Non-core Allocation planned as at May 2019</w:t>
            </w:r>
          </w:p>
        </w:tc>
        <w:tc>
          <w:tcPr>
            <w:tcW w:w="1988"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sz w:val="24"/>
                <w:szCs w:val="24"/>
                <w:lang w:eastAsia="en-US"/>
              </w:rPr>
            </w:pPr>
            <w:r w:rsidRPr="00AA5131">
              <w:rPr>
                <w:rFonts w:ascii="Arial" w:eastAsiaTheme="minorEastAsia" w:hAnsi="Arial" w:cs="Arial"/>
                <w:sz w:val="24"/>
                <w:szCs w:val="24"/>
                <w:lang w:eastAsia="en-US"/>
              </w:rPr>
              <w:t>As per Finance plan to allocations made to date.</w:t>
            </w:r>
          </w:p>
        </w:tc>
        <w:tc>
          <w:tcPr>
            <w:tcW w:w="2526"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sz w:val="24"/>
                <w:szCs w:val="24"/>
                <w:lang w:eastAsia="en-US"/>
              </w:rPr>
            </w:pPr>
          </w:p>
        </w:tc>
        <w:tc>
          <w:tcPr>
            <w:tcW w:w="2047"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b/>
                <w:sz w:val="24"/>
                <w:szCs w:val="24"/>
                <w:lang w:eastAsia="en-US"/>
              </w:rPr>
            </w:pPr>
          </w:p>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£6.765</w:t>
            </w:r>
          </w:p>
        </w:tc>
      </w:tr>
      <w:tr w:rsidR="001318A5" w:rsidRPr="00AA5131" w:rsidTr="00577564">
        <w:tc>
          <w:tcPr>
            <w:tcW w:w="9398" w:type="dxa"/>
            <w:gridSpan w:val="4"/>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sz w:val="24"/>
                <w:szCs w:val="24"/>
                <w:lang w:eastAsia="en-US"/>
              </w:rPr>
              <w:t>Any non-core anticipated allocation adjustments deviating from original financial plan will be reflected in the table above.</w:t>
            </w:r>
          </w:p>
        </w:tc>
      </w:tr>
      <w:tr w:rsidR="008E5C77" w:rsidRPr="00AA5131" w:rsidTr="00577564">
        <w:trPr>
          <w:trHeight w:val="136"/>
        </w:trPr>
        <w:tc>
          <w:tcPr>
            <w:tcW w:w="2837"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Total Available funding</w:t>
            </w:r>
          </w:p>
        </w:tc>
        <w:tc>
          <w:tcPr>
            <w:tcW w:w="1988"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sz w:val="24"/>
                <w:szCs w:val="24"/>
                <w:lang w:eastAsia="en-US"/>
              </w:rPr>
            </w:pPr>
          </w:p>
        </w:tc>
        <w:tc>
          <w:tcPr>
            <w:tcW w:w="2526"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sz w:val="24"/>
                <w:szCs w:val="24"/>
                <w:lang w:eastAsia="en-US"/>
              </w:rPr>
            </w:pPr>
          </w:p>
        </w:tc>
        <w:tc>
          <w:tcPr>
            <w:tcW w:w="2047" w:type="dxa"/>
            <w:shd w:val="clear" w:color="auto" w:fill="8DB3E2" w:themeFill="text2" w:themeFillTint="66"/>
          </w:tcPr>
          <w:p w:rsidR="001318A5" w:rsidRPr="00AA5131" w:rsidRDefault="001318A5" w:rsidP="00577564">
            <w:pPr>
              <w:widowControl/>
              <w:autoSpaceDE/>
              <w:autoSpaceDN/>
              <w:adjustRightInd/>
              <w:rPr>
                <w:rFonts w:ascii="Arial" w:eastAsiaTheme="minorEastAsia" w:hAnsi="Arial" w:cs="Arial"/>
                <w:b/>
                <w:sz w:val="24"/>
                <w:szCs w:val="24"/>
                <w:lang w:eastAsia="en-US"/>
              </w:rPr>
            </w:pPr>
            <w:r w:rsidRPr="00AA5131">
              <w:rPr>
                <w:rFonts w:ascii="Arial" w:eastAsiaTheme="minorEastAsia" w:hAnsi="Arial" w:cs="Arial"/>
                <w:b/>
                <w:sz w:val="24"/>
                <w:szCs w:val="24"/>
                <w:lang w:eastAsia="en-US"/>
              </w:rPr>
              <w:t>£86.984</w:t>
            </w:r>
          </w:p>
        </w:tc>
      </w:tr>
    </w:tbl>
    <w:p w:rsidR="001318A5" w:rsidRDefault="001318A5" w:rsidP="001318A5"/>
    <w:p w:rsidR="001318A5" w:rsidRDefault="001318A5">
      <w:pPr>
        <w:widowControl/>
        <w:autoSpaceDE/>
        <w:autoSpaceDN/>
        <w:adjustRightInd/>
      </w:pPr>
      <w:r>
        <w:br w:type="page"/>
      </w:r>
    </w:p>
    <w:p w:rsidR="001318A5" w:rsidRPr="00AA5131" w:rsidRDefault="001318A5" w:rsidP="001318A5">
      <w:pPr>
        <w:kinsoku w:val="0"/>
        <w:overflowPunct w:val="0"/>
        <w:rPr>
          <w:rFonts w:ascii="Arial" w:hAnsi="Arial" w:cs="Arial"/>
          <w:b/>
          <w:noProof/>
          <w:color w:val="0070C0"/>
          <w:sz w:val="24"/>
          <w:szCs w:val="24"/>
          <w:u w:val="single"/>
        </w:rPr>
      </w:pPr>
      <w:r w:rsidRPr="00AA5131">
        <w:rPr>
          <w:rFonts w:ascii="Arial" w:hAnsi="Arial" w:cs="Arial"/>
          <w:b/>
          <w:noProof/>
          <w:color w:val="0070C0"/>
          <w:sz w:val="24"/>
          <w:szCs w:val="24"/>
          <w:u w:val="single"/>
        </w:rPr>
        <w:lastRenderedPageBreak/>
        <w:t>Golden Jubilee Core Expenditure brokendown by Pay and Non Pay per Division:-</w:t>
      </w:r>
    </w:p>
    <w:tbl>
      <w:tblPr>
        <w:tblW w:w="10808" w:type="dxa"/>
        <w:tblInd w:w="-895" w:type="dxa"/>
        <w:tblLook w:val="04A0" w:firstRow="1" w:lastRow="0" w:firstColumn="1" w:lastColumn="0" w:noHBand="0" w:noVBand="1"/>
      </w:tblPr>
      <w:tblGrid>
        <w:gridCol w:w="4800"/>
        <w:gridCol w:w="1540"/>
        <w:gridCol w:w="1100"/>
        <w:gridCol w:w="1100"/>
        <w:gridCol w:w="1134"/>
        <w:gridCol w:w="1134"/>
      </w:tblGrid>
      <w:tr w:rsidR="001318A5" w:rsidRPr="003F0A11" w:rsidTr="00036BE9">
        <w:trPr>
          <w:trHeight w:val="1268"/>
        </w:trPr>
        <w:tc>
          <w:tcPr>
            <w:tcW w:w="4800" w:type="dxa"/>
            <w:tcBorders>
              <w:top w:val="single" w:sz="8" w:space="0" w:color="000000"/>
              <w:left w:val="single" w:sz="8" w:space="0" w:color="000000"/>
              <w:bottom w:val="single" w:sz="8" w:space="0" w:color="000000"/>
              <w:right w:val="single" w:sz="8" w:space="0" w:color="000000"/>
            </w:tcBorders>
            <w:shd w:val="clear" w:color="000000" w:fill="8EB4E3"/>
            <w:hideMark/>
          </w:tcPr>
          <w:p w:rsidR="001318A5" w:rsidRPr="003F0A11" w:rsidRDefault="001318A5" w:rsidP="00577564">
            <w:pPr>
              <w:widowControl/>
              <w:autoSpaceDE/>
              <w:autoSpaceDN/>
              <w:adjustRightInd/>
              <w:ind w:firstLineChars="100" w:firstLine="221"/>
              <w:rPr>
                <w:rFonts w:ascii="Arial" w:hAnsi="Arial" w:cs="Arial"/>
                <w:b/>
                <w:bCs/>
                <w:i/>
                <w:iCs/>
                <w:color w:val="000000"/>
              </w:rPr>
            </w:pPr>
            <w:r w:rsidRPr="003F0A11">
              <w:rPr>
                <w:rFonts w:ascii="Arial" w:hAnsi="Arial" w:cs="Arial"/>
                <w:b/>
                <w:bCs/>
                <w:i/>
                <w:iCs/>
                <w:color w:val="000000"/>
              </w:rPr>
              <w:t>Area</w:t>
            </w:r>
          </w:p>
        </w:tc>
        <w:tc>
          <w:tcPr>
            <w:tcW w:w="1540" w:type="dxa"/>
            <w:tcBorders>
              <w:top w:val="single" w:sz="8" w:space="0" w:color="000000"/>
              <w:left w:val="nil"/>
              <w:bottom w:val="nil"/>
              <w:right w:val="single" w:sz="8" w:space="0" w:color="000000"/>
            </w:tcBorders>
            <w:shd w:val="clear" w:color="000000" w:fill="8EB4E3"/>
            <w:hideMark/>
          </w:tcPr>
          <w:p w:rsidR="001318A5" w:rsidRPr="003F0A11" w:rsidRDefault="001318A5" w:rsidP="00577564">
            <w:pPr>
              <w:widowControl/>
              <w:autoSpaceDE/>
              <w:autoSpaceDN/>
              <w:adjustRightInd/>
              <w:jc w:val="center"/>
              <w:rPr>
                <w:rFonts w:ascii="Arial" w:hAnsi="Arial" w:cs="Arial"/>
                <w:b/>
                <w:bCs/>
                <w:color w:val="000000"/>
              </w:rPr>
            </w:pPr>
            <w:r w:rsidRPr="003F0A11">
              <w:rPr>
                <w:rFonts w:ascii="Arial" w:hAnsi="Arial" w:cs="Arial"/>
                <w:b/>
                <w:bCs/>
                <w:color w:val="000000"/>
              </w:rPr>
              <w:t>Annual Budget        £m</w:t>
            </w:r>
          </w:p>
        </w:tc>
        <w:tc>
          <w:tcPr>
            <w:tcW w:w="1100" w:type="dxa"/>
            <w:tcBorders>
              <w:top w:val="single" w:sz="8" w:space="0" w:color="000000"/>
              <w:left w:val="nil"/>
              <w:bottom w:val="nil"/>
              <w:right w:val="single" w:sz="8" w:space="0" w:color="000000"/>
            </w:tcBorders>
            <w:shd w:val="clear" w:color="000000" w:fill="8EB4E3"/>
            <w:hideMark/>
          </w:tcPr>
          <w:p w:rsidR="001318A5" w:rsidRPr="003F0A11" w:rsidRDefault="001318A5" w:rsidP="00577564">
            <w:pPr>
              <w:widowControl/>
              <w:autoSpaceDE/>
              <w:autoSpaceDN/>
              <w:adjustRightInd/>
              <w:jc w:val="center"/>
              <w:rPr>
                <w:rFonts w:ascii="Arial" w:hAnsi="Arial" w:cs="Arial"/>
                <w:b/>
                <w:bCs/>
                <w:color w:val="000000"/>
              </w:rPr>
            </w:pPr>
            <w:r w:rsidRPr="003F0A11">
              <w:rPr>
                <w:rFonts w:ascii="Arial" w:hAnsi="Arial" w:cs="Arial"/>
                <w:b/>
                <w:bCs/>
                <w:color w:val="000000"/>
              </w:rPr>
              <w:t>YTD Budget  £m</w:t>
            </w:r>
          </w:p>
        </w:tc>
        <w:tc>
          <w:tcPr>
            <w:tcW w:w="1100" w:type="dxa"/>
            <w:tcBorders>
              <w:top w:val="single" w:sz="8" w:space="0" w:color="000000"/>
              <w:left w:val="nil"/>
              <w:bottom w:val="nil"/>
              <w:right w:val="single" w:sz="8" w:space="0" w:color="000000"/>
            </w:tcBorders>
            <w:shd w:val="clear" w:color="000000" w:fill="8EB4E3"/>
            <w:hideMark/>
          </w:tcPr>
          <w:p w:rsidR="001318A5" w:rsidRPr="003F0A11" w:rsidRDefault="001318A5" w:rsidP="00577564">
            <w:pPr>
              <w:widowControl/>
              <w:autoSpaceDE/>
              <w:autoSpaceDN/>
              <w:adjustRightInd/>
              <w:jc w:val="center"/>
              <w:rPr>
                <w:rFonts w:ascii="Arial" w:hAnsi="Arial" w:cs="Arial"/>
                <w:b/>
                <w:bCs/>
                <w:color w:val="000000"/>
              </w:rPr>
            </w:pPr>
            <w:r w:rsidRPr="003F0A11">
              <w:rPr>
                <w:rFonts w:ascii="Arial" w:hAnsi="Arial" w:cs="Arial"/>
                <w:b/>
                <w:bCs/>
                <w:color w:val="000000"/>
              </w:rPr>
              <w:t>YTD Actuals  £m</w:t>
            </w:r>
          </w:p>
        </w:tc>
        <w:tc>
          <w:tcPr>
            <w:tcW w:w="1134" w:type="dxa"/>
            <w:tcBorders>
              <w:top w:val="single" w:sz="8" w:space="0" w:color="000000"/>
              <w:left w:val="nil"/>
              <w:bottom w:val="nil"/>
              <w:right w:val="single" w:sz="8" w:space="0" w:color="000000"/>
            </w:tcBorders>
            <w:shd w:val="clear" w:color="000000" w:fill="8EB4E3"/>
            <w:hideMark/>
          </w:tcPr>
          <w:p w:rsidR="001318A5" w:rsidRPr="003F0A11" w:rsidRDefault="001318A5" w:rsidP="00577564">
            <w:pPr>
              <w:widowControl/>
              <w:autoSpaceDE/>
              <w:autoSpaceDN/>
              <w:adjustRightInd/>
              <w:jc w:val="center"/>
              <w:rPr>
                <w:rFonts w:ascii="Arial" w:hAnsi="Arial" w:cs="Arial"/>
                <w:b/>
                <w:bCs/>
                <w:color w:val="000000"/>
              </w:rPr>
            </w:pPr>
            <w:r w:rsidRPr="003F0A11">
              <w:rPr>
                <w:rFonts w:ascii="Arial" w:hAnsi="Arial" w:cs="Arial"/>
                <w:b/>
                <w:bCs/>
                <w:color w:val="000000"/>
              </w:rPr>
              <w:t>YTD Variance  £m</w:t>
            </w:r>
          </w:p>
        </w:tc>
        <w:tc>
          <w:tcPr>
            <w:tcW w:w="1134" w:type="dxa"/>
            <w:tcBorders>
              <w:top w:val="single" w:sz="8" w:space="0" w:color="000000"/>
              <w:left w:val="nil"/>
              <w:bottom w:val="nil"/>
              <w:right w:val="single" w:sz="8" w:space="0" w:color="000000"/>
            </w:tcBorders>
            <w:shd w:val="clear" w:color="000000" w:fill="8EB4E3"/>
            <w:hideMark/>
          </w:tcPr>
          <w:p w:rsidR="001318A5" w:rsidRPr="003F0A11" w:rsidRDefault="001318A5" w:rsidP="00577564">
            <w:pPr>
              <w:widowControl/>
              <w:autoSpaceDE/>
              <w:autoSpaceDN/>
              <w:adjustRightInd/>
              <w:jc w:val="center"/>
              <w:rPr>
                <w:rFonts w:ascii="Arial" w:hAnsi="Arial" w:cs="Arial"/>
                <w:b/>
                <w:bCs/>
                <w:color w:val="000000"/>
              </w:rPr>
            </w:pPr>
            <w:r w:rsidRPr="003F0A11">
              <w:rPr>
                <w:rFonts w:ascii="Arial" w:hAnsi="Arial" w:cs="Arial"/>
                <w:b/>
                <w:bCs/>
                <w:color w:val="000000"/>
              </w:rPr>
              <w:t>Year End Forecast Budget  £m</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i/>
                <w:iCs/>
                <w:color w:val="000000"/>
              </w:rPr>
            </w:pPr>
            <w:r w:rsidRPr="003F0A11">
              <w:rPr>
                <w:rFonts w:ascii="Arial" w:hAnsi="Arial" w:cs="Arial"/>
                <w:b/>
                <w:bCs/>
                <w:i/>
                <w:iCs/>
                <w:color w:val="000000"/>
              </w:rPr>
              <w:t>Surgical Directorate</w:t>
            </w:r>
          </w:p>
        </w:tc>
        <w:tc>
          <w:tcPr>
            <w:tcW w:w="1540" w:type="dxa"/>
            <w:tcBorders>
              <w:top w:val="single" w:sz="8" w:space="0" w:color="000000"/>
              <w:left w:val="nil"/>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 </w:t>
            </w:r>
          </w:p>
        </w:tc>
        <w:tc>
          <w:tcPr>
            <w:tcW w:w="1100" w:type="dxa"/>
            <w:tcBorders>
              <w:top w:val="single" w:sz="8" w:space="0" w:color="000000"/>
              <w:left w:val="nil"/>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 </w:t>
            </w:r>
          </w:p>
        </w:tc>
        <w:tc>
          <w:tcPr>
            <w:tcW w:w="1100" w:type="dxa"/>
            <w:tcBorders>
              <w:top w:val="single" w:sz="8" w:space="0" w:color="000000"/>
              <w:left w:val="nil"/>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 </w:t>
            </w:r>
          </w:p>
        </w:tc>
        <w:tc>
          <w:tcPr>
            <w:tcW w:w="1134" w:type="dxa"/>
            <w:tcBorders>
              <w:top w:val="single" w:sz="8" w:space="0" w:color="000000"/>
              <w:left w:val="nil"/>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jc w:val="right"/>
              <w:rPr>
                <w:rFonts w:ascii="Arial" w:hAnsi="Arial" w:cs="Arial"/>
                <w:color w:val="FF0000"/>
              </w:rPr>
            </w:pPr>
            <w:r w:rsidRPr="003F0A11">
              <w:rPr>
                <w:rFonts w:ascii="Arial" w:hAnsi="Arial" w:cs="Arial"/>
                <w:color w:val="FF0000"/>
              </w:rPr>
              <w:t> </w:t>
            </w:r>
          </w:p>
        </w:tc>
        <w:tc>
          <w:tcPr>
            <w:tcW w:w="1134" w:type="dxa"/>
            <w:tcBorders>
              <w:top w:val="single" w:sz="8" w:space="0" w:color="000000"/>
              <w:left w:val="nil"/>
              <w:bottom w:val="single" w:sz="8" w:space="0" w:color="000000"/>
              <w:right w:val="single" w:sz="8" w:space="0" w:color="000000"/>
            </w:tcBorders>
            <w:shd w:val="clear" w:color="auto" w:fill="auto"/>
            <w:hideMark/>
          </w:tcPr>
          <w:p w:rsidR="001318A5" w:rsidRPr="003F0A11" w:rsidRDefault="001318A5" w:rsidP="00577564">
            <w:pPr>
              <w:widowControl/>
              <w:autoSpaceDE/>
              <w:autoSpaceDN/>
              <w:adjustRightInd/>
              <w:jc w:val="right"/>
              <w:rPr>
                <w:rFonts w:ascii="Arial" w:hAnsi="Arial" w:cs="Arial"/>
                <w:color w:val="FF0000"/>
              </w:rPr>
            </w:pPr>
            <w:r w:rsidRPr="003F0A11">
              <w:rPr>
                <w:rFonts w:ascii="Arial" w:hAnsi="Arial" w:cs="Arial"/>
                <w:color w:val="FF0000"/>
              </w:rPr>
              <w:t> </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Pay -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43,524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7,252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7,413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FF0000"/>
              </w:rPr>
            </w:pPr>
            <w:r w:rsidRPr="003F0A11">
              <w:rPr>
                <w:rFonts w:ascii="Arial" w:hAnsi="Arial" w:cs="Arial"/>
                <w:color w:val="FF0000"/>
              </w:rPr>
              <w:t>(161)</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43,524</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Pay - Non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1,581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2,263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267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FF0000"/>
              </w:rPr>
              <w:t>(4)</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1,581</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Supplies -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16,844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2,807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2,925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FF0000"/>
              </w:rPr>
              <w:t>(17)</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16,844</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Supplies - Non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FF0000"/>
              </w:rPr>
            </w:pPr>
            <w:r w:rsidRPr="003F0A11">
              <w:rPr>
                <w:rFonts w:ascii="Arial" w:hAnsi="Arial" w:cs="Arial"/>
                <w:color w:val="FF0000"/>
              </w:rPr>
              <w:t>(230)</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FF0000"/>
              </w:rPr>
            </w:pPr>
            <w:r w:rsidRPr="003F0A11">
              <w:rPr>
                <w:rFonts w:ascii="Arial" w:hAnsi="Arial" w:cs="Arial"/>
                <w:color w:val="FF0000"/>
              </w:rPr>
              <w:t>(37)</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rPr>
            </w:pPr>
            <w:r w:rsidRPr="003F0A11">
              <w:rPr>
                <w:rFonts w:ascii="Arial" w:hAnsi="Arial" w:cs="Arial"/>
              </w:rPr>
              <w:t>407</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FF0000"/>
              </w:rPr>
            </w:pPr>
            <w:r w:rsidRPr="003F0A11">
              <w:rPr>
                <w:rFonts w:ascii="Arial" w:hAnsi="Arial" w:cs="Arial"/>
                <w:color w:val="FF0000"/>
              </w:rPr>
              <w:t>(444)</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FF0000"/>
              </w:rPr>
            </w:pPr>
            <w:r w:rsidRPr="003F0A11">
              <w:rPr>
                <w:rFonts w:ascii="Arial" w:hAnsi="Arial" w:cs="Arial"/>
                <w:color w:val="FF0000"/>
              </w:rPr>
              <w:t>(230)</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b/>
                <w:bCs/>
                <w:i/>
                <w:iCs/>
                <w:color w:val="000000"/>
              </w:rPr>
            </w:pPr>
            <w:r w:rsidRPr="003F0A11">
              <w:rPr>
                <w:rFonts w:ascii="Arial" w:hAnsi="Arial" w:cs="Arial"/>
                <w:b/>
                <w:bCs/>
                <w:i/>
                <w:iCs/>
                <w:color w:val="000000"/>
              </w:rPr>
              <w:t>Total Surgical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61,720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10,285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11,012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b/>
                <w:bCs/>
                <w:color w:val="FF0000"/>
              </w:rPr>
            </w:pPr>
            <w:r w:rsidRPr="003F0A11">
              <w:rPr>
                <w:rFonts w:ascii="Arial" w:hAnsi="Arial" w:cs="Arial"/>
                <w:b/>
                <w:bCs/>
                <w:color w:val="FF0000"/>
              </w:rPr>
              <w:t>(726)</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b/>
                <w:bCs/>
                <w:color w:val="000000"/>
              </w:rPr>
            </w:pPr>
            <w:r w:rsidRPr="003F0A11">
              <w:rPr>
                <w:rFonts w:ascii="Arial" w:hAnsi="Arial" w:cs="Arial"/>
                <w:b/>
                <w:bCs/>
                <w:color w:val="000000"/>
              </w:rPr>
              <w:t>61,720</w:t>
            </w:r>
          </w:p>
        </w:tc>
      </w:tr>
      <w:tr w:rsidR="001318A5" w:rsidRPr="003F0A11" w:rsidTr="001318A5">
        <w:trPr>
          <w:trHeight w:val="210"/>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 </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b/>
                <w:bCs/>
                <w:i/>
                <w:iCs/>
                <w:color w:val="000000"/>
              </w:rPr>
            </w:pPr>
            <w:r w:rsidRPr="003F0A11">
              <w:rPr>
                <w:rFonts w:ascii="Arial" w:hAnsi="Arial" w:cs="Arial"/>
                <w:b/>
                <w:bCs/>
                <w:i/>
                <w:iCs/>
                <w:color w:val="000000"/>
              </w:rPr>
              <w:t>Regional &amp; National Medical Directorate</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 </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Pay -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20,103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3,350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4,130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FF0000"/>
              </w:rPr>
            </w:pPr>
            <w:r w:rsidRPr="003F0A11">
              <w:rPr>
                <w:rFonts w:ascii="Arial" w:hAnsi="Arial" w:cs="Arial"/>
                <w:color w:val="FF0000"/>
              </w:rPr>
              <w:t>(779)</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20,103</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Pay - Non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1,054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176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175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rPr>
            </w:pPr>
            <w:r w:rsidRPr="003F0A11">
              <w:rPr>
                <w:rFonts w:ascii="Arial" w:hAnsi="Arial" w:cs="Arial"/>
              </w:rPr>
              <w:t>1</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1,054</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Supplies -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8,809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1,468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1,459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rPr>
            </w:pPr>
            <w:r w:rsidRPr="003F0A11">
              <w:rPr>
                <w:rFonts w:ascii="Arial" w:hAnsi="Arial" w:cs="Arial"/>
              </w:rPr>
              <w:t>9</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8,809</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Supplies - Non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2,037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355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331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23</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2,037</w:t>
            </w:r>
          </w:p>
        </w:tc>
      </w:tr>
      <w:tr w:rsidR="001318A5" w:rsidRPr="003F0A11" w:rsidTr="001318A5">
        <w:trPr>
          <w:trHeight w:val="600"/>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b/>
                <w:bCs/>
                <w:i/>
                <w:iCs/>
                <w:color w:val="000000"/>
              </w:rPr>
            </w:pPr>
            <w:r w:rsidRPr="003F0A11">
              <w:rPr>
                <w:rFonts w:ascii="Arial" w:hAnsi="Arial" w:cs="Arial"/>
                <w:b/>
                <w:bCs/>
                <w:i/>
                <w:iCs/>
                <w:color w:val="000000"/>
              </w:rPr>
              <w:t>Total Regional &amp; National Medical Directorate</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32,003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5,349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6,095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b/>
                <w:bCs/>
                <w:color w:val="FF0000"/>
              </w:rPr>
            </w:pPr>
            <w:r w:rsidRPr="003F0A11">
              <w:rPr>
                <w:rFonts w:ascii="Arial" w:hAnsi="Arial" w:cs="Arial"/>
                <w:b/>
                <w:bCs/>
                <w:color w:val="FF0000"/>
              </w:rPr>
              <w:t>(746)</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b/>
                <w:bCs/>
                <w:color w:val="000000"/>
              </w:rPr>
            </w:pPr>
            <w:r w:rsidRPr="003F0A11">
              <w:rPr>
                <w:rFonts w:ascii="Arial" w:hAnsi="Arial" w:cs="Arial"/>
                <w:b/>
                <w:bCs/>
                <w:color w:val="000000"/>
              </w:rPr>
              <w:t>32,003</w:t>
            </w:r>
          </w:p>
        </w:tc>
      </w:tr>
      <w:tr w:rsidR="001318A5" w:rsidRPr="003F0A11" w:rsidTr="001318A5">
        <w:trPr>
          <w:trHeight w:val="195"/>
        </w:trPr>
        <w:tc>
          <w:tcPr>
            <w:tcW w:w="4800" w:type="dxa"/>
            <w:tcBorders>
              <w:top w:val="nil"/>
              <w:left w:val="single" w:sz="8" w:space="0" w:color="000000"/>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 </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i/>
                <w:iCs/>
                <w:color w:val="000000"/>
              </w:rPr>
            </w:pPr>
            <w:r w:rsidRPr="003F0A11">
              <w:rPr>
                <w:rFonts w:ascii="Arial" w:hAnsi="Arial" w:cs="Arial"/>
                <w:b/>
                <w:bCs/>
                <w:i/>
                <w:iCs/>
                <w:color w:val="000000"/>
              </w:rPr>
              <w:t>Corporate</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hideMark/>
          </w:tcPr>
          <w:p w:rsidR="001318A5" w:rsidRPr="003F0A11" w:rsidRDefault="001318A5" w:rsidP="00577564">
            <w:pPr>
              <w:widowControl/>
              <w:autoSpaceDE/>
              <w:autoSpaceDN/>
              <w:adjustRightInd/>
              <w:jc w:val="right"/>
              <w:rPr>
                <w:rFonts w:ascii="Arial" w:hAnsi="Arial" w:cs="Arial"/>
                <w:b/>
                <w:bCs/>
                <w:color w:val="000000"/>
              </w:rPr>
            </w:pPr>
            <w:r w:rsidRPr="003F0A11">
              <w:rPr>
                <w:rFonts w:ascii="Arial" w:hAnsi="Arial" w:cs="Arial"/>
                <w:b/>
                <w:bCs/>
                <w:color w:val="000000"/>
              </w:rPr>
              <w:t> </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Pay -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1,268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211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454</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FF0000"/>
              </w:rPr>
              <w:t>(243)</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1,268</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Pay - Non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12,625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2,104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2,394</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FF0000"/>
              </w:rPr>
              <w:t>(289)</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12,625</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Supplies -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61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10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5</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5</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61</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Supplies - Non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32,901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4,691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1,638</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3,053</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32,901</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b/>
                <w:bCs/>
                <w:i/>
                <w:iCs/>
                <w:color w:val="000000"/>
              </w:rPr>
            </w:pPr>
            <w:r w:rsidRPr="003F0A11">
              <w:rPr>
                <w:rFonts w:ascii="Arial" w:hAnsi="Arial" w:cs="Arial"/>
                <w:b/>
                <w:bCs/>
                <w:i/>
                <w:iCs/>
                <w:color w:val="000000"/>
              </w:rPr>
              <w:t>Total Corporate</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46,855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7,016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b/>
                <w:bCs/>
                <w:color w:val="000000"/>
              </w:rPr>
            </w:pPr>
            <w:r w:rsidRPr="003F0A11">
              <w:rPr>
                <w:rFonts w:ascii="Arial" w:hAnsi="Arial" w:cs="Arial"/>
                <w:b/>
                <w:bCs/>
                <w:color w:val="000000"/>
              </w:rPr>
              <w:t>4,491</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b/>
                <w:bCs/>
                <w:color w:val="000000"/>
              </w:rPr>
            </w:pPr>
            <w:r w:rsidRPr="003F0A11">
              <w:rPr>
                <w:rFonts w:ascii="Arial" w:hAnsi="Arial" w:cs="Arial"/>
                <w:b/>
                <w:bCs/>
                <w:color w:val="000000"/>
              </w:rPr>
              <w:t>2,526</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b/>
                <w:bCs/>
                <w:color w:val="000000"/>
              </w:rPr>
            </w:pPr>
            <w:r w:rsidRPr="003F0A11">
              <w:rPr>
                <w:rFonts w:ascii="Arial" w:hAnsi="Arial" w:cs="Arial"/>
                <w:b/>
                <w:bCs/>
                <w:color w:val="000000"/>
              </w:rPr>
              <w:t>46,855</w:t>
            </w:r>
          </w:p>
        </w:tc>
      </w:tr>
      <w:tr w:rsidR="001318A5" w:rsidRPr="003F0A11" w:rsidTr="001318A5">
        <w:trPr>
          <w:trHeight w:val="19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 </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b/>
                <w:bCs/>
                <w:i/>
                <w:iCs/>
                <w:color w:val="000000"/>
              </w:rPr>
            </w:pPr>
            <w:r w:rsidRPr="003F0A11">
              <w:rPr>
                <w:rFonts w:ascii="Arial" w:hAnsi="Arial" w:cs="Arial"/>
                <w:b/>
                <w:bCs/>
                <w:i/>
                <w:iCs/>
                <w:color w:val="000000"/>
              </w:rPr>
              <w:t>Hotel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 </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Pay – Non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3,130</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520</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534</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FF0000"/>
              </w:rPr>
              <w:t>(14)</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3,053</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Supplies – Non  Clinical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1,884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309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299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color w:val="000000"/>
              </w:rPr>
            </w:pPr>
            <w:r w:rsidRPr="003F0A11">
              <w:rPr>
                <w:rFonts w:ascii="Arial" w:hAnsi="Arial" w:cs="Arial"/>
                <w:color w:val="000000"/>
              </w:rPr>
              <w:t xml:space="preserve">              9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xml:space="preserve">      1,893 </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b/>
                <w:bCs/>
                <w:i/>
                <w:iCs/>
                <w:color w:val="000000"/>
              </w:rPr>
            </w:pPr>
            <w:r w:rsidRPr="003F0A11">
              <w:rPr>
                <w:rFonts w:ascii="Arial" w:hAnsi="Arial" w:cs="Arial"/>
                <w:b/>
                <w:bCs/>
                <w:i/>
                <w:iCs/>
                <w:color w:val="000000"/>
              </w:rPr>
              <w:t>Total Hotel</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5,014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829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833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jc w:val="right"/>
              <w:rPr>
                <w:rFonts w:ascii="Arial" w:hAnsi="Arial" w:cs="Arial"/>
                <w:b/>
                <w:bCs/>
                <w:color w:val="FF0000"/>
              </w:rPr>
            </w:pPr>
            <w:r w:rsidRPr="003F0A11">
              <w:rPr>
                <w:rFonts w:ascii="Arial" w:hAnsi="Arial" w:cs="Arial"/>
                <w:b/>
                <w:bCs/>
                <w:color w:val="FF0000"/>
              </w:rPr>
              <w:t>(5)</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4,946 </w:t>
            </w:r>
          </w:p>
        </w:tc>
      </w:tr>
      <w:tr w:rsidR="001318A5" w:rsidRPr="003F0A11" w:rsidTr="001318A5">
        <w:trPr>
          <w:trHeight w:val="210"/>
        </w:trPr>
        <w:tc>
          <w:tcPr>
            <w:tcW w:w="4800" w:type="dxa"/>
            <w:tcBorders>
              <w:top w:val="nil"/>
              <w:left w:val="single" w:sz="8" w:space="0" w:color="000000"/>
              <w:bottom w:val="single" w:sz="8" w:space="0" w:color="000000"/>
              <w:right w:val="single" w:sz="8" w:space="0" w:color="000000"/>
            </w:tcBorders>
            <w:shd w:val="clear" w:color="auto" w:fill="auto"/>
            <w:vAlign w:val="bottom"/>
            <w:hideMark/>
          </w:tcPr>
          <w:p w:rsidR="001318A5" w:rsidRPr="003F0A11" w:rsidRDefault="001318A5" w:rsidP="00577564">
            <w:pPr>
              <w:widowControl/>
              <w:autoSpaceDE/>
              <w:autoSpaceDN/>
              <w:adjustRightInd/>
              <w:rPr>
                <w:rFonts w:ascii="Arial" w:hAnsi="Arial" w:cs="Arial"/>
                <w:b/>
                <w:bCs/>
                <w:i/>
                <w:iCs/>
                <w:color w:val="000000"/>
              </w:rPr>
            </w:pPr>
            <w:r w:rsidRPr="003F0A11">
              <w:rPr>
                <w:rFonts w:ascii="Arial" w:hAnsi="Arial" w:cs="Arial"/>
                <w:b/>
                <w:bCs/>
                <w:i/>
                <w:iCs/>
                <w:color w:val="000000"/>
              </w:rPr>
              <w:t> </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color w:val="000000"/>
              </w:rPr>
            </w:pPr>
            <w:r w:rsidRPr="003F0A11">
              <w:rPr>
                <w:rFonts w:ascii="Arial" w:hAnsi="Arial" w:cs="Arial"/>
                <w:color w:val="000000"/>
              </w:rPr>
              <w:t> </w:t>
            </w:r>
          </w:p>
        </w:tc>
        <w:tc>
          <w:tcPr>
            <w:tcW w:w="1134" w:type="dxa"/>
            <w:tcBorders>
              <w:top w:val="nil"/>
              <w:left w:val="nil"/>
              <w:bottom w:val="single" w:sz="8" w:space="0" w:color="000000"/>
              <w:right w:val="single" w:sz="8" w:space="0" w:color="000000"/>
            </w:tcBorders>
            <w:shd w:val="clear" w:color="auto" w:fill="auto"/>
            <w:hideMark/>
          </w:tcPr>
          <w:p w:rsidR="001318A5" w:rsidRPr="003F0A11" w:rsidRDefault="001318A5" w:rsidP="00577564">
            <w:pPr>
              <w:widowControl/>
              <w:autoSpaceDE/>
              <w:autoSpaceDN/>
              <w:adjustRightInd/>
              <w:jc w:val="right"/>
              <w:rPr>
                <w:rFonts w:ascii="Arial" w:hAnsi="Arial" w:cs="Arial"/>
                <w:b/>
                <w:bCs/>
                <w:color w:val="000000"/>
              </w:rPr>
            </w:pPr>
            <w:r w:rsidRPr="003F0A11">
              <w:rPr>
                <w:rFonts w:ascii="Arial" w:hAnsi="Arial" w:cs="Arial"/>
                <w:b/>
                <w:bCs/>
                <w:color w:val="000000"/>
              </w:rPr>
              <w:t> </w:t>
            </w:r>
          </w:p>
        </w:tc>
      </w:tr>
      <w:tr w:rsidR="001318A5" w:rsidRPr="003F0A11" w:rsidTr="001318A5">
        <w:trPr>
          <w:trHeight w:val="315"/>
        </w:trPr>
        <w:tc>
          <w:tcPr>
            <w:tcW w:w="4800" w:type="dxa"/>
            <w:tcBorders>
              <w:top w:val="nil"/>
              <w:left w:val="single" w:sz="8" w:space="0" w:color="000000"/>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i/>
                <w:iCs/>
                <w:color w:val="000000"/>
              </w:rPr>
            </w:pPr>
            <w:r w:rsidRPr="003F0A11">
              <w:rPr>
                <w:rFonts w:ascii="Arial" w:hAnsi="Arial" w:cs="Arial"/>
                <w:b/>
                <w:bCs/>
                <w:i/>
                <w:iCs/>
                <w:color w:val="000000"/>
              </w:rPr>
              <w:t>Total Core Expenditure</w:t>
            </w:r>
          </w:p>
        </w:tc>
        <w:tc>
          <w:tcPr>
            <w:tcW w:w="154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145,593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23,480 </w:t>
            </w:r>
          </w:p>
        </w:tc>
        <w:tc>
          <w:tcPr>
            <w:tcW w:w="1100"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22,431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932501" w:rsidP="00577564">
            <w:pPr>
              <w:widowControl/>
              <w:autoSpaceDE/>
              <w:autoSpaceDN/>
              <w:adjustRightInd/>
              <w:jc w:val="right"/>
              <w:rPr>
                <w:rFonts w:ascii="Arial" w:hAnsi="Arial" w:cs="Arial"/>
                <w:b/>
                <w:bCs/>
                <w:color w:val="000000"/>
              </w:rPr>
            </w:pPr>
            <w:r>
              <w:rPr>
                <w:rFonts w:ascii="Arial" w:hAnsi="Arial" w:cs="Arial"/>
                <w:b/>
                <w:bCs/>
                <w:color w:val="000000"/>
              </w:rPr>
              <w:t xml:space="preserve">     </w:t>
            </w:r>
            <w:r w:rsidR="001318A5" w:rsidRPr="003F0A11">
              <w:rPr>
                <w:rFonts w:ascii="Arial" w:hAnsi="Arial" w:cs="Arial"/>
                <w:b/>
                <w:bCs/>
                <w:color w:val="000000"/>
              </w:rPr>
              <w:t xml:space="preserve">1,049 </w:t>
            </w:r>
          </w:p>
        </w:tc>
        <w:tc>
          <w:tcPr>
            <w:tcW w:w="1134" w:type="dxa"/>
            <w:tcBorders>
              <w:top w:val="nil"/>
              <w:left w:val="nil"/>
              <w:bottom w:val="single" w:sz="8" w:space="0" w:color="000000"/>
              <w:right w:val="single" w:sz="8" w:space="0" w:color="000000"/>
            </w:tcBorders>
            <w:shd w:val="clear" w:color="auto" w:fill="auto"/>
            <w:noWrap/>
            <w:vAlign w:val="bottom"/>
            <w:hideMark/>
          </w:tcPr>
          <w:p w:rsidR="001318A5" w:rsidRPr="003F0A11" w:rsidRDefault="001318A5" w:rsidP="00577564">
            <w:pPr>
              <w:widowControl/>
              <w:autoSpaceDE/>
              <w:autoSpaceDN/>
              <w:adjustRightInd/>
              <w:rPr>
                <w:rFonts w:ascii="Arial" w:hAnsi="Arial" w:cs="Arial"/>
                <w:b/>
                <w:bCs/>
                <w:color w:val="000000"/>
              </w:rPr>
            </w:pPr>
            <w:r w:rsidRPr="003F0A11">
              <w:rPr>
                <w:rFonts w:ascii="Arial" w:hAnsi="Arial" w:cs="Arial"/>
                <w:b/>
                <w:bCs/>
                <w:color w:val="000000"/>
              </w:rPr>
              <w:t xml:space="preserve">  145,593 </w:t>
            </w:r>
          </w:p>
        </w:tc>
      </w:tr>
    </w:tbl>
    <w:p w:rsidR="001318A5" w:rsidRPr="00F82701" w:rsidRDefault="001318A5" w:rsidP="001318A5">
      <w:pPr>
        <w:pStyle w:val="BodyText"/>
        <w:kinsoku w:val="0"/>
        <w:overflowPunct w:val="0"/>
        <w:rPr>
          <w:rFonts w:ascii="Arial" w:hAnsi="Arial" w:cs="Arial"/>
          <w:b/>
          <w:color w:val="0070C0"/>
          <w:sz w:val="24"/>
          <w:szCs w:val="24"/>
        </w:rPr>
      </w:pPr>
      <w:r w:rsidRPr="00F82701">
        <w:rPr>
          <w:rFonts w:ascii="Arial" w:hAnsi="Arial" w:cs="Arial"/>
          <w:b/>
          <w:color w:val="0070C0"/>
          <w:sz w:val="24"/>
          <w:szCs w:val="24"/>
        </w:rPr>
        <w:lastRenderedPageBreak/>
        <w:t>The key issues are:</w:t>
      </w:r>
    </w:p>
    <w:p w:rsidR="001318A5" w:rsidRPr="00F82701" w:rsidRDefault="001318A5" w:rsidP="001318A5">
      <w:pPr>
        <w:pStyle w:val="BodyText"/>
        <w:kinsoku w:val="0"/>
        <w:overflowPunct w:val="0"/>
        <w:rPr>
          <w:rFonts w:ascii="Arial" w:hAnsi="Arial" w:cs="Arial"/>
          <w:b/>
          <w:color w:val="0070C0"/>
          <w:sz w:val="24"/>
          <w:szCs w:val="24"/>
        </w:rPr>
      </w:pPr>
    </w:p>
    <w:p w:rsidR="001318A5" w:rsidRPr="00F82701" w:rsidRDefault="001318A5" w:rsidP="001318A5">
      <w:pPr>
        <w:pStyle w:val="BodyText"/>
        <w:kinsoku w:val="0"/>
        <w:overflowPunct w:val="0"/>
        <w:rPr>
          <w:rFonts w:ascii="Arial" w:hAnsi="Arial" w:cs="Arial"/>
          <w:b/>
          <w:color w:val="0070C0"/>
          <w:sz w:val="24"/>
          <w:szCs w:val="24"/>
        </w:rPr>
      </w:pPr>
      <w:r w:rsidRPr="00F82701">
        <w:rPr>
          <w:rFonts w:ascii="Arial" w:hAnsi="Arial" w:cs="Arial"/>
          <w:b/>
          <w:color w:val="0070C0"/>
          <w:sz w:val="24"/>
          <w:szCs w:val="24"/>
        </w:rPr>
        <w:t xml:space="preserve">Surgical Clinical </w:t>
      </w:r>
      <w:r>
        <w:rPr>
          <w:rFonts w:ascii="Arial" w:hAnsi="Arial" w:cs="Arial"/>
          <w:b/>
          <w:color w:val="0070C0"/>
          <w:sz w:val="24"/>
          <w:szCs w:val="24"/>
        </w:rPr>
        <w:t>–</w:t>
      </w:r>
      <w:r w:rsidRPr="00F82701">
        <w:rPr>
          <w:rFonts w:ascii="Arial" w:hAnsi="Arial" w:cs="Arial"/>
          <w:b/>
          <w:color w:val="0070C0"/>
          <w:sz w:val="24"/>
          <w:szCs w:val="24"/>
        </w:rPr>
        <w:t xml:space="preserve"> Pays</w:t>
      </w:r>
      <w:r>
        <w:rPr>
          <w:rFonts w:ascii="Arial" w:hAnsi="Arial" w:cs="Arial"/>
          <w:b/>
          <w:color w:val="0070C0"/>
          <w:sz w:val="24"/>
          <w:szCs w:val="24"/>
        </w:rPr>
        <w:t xml:space="preserve"> </w:t>
      </w:r>
      <w:r>
        <w:rPr>
          <w:rFonts w:ascii="Arial" w:hAnsi="Arial" w:cs="Arial"/>
          <w:b/>
          <w:color w:val="FF0000"/>
          <w:sz w:val="24"/>
          <w:szCs w:val="24"/>
        </w:rPr>
        <w:t>(£</w:t>
      </w:r>
      <w:r w:rsidR="0096632E">
        <w:rPr>
          <w:rFonts w:ascii="Arial" w:hAnsi="Arial" w:cs="Arial"/>
          <w:b/>
          <w:color w:val="FF0000"/>
          <w:sz w:val="24"/>
          <w:szCs w:val="24"/>
        </w:rPr>
        <w:t>0.</w:t>
      </w:r>
      <w:r>
        <w:rPr>
          <w:rFonts w:ascii="Arial" w:hAnsi="Arial" w:cs="Arial"/>
          <w:b/>
          <w:color w:val="FF0000"/>
          <w:sz w:val="24"/>
          <w:szCs w:val="24"/>
        </w:rPr>
        <w:t>161</w:t>
      </w:r>
      <w:r w:rsidR="0096632E">
        <w:rPr>
          <w:rFonts w:ascii="Arial" w:hAnsi="Arial" w:cs="Arial"/>
          <w:b/>
          <w:color w:val="FF0000"/>
          <w:sz w:val="24"/>
          <w:szCs w:val="24"/>
        </w:rPr>
        <w:t>m</w:t>
      </w:r>
      <w:r w:rsidRPr="00307DCE">
        <w:rPr>
          <w:rFonts w:ascii="Arial" w:hAnsi="Arial" w:cs="Arial"/>
          <w:b/>
          <w:color w:val="FF0000"/>
          <w:sz w:val="24"/>
          <w:szCs w:val="24"/>
        </w:rPr>
        <w:t>)</w:t>
      </w:r>
    </w:p>
    <w:p w:rsidR="001318A5" w:rsidRDefault="001318A5" w:rsidP="001318A5">
      <w:pPr>
        <w:pStyle w:val="BodyText"/>
        <w:kinsoku w:val="0"/>
        <w:overflowPunct w:val="0"/>
        <w:rPr>
          <w:rFonts w:ascii="Arial" w:hAnsi="Arial" w:cs="Arial"/>
          <w:b/>
          <w:i/>
          <w:sz w:val="24"/>
          <w:szCs w:val="24"/>
        </w:rPr>
      </w:pPr>
    </w:p>
    <w:p w:rsidR="001318A5" w:rsidRDefault="001318A5" w:rsidP="001318A5">
      <w:pPr>
        <w:pStyle w:val="BodyText"/>
        <w:kinsoku w:val="0"/>
        <w:overflowPunct w:val="0"/>
        <w:rPr>
          <w:rFonts w:ascii="Arial" w:hAnsi="Arial" w:cs="Arial"/>
          <w:b/>
          <w:i/>
          <w:sz w:val="24"/>
          <w:szCs w:val="24"/>
        </w:rPr>
      </w:pPr>
      <w:r w:rsidRPr="00BC550F">
        <w:rPr>
          <w:rFonts w:ascii="Arial" w:hAnsi="Arial" w:cs="Arial"/>
          <w:b/>
          <w:i/>
          <w:sz w:val="24"/>
          <w:szCs w:val="24"/>
        </w:rPr>
        <w:t>Medical Staffing</w:t>
      </w:r>
      <w:r>
        <w:rPr>
          <w:rFonts w:ascii="Arial" w:hAnsi="Arial" w:cs="Arial"/>
          <w:b/>
          <w:i/>
          <w:sz w:val="24"/>
          <w:szCs w:val="24"/>
        </w:rPr>
        <w:t xml:space="preserve"> – </w:t>
      </w:r>
      <w:r w:rsidRPr="00A43546">
        <w:rPr>
          <w:rFonts w:ascii="Arial" w:hAnsi="Arial" w:cs="Arial"/>
          <w:b/>
          <w:i/>
          <w:color w:val="FF0000"/>
          <w:sz w:val="24"/>
          <w:szCs w:val="24"/>
        </w:rPr>
        <w:t>(£</w:t>
      </w:r>
      <w:r w:rsidR="0096632E">
        <w:rPr>
          <w:rFonts w:ascii="Arial" w:hAnsi="Arial" w:cs="Arial"/>
          <w:b/>
          <w:i/>
          <w:color w:val="FF0000"/>
          <w:sz w:val="24"/>
          <w:szCs w:val="24"/>
        </w:rPr>
        <w:t>0.146m</w:t>
      </w:r>
      <w:r w:rsidRPr="00A43546">
        <w:rPr>
          <w:rFonts w:ascii="Arial" w:hAnsi="Arial" w:cs="Arial"/>
          <w:b/>
          <w:i/>
          <w:color w:val="FF0000"/>
          <w:sz w:val="24"/>
          <w:szCs w:val="24"/>
        </w:rPr>
        <w:t>)</w:t>
      </w:r>
      <w:r w:rsidRPr="00307DCE">
        <w:rPr>
          <w:rFonts w:ascii="Arial" w:hAnsi="Arial" w:cs="Arial"/>
          <w:b/>
          <w:i/>
          <w:color w:val="FF0000"/>
          <w:sz w:val="24"/>
          <w:szCs w:val="24"/>
        </w:rPr>
        <w:t xml:space="preserve"> </w:t>
      </w:r>
    </w:p>
    <w:p w:rsidR="001318A5" w:rsidRDefault="001318A5" w:rsidP="001318A5">
      <w:pPr>
        <w:pStyle w:val="BodyText"/>
        <w:numPr>
          <w:ilvl w:val="0"/>
          <w:numId w:val="11"/>
        </w:numPr>
        <w:kinsoku w:val="0"/>
        <w:overflowPunct w:val="0"/>
        <w:rPr>
          <w:rFonts w:ascii="Arial" w:hAnsi="Arial" w:cs="Arial"/>
          <w:sz w:val="24"/>
          <w:szCs w:val="24"/>
        </w:rPr>
      </w:pPr>
      <w:r w:rsidRPr="00BC550F">
        <w:rPr>
          <w:rFonts w:ascii="Arial" w:hAnsi="Arial" w:cs="Arial"/>
          <w:sz w:val="24"/>
          <w:szCs w:val="24"/>
        </w:rPr>
        <w:t>Junior Doctor’s net pressure associated with Agency Cover for vacancies within the</w:t>
      </w:r>
      <w:r>
        <w:rPr>
          <w:rFonts w:ascii="Arial" w:hAnsi="Arial" w:cs="Arial"/>
          <w:sz w:val="24"/>
          <w:szCs w:val="24"/>
        </w:rPr>
        <w:t xml:space="preserve"> Orthopaedic Divisional management team are progressing recruitment to minimise cost pressures.</w:t>
      </w:r>
    </w:p>
    <w:p w:rsidR="001318A5" w:rsidRDefault="001318A5" w:rsidP="001318A5">
      <w:pPr>
        <w:pStyle w:val="BodyText"/>
        <w:numPr>
          <w:ilvl w:val="0"/>
          <w:numId w:val="11"/>
        </w:numPr>
        <w:kinsoku w:val="0"/>
        <w:overflowPunct w:val="0"/>
        <w:rPr>
          <w:rFonts w:ascii="Arial" w:hAnsi="Arial" w:cs="Arial"/>
          <w:sz w:val="24"/>
          <w:szCs w:val="24"/>
        </w:rPr>
      </w:pPr>
      <w:r>
        <w:rPr>
          <w:rFonts w:ascii="Arial" w:hAnsi="Arial" w:cs="Arial"/>
          <w:sz w:val="24"/>
          <w:szCs w:val="24"/>
        </w:rPr>
        <w:t>Waiting list payments/sessions covering sickness absence, study leave and vacancies, most significantly Anaesthesia. Across Anaesthetics, Cardiac and Orthopaedic medical WLI there was an increase in May 2019 of £61k compared to April 2019.</w:t>
      </w:r>
    </w:p>
    <w:p w:rsidR="001318A5" w:rsidRDefault="001318A5" w:rsidP="001318A5">
      <w:pPr>
        <w:pStyle w:val="BodyText"/>
        <w:numPr>
          <w:ilvl w:val="0"/>
          <w:numId w:val="11"/>
        </w:numPr>
        <w:kinsoku w:val="0"/>
        <w:overflowPunct w:val="0"/>
        <w:rPr>
          <w:rFonts w:ascii="Arial" w:hAnsi="Arial" w:cs="Arial"/>
          <w:sz w:val="24"/>
          <w:szCs w:val="24"/>
        </w:rPr>
      </w:pPr>
      <w:r>
        <w:rPr>
          <w:rFonts w:ascii="Arial" w:hAnsi="Arial" w:cs="Arial"/>
          <w:sz w:val="24"/>
          <w:szCs w:val="24"/>
        </w:rPr>
        <w:t>Recurring Medical session costs worked on behalf of GG&amp;C, clinical lead in organ donation (CLOD) with anticipated funding due of. As this is first two month reporting income receipt not yet in place from relevant Heath Boards.</w:t>
      </w:r>
    </w:p>
    <w:p w:rsidR="001318A5" w:rsidRDefault="001318A5" w:rsidP="001318A5">
      <w:pPr>
        <w:pStyle w:val="BodyText"/>
        <w:numPr>
          <w:ilvl w:val="0"/>
          <w:numId w:val="11"/>
        </w:numPr>
        <w:kinsoku w:val="0"/>
        <w:overflowPunct w:val="0"/>
        <w:rPr>
          <w:rFonts w:ascii="Arial" w:hAnsi="Arial" w:cs="Arial"/>
          <w:sz w:val="24"/>
          <w:szCs w:val="24"/>
        </w:rPr>
      </w:pPr>
      <w:r>
        <w:rPr>
          <w:rFonts w:ascii="Arial" w:hAnsi="Arial" w:cs="Arial"/>
          <w:sz w:val="24"/>
          <w:szCs w:val="24"/>
        </w:rPr>
        <w:t>Surgical Division pressures are partly offset by an underspend within Ophthalmology &amp; Plastic Surgery reflecting £88k favourable variance, as in prior year this is a result of activity behind Plan.</w:t>
      </w:r>
    </w:p>
    <w:p w:rsidR="001318A5" w:rsidRDefault="001318A5" w:rsidP="001318A5">
      <w:pPr>
        <w:pStyle w:val="BodyText"/>
        <w:numPr>
          <w:ilvl w:val="0"/>
          <w:numId w:val="11"/>
        </w:numPr>
        <w:kinsoku w:val="0"/>
        <w:overflowPunct w:val="0"/>
        <w:jc w:val="both"/>
        <w:rPr>
          <w:rFonts w:ascii="Arial" w:hAnsi="Arial" w:cs="Arial"/>
          <w:sz w:val="24"/>
          <w:szCs w:val="24"/>
        </w:rPr>
      </w:pPr>
      <w:r>
        <w:rPr>
          <w:rFonts w:ascii="Arial" w:hAnsi="Arial" w:cs="Arial"/>
          <w:sz w:val="24"/>
          <w:szCs w:val="24"/>
        </w:rPr>
        <w:t>Additional Endoscopy and General Surgery activity continues with funding anticipated via RRL from Scottish Government</w:t>
      </w:r>
    </w:p>
    <w:p w:rsidR="001318A5" w:rsidRDefault="001318A5" w:rsidP="001318A5">
      <w:pPr>
        <w:pStyle w:val="BodyText"/>
        <w:numPr>
          <w:ilvl w:val="0"/>
          <w:numId w:val="11"/>
        </w:numPr>
        <w:kinsoku w:val="0"/>
        <w:overflowPunct w:val="0"/>
        <w:jc w:val="both"/>
        <w:rPr>
          <w:rFonts w:ascii="Arial" w:hAnsi="Arial" w:cs="Arial"/>
          <w:sz w:val="24"/>
          <w:szCs w:val="24"/>
        </w:rPr>
      </w:pPr>
      <w:r>
        <w:rPr>
          <w:rFonts w:ascii="Arial" w:hAnsi="Arial" w:cs="Arial"/>
          <w:sz w:val="24"/>
          <w:szCs w:val="24"/>
        </w:rPr>
        <w:t xml:space="preserve">The aim to reduce waiting list initiative payments is a continued focus on efficiency review discussions, Medical Management team meeting is still to take place but actions have been agreed to progress this.  </w:t>
      </w:r>
    </w:p>
    <w:p w:rsidR="001318A5" w:rsidRDefault="001318A5" w:rsidP="001318A5">
      <w:pPr>
        <w:pStyle w:val="BodyText"/>
        <w:kinsoku w:val="0"/>
        <w:overflowPunct w:val="0"/>
        <w:ind w:left="714"/>
        <w:jc w:val="both"/>
        <w:rPr>
          <w:rFonts w:ascii="Arial" w:hAnsi="Arial" w:cs="Arial"/>
          <w:sz w:val="24"/>
          <w:szCs w:val="24"/>
        </w:rPr>
      </w:pPr>
    </w:p>
    <w:p w:rsidR="001318A5" w:rsidRDefault="001318A5" w:rsidP="001318A5">
      <w:pPr>
        <w:pStyle w:val="BodyText"/>
        <w:kinsoku w:val="0"/>
        <w:overflowPunct w:val="0"/>
        <w:rPr>
          <w:rFonts w:ascii="Arial" w:hAnsi="Arial" w:cs="Arial"/>
          <w:b/>
          <w:sz w:val="24"/>
          <w:szCs w:val="24"/>
        </w:rPr>
      </w:pPr>
      <w:r w:rsidRPr="0052166A">
        <w:rPr>
          <w:rFonts w:ascii="Arial" w:hAnsi="Arial" w:cs="Arial"/>
          <w:b/>
          <w:sz w:val="24"/>
          <w:szCs w:val="24"/>
        </w:rPr>
        <w:t>Nursing Staff</w:t>
      </w:r>
      <w:r>
        <w:rPr>
          <w:rFonts w:ascii="Arial" w:hAnsi="Arial" w:cs="Arial"/>
          <w:b/>
          <w:sz w:val="24"/>
          <w:szCs w:val="24"/>
        </w:rPr>
        <w:t xml:space="preserve"> – </w:t>
      </w:r>
      <w:r w:rsidRPr="00A43546">
        <w:rPr>
          <w:rFonts w:ascii="Arial" w:hAnsi="Arial" w:cs="Arial"/>
          <w:b/>
          <w:sz w:val="24"/>
          <w:szCs w:val="24"/>
        </w:rPr>
        <w:t>£</w:t>
      </w:r>
      <w:r w:rsidR="0096632E">
        <w:rPr>
          <w:rFonts w:ascii="Arial" w:hAnsi="Arial" w:cs="Arial"/>
          <w:b/>
          <w:sz w:val="24"/>
          <w:szCs w:val="24"/>
        </w:rPr>
        <w:t>0.080m</w:t>
      </w:r>
    </w:p>
    <w:p w:rsidR="001318A5" w:rsidRPr="008433A4" w:rsidRDefault="001318A5" w:rsidP="001318A5">
      <w:pPr>
        <w:pStyle w:val="BodyText"/>
        <w:numPr>
          <w:ilvl w:val="0"/>
          <w:numId w:val="12"/>
        </w:numPr>
        <w:kinsoku w:val="0"/>
        <w:overflowPunct w:val="0"/>
        <w:jc w:val="both"/>
        <w:rPr>
          <w:rFonts w:ascii="Arial" w:hAnsi="Arial" w:cs="Arial"/>
          <w:b/>
          <w:sz w:val="24"/>
          <w:szCs w:val="24"/>
        </w:rPr>
      </w:pPr>
      <w:r>
        <w:rPr>
          <w:rFonts w:ascii="Arial" w:eastAsiaTheme="minorEastAsia" w:hAnsi="Arial" w:cs="Arial"/>
          <w:sz w:val="24"/>
          <w:szCs w:val="24"/>
        </w:rPr>
        <w:t>Superannuation budget not yet realised to Divisions as at month two despite this Surgical nursing reports a small favourable position as a result of Critical Care, Orthopaedic wards and Theatres.</w:t>
      </w:r>
    </w:p>
    <w:p w:rsidR="001318A5" w:rsidRPr="006C3405" w:rsidRDefault="001318A5" w:rsidP="001318A5">
      <w:pPr>
        <w:pStyle w:val="BodyText"/>
        <w:kinsoku w:val="0"/>
        <w:overflowPunct w:val="0"/>
        <w:ind w:left="714"/>
        <w:jc w:val="both"/>
        <w:rPr>
          <w:rFonts w:ascii="Arial" w:hAnsi="Arial" w:cs="Arial"/>
          <w:b/>
          <w:sz w:val="24"/>
          <w:szCs w:val="24"/>
        </w:rPr>
      </w:pPr>
    </w:p>
    <w:p w:rsidR="001318A5" w:rsidRDefault="001318A5" w:rsidP="001318A5">
      <w:pPr>
        <w:pStyle w:val="BodyText"/>
        <w:kinsoku w:val="0"/>
        <w:overflowPunct w:val="0"/>
        <w:rPr>
          <w:rFonts w:ascii="Arial" w:eastAsiaTheme="minorEastAsia" w:hAnsi="Arial" w:cs="Arial"/>
          <w:b/>
          <w:sz w:val="24"/>
          <w:szCs w:val="24"/>
        </w:rPr>
      </w:pPr>
      <w:r w:rsidRPr="006C3405">
        <w:rPr>
          <w:rFonts w:ascii="Arial" w:eastAsiaTheme="minorEastAsia" w:hAnsi="Arial" w:cs="Arial"/>
          <w:b/>
          <w:sz w:val="24"/>
          <w:szCs w:val="24"/>
        </w:rPr>
        <w:t>Clinical Support</w:t>
      </w:r>
      <w:r>
        <w:rPr>
          <w:rFonts w:ascii="Arial" w:eastAsiaTheme="minorEastAsia" w:hAnsi="Arial" w:cs="Arial"/>
          <w:b/>
          <w:sz w:val="24"/>
          <w:szCs w:val="24"/>
        </w:rPr>
        <w:t xml:space="preserve"> – </w:t>
      </w:r>
      <w:r w:rsidRPr="00A43546">
        <w:rPr>
          <w:rFonts w:ascii="Arial" w:eastAsiaTheme="minorEastAsia" w:hAnsi="Arial" w:cs="Arial"/>
          <w:b/>
          <w:color w:val="FF0000"/>
          <w:sz w:val="24"/>
          <w:szCs w:val="24"/>
        </w:rPr>
        <w:t>(£</w:t>
      </w:r>
      <w:r w:rsidR="0096632E">
        <w:rPr>
          <w:rFonts w:ascii="Arial" w:eastAsiaTheme="minorEastAsia" w:hAnsi="Arial" w:cs="Arial"/>
          <w:b/>
          <w:color w:val="FF0000"/>
          <w:sz w:val="24"/>
          <w:szCs w:val="24"/>
        </w:rPr>
        <w:t>0.095m</w:t>
      </w:r>
      <w:r w:rsidRPr="00A43546">
        <w:rPr>
          <w:rFonts w:ascii="Arial" w:eastAsiaTheme="minorEastAsia" w:hAnsi="Arial" w:cs="Arial"/>
          <w:b/>
          <w:color w:val="FF0000"/>
          <w:sz w:val="24"/>
          <w:szCs w:val="24"/>
        </w:rPr>
        <w:t>)</w:t>
      </w:r>
    </w:p>
    <w:p w:rsidR="001318A5" w:rsidRPr="008433A4" w:rsidRDefault="001318A5" w:rsidP="001318A5">
      <w:pPr>
        <w:pStyle w:val="BodyText"/>
        <w:numPr>
          <w:ilvl w:val="0"/>
          <w:numId w:val="13"/>
        </w:numPr>
        <w:kinsoku w:val="0"/>
        <w:overflowPunct w:val="0"/>
        <w:jc w:val="both"/>
        <w:rPr>
          <w:rFonts w:ascii="Arial" w:hAnsi="Arial" w:cs="Arial"/>
          <w:b/>
          <w:sz w:val="24"/>
          <w:szCs w:val="24"/>
        </w:rPr>
      </w:pPr>
      <w:r>
        <w:rPr>
          <w:rFonts w:ascii="Arial" w:eastAsiaTheme="minorEastAsia" w:hAnsi="Arial" w:cs="Arial"/>
          <w:sz w:val="24"/>
          <w:szCs w:val="24"/>
        </w:rPr>
        <w:t>Superannuation budget not yet realised to Divisions as at month two and therefore surgical clinical support reports a small pressure of (£47k) as a result of this but we will see an improvement on allocation on funding receipt.</w:t>
      </w:r>
    </w:p>
    <w:p w:rsidR="001318A5" w:rsidRPr="00AD7CC4" w:rsidRDefault="001318A5" w:rsidP="001318A5">
      <w:pPr>
        <w:numPr>
          <w:ilvl w:val="0"/>
          <w:numId w:val="13"/>
        </w:numPr>
        <w:jc w:val="both"/>
        <w:rPr>
          <w:rFonts w:ascii="Arial" w:eastAsiaTheme="minorEastAsia" w:hAnsi="Arial" w:cs="Arial"/>
          <w:sz w:val="24"/>
          <w:szCs w:val="24"/>
        </w:rPr>
      </w:pPr>
      <w:r w:rsidRPr="00AD7CC4">
        <w:rPr>
          <w:rFonts w:ascii="Arial" w:eastAsiaTheme="minorEastAsia" w:hAnsi="Arial" w:cs="Arial"/>
          <w:sz w:val="24"/>
          <w:szCs w:val="24"/>
        </w:rPr>
        <w:t>Theatres vacancies and new starts into nursing versus Operating Department Practitioners (ODP’s)</w:t>
      </w:r>
    </w:p>
    <w:p w:rsidR="001318A5" w:rsidRDefault="001318A5" w:rsidP="001318A5">
      <w:pPr>
        <w:pStyle w:val="BodyText"/>
        <w:numPr>
          <w:ilvl w:val="0"/>
          <w:numId w:val="13"/>
        </w:numPr>
        <w:kinsoku w:val="0"/>
        <w:overflowPunct w:val="0"/>
        <w:jc w:val="both"/>
        <w:rPr>
          <w:rFonts w:ascii="Arial" w:hAnsi="Arial" w:cs="Arial"/>
          <w:b/>
          <w:sz w:val="24"/>
          <w:szCs w:val="24"/>
        </w:rPr>
      </w:pPr>
      <w:r w:rsidRPr="00AD7CC4">
        <w:rPr>
          <w:rFonts w:ascii="Arial" w:eastAsiaTheme="minorEastAsia" w:hAnsi="Arial" w:cs="Arial"/>
          <w:sz w:val="24"/>
          <w:szCs w:val="24"/>
        </w:rPr>
        <w:t>Orthopaedic Physician Assistant vacancies (partly offset against medical agency noted in Orthopaedics above)</w:t>
      </w:r>
    </w:p>
    <w:p w:rsidR="001318A5" w:rsidRPr="00254480" w:rsidRDefault="001318A5" w:rsidP="001318A5">
      <w:pPr>
        <w:pStyle w:val="BodyText"/>
        <w:kinsoku w:val="0"/>
        <w:overflowPunct w:val="0"/>
        <w:jc w:val="both"/>
        <w:rPr>
          <w:rFonts w:ascii="Arial" w:hAnsi="Arial" w:cs="Arial"/>
          <w:b/>
          <w:sz w:val="24"/>
          <w:szCs w:val="24"/>
        </w:rPr>
      </w:pPr>
    </w:p>
    <w:p w:rsidR="001318A5" w:rsidRDefault="001318A5" w:rsidP="001318A5">
      <w:pPr>
        <w:pStyle w:val="BodyText"/>
        <w:kinsoku w:val="0"/>
        <w:overflowPunct w:val="0"/>
        <w:rPr>
          <w:rFonts w:ascii="Arial" w:hAnsi="Arial" w:cs="Arial"/>
          <w:b/>
          <w:color w:val="0070C0"/>
          <w:sz w:val="24"/>
          <w:szCs w:val="24"/>
        </w:rPr>
      </w:pPr>
      <w:r>
        <w:rPr>
          <w:rFonts w:ascii="Arial" w:hAnsi="Arial" w:cs="Arial"/>
          <w:b/>
          <w:color w:val="0070C0"/>
          <w:sz w:val="24"/>
          <w:szCs w:val="24"/>
        </w:rPr>
        <w:t xml:space="preserve">Surgical Non-Clinical Supplies – </w:t>
      </w:r>
      <w:r>
        <w:rPr>
          <w:rFonts w:ascii="Arial" w:hAnsi="Arial" w:cs="Arial"/>
          <w:b/>
          <w:color w:val="FF0000"/>
          <w:sz w:val="24"/>
          <w:szCs w:val="24"/>
        </w:rPr>
        <w:t>(£</w:t>
      </w:r>
      <w:r w:rsidR="0096632E">
        <w:rPr>
          <w:rFonts w:ascii="Arial" w:hAnsi="Arial" w:cs="Arial"/>
          <w:b/>
          <w:color w:val="FF0000"/>
          <w:sz w:val="24"/>
          <w:szCs w:val="24"/>
        </w:rPr>
        <w:t>0.</w:t>
      </w:r>
      <w:r>
        <w:rPr>
          <w:rFonts w:ascii="Arial" w:hAnsi="Arial" w:cs="Arial"/>
          <w:b/>
          <w:color w:val="FF0000"/>
          <w:sz w:val="24"/>
          <w:szCs w:val="24"/>
        </w:rPr>
        <w:t>444</w:t>
      </w:r>
      <w:r w:rsidR="0096632E">
        <w:rPr>
          <w:rFonts w:ascii="Arial" w:hAnsi="Arial" w:cs="Arial"/>
          <w:b/>
          <w:color w:val="FF0000"/>
          <w:sz w:val="24"/>
          <w:szCs w:val="24"/>
        </w:rPr>
        <w:t>m</w:t>
      </w:r>
      <w:r w:rsidRPr="00307DCE">
        <w:rPr>
          <w:rFonts w:ascii="Arial" w:hAnsi="Arial" w:cs="Arial"/>
          <w:b/>
          <w:color w:val="FF0000"/>
          <w:sz w:val="24"/>
          <w:szCs w:val="24"/>
        </w:rPr>
        <w:t>)</w:t>
      </w:r>
    </w:p>
    <w:p w:rsidR="001318A5" w:rsidRPr="00F82701" w:rsidRDefault="001318A5" w:rsidP="001318A5">
      <w:pPr>
        <w:pStyle w:val="BodyText"/>
        <w:kinsoku w:val="0"/>
        <w:overflowPunct w:val="0"/>
        <w:rPr>
          <w:rFonts w:ascii="Arial" w:hAnsi="Arial" w:cs="Arial"/>
          <w:b/>
          <w:color w:val="0070C0"/>
          <w:sz w:val="24"/>
          <w:szCs w:val="24"/>
        </w:rPr>
      </w:pPr>
    </w:p>
    <w:p w:rsidR="001318A5" w:rsidRDefault="001318A5" w:rsidP="001318A5">
      <w:pPr>
        <w:pStyle w:val="BodyText"/>
        <w:numPr>
          <w:ilvl w:val="0"/>
          <w:numId w:val="14"/>
        </w:numPr>
        <w:kinsoku w:val="0"/>
        <w:overflowPunct w:val="0"/>
        <w:rPr>
          <w:rFonts w:ascii="Arial" w:eastAsiaTheme="minorEastAsia" w:hAnsi="Arial" w:cs="Arial"/>
          <w:sz w:val="24"/>
          <w:szCs w:val="24"/>
        </w:rPr>
      </w:pPr>
      <w:r>
        <w:rPr>
          <w:rFonts w:ascii="Arial" w:eastAsiaTheme="minorEastAsia" w:hAnsi="Arial" w:cs="Arial"/>
          <w:sz w:val="24"/>
          <w:szCs w:val="24"/>
        </w:rPr>
        <w:t>This is driven by the Theatre recurring efficiency target held against efficiency account this will be re-aligned against actual surgical supplies savings heading as fully achieved in 2018/19 on final budget upload. This does not impact on the reported bottom line and is purely an efficiency target that requires transferred to the surgical supplies line under Clinical supplies where the efficiency has been realised.</w:t>
      </w:r>
    </w:p>
    <w:p w:rsidR="001318A5" w:rsidRDefault="001318A5" w:rsidP="001318A5">
      <w:pPr>
        <w:pStyle w:val="BodyText"/>
        <w:kinsoku w:val="0"/>
        <w:overflowPunct w:val="0"/>
        <w:rPr>
          <w:rFonts w:ascii="Arial" w:eastAsiaTheme="minorEastAsia" w:hAnsi="Arial" w:cs="Arial"/>
          <w:sz w:val="24"/>
          <w:szCs w:val="24"/>
        </w:rPr>
      </w:pPr>
    </w:p>
    <w:p w:rsidR="001318A5" w:rsidRPr="00315847" w:rsidRDefault="001318A5" w:rsidP="001318A5">
      <w:pPr>
        <w:rPr>
          <w:rFonts w:ascii="Arial" w:hAnsi="Arial" w:cs="Arial"/>
          <w:b/>
          <w:color w:val="FF0000"/>
          <w:sz w:val="24"/>
          <w:szCs w:val="24"/>
        </w:rPr>
      </w:pPr>
      <w:r w:rsidRPr="00F82701">
        <w:rPr>
          <w:rFonts w:ascii="Arial" w:hAnsi="Arial" w:cs="Arial"/>
          <w:b/>
          <w:color w:val="0070C0"/>
          <w:sz w:val="24"/>
          <w:szCs w:val="24"/>
        </w:rPr>
        <w:t>Regional &amp; National Medical Clinical Pays</w:t>
      </w:r>
      <w:r>
        <w:rPr>
          <w:rFonts w:ascii="Arial" w:hAnsi="Arial" w:cs="Arial"/>
          <w:b/>
          <w:color w:val="0070C0"/>
          <w:sz w:val="24"/>
          <w:szCs w:val="24"/>
        </w:rPr>
        <w:t xml:space="preserve"> – </w:t>
      </w:r>
      <w:r w:rsidRPr="00315847">
        <w:rPr>
          <w:rFonts w:ascii="Arial" w:hAnsi="Arial" w:cs="Arial"/>
          <w:b/>
          <w:color w:val="FF0000"/>
          <w:sz w:val="24"/>
          <w:szCs w:val="24"/>
        </w:rPr>
        <w:t>(£</w:t>
      </w:r>
      <w:r w:rsidR="0096632E">
        <w:rPr>
          <w:rFonts w:ascii="Arial" w:hAnsi="Arial" w:cs="Arial"/>
          <w:b/>
          <w:color w:val="FF0000"/>
          <w:sz w:val="24"/>
          <w:szCs w:val="24"/>
        </w:rPr>
        <w:t>0.</w:t>
      </w:r>
      <w:r>
        <w:rPr>
          <w:rFonts w:ascii="Arial" w:hAnsi="Arial" w:cs="Arial"/>
          <w:b/>
          <w:color w:val="FF0000"/>
          <w:sz w:val="24"/>
          <w:szCs w:val="24"/>
        </w:rPr>
        <w:t>779</w:t>
      </w:r>
      <w:r w:rsidR="0096632E">
        <w:rPr>
          <w:rFonts w:ascii="Arial" w:hAnsi="Arial" w:cs="Arial"/>
          <w:b/>
          <w:color w:val="FF0000"/>
          <w:sz w:val="24"/>
          <w:szCs w:val="24"/>
        </w:rPr>
        <w:t>m</w:t>
      </w:r>
      <w:r w:rsidRPr="00315847">
        <w:rPr>
          <w:rFonts w:ascii="Arial" w:hAnsi="Arial" w:cs="Arial"/>
          <w:b/>
          <w:color w:val="FF0000"/>
          <w:sz w:val="24"/>
          <w:szCs w:val="24"/>
        </w:rPr>
        <w:t>)</w:t>
      </w:r>
    </w:p>
    <w:p w:rsidR="001318A5" w:rsidRDefault="001318A5" w:rsidP="001318A5">
      <w:pPr>
        <w:pStyle w:val="BodyText"/>
        <w:kinsoku w:val="0"/>
        <w:overflowPunct w:val="0"/>
        <w:rPr>
          <w:rFonts w:ascii="Arial" w:hAnsi="Arial" w:cs="Arial"/>
          <w:b/>
          <w:sz w:val="24"/>
          <w:szCs w:val="24"/>
        </w:rPr>
      </w:pPr>
    </w:p>
    <w:p w:rsidR="001318A5" w:rsidRPr="0083193B" w:rsidRDefault="001318A5" w:rsidP="001318A5">
      <w:pPr>
        <w:pStyle w:val="BodyText"/>
        <w:kinsoku w:val="0"/>
        <w:overflowPunct w:val="0"/>
        <w:rPr>
          <w:rFonts w:ascii="Arial" w:hAnsi="Arial" w:cs="Arial"/>
          <w:b/>
          <w:sz w:val="24"/>
          <w:szCs w:val="24"/>
        </w:rPr>
      </w:pPr>
      <w:r w:rsidRPr="0083193B">
        <w:rPr>
          <w:rFonts w:ascii="Arial" w:hAnsi="Arial" w:cs="Arial"/>
          <w:b/>
          <w:sz w:val="24"/>
          <w:szCs w:val="24"/>
        </w:rPr>
        <w:t>Medical Staffing</w:t>
      </w:r>
      <w:r>
        <w:rPr>
          <w:rFonts w:ascii="Arial" w:hAnsi="Arial" w:cs="Arial"/>
          <w:b/>
          <w:sz w:val="24"/>
          <w:szCs w:val="24"/>
        </w:rPr>
        <w:t xml:space="preserve"> - </w:t>
      </w:r>
      <w:r w:rsidRPr="002D1445">
        <w:rPr>
          <w:rFonts w:ascii="Arial" w:hAnsi="Arial" w:cs="Arial"/>
          <w:b/>
          <w:color w:val="FF0000"/>
          <w:sz w:val="24"/>
          <w:szCs w:val="24"/>
        </w:rPr>
        <w:t>(£</w:t>
      </w:r>
      <w:r w:rsidR="0096632E">
        <w:rPr>
          <w:rFonts w:ascii="Arial" w:hAnsi="Arial" w:cs="Arial"/>
          <w:b/>
          <w:color w:val="FF0000"/>
          <w:sz w:val="24"/>
          <w:szCs w:val="24"/>
        </w:rPr>
        <w:t>0.289m</w:t>
      </w:r>
      <w:r w:rsidRPr="002D1445">
        <w:rPr>
          <w:rFonts w:ascii="Arial" w:hAnsi="Arial" w:cs="Arial"/>
          <w:b/>
          <w:color w:val="FF0000"/>
          <w:sz w:val="24"/>
          <w:szCs w:val="24"/>
        </w:rPr>
        <w:t>)</w:t>
      </w:r>
    </w:p>
    <w:p w:rsidR="001318A5" w:rsidRPr="00AD7CC4" w:rsidRDefault="001318A5" w:rsidP="001318A5">
      <w:pPr>
        <w:numPr>
          <w:ilvl w:val="0"/>
          <w:numId w:val="15"/>
        </w:numPr>
        <w:jc w:val="both"/>
        <w:rPr>
          <w:rFonts w:ascii="Arial" w:eastAsiaTheme="minorEastAsia" w:hAnsi="Arial" w:cs="Arial"/>
          <w:sz w:val="24"/>
          <w:szCs w:val="24"/>
        </w:rPr>
      </w:pPr>
      <w:r>
        <w:rPr>
          <w:rFonts w:ascii="Arial" w:eastAsiaTheme="minorEastAsia" w:hAnsi="Arial" w:cs="Arial"/>
          <w:sz w:val="24"/>
          <w:szCs w:val="24"/>
        </w:rPr>
        <w:lastRenderedPageBreak/>
        <w:t xml:space="preserve">Continuing </w:t>
      </w:r>
      <w:r w:rsidRPr="00AD7CC4">
        <w:rPr>
          <w:rFonts w:ascii="Arial" w:eastAsiaTheme="minorEastAsia" w:hAnsi="Arial" w:cs="Arial"/>
          <w:sz w:val="24"/>
          <w:szCs w:val="24"/>
        </w:rPr>
        <w:t>WLI sessions cover, particularly within SACC’s and TAVI non-recurring prior to recruitment</w:t>
      </w:r>
      <w:r>
        <w:rPr>
          <w:rFonts w:ascii="Arial" w:eastAsiaTheme="minorEastAsia" w:hAnsi="Arial" w:cs="Arial"/>
          <w:sz w:val="24"/>
          <w:szCs w:val="24"/>
        </w:rPr>
        <w:t xml:space="preserve"> and income receipt to May2019.</w:t>
      </w:r>
    </w:p>
    <w:p w:rsidR="001318A5" w:rsidRPr="00AD7CC4" w:rsidRDefault="001318A5" w:rsidP="001318A5">
      <w:pPr>
        <w:numPr>
          <w:ilvl w:val="0"/>
          <w:numId w:val="15"/>
        </w:numPr>
        <w:jc w:val="both"/>
        <w:rPr>
          <w:rFonts w:ascii="Arial" w:eastAsiaTheme="minorEastAsia" w:hAnsi="Arial" w:cs="Arial"/>
          <w:sz w:val="24"/>
          <w:szCs w:val="24"/>
        </w:rPr>
      </w:pPr>
      <w:r w:rsidRPr="00AD7CC4">
        <w:rPr>
          <w:rFonts w:ascii="Arial" w:eastAsiaTheme="minorEastAsia" w:hAnsi="Arial" w:cs="Arial"/>
          <w:sz w:val="24"/>
          <w:szCs w:val="24"/>
        </w:rPr>
        <w:t>University of Glasgow funding for Cardiologist sessions</w:t>
      </w:r>
    </w:p>
    <w:p w:rsidR="001318A5" w:rsidRPr="006E3AEB" w:rsidRDefault="001318A5" w:rsidP="001318A5">
      <w:pPr>
        <w:numPr>
          <w:ilvl w:val="0"/>
          <w:numId w:val="15"/>
        </w:numPr>
        <w:jc w:val="both"/>
        <w:rPr>
          <w:rFonts w:ascii="Arial" w:eastAsiaTheme="minorEastAsia" w:hAnsi="Arial" w:cs="Arial"/>
          <w:sz w:val="24"/>
          <w:szCs w:val="24"/>
        </w:rPr>
      </w:pPr>
      <w:r w:rsidRPr="0083193B">
        <w:rPr>
          <w:rFonts w:ascii="Arial" w:eastAsiaTheme="minorEastAsia" w:hAnsi="Arial" w:cs="Arial"/>
          <w:sz w:val="24"/>
          <w:szCs w:val="24"/>
        </w:rPr>
        <w:t>Remaining resolution to the Laboratories GG&amp;C SLA with NHS GG&amp;C around activity provision</w:t>
      </w:r>
    </w:p>
    <w:p w:rsidR="001318A5" w:rsidRDefault="001318A5" w:rsidP="001318A5">
      <w:pPr>
        <w:pStyle w:val="BodyText"/>
        <w:kinsoku w:val="0"/>
        <w:overflowPunct w:val="0"/>
        <w:rPr>
          <w:rFonts w:ascii="Arial" w:hAnsi="Arial" w:cs="Arial"/>
          <w:b/>
          <w:sz w:val="24"/>
          <w:szCs w:val="24"/>
        </w:rPr>
      </w:pPr>
    </w:p>
    <w:p w:rsidR="001318A5" w:rsidRDefault="001318A5" w:rsidP="001318A5">
      <w:pPr>
        <w:pStyle w:val="BodyText"/>
        <w:kinsoku w:val="0"/>
        <w:overflowPunct w:val="0"/>
        <w:rPr>
          <w:rFonts w:ascii="Arial" w:hAnsi="Arial" w:cs="Arial"/>
          <w:b/>
          <w:sz w:val="24"/>
          <w:szCs w:val="24"/>
        </w:rPr>
      </w:pPr>
      <w:r w:rsidRPr="0083193B">
        <w:rPr>
          <w:rFonts w:ascii="Arial" w:hAnsi="Arial" w:cs="Arial"/>
          <w:b/>
          <w:sz w:val="24"/>
          <w:szCs w:val="24"/>
        </w:rPr>
        <w:t>Nursing Staff</w:t>
      </w:r>
      <w:r>
        <w:rPr>
          <w:rFonts w:ascii="Arial" w:hAnsi="Arial" w:cs="Arial"/>
          <w:b/>
          <w:sz w:val="24"/>
          <w:szCs w:val="24"/>
        </w:rPr>
        <w:t xml:space="preserve"> – </w:t>
      </w:r>
      <w:r w:rsidRPr="002D1445">
        <w:rPr>
          <w:rFonts w:ascii="Arial" w:hAnsi="Arial" w:cs="Arial"/>
          <w:b/>
          <w:color w:val="FF0000"/>
          <w:sz w:val="24"/>
          <w:szCs w:val="24"/>
        </w:rPr>
        <w:t>(£</w:t>
      </w:r>
      <w:r w:rsidR="0096632E">
        <w:rPr>
          <w:rFonts w:ascii="Arial" w:hAnsi="Arial" w:cs="Arial"/>
          <w:b/>
          <w:color w:val="FF0000"/>
          <w:sz w:val="24"/>
          <w:szCs w:val="24"/>
        </w:rPr>
        <w:t>0.108m</w:t>
      </w:r>
      <w:r w:rsidRPr="002D1445">
        <w:rPr>
          <w:rFonts w:ascii="Arial" w:hAnsi="Arial" w:cs="Arial"/>
          <w:b/>
          <w:color w:val="FF0000"/>
          <w:sz w:val="24"/>
          <w:szCs w:val="24"/>
        </w:rPr>
        <w:t>)</w:t>
      </w:r>
    </w:p>
    <w:p w:rsidR="001318A5" w:rsidRPr="0083193B" w:rsidRDefault="001318A5" w:rsidP="001318A5">
      <w:pPr>
        <w:pStyle w:val="BodyText"/>
        <w:numPr>
          <w:ilvl w:val="0"/>
          <w:numId w:val="16"/>
        </w:numPr>
        <w:kinsoku w:val="0"/>
        <w:overflowPunct w:val="0"/>
        <w:rPr>
          <w:rFonts w:ascii="Arial" w:hAnsi="Arial" w:cs="Arial"/>
          <w:b/>
          <w:sz w:val="24"/>
          <w:szCs w:val="24"/>
        </w:rPr>
      </w:pPr>
      <w:r>
        <w:rPr>
          <w:rFonts w:ascii="Arial" w:eastAsiaTheme="minorEastAsia" w:hAnsi="Arial" w:cs="Arial"/>
          <w:sz w:val="24"/>
          <w:szCs w:val="24"/>
        </w:rPr>
        <w:t xml:space="preserve">There continues to be a pressure which is mainly </w:t>
      </w:r>
      <w:r w:rsidRPr="00AD7CC4">
        <w:rPr>
          <w:rFonts w:ascii="Arial" w:eastAsiaTheme="minorEastAsia" w:hAnsi="Arial" w:cs="Arial"/>
          <w:sz w:val="24"/>
          <w:szCs w:val="24"/>
        </w:rPr>
        <w:t xml:space="preserve">due to bank nursing and overtime for staffing </w:t>
      </w:r>
      <w:r>
        <w:rPr>
          <w:rFonts w:ascii="Arial" w:eastAsiaTheme="minorEastAsia" w:hAnsi="Arial" w:cs="Arial"/>
          <w:sz w:val="24"/>
          <w:szCs w:val="24"/>
        </w:rPr>
        <w:t xml:space="preserve"> An update paper from the previous nursing actions paper has been received and is under review and bank nursing charges are being reviewed in detail from GGC invoicing to ensure reasons for cover aligns with escalation process and reworking of previous nursing paper being led by Nursing Director and Associate Nurse Director.</w:t>
      </w:r>
    </w:p>
    <w:p w:rsidR="001318A5" w:rsidRDefault="001318A5" w:rsidP="001318A5">
      <w:pPr>
        <w:pStyle w:val="BodyText"/>
        <w:kinsoku w:val="0"/>
        <w:overflowPunct w:val="0"/>
        <w:rPr>
          <w:rFonts w:ascii="Arial" w:eastAsiaTheme="minorEastAsia" w:hAnsi="Arial" w:cs="Arial"/>
          <w:b/>
          <w:sz w:val="24"/>
          <w:szCs w:val="24"/>
        </w:rPr>
      </w:pPr>
    </w:p>
    <w:p w:rsidR="001318A5" w:rsidRDefault="001318A5" w:rsidP="001318A5">
      <w:pPr>
        <w:pStyle w:val="BodyText"/>
        <w:kinsoku w:val="0"/>
        <w:overflowPunct w:val="0"/>
        <w:rPr>
          <w:rFonts w:ascii="Arial" w:eastAsiaTheme="minorEastAsia" w:hAnsi="Arial" w:cs="Arial"/>
          <w:b/>
          <w:sz w:val="24"/>
          <w:szCs w:val="24"/>
        </w:rPr>
      </w:pPr>
      <w:r w:rsidRPr="0083193B">
        <w:rPr>
          <w:rFonts w:ascii="Arial" w:eastAsiaTheme="minorEastAsia" w:hAnsi="Arial" w:cs="Arial"/>
          <w:b/>
          <w:sz w:val="24"/>
          <w:szCs w:val="24"/>
        </w:rPr>
        <w:t>Clinical Support</w:t>
      </w:r>
      <w:r>
        <w:rPr>
          <w:rFonts w:ascii="Arial" w:eastAsiaTheme="minorEastAsia" w:hAnsi="Arial" w:cs="Arial"/>
          <w:b/>
          <w:sz w:val="24"/>
          <w:szCs w:val="24"/>
        </w:rPr>
        <w:t xml:space="preserve"> – </w:t>
      </w:r>
      <w:r w:rsidRPr="002D1445">
        <w:rPr>
          <w:rFonts w:ascii="Arial" w:eastAsiaTheme="minorEastAsia" w:hAnsi="Arial" w:cs="Arial"/>
          <w:b/>
          <w:color w:val="FF0000"/>
          <w:sz w:val="24"/>
          <w:szCs w:val="24"/>
        </w:rPr>
        <w:t>(£</w:t>
      </w:r>
      <w:r w:rsidR="0096632E">
        <w:rPr>
          <w:rFonts w:ascii="Arial" w:eastAsiaTheme="minorEastAsia" w:hAnsi="Arial" w:cs="Arial"/>
          <w:b/>
          <w:color w:val="FF0000"/>
          <w:sz w:val="24"/>
          <w:szCs w:val="24"/>
        </w:rPr>
        <w:t>0.382m</w:t>
      </w:r>
      <w:r w:rsidRPr="002D1445">
        <w:rPr>
          <w:rFonts w:ascii="Arial" w:eastAsiaTheme="minorEastAsia" w:hAnsi="Arial" w:cs="Arial"/>
          <w:b/>
          <w:color w:val="FF0000"/>
          <w:sz w:val="24"/>
          <w:szCs w:val="24"/>
        </w:rPr>
        <w:t>)</w:t>
      </w:r>
    </w:p>
    <w:p w:rsidR="001318A5" w:rsidRDefault="001318A5" w:rsidP="001318A5">
      <w:pPr>
        <w:pStyle w:val="BodyText"/>
        <w:kinsoku w:val="0"/>
        <w:overflowPunct w:val="0"/>
        <w:rPr>
          <w:rFonts w:ascii="Arial" w:eastAsiaTheme="minorEastAsia" w:hAnsi="Arial" w:cs="Arial"/>
          <w:b/>
          <w:sz w:val="24"/>
          <w:szCs w:val="24"/>
        </w:rPr>
      </w:pPr>
    </w:p>
    <w:p w:rsidR="001318A5" w:rsidRPr="002D1445" w:rsidRDefault="001318A5" w:rsidP="001318A5">
      <w:pPr>
        <w:pStyle w:val="BodyText"/>
        <w:numPr>
          <w:ilvl w:val="0"/>
          <w:numId w:val="17"/>
        </w:numPr>
        <w:kinsoku w:val="0"/>
        <w:overflowPunct w:val="0"/>
        <w:jc w:val="both"/>
        <w:rPr>
          <w:rFonts w:ascii="Arial" w:hAnsi="Arial" w:cs="Arial"/>
          <w:b/>
          <w:sz w:val="24"/>
          <w:szCs w:val="24"/>
        </w:rPr>
      </w:pPr>
      <w:r>
        <w:rPr>
          <w:rFonts w:ascii="Arial" w:eastAsiaTheme="minorEastAsia" w:hAnsi="Arial" w:cs="Arial"/>
          <w:sz w:val="24"/>
          <w:szCs w:val="24"/>
        </w:rPr>
        <w:t>superannuation budget not yet re</w:t>
      </w:r>
      <w:r w:rsidR="00391140">
        <w:rPr>
          <w:rFonts w:ascii="Arial" w:eastAsiaTheme="minorEastAsia" w:hAnsi="Arial" w:cs="Arial"/>
          <w:sz w:val="24"/>
          <w:szCs w:val="24"/>
        </w:rPr>
        <w:t>alised to Divisions in month two</w:t>
      </w:r>
      <w:r>
        <w:rPr>
          <w:rFonts w:ascii="Arial" w:eastAsiaTheme="minorEastAsia" w:hAnsi="Arial" w:cs="Arial"/>
          <w:sz w:val="24"/>
          <w:szCs w:val="24"/>
        </w:rPr>
        <w:t xml:space="preserve"> and therefore clinical support reports a pressure as a result of this but we will see an impr</w:t>
      </w:r>
      <w:r w:rsidR="00391140">
        <w:rPr>
          <w:rFonts w:ascii="Arial" w:eastAsiaTheme="minorEastAsia" w:hAnsi="Arial" w:cs="Arial"/>
          <w:sz w:val="24"/>
          <w:szCs w:val="24"/>
        </w:rPr>
        <w:t>ovement on allocation in Month 3</w:t>
      </w:r>
      <w:r>
        <w:rPr>
          <w:rFonts w:ascii="Arial" w:eastAsiaTheme="minorEastAsia" w:hAnsi="Arial" w:cs="Arial"/>
          <w:sz w:val="24"/>
          <w:szCs w:val="24"/>
        </w:rPr>
        <w:t>.</w:t>
      </w:r>
    </w:p>
    <w:p w:rsidR="001318A5" w:rsidRPr="008433A4" w:rsidRDefault="001318A5" w:rsidP="001318A5">
      <w:pPr>
        <w:pStyle w:val="BodyText"/>
        <w:numPr>
          <w:ilvl w:val="0"/>
          <w:numId w:val="17"/>
        </w:numPr>
        <w:kinsoku w:val="0"/>
        <w:overflowPunct w:val="0"/>
        <w:jc w:val="both"/>
        <w:rPr>
          <w:rFonts w:ascii="Arial" w:hAnsi="Arial" w:cs="Arial"/>
          <w:b/>
          <w:sz w:val="24"/>
          <w:szCs w:val="24"/>
        </w:rPr>
      </w:pPr>
      <w:r>
        <w:rPr>
          <w:rFonts w:ascii="Arial" w:eastAsiaTheme="minorEastAsia" w:hAnsi="Arial" w:cs="Arial"/>
          <w:sz w:val="24"/>
          <w:szCs w:val="24"/>
        </w:rPr>
        <w:t>ORTS budget allocation for SLA agreed inflationary uplift to be released on agreed uplift.</w:t>
      </w:r>
    </w:p>
    <w:p w:rsidR="001318A5" w:rsidRDefault="001318A5" w:rsidP="001318A5">
      <w:pPr>
        <w:pStyle w:val="BodyText"/>
        <w:kinsoku w:val="0"/>
        <w:overflowPunct w:val="0"/>
        <w:rPr>
          <w:rFonts w:ascii="Arial" w:hAnsi="Arial" w:cs="Arial"/>
          <w:b/>
          <w:i/>
          <w:color w:val="0070C0"/>
          <w:sz w:val="24"/>
          <w:szCs w:val="24"/>
        </w:rPr>
      </w:pPr>
    </w:p>
    <w:p w:rsidR="001318A5" w:rsidRPr="00F82701" w:rsidRDefault="001318A5" w:rsidP="001318A5">
      <w:pPr>
        <w:pStyle w:val="BodyText"/>
        <w:kinsoku w:val="0"/>
        <w:overflowPunct w:val="0"/>
        <w:rPr>
          <w:rFonts w:ascii="Arial" w:hAnsi="Arial" w:cs="Arial"/>
          <w:b/>
          <w:color w:val="0070C0"/>
          <w:sz w:val="24"/>
          <w:szCs w:val="24"/>
        </w:rPr>
      </w:pPr>
      <w:r w:rsidRPr="00F82701">
        <w:rPr>
          <w:rFonts w:ascii="Arial" w:hAnsi="Arial" w:cs="Arial"/>
          <w:b/>
          <w:color w:val="0070C0"/>
          <w:sz w:val="24"/>
          <w:szCs w:val="24"/>
        </w:rPr>
        <w:t>Corporate Directorate Clinical Pays</w:t>
      </w:r>
      <w:r>
        <w:rPr>
          <w:rFonts w:ascii="Arial" w:hAnsi="Arial" w:cs="Arial"/>
          <w:b/>
          <w:color w:val="0070C0"/>
          <w:sz w:val="24"/>
          <w:szCs w:val="24"/>
        </w:rPr>
        <w:t xml:space="preserve"> – </w:t>
      </w:r>
      <w:r>
        <w:rPr>
          <w:rFonts w:ascii="Arial" w:hAnsi="Arial" w:cs="Arial"/>
          <w:b/>
          <w:color w:val="FF0000"/>
          <w:sz w:val="24"/>
          <w:szCs w:val="24"/>
        </w:rPr>
        <w:t>(£</w:t>
      </w:r>
      <w:r w:rsidR="0096632E">
        <w:rPr>
          <w:rFonts w:ascii="Arial" w:hAnsi="Arial" w:cs="Arial"/>
          <w:b/>
          <w:color w:val="FF0000"/>
          <w:sz w:val="24"/>
          <w:szCs w:val="24"/>
        </w:rPr>
        <w:t>0.</w:t>
      </w:r>
      <w:r>
        <w:rPr>
          <w:rFonts w:ascii="Arial" w:hAnsi="Arial" w:cs="Arial"/>
          <w:b/>
          <w:color w:val="FF0000"/>
          <w:sz w:val="24"/>
          <w:szCs w:val="24"/>
        </w:rPr>
        <w:t>243</w:t>
      </w:r>
      <w:r w:rsidR="0096632E">
        <w:rPr>
          <w:rFonts w:ascii="Arial" w:hAnsi="Arial" w:cs="Arial"/>
          <w:b/>
          <w:color w:val="FF0000"/>
          <w:sz w:val="24"/>
          <w:szCs w:val="24"/>
        </w:rPr>
        <w:t>m</w:t>
      </w:r>
      <w:r w:rsidRPr="004D291E">
        <w:rPr>
          <w:rFonts w:ascii="Arial" w:hAnsi="Arial" w:cs="Arial"/>
          <w:b/>
          <w:color w:val="FF0000"/>
          <w:sz w:val="24"/>
          <w:szCs w:val="24"/>
        </w:rPr>
        <w:t>)</w:t>
      </w:r>
    </w:p>
    <w:p w:rsidR="001318A5" w:rsidRDefault="001318A5" w:rsidP="001318A5">
      <w:pPr>
        <w:pStyle w:val="BodyText"/>
        <w:kinsoku w:val="0"/>
        <w:overflowPunct w:val="0"/>
        <w:rPr>
          <w:rFonts w:ascii="Arial" w:hAnsi="Arial" w:cs="Arial"/>
          <w:b/>
          <w:i/>
          <w:color w:val="0070C0"/>
          <w:sz w:val="24"/>
          <w:szCs w:val="24"/>
        </w:rPr>
      </w:pPr>
    </w:p>
    <w:p w:rsidR="001318A5" w:rsidRDefault="001318A5" w:rsidP="001318A5">
      <w:pPr>
        <w:pStyle w:val="BodyText"/>
        <w:kinsoku w:val="0"/>
        <w:overflowPunct w:val="0"/>
        <w:rPr>
          <w:rFonts w:ascii="Arial" w:hAnsi="Arial" w:cs="Arial"/>
          <w:b/>
          <w:color w:val="FF0000"/>
          <w:sz w:val="24"/>
          <w:szCs w:val="24"/>
        </w:rPr>
      </w:pPr>
      <w:r w:rsidRPr="003856EF">
        <w:rPr>
          <w:rFonts w:ascii="Arial" w:hAnsi="Arial" w:cs="Arial"/>
          <w:b/>
          <w:sz w:val="24"/>
          <w:szCs w:val="24"/>
        </w:rPr>
        <w:t>Nursing Staff</w:t>
      </w:r>
      <w:r>
        <w:rPr>
          <w:rFonts w:ascii="Arial" w:hAnsi="Arial" w:cs="Arial"/>
          <w:b/>
          <w:sz w:val="24"/>
          <w:szCs w:val="24"/>
        </w:rPr>
        <w:t xml:space="preserve"> – </w:t>
      </w:r>
      <w:r w:rsidRPr="00BC31F6">
        <w:rPr>
          <w:rFonts w:ascii="Arial" w:hAnsi="Arial" w:cs="Arial"/>
          <w:b/>
          <w:color w:val="FF0000"/>
          <w:sz w:val="24"/>
          <w:szCs w:val="24"/>
        </w:rPr>
        <w:t>(£</w:t>
      </w:r>
      <w:r w:rsidR="0096632E">
        <w:rPr>
          <w:rFonts w:ascii="Arial" w:hAnsi="Arial" w:cs="Arial"/>
          <w:b/>
          <w:color w:val="FF0000"/>
          <w:sz w:val="24"/>
          <w:szCs w:val="24"/>
        </w:rPr>
        <w:t>0.090m</w:t>
      </w:r>
      <w:r w:rsidRPr="00BC31F6">
        <w:rPr>
          <w:rFonts w:ascii="Arial" w:hAnsi="Arial" w:cs="Arial"/>
          <w:b/>
          <w:color w:val="FF0000"/>
          <w:sz w:val="24"/>
          <w:szCs w:val="24"/>
        </w:rPr>
        <w:t>)</w:t>
      </w:r>
    </w:p>
    <w:p w:rsidR="001318A5" w:rsidRPr="00AA642D" w:rsidRDefault="001318A5" w:rsidP="001318A5">
      <w:pPr>
        <w:numPr>
          <w:ilvl w:val="0"/>
          <w:numId w:val="18"/>
        </w:numPr>
        <w:rPr>
          <w:rFonts w:ascii="Arial" w:eastAsiaTheme="minorEastAsia" w:hAnsi="Arial" w:cs="Arial"/>
          <w:b/>
          <w:i/>
          <w:sz w:val="24"/>
          <w:szCs w:val="24"/>
        </w:rPr>
      </w:pPr>
      <w:r w:rsidRPr="00AA642D">
        <w:rPr>
          <w:rFonts w:ascii="Arial" w:eastAsiaTheme="minorEastAsia" w:hAnsi="Arial" w:cs="Arial"/>
          <w:sz w:val="24"/>
          <w:szCs w:val="24"/>
        </w:rPr>
        <w:t xml:space="preserve"> Over-spend in Research nursing due to </w:t>
      </w:r>
      <w:r>
        <w:rPr>
          <w:rFonts w:ascii="Arial" w:eastAsiaTheme="minorEastAsia" w:hAnsi="Arial" w:cs="Arial"/>
          <w:sz w:val="24"/>
          <w:szCs w:val="24"/>
        </w:rPr>
        <w:t>budget allocated on non-recurring basis and not reflected in baseline roll-forward, this will be included for future reporting.</w:t>
      </w:r>
    </w:p>
    <w:p w:rsidR="001318A5" w:rsidRDefault="001318A5" w:rsidP="001318A5">
      <w:pPr>
        <w:pStyle w:val="BodyText"/>
        <w:kinsoku w:val="0"/>
        <w:overflowPunct w:val="0"/>
        <w:rPr>
          <w:rFonts w:ascii="Arial" w:hAnsi="Arial" w:cs="Arial"/>
          <w:b/>
          <w:color w:val="0070C0"/>
          <w:sz w:val="24"/>
          <w:szCs w:val="24"/>
        </w:rPr>
      </w:pPr>
    </w:p>
    <w:p w:rsidR="001318A5" w:rsidRPr="00F82701" w:rsidRDefault="001318A5" w:rsidP="001318A5">
      <w:pPr>
        <w:pStyle w:val="BodyText"/>
        <w:kinsoku w:val="0"/>
        <w:overflowPunct w:val="0"/>
        <w:rPr>
          <w:rFonts w:ascii="Arial" w:hAnsi="Arial" w:cs="Arial"/>
          <w:b/>
          <w:color w:val="0070C0"/>
          <w:sz w:val="24"/>
          <w:szCs w:val="24"/>
        </w:rPr>
      </w:pPr>
      <w:r w:rsidRPr="00F82701">
        <w:rPr>
          <w:rFonts w:ascii="Arial" w:hAnsi="Arial" w:cs="Arial"/>
          <w:b/>
          <w:color w:val="0070C0"/>
          <w:sz w:val="24"/>
          <w:szCs w:val="24"/>
        </w:rPr>
        <w:t xml:space="preserve">Corporate Directorate </w:t>
      </w:r>
      <w:r>
        <w:rPr>
          <w:rFonts w:ascii="Arial" w:hAnsi="Arial" w:cs="Arial"/>
          <w:b/>
          <w:color w:val="0070C0"/>
          <w:sz w:val="24"/>
          <w:szCs w:val="24"/>
        </w:rPr>
        <w:t xml:space="preserve">Non-Clinical </w:t>
      </w:r>
      <w:r w:rsidRPr="00F82701">
        <w:rPr>
          <w:rFonts w:ascii="Arial" w:hAnsi="Arial" w:cs="Arial"/>
          <w:b/>
          <w:color w:val="0070C0"/>
          <w:sz w:val="24"/>
          <w:szCs w:val="24"/>
        </w:rPr>
        <w:t>Pays</w:t>
      </w:r>
      <w:r>
        <w:rPr>
          <w:rFonts w:ascii="Arial" w:hAnsi="Arial" w:cs="Arial"/>
          <w:b/>
          <w:color w:val="0070C0"/>
          <w:sz w:val="24"/>
          <w:szCs w:val="24"/>
        </w:rPr>
        <w:t xml:space="preserve"> – </w:t>
      </w:r>
      <w:r>
        <w:rPr>
          <w:rFonts w:ascii="Arial" w:hAnsi="Arial" w:cs="Arial"/>
          <w:b/>
          <w:color w:val="FF0000"/>
          <w:sz w:val="24"/>
          <w:szCs w:val="24"/>
        </w:rPr>
        <w:t>(£</w:t>
      </w:r>
      <w:r w:rsidR="0096632E">
        <w:rPr>
          <w:rFonts w:ascii="Arial" w:hAnsi="Arial" w:cs="Arial"/>
          <w:b/>
          <w:color w:val="FF0000"/>
          <w:sz w:val="24"/>
          <w:szCs w:val="24"/>
        </w:rPr>
        <w:t>0.</w:t>
      </w:r>
      <w:r>
        <w:rPr>
          <w:rFonts w:ascii="Arial" w:hAnsi="Arial" w:cs="Arial"/>
          <w:b/>
          <w:color w:val="FF0000"/>
          <w:sz w:val="24"/>
          <w:szCs w:val="24"/>
        </w:rPr>
        <w:t>289</w:t>
      </w:r>
      <w:r w:rsidR="0096632E">
        <w:rPr>
          <w:rFonts w:ascii="Arial" w:hAnsi="Arial" w:cs="Arial"/>
          <w:b/>
          <w:color w:val="FF0000"/>
          <w:sz w:val="24"/>
          <w:szCs w:val="24"/>
        </w:rPr>
        <w:t>m</w:t>
      </w:r>
      <w:r w:rsidRPr="004D291E">
        <w:rPr>
          <w:rFonts w:ascii="Arial" w:hAnsi="Arial" w:cs="Arial"/>
          <w:b/>
          <w:color w:val="FF0000"/>
          <w:sz w:val="24"/>
          <w:szCs w:val="24"/>
        </w:rPr>
        <w:t>)</w:t>
      </w:r>
    </w:p>
    <w:p w:rsidR="001318A5" w:rsidRDefault="001318A5" w:rsidP="001318A5">
      <w:pPr>
        <w:pStyle w:val="BodyText"/>
        <w:kinsoku w:val="0"/>
        <w:overflowPunct w:val="0"/>
        <w:rPr>
          <w:rFonts w:ascii="Arial" w:hAnsi="Arial" w:cs="Arial"/>
          <w:b/>
          <w:i/>
          <w:color w:val="0070C0"/>
          <w:sz w:val="24"/>
          <w:szCs w:val="24"/>
        </w:rPr>
      </w:pPr>
    </w:p>
    <w:p w:rsidR="001318A5" w:rsidRPr="008433A4" w:rsidRDefault="001318A5" w:rsidP="001318A5">
      <w:pPr>
        <w:pStyle w:val="BodyText"/>
        <w:numPr>
          <w:ilvl w:val="0"/>
          <w:numId w:val="18"/>
        </w:numPr>
        <w:kinsoku w:val="0"/>
        <w:overflowPunct w:val="0"/>
        <w:jc w:val="both"/>
        <w:rPr>
          <w:rFonts w:ascii="Arial" w:hAnsi="Arial" w:cs="Arial"/>
          <w:b/>
          <w:sz w:val="24"/>
          <w:szCs w:val="24"/>
        </w:rPr>
      </w:pPr>
      <w:r>
        <w:rPr>
          <w:rFonts w:ascii="Arial" w:eastAsiaTheme="minorEastAsia" w:hAnsi="Arial" w:cs="Arial"/>
          <w:sz w:val="24"/>
          <w:szCs w:val="24"/>
        </w:rPr>
        <w:t>Property plant &amp; equipment pressure partly due to Ophthalmology mobile additional funding not yet receipted from Scottish Government in addition to inflation pressure on utilities which will be managed through final budget release.</w:t>
      </w:r>
    </w:p>
    <w:p w:rsidR="001318A5" w:rsidRPr="00F82701" w:rsidRDefault="001318A5" w:rsidP="001318A5">
      <w:pPr>
        <w:pStyle w:val="BodyText"/>
        <w:kinsoku w:val="0"/>
        <w:overflowPunct w:val="0"/>
        <w:rPr>
          <w:rFonts w:ascii="Arial" w:hAnsi="Arial" w:cs="Arial"/>
          <w:b/>
          <w:color w:val="0070C0"/>
          <w:sz w:val="24"/>
          <w:szCs w:val="24"/>
        </w:rPr>
      </w:pPr>
    </w:p>
    <w:p w:rsidR="001318A5" w:rsidRDefault="001318A5" w:rsidP="001318A5">
      <w:pPr>
        <w:pStyle w:val="BodyText"/>
        <w:kinsoku w:val="0"/>
        <w:overflowPunct w:val="0"/>
        <w:rPr>
          <w:rFonts w:ascii="Arial" w:hAnsi="Arial" w:cs="Arial"/>
          <w:b/>
          <w:i/>
          <w:color w:val="0070C0"/>
          <w:sz w:val="24"/>
          <w:szCs w:val="24"/>
        </w:rPr>
      </w:pPr>
    </w:p>
    <w:p w:rsidR="001318A5" w:rsidRDefault="001318A5" w:rsidP="001318A5">
      <w:pPr>
        <w:pStyle w:val="BodyText"/>
        <w:kinsoku w:val="0"/>
        <w:overflowPunct w:val="0"/>
        <w:rPr>
          <w:rFonts w:ascii="Arial" w:hAnsi="Arial" w:cs="Arial"/>
          <w:b/>
          <w:color w:val="0070C0"/>
          <w:sz w:val="24"/>
          <w:szCs w:val="24"/>
        </w:rPr>
      </w:pPr>
      <w:r w:rsidRPr="00F82701">
        <w:rPr>
          <w:rFonts w:ascii="Arial" w:hAnsi="Arial" w:cs="Arial"/>
          <w:b/>
          <w:color w:val="0070C0"/>
          <w:sz w:val="24"/>
          <w:szCs w:val="24"/>
        </w:rPr>
        <w:t>Corpora</w:t>
      </w:r>
      <w:r>
        <w:rPr>
          <w:rFonts w:ascii="Arial" w:hAnsi="Arial" w:cs="Arial"/>
          <w:b/>
          <w:color w:val="0070C0"/>
          <w:sz w:val="24"/>
          <w:szCs w:val="24"/>
        </w:rPr>
        <w:t xml:space="preserve">te Directorate Non-Clinical Supplies - </w:t>
      </w:r>
      <w:r w:rsidR="0096632E">
        <w:rPr>
          <w:rFonts w:ascii="Arial" w:hAnsi="Arial" w:cs="Arial"/>
          <w:b/>
          <w:sz w:val="24"/>
          <w:szCs w:val="24"/>
        </w:rPr>
        <w:t>£3.</w:t>
      </w:r>
      <w:r>
        <w:rPr>
          <w:rFonts w:ascii="Arial" w:hAnsi="Arial" w:cs="Arial"/>
          <w:b/>
          <w:sz w:val="24"/>
          <w:szCs w:val="24"/>
        </w:rPr>
        <w:t>053</w:t>
      </w:r>
      <w:r w:rsidR="0096632E">
        <w:rPr>
          <w:rFonts w:ascii="Arial" w:hAnsi="Arial" w:cs="Arial"/>
          <w:b/>
          <w:sz w:val="24"/>
          <w:szCs w:val="24"/>
        </w:rPr>
        <w:t>m</w:t>
      </w:r>
    </w:p>
    <w:p w:rsidR="001318A5" w:rsidRPr="00F82701" w:rsidRDefault="001318A5" w:rsidP="001318A5">
      <w:pPr>
        <w:pStyle w:val="BodyText"/>
        <w:kinsoku w:val="0"/>
        <w:overflowPunct w:val="0"/>
        <w:rPr>
          <w:rFonts w:ascii="Arial" w:hAnsi="Arial" w:cs="Arial"/>
          <w:b/>
          <w:color w:val="0070C0"/>
          <w:sz w:val="24"/>
          <w:szCs w:val="24"/>
        </w:rPr>
      </w:pPr>
    </w:p>
    <w:p w:rsidR="001318A5" w:rsidRPr="00C47A6F" w:rsidRDefault="001318A5" w:rsidP="001318A5">
      <w:pPr>
        <w:numPr>
          <w:ilvl w:val="0"/>
          <w:numId w:val="19"/>
        </w:numPr>
        <w:jc w:val="both"/>
        <w:rPr>
          <w:rFonts w:ascii="Arial" w:eastAsiaTheme="minorEastAsia" w:hAnsi="Arial" w:cs="Arial"/>
          <w:sz w:val="24"/>
          <w:szCs w:val="24"/>
        </w:rPr>
      </w:pPr>
      <w:r>
        <w:rPr>
          <w:rFonts w:ascii="Arial" w:eastAsiaTheme="minorEastAsia" w:hAnsi="Arial" w:cs="Arial"/>
          <w:sz w:val="24"/>
          <w:szCs w:val="24"/>
        </w:rPr>
        <w:t>Reserves reflect the positive variance against Corporate as the holding area for financial planning pressures including pay ward superannuation etc and planned developments in line with phased implementation. Month 2 will see allocation of pay award and superannuation budget from reserves and any other cost pressures and cash releasing efficiencies identified and agreed in final Divisional budget approval.</w:t>
      </w:r>
    </w:p>
    <w:p w:rsidR="001318A5" w:rsidRDefault="001318A5" w:rsidP="001318A5">
      <w:pPr>
        <w:pStyle w:val="BodyText"/>
        <w:kinsoku w:val="0"/>
        <w:overflowPunct w:val="0"/>
        <w:rPr>
          <w:rFonts w:ascii="Arial" w:hAnsi="Arial" w:cs="Arial"/>
          <w:b/>
          <w:i/>
          <w:color w:val="0070C0"/>
          <w:sz w:val="24"/>
          <w:szCs w:val="24"/>
        </w:rPr>
      </w:pPr>
    </w:p>
    <w:p w:rsidR="001318A5" w:rsidRPr="00B96911" w:rsidRDefault="001318A5" w:rsidP="001318A5">
      <w:pPr>
        <w:rPr>
          <w:rFonts w:ascii="Arial" w:hAnsi="Arial" w:cs="Arial"/>
          <w:b/>
          <w:color w:val="0070C0"/>
          <w:sz w:val="24"/>
          <w:szCs w:val="24"/>
        </w:rPr>
      </w:pPr>
      <w:r w:rsidRPr="00B96911">
        <w:rPr>
          <w:rFonts w:ascii="Arial" w:hAnsi="Arial" w:cs="Arial"/>
          <w:b/>
          <w:color w:val="0070C0"/>
          <w:sz w:val="24"/>
          <w:szCs w:val="24"/>
        </w:rPr>
        <w:t>Hotel Non-Clinical Pay</w:t>
      </w:r>
      <w:r>
        <w:rPr>
          <w:rFonts w:ascii="Arial" w:hAnsi="Arial" w:cs="Arial"/>
          <w:b/>
          <w:color w:val="0070C0"/>
          <w:sz w:val="24"/>
          <w:szCs w:val="24"/>
        </w:rPr>
        <w:t xml:space="preserve"> – </w:t>
      </w:r>
      <w:r>
        <w:rPr>
          <w:rFonts w:ascii="Arial" w:hAnsi="Arial" w:cs="Arial"/>
          <w:b/>
          <w:color w:val="FF0000"/>
          <w:sz w:val="24"/>
          <w:szCs w:val="24"/>
        </w:rPr>
        <w:t>(£</w:t>
      </w:r>
      <w:r w:rsidR="0096632E">
        <w:rPr>
          <w:rFonts w:ascii="Arial" w:hAnsi="Arial" w:cs="Arial"/>
          <w:b/>
          <w:color w:val="FF0000"/>
          <w:sz w:val="24"/>
          <w:szCs w:val="24"/>
        </w:rPr>
        <w:t>0.0</w:t>
      </w:r>
      <w:r>
        <w:rPr>
          <w:rFonts w:ascii="Arial" w:hAnsi="Arial" w:cs="Arial"/>
          <w:b/>
          <w:color w:val="FF0000"/>
          <w:sz w:val="24"/>
          <w:szCs w:val="24"/>
        </w:rPr>
        <w:t>14</w:t>
      </w:r>
      <w:r w:rsidR="0096632E">
        <w:rPr>
          <w:rFonts w:ascii="Arial" w:hAnsi="Arial" w:cs="Arial"/>
          <w:b/>
          <w:color w:val="FF0000"/>
          <w:sz w:val="24"/>
          <w:szCs w:val="24"/>
        </w:rPr>
        <w:t>m</w:t>
      </w:r>
      <w:r w:rsidRPr="004D291E">
        <w:rPr>
          <w:rFonts w:ascii="Arial" w:hAnsi="Arial" w:cs="Arial"/>
          <w:b/>
          <w:color w:val="FF0000"/>
          <w:sz w:val="24"/>
          <w:szCs w:val="24"/>
        </w:rPr>
        <w:t>)</w:t>
      </w:r>
    </w:p>
    <w:p w:rsidR="001318A5" w:rsidRPr="00932501" w:rsidRDefault="00932501" w:rsidP="001318A5">
      <w:pPr>
        <w:rPr>
          <w:rFonts w:ascii="Arial" w:hAnsi="Arial" w:cs="Arial"/>
          <w:sz w:val="24"/>
          <w:szCs w:val="24"/>
        </w:rPr>
      </w:pPr>
      <w:r w:rsidRPr="00932501">
        <w:rPr>
          <w:rFonts w:ascii="Arial" w:hAnsi="Arial" w:cs="Arial"/>
          <w:sz w:val="24"/>
          <w:szCs w:val="24"/>
        </w:rPr>
        <w:t>Performance to May continues behind plan and the Hotel is now slightly behind budget by (£14k). Whilst this figure is not causing concern at this stage, the hotel will continue to monitor this closely.</w:t>
      </w:r>
    </w:p>
    <w:p w:rsidR="001318A5" w:rsidRPr="00B96911" w:rsidRDefault="001318A5" w:rsidP="001318A5">
      <w:pPr>
        <w:pStyle w:val="BodyText"/>
        <w:kinsoku w:val="0"/>
        <w:overflowPunct w:val="0"/>
        <w:rPr>
          <w:rFonts w:ascii="Arial" w:hAnsi="Arial" w:cs="Arial"/>
          <w:b/>
          <w:bCs/>
          <w:iCs/>
          <w:color w:val="0070C0"/>
          <w:sz w:val="28"/>
          <w:szCs w:val="28"/>
          <w:u w:val="single"/>
        </w:rPr>
      </w:pPr>
      <w:r w:rsidRPr="00B96911">
        <w:rPr>
          <w:rFonts w:ascii="Arial" w:hAnsi="Arial" w:cs="Arial"/>
          <w:b/>
          <w:bCs/>
          <w:iCs/>
          <w:color w:val="0070C0"/>
          <w:sz w:val="28"/>
          <w:szCs w:val="28"/>
          <w:u w:val="single"/>
        </w:rPr>
        <w:lastRenderedPageBreak/>
        <w:t>Efficiency Savings Programme</w:t>
      </w:r>
    </w:p>
    <w:p w:rsidR="001318A5" w:rsidRPr="00F82701" w:rsidRDefault="001318A5" w:rsidP="001318A5">
      <w:pPr>
        <w:pStyle w:val="BodyText"/>
        <w:kinsoku w:val="0"/>
        <w:overflowPunct w:val="0"/>
        <w:jc w:val="center"/>
        <w:rPr>
          <w:rFonts w:ascii="Arial" w:hAnsi="Arial" w:cs="Arial"/>
          <w:b/>
          <w:bCs/>
          <w:iCs/>
          <w:color w:val="0070C0"/>
          <w:sz w:val="28"/>
          <w:szCs w:val="28"/>
          <w:u w:val="single"/>
        </w:rPr>
      </w:pPr>
    </w:p>
    <w:p w:rsidR="001318A5" w:rsidRPr="00F82701" w:rsidRDefault="001318A5" w:rsidP="001318A5">
      <w:pPr>
        <w:pStyle w:val="Heading3"/>
        <w:kinsoku w:val="0"/>
        <w:overflowPunct w:val="0"/>
        <w:spacing w:before="100"/>
        <w:rPr>
          <w:rFonts w:ascii="Arial" w:hAnsi="Arial" w:cs="Arial"/>
          <w:b/>
          <w:i/>
          <w:noProof/>
          <w:color w:val="0070C0"/>
        </w:rPr>
      </w:pPr>
      <w:r w:rsidRPr="00F82701">
        <w:rPr>
          <w:rFonts w:ascii="Arial" w:hAnsi="Arial" w:cs="Arial"/>
          <w:i/>
          <w:noProof/>
          <w:color w:val="0070C0"/>
        </w:rPr>
        <w:t>Efficiency Savings Programme</w:t>
      </w:r>
    </w:p>
    <w:p w:rsidR="001318A5" w:rsidRDefault="001318A5" w:rsidP="001318A5">
      <w:pPr>
        <w:pStyle w:val="BodyText"/>
        <w:kinsoku w:val="0"/>
        <w:overflowPunct w:val="0"/>
        <w:rPr>
          <w:rFonts w:ascii="Arial" w:hAnsi="Arial" w:cs="Arial"/>
          <w:sz w:val="24"/>
          <w:szCs w:val="24"/>
        </w:rPr>
      </w:pPr>
      <w:r w:rsidRPr="00F31C3A">
        <w:rPr>
          <w:rFonts w:ascii="Arial" w:hAnsi="Arial" w:cs="Arial"/>
          <w:sz w:val="24"/>
          <w:szCs w:val="24"/>
        </w:rPr>
        <w:t xml:space="preserve">As outlined above, a detailed Programme Tracker report captures the progress for the Efficiency plan.  These are categorised in </w:t>
      </w:r>
      <w:r>
        <w:rPr>
          <w:rFonts w:ascii="Arial" w:hAnsi="Arial" w:cs="Arial"/>
          <w:sz w:val="24"/>
          <w:szCs w:val="24"/>
        </w:rPr>
        <w:t xml:space="preserve">terms of </w:t>
      </w:r>
      <w:r w:rsidRPr="00F31C3A">
        <w:rPr>
          <w:rFonts w:ascii="Arial" w:hAnsi="Arial" w:cs="Arial"/>
          <w:sz w:val="24"/>
          <w:szCs w:val="24"/>
        </w:rPr>
        <w:t>Risk A</w:t>
      </w:r>
      <w:r>
        <w:rPr>
          <w:rFonts w:ascii="Arial" w:hAnsi="Arial" w:cs="Arial"/>
          <w:sz w:val="24"/>
          <w:szCs w:val="24"/>
        </w:rPr>
        <w:t>ssessment in addition to work-stream areas</w:t>
      </w:r>
      <w:r w:rsidRPr="00F31C3A">
        <w:rPr>
          <w:rFonts w:ascii="Arial" w:hAnsi="Arial" w:cs="Arial"/>
          <w:sz w:val="24"/>
          <w:szCs w:val="24"/>
        </w:rPr>
        <w:t>.</w:t>
      </w:r>
      <w:r>
        <w:rPr>
          <w:rFonts w:ascii="Arial" w:hAnsi="Arial" w:cs="Arial"/>
          <w:sz w:val="24"/>
          <w:szCs w:val="24"/>
        </w:rPr>
        <w:t xml:space="preserve"> The table below reflects the planned forecast against the trajectory as per original financial plan. As some schemes have yet to be calculated and normal reporting aligns from quarter 1 i.e. June 2019 this actual position against forecast will be reported in future months</w:t>
      </w:r>
      <w:r w:rsidR="0096632E">
        <w:rPr>
          <w:rFonts w:ascii="Arial" w:hAnsi="Arial" w:cs="Arial"/>
          <w:sz w:val="24"/>
          <w:szCs w:val="24"/>
        </w:rPr>
        <w:t>, with the unidentified schemes currently reduced to £0.955m reflecting progress toward new schemes identified</w:t>
      </w:r>
      <w:r>
        <w:rPr>
          <w:rFonts w:ascii="Arial" w:hAnsi="Arial" w:cs="Arial"/>
          <w:sz w:val="24"/>
          <w:szCs w:val="24"/>
        </w:rPr>
        <w:t>.</w:t>
      </w:r>
    </w:p>
    <w:p w:rsidR="001318A5" w:rsidRDefault="001318A5" w:rsidP="001318A5">
      <w:pPr>
        <w:pStyle w:val="BodyText"/>
        <w:kinsoku w:val="0"/>
        <w:overflowPunct w:val="0"/>
        <w:rPr>
          <w:rFonts w:ascii="Arial" w:hAnsi="Arial" w:cs="Arial"/>
          <w:sz w:val="24"/>
          <w:szCs w:val="24"/>
        </w:rPr>
      </w:pPr>
    </w:p>
    <w:p w:rsidR="001318A5" w:rsidRDefault="001318A5">
      <w:pPr>
        <w:widowControl/>
        <w:autoSpaceDE/>
        <w:autoSpaceDN/>
        <w:adjustRightInd/>
        <w:rPr>
          <w:rFonts w:ascii="Arial" w:hAnsi="Arial" w:cs="Arial"/>
          <w:sz w:val="24"/>
          <w:szCs w:val="24"/>
        </w:rPr>
      </w:pPr>
      <w:r w:rsidRPr="00B57FC7">
        <w:rPr>
          <w:noProof/>
          <w:szCs w:val="24"/>
        </w:rPr>
        <w:drawing>
          <wp:inline distT="0" distB="0" distL="0" distR="0" wp14:anchorId="119C4D1D" wp14:editId="3446FCC5">
            <wp:extent cx="5731510" cy="446532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5731510" cy="4465320"/>
                    </a:xfrm>
                    <a:prstGeom prst="rect">
                      <a:avLst/>
                    </a:prstGeom>
                    <a:noFill/>
                    <a:ln w="9525">
                      <a:noFill/>
                      <a:miter lim="800000"/>
                      <a:headEnd/>
                      <a:tailEnd/>
                    </a:ln>
                  </pic:spPr>
                </pic:pic>
              </a:graphicData>
            </a:graphic>
          </wp:inline>
        </w:drawing>
      </w:r>
      <w:r>
        <w:rPr>
          <w:rFonts w:ascii="Arial" w:hAnsi="Arial" w:cs="Arial"/>
          <w:sz w:val="24"/>
          <w:szCs w:val="24"/>
        </w:rPr>
        <w:br w:type="page"/>
      </w:r>
    </w:p>
    <w:p w:rsidR="001318A5" w:rsidRPr="00F82701" w:rsidRDefault="00570658" w:rsidP="001318A5">
      <w:pPr>
        <w:pStyle w:val="BodyText"/>
        <w:kinsoku w:val="0"/>
        <w:overflowPunct w:val="0"/>
        <w:rPr>
          <w:rFonts w:ascii="Arial" w:hAnsi="Arial" w:cs="Arial"/>
          <w:b/>
          <w:color w:val="0070C0"/>
          <w:sz w:val="28"/>
          <w:szCs w:val="28"/>
          <w:u w:val="single"/>
        </w:rPr>
      </w:pPr>
      <w:r>
        <w:rPr>
          <w:rFonts w:ascii="Arial" w:hAnsi="Arial" w:cs="Arial"/>
          <w:noProof/>
        </w:rPr>
        <w:lastRenderedPageBreak/>
        <w:pict>
          <v:shapetype id="_x0000_t202" coordsize="21600,21600" o:spt="202" path="m,l,21600r21600,l21600,xe">
            <v:stroke joinstyle="miter"/>
            <v:path gradientshapeok="t" o:connecttype="rect"/>
          </v:shapetype>
          <v:shape id="_x0000_s1030" type="#_x0000_t202" style="position:absolute;margin-left:91pt;margin-top:539.3pt;width:16.85pt;height:8.95pt;z-index:-251657216;mso-position-horizontal-relative:page;mso-position-vertical-relative:page" o:allowincell="f" filled="f" stroked="f">
            <v:textbox style="mso-next-textbox:#_x0000_s1030" inset="0,0,0,0">
              <w:txbxContent>
                <w:p w:rsidR="004D4A04" w:rsidRPr="00795F97" w:rsidRDefault="004D4A04" w:rsidP="001318A5">
                  <w:pPr>
                    <w:rPr>
                      <w:szCs w:val="16"/>
                    </w:rPr>
                  </w:pPr>
                </w:p>
              </w:txbxContent>
            </v:textbox>
            <w10:wrap anchorx="page" anchory="page"/>
          </v:shape>
        </w:pict>
      </w:r>
      <w:r w:rsidR="001318A5" w:rsidRPr="00F82701">
        <w:rPr>
          <w:rFonts w:ascii="Arial" w:hAnsi="Arial" w:cs="Arial"/>
          <w:b/>
          <w:color w:val="0070C0"/>
          <w:sz w:val="28"/>
          <w:szCs w:val="28"/>
          <w:u w:val="single"/>
        </w:rPr>
        <w:t>This section of the report is focused on the current forecast financial position</w:t>
      </w:r>
    </w:p>
    <w:p w:rsidR="001318A5" w:rsidRPr="00F31C3A" w:rsidRDefault="001318A5" w:rsidP="001318A5">
      <w:pPr>
        <w:pStyle w:val="BodyText"/>
        <w:kinsoku w:val="0"/>
        <w:overflowPunct w:val="0"/>
        <w:rPr>
          <w:rFonts w:ascii="Arial" w:hAnsi="Arial" w:cs="Arial"/>
          <w:sz w:val="24"/>
          <w:szCs w:val="24"/>
        </w:rPr>
      </w:pPr>
    </w:p>
    <w:p w:rsidR="001318A5" w:rsidRPr="00274C4F" w:rsidRDefault="001318A5" w:rsidP="001318A5">
      <w:pPr>
        <w:rPr>
          <w:rFonts w:ascii="Arial" w:hAnsi="Arial" w:cs="Arial"/>
          <w:sz w:val="24"/>
          <w:szCs w:val="24"/>
        </w:rPr>
      </w:pPr>
      <w:r w:rsidRPr="00274C4F">
        <w:rPr>
          <w:rFonts w:ascii="Arial" w:hAnsi="Arial" w:cs="Arial"/>
          <w:sz w:val="24"/>
          <w:szCs w:val="24"/>
        </w:rPr>
        <w:t>The following table shows the core financial Out-turn against plan and forecast trajectory as described within our financial plan. This shows the Board is on plan to deliver in line with the trajectory</w:t>
      </w:r>
      <w:r>
        <w:rPr>
          <w:rFonts w:ascii="Arial" w:hAnsi="Arial" w:cs="Arial"/>
          <w:sz w:val="24"/>
          <w:szCs w:val="24"/>
        </w:rPr>
        <w:t xml:space="preserve"> at this early stage</w:t>
      </w:r>
      <w:r w:rsidRPr="00274C4F">
        <w:rPr>
          <w:rFonts w:ascii="Arial" w:hAnsi="Arial" w:cs="Arial"/>
          <w:sz w:val="24"/>
          <w:szCs w:val="24"/>
        </w:rPr>
        <w:t>.</w:t>
      </w:r>
    </w:p>
    <w:p w:rsidR="001318A5" w:rsidRDefault="001318A5" w:rsidP="001318A5">
      <w:pPr>
        <w:pStyle w:val="BodyText"/>
        <w:kinsoku w:val="0"/>
        <w:overflowPunct w:val="0"/>
        <w:rPr>
          <w:rFonts w:ascii="Arial" w:hAnsi="Arial" w:cs="Arial"/>
          <w:sz w:val="24"/>
          <w:szCs w:val="24"/>
        </w:rPr>
      </w:pPr>
    </w:p>
    <w:tbl>
      <w:tblPr>
        <w:tblW w:w="8947" w:type="dxa"/>
        <w:tblInd w:w="108" w:type="dxa"/>
        <w:tblLook w:val="04A0" w:firstRow="1" w:lastRow="0" w:firstColumn="1" w:lastColumn="0" w:noHBand="0" w:noVBand="1"/>
      </w:tblPr>
      <w:tblGrid>
        <w:gridCol w:w="1177"/>
        <w:gridCol w:w="2020"/>
        <w:gridCol w:w="1151"/>
        <w:gridCol w:w="222"/>
        <w:gridCol w:w="222"/>
        <w:gridCol w:w="694"/>
        <w:gridCol w:w="611"/>
        <w:gridCol w:w="513"/>
        <w:gridCol w:w="513"/>
        <w:gridCol w:w="441"/>
        <w:gridCol w:w="1570"/>
      </w:tblGrid>
      <w:tr w:rsidR="00932501" w:rsidRPr="00010E67" w:rsidTr="00932501">
        <w:trPr>
          <w:trHeight w:val="210"/>
        </w:trPr>
        <w:tc>
          <w:tcPr>
            <w:tcW w:w="1112"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1913"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1087"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707"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622"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521"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521"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7"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16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842"/>
        </w:trPr>
        <w:tc>
          <w:tcPr>
            <w:tcW w:w="1112" w:type="dxa"/>
            <w:tcBorders>
              <w:top w:val="single" w:sz="8" w:space="0" w:color="auto"/>
              <w:left w:val="single" w:sz="8" w:space="0" w:color="auto"/>
              <w:bottom w:val="single" w:sz="4" w:space="0" w:color="auto"/>
              <w:right w:val="single" w:sz="4" w:space="0" w:color="auto"/>
            </w:tcBorders>
            <w:shd w:val="clear" w:color="000000" w:fill="8DB4E3"/>
            <w:hideMark/>
          </w:tcPr>
          <w:p w:rsidR="001318A5" w:rsidRPr="00010E67" w:rsidRDefault="001318A5" w:rsidP="00577564">
            <w:pPr>
              <w:widowControl/>
              <w:autoSpaceDE/>
              <w:autoSpaceDN/>
              <w:adjustRightInd/>
              <w:rPr>
                <w:rFonts w:ascii="Arial" w:hAnsi="Arial" w:cs="Arial"/>
                <w:b/>
                <w:bCs/>
                <w:color w:val="000000"/>
              </w:rPr>
            </w:pPr>
            <w:r w:rsidRPr="00010E67">
              <w:rPr>
                <w:rFonts w:ascii="Arial" w:hAnsi="Arial" w:cs="Arial"/>
                <w:b/>
                <w:bCs/>
                <w:color w:val="000000"/>
              </w:rPr>
              <w:t>Revenue Outturn</w:t>
            </w:r>
          </w:p>
        </w:tc>
        <w:tc>
          <w:tcPr>
            <w:tcW w:w="1913" w:type="dxa"/>
            <w:tcBorders>
              <w:top w:val="single" w:sz="8" w:space="0" w:color="auto"/>
              <w:left w:val="nil"/>
              <w:bottom w:val="single" w:sz="4" w:space="0" w:color="auto"/>
              <w:right w:val="single" w:sz="4" w:space="0" w:color="auto"/>
            </w:tcBorders>
            <w:shd w:val="clear" w:color="000000" w:fill="8DB4E3"/>
            <w:hideMark/>
          </w:tcPr>
          <w:p w:rsidR="001318A5" w:rsidRPr="00010E67" w:rsidRDefault="001318A5" w:rsidP="00577564">
            <w:pPr>
              <w:widowControl/>
              <w:autoSpaceDE/>
              <w:autoSpaceDN/>
              <w:adjustRightInd/>
              <w:jc w:val="center"/>
              <w:rPr>
                <w:rFonts w:ascii="Arial" w:hAnsi="Arial" w:cs="Arial"/>
                <w:b/>
                <w:bCs/>
                <w:color w:val="000000"/>
                <w:sz w:val="24"/>
                <w:szCs w:val="24"/>
              </w:rPr>
            </w:pPr>
            <w:r w:rsidRPr="00010E67">
              <w:rPr>
                <w:rFonts w:ascii="Arial" w:hAnsi="Arial" w:cs="Arial"/>
                <w:b/>
                <w:bCs/>
                <w:color w:val="000000"/>
                <w:sz w:val="24"/>
                <w:szCs w:val="24"/>
              </w:rPr>
              <w:t>RRL Plan Surplus/</w:t>
            </w:r>
            <w:r w:rsidRPr="00010E67">
              <w:rPr>
                <w:rFonts w:ascii="Arial" w:hAnsi="Arial" w:cs="Arial"/>
                <w:b/>
                <w:bCs/>
                <w:color w:val="FF0000"/>
                <w:sz w:val="24"/>
                <w:szCs w:val="24"/>
              </w:rPr>
              <w:t>(Deficit)</w:t>
            </w:r>
          </w:p>
        </w:tc>
        <w:tc>
          <w:tcPr>
            <w:tcW w:w="1087" w:type="dxa"/>
            <w:tcBorders>
              <w:top w:val="single" w:sz="8" w:space="0" w:color="auto"/>
              <w:left w:val="nil"/>
              <w:bottom w:val="single" w:sz="4" w:space="0" w:color="auto"/>
              <w:right w:val="single" w:sz="8" w:space="0" w:color="auto"/>
            </w:tcBorders>
            <w:shd w:val="clear" w:color="000000" w:fill="8DB4E3"/>
            <w:hideMark/>
          </w:tcPr>
          <w:p w:rsidR="001318A5" w:rsidRPr="00010E67" w:rsidRDefault="001318A5" w:rsidP="00577564">
            <w:pPr>
              <w:widowControl/>
              <w:autoSpaceDE/>
              <w:autoSpaceDN/>
              <w:adjustRightInd/>
              <w:jc w:val="center"/>
              <w:rPr>
                <w:rFonts w:ascii="Arial" w:hAnsi="Arial" w:cs="Arial"/>
                <w:b/>
                <w:bCs/>
                <w:color w:val="000000"/>
                <w:sz w:val="24"/>
                <w:szCs w:val="24"/>
              </w:rPr>
            </w:pPr>
            <w:r w:rsidRPr="00010E67">
              <w:rPr>
                <w:rFonts w:ascii="Arial" w:hAnsi="Arial" w:cs="Arial"/>
                <w:b/>
                <w:bCs/>
                <w:color w:val="000000"/>
                <w:sz w:val="24"/>
                <w:szCs w:val="24"/>
              </w:rPr>
              <w:t>RRL Actual Surplus/</w:t>
            </w:r>
            <w:r w:rsidRPr="00010E67">
              <w:rPr>
                <w:rFonts w:ascii="Arial" w:hAnsi="Arial" w:cs="Arial"/>
                <w:b/>
                <w:bCs/>
                <w:color w:val="003300"/>
                <w:sz w:val="24"/>
                <w:szCs w:val="24"/>
              </w:rPr>
              <w:t xml:space="preserve"> </w:t>
            </w:r>
            <w:r w:rsidRPr="00010E67">
              <w:rPr>
                <w:rFonts w:ascii="Arial" w:hAnsi="Arial" w:cs="Arial"/>
                <w:b/>
                <w:bCs/>
                <w:color w:val="FF0000"/>
                <w:sz w:val="24"/>
                <w:szCs w:val="24"/>
              </w:rPr>
              <w:t>(Deficit)</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707"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622"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521"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521"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7"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16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1266"/>
        </w:trPr>
        <w:tc>
          <w:tcPr>
            <w:tcW w:w="1112" w:type="dxa"/>
            <w:tcBorders>
              <w:top w:val="nil"/>
              <w:left w:val="single" w:sz="8" w:space="0" w:color="auto"/>
              <w:bottom w:val="single" w:sz="4" w:space="0" w:color="auto"/>
              <w:right w:val="single" w:sz="4" w:space="0" w:color="auto"/>
            </w:tcBorders>
            <w:shd w:val="clear" w:color="auto" w:fill="auto"/>
            <w:hideMark/>
          </w:tcPr>
          <w:p w:rsidR="001318A5" w:rsidRPr="00010E67" w:rsidRDefault="001318A5" w:rsidP="00577564">
            <w:pPr>
              <w:widowControl/>
              <w:autoSpaceDE/>
              <w:autoSpaceDN/>
              <w:adjustRightInd/>
              <w:rPr>
                <w:rFonts w:ascii="Arial" w:hAnsi="Arial" w:cs="Arial"/>
                <w:b/>
                <w:bCs/>
                <w:color w:val="000000"/>
                <w:sz w:val="24"/>
                <w:szCs w:val="24"/>
              </w:rPr>
            </w:pPr>
            <w:r w:rsidRPr="00010E67">
              <w:rPr>
                <w:rFonts w:ascii="Arial" w:hAnsi="Arial" w:cs="Arial"/>
                <w:b/>
                <w:bCs/>
                <w:color w:val="000000"/>
                <w:sz w:val="24"/>
                <w:szCs w:val="24"/>
              </w:rPr>
              <w:t xml:space="preserve">Saving / </w:t>
            </w:r>
            <w:r w:rsidRPr="00010E67">
              <w:rPr>
                <w:rFonts w:ascii="Arial" w:hAnsi="Arial" w:cs="Arial"/>
                <w:b/>
                <w:bCs/>
                <w:color w:val="FF0000"/>
                <w:sz w:val="24"/>
                <w:szCs w:val="24"/>
              </w:rPr>
              <w:t>(Excess)</w:t>
            </w:r>
            <w:r w:rsidRPr="00010E67">
              <w:rPr>
                <w:rFonts w:ascii="Arial" w:hAnsi="Arial" w:cs="Arial"/>
                <w:b/>
                <w:bCs/>
                <w:color w:val="000000"/>
                <w:sz w:val="24"/>
                <w:szCs w:val="24"/>
              </w:rPr>
              <w:t xml:space="preserve"> against Core RRL as at the end of:</w:t>
            </w:r>
          </w:p>
        </w:tc>
        <w:tc>
          <w:tcPr>
            <w:tcW w:w="1913" w:type="dxa"/>
            <w:tcBorders>
              <w:top w:val="nil"/>
              <w:left w:val="nil"/>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b/>
                <w:bCs/>
                <w:color w:val="000000"/>
                <w:sz w:val="24"/>
                <w:szCs w:val="24"/>
              </w:rPr>
            </w:pPr>
            <w:r w:rsidRPr="00010E67">
              <w:rPr>
                <w:rFonts w:ascii="Arial" w:hAnsi="Arial" w:cs="Arial"/>
                <w:b/>
                <w:bCs/>
                <w:color w:val="000000"/>
                <w:sz w:val="24"/>
                <w:szCs w:val="24"/>
              </w:rPr>
              <w:t>£000s</w:t>
            </w:r>
          </w:p>
        </w:tc>
        <w:tc>
          <w:tcPr>
            <w:tcW w:w="1087" w:type="dxa"/>
            <w:tcBorders>
              <w:top w:val="nil"/>
              <w:left w:val="nil"/>
              <w:bottom w:val="single" w:sz="4"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b/>
                <w:bCs/>
                <w:color w:val="000000"/>
                <w:sz w:val="24"/>
                <w:szCs w:val="24"/>
              </w:rPr>
            </w:pPr>
            <w:r w:rsidRPr="00010E67">
              <w:rPr>
                <w:rFonts w:ascii="Arial" w:hAnsi="Arial" w:cs="Arial"/>
                <w:b/>
                <w:bCs/>
                <w:color w:val="000000"/>
                <w:sz w:val="24"/>
                <w:szCs w:val="24"/>
              </w:rPr>
              <w:t>£000s</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val="restart"/>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r>
              <w:rPr>
                <w:rFonts w:ascii="Calibri" w:hAnsi="Calibri" w:cs="Calibri"/>
                <w:noProof/>
                <w:color w:val="000000"/>
              </w:rPr>
              <w:drawing>
                <wp:anchor distT="0" distB="0" distL="114300" distR="114300" simplePos="0" relativeHeight="251659776" behindDoc="0" locked="0" layoutInCell="1" allowOverlap="1" wp14:anchorId="58AB0793" wp14:editId="344E6DAB">
                  <wp:simplePos x="0" y="0"/>
                  <wp:positionH relativeFrom="column">
                    <wp:posOffset>59055</wp:posOffset>
                  </wp:positionH>
                  <wp:positionV relativeFrom="paragraph">
                    <wp:posOffset>-3858895</wp:posOffset>
                  </wp:positionV>
                  <wp:extent cx="3237865" cy="2901315"/>
                  <wp:effectExtent l="0" t="0" r="0" b="0"/>
                  <wp:wrapNone/>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tc>
      </w:tr>
      <w:tr w:rsidR="00932501" w:rsidRPr="00010E67" w:rsidTr="00932501">
        <w:trPr>
          <w:trHeight w:val="199"/>
        </w:trPr>
        <w:tc>
          <w:tcPr>
            <w:tcW w:w="1112" w:type="dxa"/>
            <w:tcBorders>
              <w:top w:val="nil"/>
              <w:left w:val="single" w:sz="8" w:space="0" w:color="auto"/>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ind w:firstLineChars="100" w:firstLine="240"/>
              <w:rPr>
                <w:rFonts w:ascii="Arial" w:hAnsi="Arial" w:cs="Arial"/>
                <w:color w:val="000000"/>
                <w:sz w:val="24"/>
                <w:szCs w:val="24"/>
              </w:rPr>
            </w:pPr>
            <w:r w:rsidRPr="00010E67">
              <w:rPr>
                <w:rFonts w:ascii="Arial" w:hAnsi="Arial" w:cs="Arial"/>
                <w:color w:val="000000"/>
                <w:sz w:val="24"/>
                <w:szCs w:val="24"/>
              </w:rPr>
              <w:t>April</w:t>
            </w:r>
          </w:p>
        </w:tc>
        <w:tc>
          <w:tcPr>
            <w:tcW w:w="1913" w:type="dxa"/>
            <w:tcBorders>
              <w:top w:val="nil"/>
              <w:left w:val="nil"/>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1087" w:type="dxa"/>
            <w:tcBorders>
              <w:top w:val="nil"/>
              <w:left w:val="nil"/>
              <w:bottom w:val="single" w:sz="4"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1178</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199"/>
        </w:trPr>
        <w:tc>
          <w:tcPr>
            <w:tcW w:w="1112" w:type="dxa"/>
            <w:tcBorders>
              <w:top w:val="nil"/>
              <w:left w:val="single" w:sz="8" w:space="0" w:color="auto"/>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ind w:firstLineChars="100" w:firstLine="240"/>
              <w:rPr>
                <w:rFonts w:ascii="Arial" w:hAnsi="Arial" w:cs="Arial"/>
                <w:color w:val="000000"/>
                <w:sz w:val="24"/>
                <w:szCs w:val="24"/>
              </w:rPr>
            </w:pPr>
            <w:r w:rsidRPr="00010E67">
              <w:rPr>
                <w:rFonts w:ascii="Arial" w:hAnsi="Arial" w:cs="Arial"/>
                <w:color w:val="000000"/>
                <w:sz w:val="24"/>
                <w:szCs w:val="24"/>
              </w:rPr>
              <w:t>May</w:t>
            </w:r>
          </w:p>
        </w:tc>
        <w:tc>
          <w:tcPr>
            <w:tcW w:w="1913" w:type="dxa"/>
            <w:tcBorders>
              <w:top w:val="nil"/>
              <w:left w:val="nil"/>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1087" w:type="dxa"/>
            <w:tcBorders>
              <w:top w:val="nil"/>
              <w:left w:val="nil"/>
              <w:bottom w:val="single" w:sz="4"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1065</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199"/>
        </w:trPr>
        <w:tc>
          <w:tcPr>
            <w:tcW w:w="1112" w:type="dxa"/>
            <w:tcBorders>
              <w:top w:val="nil"/>
              <w:left w:val="single" w:sz="8" w:space="0" w:color="auto"/>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ind w:firstLineChars="100" w:firstLine="240"/>
              <w:rPr>
                <w:rFonts w:ascii="Arial" w:hAnsi="Arial" w:cs="Arial"/>
                <w:color w:val="000000"/>
                <w:sz w:val="24"/>
                <w:szCs w:val="24"/>
              </w:rPr>
            </w:pPr>
            <w:r w:rsidRPr="00010E67">
              <w:rPr>
                <w:rFonts w:ascii="Arial" w:hAnsi="Arial" w:cs="Arial"/>
                <w:color w:val="000000"/>
                <w:sz w:val="24"/>
                <w:szCs w:val="24"/>
              </w:rPr>
              <w:t>June</w:t>
            </w:r>
          </w:p>
        </w:tc>
        <w:tc>
          <w:tcPr>
            <w:tcW w:w="1913" w:type="dxa"/>
            <w:tcBorders>
              <w:top w:val="nil"/>
              <w:left w:val="nil"/>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1,000</w:t>
            </w:r>
          </w:p>
        </w:tc>
        <w:tc>
          <w:tcPr>
            <w:tcW w:w="1087" w:type="dxa"/>
            <w:tcBorders>
              <w:top w:val="nil"/>
              <w:left w:val="nil"/>
              <w:bottom w:val="single" w:sz="4"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199"/>
        </w:trPr>
        <w:tc>
          <w:tcPr>
            <w:tcW w:w="1112" w:type="dxa"/>
            <w:tcBorders>
              <w:top w:val="nil"/>
              <w:left w:val="single" w:sz="8" w:space="0" w:color="auto"/>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ind w:firstLineChars="100" w:firstLine="240"/>
              <w:rPr>
                <w:rFonts w:ascii="Arial" w:hAnsi="Arial" w:cs="Arial"/>
                <w:color w:val="000000"/>
                <w:sz w:val="24"/>
                <w:szCs w:val="24"/>
              </w:rPr>
            </w:pPr>
            <w:r w:rsidRPr="00010E67">
              <w:rPr>
                <w:rFonts w:ascii="Arial" w:hAnsi="Arial" w:cs="Arial"/>
                <w:color w:val="000000"/>
                <w:sz w:val="24"/>
                <w:szCs w:val="24"/>
              </w:rPr>
              <w:t>July</w:t>
            </w:r>
          </w:p>
        </w:tc>
        <w:tc>
          <w:tcPr>
            <w:tcW w:w="1913" w:type="dxa"/>
            <w:tcBorders>
              <w:top w:val="nil"/>
              <w:left w:val="nil"/>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825</w:t>
            </w:r>
          </w:p>
        </w:tc>
        <w:tc>
          <w:tcPr>
            <w:tcW w:w="1087" w:type="dxa"/>
            <w:tcBorders>
              <w:top w:val="nil"/>
              <w:left w:val="nil"/>
              <w:bottom w:val="single" w:sz="4"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199"/>
        </w:trPr>
        <w:tc>
          <w:tcPr>
            <w:tcW w:w="1112" w:type="dxa"/>
            <w:tcBorders>
              <w:top w:val="nil"/>
              <w:left w:val="single" w:sz="8" w:space="0" w:color="auto"/>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ind w:firstLineChars="100" w:firstLine="240"/>
              <w:rPr>
                <w:rFonts w:ascii="Arial" w:hAnsi="Arial" w:cs="Arial"/>
                <w:color w:val="000000"/>
                <w:sz w:val="24"/>
                <w:szCs w:val="24"/>
              </w:rPr>
            </w:pPr>
            <w:r w:rsidRPr="00010E67">
              <w:rPr>
                <w:rFonts w:ascii="Arial" w:hAnsi="Arial" w:cs="Arial"/>
                <w:color w:val="000000"/>
                <w:sz w:val="24"/>
                <w:szCs w:val="24"/>
              </w:rPr>
              <w:t>Aug</w:t>
            </w:r>
          </w:p>
        </w:tc>
        <w:tc>
          <w:tcPr>
            <w:tcW w:w="1913" w:type="dxa"/>
            <w:tcBorders>
              <w:top w:val="nil"/>
              <w:left w:val="nil"/>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600</w:t>
            </w:r>
          </w:p>
        </w:tc>
        <w:tc>
          <w:tcPr>
            <w:tcW w:w="1087" w:type="dxa"/>
            <w:tcBorders>
              <w:top w:val="nil"/>
              <w:left w:val="nil"/>
              <w:bottom w:val="single" w:sz="4"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199"/>
        </w:trPr>
        <w:tc>
          <w:tcPr>
            <w:tcW w:w="1112" w:type="dxa"/>
            <w:tcBorders>
              <w:top w:val="nil"/>
              <w:left w:val="single" w:sz="8" w:space="0" w:color="auto"/>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ind w:firstLineChars="100" w:firstLine="240"/>
              <w:rPr>
                <w:rFonts w:ascii="Arial" w:hAnsi="Arial" w:cs="Arial"/>
                <w:color w:val="000000"/>
                <w:sz w:val="24"/>
                <w:szCs w:val="24"/>
              </w:rPr>
            </w:pPr>
            <w:r w:rsidRPr="00010E67">
              <w:rPr>
                <w:rFonts w:ascii="Arial" w:hAnsi="Arial" w:cs="Arial"/>
                <w:color w:val="000000"/>
                <w:sz w:val="24"/>
                <w:szCs w:val="24"/>
              </w:rPr>
              <w:t>Sept</w:t>
            </w:r>
          </w:p>
        </w:tc>
        <w:tc>
          <w:tcPr>
            <w:tcW w:w="1913" w:type="dxa"/>
            <w:tcBorders>
              <w:top w:val="nil"/>
              <w:left w:val="nil"/>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300</w:t>
            </w:r>
          </w:p>
        </w:tc>
        <w:tc>
          <w:tcPr>
            <w:tcW w:w="1087" w:type="dxa"/>
            <w:tcBorders>
              <w:top w:val="nil"/>
              <w:left w:val="nil"/>
              <w:bottom w:val="single" w:sz="4"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199"/>
        </w:trPr>
        <w:tc>
          <w:tcPr>
            <w:tcW w:w="1112" w:type="dxa"/>
            <w:tcBorders>
              <w:top w:val="nil"/>
              <w:left w:val="single" w:sz="8" w:space="0" w:color="auto"/>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ind w:firstLineChars="100" w:firstLine="240"/>
              <w:rPr>
                <w:rFonts w:ascii="Arial" w:hAnsi="Arial" w:cs="Arial"/>
                <w:color w:val="000000"/>
                <w:sz w:val="24"/>
                <w:szCs w:val="24"/>
              </w:rPr>
            </w:pPr>
            <w:r w:rsidRPr="00010E67">
              <w:rPr>
                <w:rFonts w:ascii="Arial" w:hAnsi="Arial" w:cs="Arial"/>
                <w:color w:val="000000"/>
                <w:sz w:val="24"/>
                <w:szCs w:val="24"/>
              </w:rPr>
              <w:t>Oct</w:t>
            </w:r>
          </w:p>
        </w:tc>
        <w:tc>
          <w:tcPr>
            <w:tcW w:w="1913" w:type="dxa"/>
            <w:tcBorders>
              <w:top w:val="nil"/>
              <w:left w:val="nil"/>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175</w:t>
            </w:r>
          </w:p>
        </w:tc>
        <w:tc>
          <w:tcPr>
            <w:tcW w:w="1087" w:type="dxa"/>
            <w:tcBorders>
              <w:top w:val="nil"/>
              <w:left w:val="nil"/>
              <w:bottom w:val="single" w:sz="4"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199"/>
        </w:trPr>
        <w:tc>
          <w:tcPr>
            <w:tcW w:w="1112" w:type="dxa"/>
            <w:tcBorders>
              <w:top w:val="nil"/>
              <w:left w:val="single" w:sz="8" w:space="0" w:color="auto"/>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ind w:firstLineChars="100" w:firstLine="240"/>
              <w:rPr>
                <w:rFonts w:ascii="Arial" w:hAnsi="Arial" w:cs="Arial"/>
                <w:color w:val="000000"/>
                <w:sz w:val="24"/>
                <w:szCs w:val="24"/>
              </w:rPr>
            </w:pPr>
            <w:r w:rsidRPr="00010E67">
              <w:rPr>
                <w:rFonts w:ascii="Arial" w:hAnsi="Arial" w:cs="Arial"/>
                <w:color w:val="000000"/>
                <w:sz w:val="24"/>
                <w:szCs w:val="24"/>
              </w:rPr>
              <w:t>Nov</w:t>
            </w:r>
          </w:p>
        </w:tc>
        <w:tc>
          <w:tcPr>
            <w:tcW w:w="1913" w:type="dxa"/>
            <w:tcBorders>
              <w:top w:val="nil"/>
              <w:left w:val="nil"/>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1087" w:type="dxa"/>
            <w:tcBorders>
              <w:top w:val="nil"/>
              <w:left w:val="nil"/>
              <w:bottom w:val="single" w:sz="4"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199"/>
        </w:trPr>
        <w:tc>
          <w:tcPr>
            <w:tcW w:w="1112" w:type="dxa"/>
            <w:tcBorders>
              <w:top w:val="nil"/>
              <w:left w:val="single" w:sz="8" w:space="0" w:color="auto"/>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ind w:firstLineChars="100" w:firstLine="240"/>
              <w:rPr>
                <w:rFonts w:ascii="Arial" w:hAnsi="Arial" w:cs="Arial"/>
                <w:color w:val="000000"/>
                <w:sz w:val="24"/>
                <w:szCs w:val="24"/>
              </w:rPr>
            </w:pPr>
            <w:r w:rsidRPr="00010E67">
              <w:rPr>
                <w:rFonts w:ascii="Arial" w:hAnsi="Arial" w:cs="Arial"/>
                <w:color w:val="000000"/>
                <w:sz w:val="24"/>
                <w:szCs w:val="24"/>
              </w:rPr>
              <w:t>Dec</w:t>
            </w:r>
          </w:p>
        </w:tc>
        <w:tc>
          <w:tcPr>
            <w:tcW w:w="1913" w:type="dxa"/>
            <w:tcBorders>
              <w:top w:val="nil"/>
              <w:left w:val="nil"/>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1087" w:type="dxa"/>
            <w:tcBorders>
              <w:top w:val="nil"/>
              <w:left w:val="nil"/>
              <w:bottom w:val="single" w:sz="4"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199"/>
        </w:trPr>
        <w:tc>
          <w:tcPr>
            <w:tcW w:w="1112" w:type="dxa"/>
            <w:tcBorders>
              <w:top w:val="nil"/>
              <w:left w:val="single" w:sz="8" w:space="0" w:color="auto"/>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ind w:firstLineChars="100" w:firstLine="240"/>
              <w:rPr>
                <w:rFonts w:ascii="Arial" w:hAnsi="Arial" w:cs="Arial"/>
                <w:color w:val="000000"/>
                <w:sz w:val="24"/>
                <w:szCs w:val="24"/>
              </w:rPr>
            </w:pPr>
            <w:r w:rsidRPr="00010E67">
              <w:rPr>
                <w:rFonts w:ascii="Arial" w:hAnsi="Arial" w:cs="Arial"/>
                <w:color w:val="000000"/>
                <w:sz w:val="24"/>
                <w:szCs w:val="24"/>
              </w:rPr>
              <w:t>Jan</w:t>
            </w:r>
          </w:p>
        </w:tc>
        <w:tc>
          <w:tcPr>
            <w:tcW w:w="1913" w:type="dxa"/>
            <w:tcBorders>
              <w:top w:val="nil"/>
              <w:left w:val="nil"/>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1087" w:type="dxa"/>
            <w:tcBorders>
              <w:top w:val="nil"/>
              <w:left w:val="nil"/>
              <w:bottom w:val="single" w:sz="4"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199"/>
        </w:trPr>
        <w:tc>
          <w:tcPr>
            <w:tcW w:w="1112" w:type="dxa"/>
            <w:tcBorders>
              <w:top w:val="nil"/>
              <w:left w:val="single" w:sz="8" w:space="0" w:color="auto"/>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ind w:firstLineChars="100" w:firstLine="240"/>
              <w:rPr>
                <w:rFonts w:ascii="Arial" w:hAnsi="Arial" w:cs="Arial"/>
                <w:color w:val="000000"/>
                <w:sz w:val="24"/>
                <w:szCs w:val="24"/>
              </w:rPr>
            </w:pPr>
            <w:r w:rsidRPr="00010E67">
              <w:rPr>
                <w:rFonts w:ascii="Arial" w:hAnsi="Arial" w:cs="Arial"/>
                <w:color w:val="000000"/>
                <w:sz w:val="24"/>
                <w:szCs w:val="24"/>
              </w:rPr>
              <w:t>Feb</w:t>
            </w:r>
          </w:p>
        </w:tc>
        <w:tc>
          <w:tcPr>
            <w:tcW w:w="1913" w:type="dxa"/>
            <w:tcBorders>
              <w:top w:val="nil"/>
              <w:left w:val="nil"/>
              <w:bottom w:val="single" w:sz="4"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1087" w:type="dxa"/>
            <w:tcBorders>
              <w:top w:val="nil"/>
              <w:left w:val="nil"/>
              <w:bottom w:val="single" w:sz="4"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210"/>
        </w:trPr>
        <w:tc>
          <w:tcPr>
            <w:tcW w:w="1112" w:type="dxa"/>
            <w:tcBorders>
              <w:top w:val="nil"/>
              <w:left w:val="single" w:sz="8" w:space="0" w:color="auto"/>
              <w:bottom w:val="single" w:sz="8" w:space="0" w:color="auto"/>
              <w:right w:val="single" w:sz="4" w:space="0" w:color="auto"/>
            </w:tcBorders>
            <w:shd w:val="clear" w:color="auto" w:fill="auto"/>
            <w:noWrap/>
            <w:hideMark/>
          </w:tcPr>
          <w:p w:rsidR="001318A5" w:rsidRPr="00010E67" w:rsidRDefault="001318A5" w:rsidP="00577564">
            <w:pPr>
              <w:widowControl/>
              <w:autoSpaceDE/>
              <w:autoSpaceDN/>
              <w:adjustRightInd/>
              <w:ind w:firstLineChars="100" w:firstLine="240"/>
              <w:rPr>
                <w:rFonts w:ascii="Arial" w:hAnsi="Arial" w:cs="Arial"/>
                <w:color w:val="000000"/>
                <w:sz w:val="24"/>
                <w:szCs w:val="24"/>
              </w:rPr>
            </w:pPr>
            <w:r w:rsidRPr="00010E67">
              <w:rPr>
                <w:rFonts w:ascii="Arial" w:hAnsi="Arial" w:cs="Arial"/>
                <w:color w:val="000000"/>
                <w:sz w:val="24"/>
                <w:szCs w:val="24"/>
              </w:rPr>
              <w:t>Mar</w:t>
            </w:r>
          </w:p>
        </w:tc>
        <w:tc>
          <w:tcPr>
            <w:tcW w:w="1913" w:type="dxa"/>
            <w:tcBorders>
              <w:top w:val="nil"/>
              <w:left w:val="nil"/>
              <w:bottom w:val="single" w:sz="8" w:space="0" w:color="auto"/>
              <w:right w:val="single" w:sz="4"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1087" w:type="dxa"/>
            <w:tcBorders>
              <w:top w:val="nil"/>
              <w:left w:val="nil"/>
              <w:bottom w:val="single" w:sz="8" w:space="0" w:color="auto"/>
              <w:right w:val="single" w:sz="8" w:space="0" w:color="auto"/>
            </w:tcBorders>
            <w:shd w:val="clear" w:color="auto" w:fill="auto"/>
            <w:noWrap/>
            <w:hideMark/>
          </w:tcPr>
          <w:p w:rsidR="001318A5" w:rsidRPr="00010E67" w:rsidRDefault="001318A5" w:rsidP="00577564">
            <w:pPr>
              <w:widowControl/>
              <w:autoSpaceDE/>
              <w:autoSpaceDN/>
              <w:adjustRightInd/>
              <w:jc w:val="center"/>
              <w:rPr>
                <w:rFonts w:ascii="Arial" w:hAnsi="Arial" w:cs="Arial"/>
                <w:color w:val="000000"/>
                <w:sz w:val="24"/>
                <w:szCs w:val="24"/>
              </w:rPr>
            </w:pPr>
            <w:r w:rsidRPr="00010E67">
              <w:rPr>
                <w:rFonts w:ascii="Arial" w:hAnsi="Arial" w:cs="Arial"/>
                <w:color w:val="000000"/>
                <w:sz w:val="24"/>
                <w:szCs w:val="24"/>
              </w:rPr>
              <w:t>0</w:t>
            </w: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32501" w:rsidRPr="00010E67" w:rsidTr="00932501">
        <w:trPr>
          <w:trHeight w:val="199"/>
        </w:trPr>
        <w:tc>
          <w:tcPr>
            <w:tcW w:w="1112"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1913"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1087"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hideMark/>
          </w:tcPr>
          <w:p w:rsidR="001318A5" w:rsidRPr="00010E67" w:rsidRDefault="001318A5" w:rsidP="00577564">
            <w:pPr>
              <w:widowControl/>
              <w:autoSpaceDE/>
              <w:autoSpaceDN/>
              <w:adjustRightInd/>
              <w:rPr>
                <w:rFonts w:ascii="Calibri" w:hAnsi="Calibri" w:cs="Calibri"/>
                <w:color w:val="000000"/>
              </w:rPr>
            </w:pPr>
          </w:p>
        </w:tc>
        <w:tc>
          <w:tcPr>
            <w:tcW w:w="4425" w:type="dxa"/>
            <w:gridSpan w:val="6"/>
            <w:vMerge/>
            <w:tcBorders>
              <w:top w:val="nil"/>
              <w:left w:val="nil"/>
              <w:bottom w:val="nil"/>
              <w:right w:val="nil"/>
            </w:tcBorders>
            <w:vAlign w:val="center"/>
            <w:hideMark/>
          </w:tcPr>
          <w:p w:rsidR="001318A5" w:rsidRPr="00010E67" w:rsidRDefault="001318A5" w:rsidP="00577564">
            <w:pPr>
              <w:widowControl/>
              <w:autoSpaceDE/>
              <w:autoSpaceDN/>
              <w:adjustRightInd/>
              <w:rPr>
                <w:rFonts w:ascii="Calibri" w:hAnsi="Calibri" w:cs="Calibri"/>
                <w:color w:val="000000"/>
              </w:rPr>
            </w:pPr>
          </w:p>
        </w:tc>
      </w:tr>
      <w:tr w:rsidR="0096632E" w:rsidRPr="00010E67" w:rsidTr="00932501">
        <w:trPr>
          <w:trHeight w:val="199"/>
        </w:trPr>
        <w:tc>
          <w:tcPr>
            <w:tcW w:w="1112" w:type="dxa"/>
            <w:tcBorders>
              <w:top w:val="nil"/>
              <w:left w:val="nil"/>
              <w:bottom w:val="nil"/>
              <w:right w:val="nil"/>
            </w:tcBorders>
            <w:shd w:val="clear" w:color="auto" w:fill="auto"/>
            <w:noWrap/>
            <w:vAlign w:val="bottom"/>
          </w:tcPr>
          <w:p w:rsidR="0096632E" w:rsidRPr="00010E67" w:rsidRDefault="0096632E" w:rsidP="00577564">
            <w:pPr>
              <w:widowControl/>
              <w:autoSpaceDE/>
              <w:autoSpaceDN/>
              <w:adjustRightInd/>
              <w:rPr>
                <w:rFonts w:ascii="Calibri" w:hAnsi="Calibri" w:cs="Calibri"/>
                <w:color w:val="000000"/>
              </w:rPr>
            </w:pPr>
          </w:p>
        </w:tc>
        <w:tc>
          <w:tcPr>
            <w:tcW w:w="1913" w:type="dxa"/>
            <w:tcBorders>
              <w:top w:val="nil"/>
              <w:left w:val="nil"/>
              <w:bottom w:val="nil"/>
              <w:right w:val="nil"/>
            </w:tcBorders>
            <w:shd w:val="clear" w:color="auto" w:fill="auto"/>
            <w:noWrap/>
            <w:vAlign w:val="bottom"/>
          </w:tcPr>
          <w:p w:rsidR="0096632E" w:rsidRPr="00010E67" w:rsidRDefault="0096632E" w:rsidP="00577564">
            <w:pPr>
              <w:widowControl/>
              <w:autoSpaceDE/>
              <w:autoSpaceDN/>
              <w:adjustRightInd/>
              <w:rPr>
                <w:rFonts w:ascii="Calibri" w:hAnsi="Calibri" w:cs="Calibri"/>
                <w:color w:val="000000"/>
              </w:rPr>
            </w:pPr>
          </w:p>
        </w:tc>
        <w:tc>
          <w:tcPr>
            <w:tcW w:w="1087" w:type="dxa"/>
            <w:tcBorders>
              <w:top w:val="nil"/>
              <w:left w:val="nil"/>
              <w:bottom w:val="nil"/>
              <w:right w:val="nil"/>
            </w:tcBorders>
            <w:shd w:val="clear" w:color="auto" w:fill="auto"/>
            <w:noWrap/>
            <w:vAlign w:val="bottom"/>
          </w:tcPr>
          <w:p w:rsidR="0096632E" w:rsidRPr="00010E67" w:rsidRDefault="0096632E"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tcPr>
          <w:p w:rsidR="0096632E" w:rsidRPr="00010E67" w:rsidRDefault="0096632E" w:rsidP="00577564">
            <w:pPr>
              <w:widowControl/>
              <w:autoSpaceDE/>
              <w:autoSpaceDN/>
              <w:adjustRightInd/>
              <w:rPr>
                <w:rFonts w:ascii="Calibri" w:hAnsi="Calibri" w:cs="Calibri"/>
                <w:color w:val="000000"/>
              </w:rPr>
            </w:pPr>
          </w:p>
        </w:tc>
        <w:tc>
          <w:tcPr>
            <w:tcW w:w="205" w:type="dxa"/>
            <w:tcBorders>
              <w:top w:val="nil"/>
              <w:left w:val="nil"/>
              <w:bottom w:val="nil"/>
              <w:right w:val="nil"/>
            </w:tcBorders>
            <w:shd w:val="clear" w:color="auto" w:fill="auto"/>
            <w:noWrap/>
            <w:vAlign w:val="bottom"/>
          </w:tcPr>
          <w:p w:rsidR="0096632E" w:rsidRPr="00010E67" w:rsidRDefault="0096632E" w:rsidP="00577564">
            <w:pPr>
              <w:widowControl/>
              <w:autoSpaceDE/>
              <w:autoSpaceDN/>
              <w:adjustRightInd/>
              <w:rPr>
                <w:rFonts w:ascii="Calibri" w:hAnsi="Calibri" w:cs="Calibri"/>
                <w:color w:val="000000"/>
              </w:rPr>
            </w:pPr>
          </w:p>
        </w:tc>
        <w:tc>
          <w:tcPr>
            <w:tcW w:w="4425" w:type="dxa"/>
            <w:gridSpan w:val="6"/>
            <w:tcBorders>
              <w:top w:val="nil"/>
              <w:left w:val="nil"/>
              <w:bottom w:val="nil"/>
              <w:right w:val="nil"/>
            </w:tcBorders>
            <w:vAlign w:val="center"/>
          </w:tcPr>
          <w:p w:rsidR="0096632E" w:rsidRPr="00010E67" w:rsidRDefault="0096632E" w:rsidP="00577564">
            <w:pPr>
              <w:widowControl/>
              <w:autoSpaceDE/>
              <w:autoSpaceDN/>
              <w:adjustRightInd/>
              <w:rPr>
                <w:rFonts w:ascii="Calibri" w:hAnsi="Calibri" w:cs="Calibri"/>
                <w:color w:val="000000"/>
              </w:rPr>
            </w:pPr>
          </w:p>
        </w:tc>
      </w:tr>
    </w:tbl>
    <w:p w:rsidR="008E5C77" w:rsidRPr="008E19C6" w:rsidRDefault="008E5C77" w:rsidP="008E5C77">
      <w:pPr>
        <w:kinsoku w:val="0"/>
        <w:overflowPunct w:val="0"/>
        <w:spacing w:before="5"/>
        <w:ind w:right="627"/>
        <w:rPr>
          <w:rFonts w:ascii="Arial" w:hAnsi="Arial" w:cs="Arial"/>
          <w:b/>
          <w:color w:val="0070C0"/>
          <w:sz w:val="24"/>
          <w:szCs w:val="24"/>
        </w:rPr>
      </w:pPr>
      <w:r w:rsidRPr="008E19C6">
        <w:rPr>
          <w:rFonts w:ascii="Arial" w:hAnsi="Arial" w:cs="Arial"/>
          <w:b/>
          <w:color w:val="0070C0"/>
          <w:sz w:val="24"/>
          <w:szCs w:val="24"/>
        </w:rPr>
        <w:t>Financial Risk Considerations</w:t>
      </w:r>
    </w:p>
    <w:p w:rsidR="008E5C77" w:rsidRPr="008E19C6" w:rsidRDefault="008E5C77" w:rsidP="008E5C77">
      <w:pPr>
        <w:kinsoku w:val="0"/>
        <w:overflowPunct w:val="0"/>
        <w:ind w:right="627"/>
        <w:rPr>
          <w:rFonts w:ascii="Arial" w:hAnsi="Arial" w:cs="Arial"/>
          <w:b/>
          <w:i/>
          <w:color w:val="0070C0"/>
          <w:sz w:val="24"/>
          <w:szCs w:val="24"/>
        </w:rPr>
      </w:pPr>
    </w:p>
    <w:p w:rsidR="008E5C77" w:rsidRPr="008E19C6" w:rsidRDefault="008E5C77" w:rsidP="008E5C77">
      <w:pPr>
        <w:kinsoku w:val="0"/>
        <w:overflowPunct w:val="0"/>
        <w:spacing w:before="3"/>
        <w:ind w:right="627"/>
        <w:rPr>
          <w:rFonts w:ascii="Arial" w:hAnsi="Arial" w:cs="Arial"/>
          <w:sz w:val="24"/>
          <w:szCs w:val="24"/>
        </w:rPr>
      </w:pPr>
      <w:r w:rsidRPr="008E19C6">
        <w:rPr>
          <w:rFonts w:ascii="Arial" w:hAnsi="Arial" w:cs="Arial"/>
          <w:sz w:val="24"/>
          <w:szCs w:val="24"/>
        </w:rPr>
        <w:t>This section highlights to the Board any key risks currently facing the organisation in achieving its revenue financial targets.</w:t>
      </w:r>
    </w:p>
    <w:p w:rsidR="008E5C77" w:rsidRPr="008E19C6" w:rsidRDefault="008E5C77" w:rsidP="008E5C77">
      <w:pPr>
        <w:kinsoku w:val="0"/>
        <w:overflowPunct w:val="0"/>
        <w:ind w:right="627"/>
        <w:rPr>
          <w:rFonts w:ascii="Arial" w:hAnsi="Arial" w:cs="Arial"/>
          <w:b/>
          <w:i/>
          <w:color w:val="0070C0"/>
          <w:sz w:val="24"/>
          <w:szCs w:val="24"/>
        </w:rPr>
      </w:pPr>
    </w:p>
    <w:p w:rsidR="008E5C77" w:rsidRPr="008E19C6" w:rsidRDefault="008E5C77" w:rsidP="008E5C77">
      <w:pPr>
        <w:kinsoku w:val="0"/>
        <w:overflowPunct w:val="0"/>
        <w:ind w:right="627"/>
        <w:rPr>
          <w:rFonts w:ascii="Arial" w:hAnsi="Arial" w:cs="Arial"/>
          <w:b/>
          <w:sz w:val="24"/>
          <w:szCs w:val="24"/>
        </w:rPr>
      </w:pPr>
      <w:r w:rsidRPr="008E19C6">
        <w:rPr>
          <w:rFonts w:ascii="Arial" w:hAnsi="Arial" w:cs="Arial"/>
          <w:b/>
          <w:sz w:val="24"/>
          <w:szCs w:val="24"/>
        </w:rPr>
        <w:t>Movement in Income</w:t>
      </w:r>
    </w:p>
    <w:p w:rsidR="008E5C77" w:rsidRDefault="008E5C77" w:rsidP="008E5C77">
      <w:pPr>
        <w:numPr>
          <w:ilvl w:val="0"/>
          <w:numId w:val="20"/>
        </w:numPr>
        <w:kinsoku w:val="0"/>
        <w:overflowPunct w:val="0"/>
        <w:spacing w:before="3"/>
        <w:ind w:right="627"/>
        <w:rPr>
          <w:rFonts w:ascii="Arial" w:hAnsi="Arial" w:cs="Arial"/>
          <w:sz w:val="24"/>
          <w:szCs w:val="24"/>
        </w:rPr>
      </w:pPr>
      <w:r w:rsidRPr="008E19C6">
        <w:rPr>
          <w:rFonts w:ascii="Arial" w:hAnsi="Arial" w:cs="Arial"/>
          <w:sz w:val="24"/>
          <w:szCs w:val="24"/>
        </w:rPr>
        <w:t>Outcome of Annual Operational plan discussions with Scottish Government in line with Developments and funding assumptions with RRL section of Financial plan, with particular reference to cardiology and EP. Scottish Government have confirmed £</w:t>
      </w:r>
      <w:r w:rsidR="0096632E">
        <w:rPr>
          <w:rFonts w:ascii="Arial" w:hAnsi="Arial" w:cs="Arial"/>
          <w:sz w:val="24"/>
          <w:szCs w:val="24"/>
        </w:rPr>
        <w:t>0.600m</w:t>
      </w:r>
      <w:r w:rsidRPr="008E19C6">
        <w:rPr>
          <w:rFonts w:ascii="Arial" w:hAnsi="Arial" w:cs="Arial"/>
          <w:sz w:val="24"/>
          <w:szCs w:val="24"/>
        </w:rPr>
        <w:t xml:space="preserve"> funding for Cardiology/EP subject to progressing discussions with relevant Regional Boards driving referral and activity increases. Formal conformation on the prior year expansions for Ophthalmology mobile, Endoscopy, General Surgery, Orthopaedic and CT has been requested from Scottish Government.</w:t>
      </w:r>
    </w:p>
    <w:p w:rsidR="00F04EE0" w:rsidRPr="008E19C6" w:rsidRDefault="00F04EE0" w:rsidP="00F04EE0">
      <w:pPr>
        <w:kinsoku w:val="0"/>
        <w:overflowPunct w:val="0"/>
        <w:spacing w:before="3"/>
        <w:ind w:left="720" w:right="627"/>
        <w:rPr>
          <w:rFonts w:ascii="Arial" w:hAnsi="Arial" w:cs="Arial"/>
          <w:sz w:val="24"/>
          <w:szCs w:val="24"/>
        </w:rPr>
      </w:pPr>
    </w:p>
    <w:p w:rsidR="008E5C77" w:rsidRPr="008E19C6" w:rsidRDefault="008E5C77" w:rsidP="008E5C77">
      <w:pPr>
        <w:kinsoku w:val="0"/>
        <w:overflowPunct w:val="0"/>
        <w:spacing w:before="3"/>
        <w:ind w:right="627"/>
        <w:rPr>
          <w:rFonts w:ascii="Arial" w:hAnsi="Arial" w:cs="Arial"/>
          <w:sz w:val="24"/>
          <w:szCs w:val="24"/>
        </w:rPr>
      </w:pPr>
      <w:r w:rsidRPr="008E19C6">
        <w:rPr>
          <w:rFonts w:ascii="Arial" w:hAnsi="Arial" w:cs="Arial"/>
          <w:b/>
          <w:sz w:val="24"/>
          <w:szCs w:val="24"/>
        </w:rPr>
        <w:t>Medical Staffing cost pressures</w:t>
      </w:r>
      <w:r w:rsidRPr="008E19C6">
        <w:rPr>
          <w:rFonts w:ascii="Arial" w:hAnsi="Arial" w:cs="Arial"/>
          <w:sz w:val="24"/>
          <w:szCs w:val="24"/>
        </w:rPr>
        <w:t xml:space="preserve"> </w:t>
      </w:r>
    </w:p>
    <w:p w:rsidR="008E5C77" w:rsidRPr="008E19C6" w:rsidRDefault="008E5C77" w:rsidP="008E5C77">
      <w:pPr>
        <w:numPr>
          <w:ilvl w:val="0"/>
          <w:numId w:val="20"/>
        </w:numPr>
        <w:kinsoku w:val="0"/>
        <w:overflowPunct w:val="0"/>
        <w:spacing w:before="3"/>
        <w:ind w:right="627"/>
        <w:rPr>
          <w:rFonts w:ascii="Arial" w:hAnsi="Arial" w:cs="Arial"/>
          <w:sz w:val="24"/>
          <w:szCs w:val="24"/>
        </w:rPr>
      </w:pPr>
      <w:r w:rsidRPr="008E19C6">
        <w:rPr>
          <w:rFonts w:ascii="Arial" w:hAnsi="Arial" w:cs="Arial"/>
          <w:sz w:val="24"/>
          <w:szCs w:val="24"/>
        </w:rPr>
        <w:t>Slow impact from efficiency related projects to reduce waiting list initiative costs</w:t>
      </w:r>
    </w:p>
    <w:p w:rsidR="008E5C77" w:rsidRPr="008E19C6" w:rsidRDefault="008E5C77" w:rsidP="008E5C77">
      <w:pPr>
        <w:kinsoku w:val="0"/>
        <w:overflowPunct w:val="0"/>
        <w:spacing w:before="3"/>
        <w:ind w:left="360" w:right="627"/>
        <w:rPr>
          <w:rFonts w:ascii="Arial" w:hAnsi="Arial" w:cs="Arial"/>
          <w:sz w:val="24"/>
          <w:szCs w:val="24"/>
        </w:rPr>
      </w:pPr>
    </w:p>
    <w:p w:rsidR="008E5C77" w:rsidRPr="008E19C6" w:rsidRDefault="008E5C77" w:rsidP="008E5C77">
      <w:pPr>
        <w:kinsoku w:val="0"/>
        <w:overflowPunct w:val="0"/>
        <w:spacing w:before="3"/>
        <w:ind w:right="627"/>
        <w:rPr>
          <w:rFonts w:ascii="Arial" w:hAnsi="Arial" w:cs="Arial"/>
          <w:sz w:val="24"/>
          <w:szCs w:val="24"/>
        </w:rPr>
      </w:pPr>
      <w:r w:rsidRPr="008E19C6">
        <w:rPr>
          <w:rFonts w:ascii="Arial" w:hAnsi="Arial" w:cs="Arial"/>
          <w:b/>
          <w:sz w:val="24"/>
          <w:szCs w:val="24"/>
        </w:rPr>
        <w:t>Nursing</w:t>
      </w:r>
    </w:p>
    <w:p w:rsidR="008E5C77" w:rsidRPr="008E19C6" w:rsidRDefault="008E5C77" w:rsidP="008E5C77">
      <w:pPr>
        <w:numPr>
          <w:ilvl w:val="0"/>
          <w:numId w:val="20"/>
        </w:numPr>
        <w:kinsoku w:val="0"/>
        <w:overflowPunct w:val="0"/>
        <w:spacing w:before="3"/>
        <w:ind w:right="627"/>
        <w:rPr>
          <w:rFonts w:ascii="Arial" w:hAnsi="Arial" w:cs="Arial"/>
          <w:sz w:val="24"/>
          <w:szCs w:val="24"/>
        </w:rPr>
      </w:pPr>
      <w:r w:rsidRPr="008E19C6">
        <w:rPr>
          <w:rFonts w:ascii="Arial" w:hAnsi="Arial" w:cs="Arial"/>
          <w:sz w:val="24"/>
          <w:szCs w:val="24"/>
        </w:rPr>
        <w:t>Overtime and Bank reliance in Regional &amp; National Medicine, this is currently being reviewed by the Director of Nursing in line with review undertaken in previous years that drove improvement in the Surgical Division.</w:t>
      </w:r>
    </w:p>
    <w:p w:rsidR="001318A5" w:rsidRDefault="001318A5" w:rsidP="001318A5">
      <w:pPr>
        <w:pStyle w:val="BodyText"/>
        <w:kinsoku w:val="0"/>
        <w:overflowPunct w:val="0"/>
        <w:rPr>
          <w:rFonts w:ascii="Arial" w:hAnsi="Arial" w:cs="Arial"/>
          <w:sz w:val="24"/>
          <w:szCs w:val="24"/>
        </w:rPr>
      </w:pPr>
    </w:p>
    <w:p w:rsidR="008E5C77" w:rsidRPr="008E19C6" w:rsidRDefault="008E5C77" w:rsidP="008E5C77">
      <w:pPr>
        <w:kinsoku w:val="0"/>
        <w:overflowPunct w:val="0"/>
        <w:spacing w:before="3"/>
        <w:ind w:right="627"/>
        <w:rPr>
          <w:rFonts w:ascii="Arial" w:hAnsi="Arial" w:cs="Arial"/>
          <w:sz w:val="24"/>
          <w:szCs w:val="24"/>
        </w:rPr>
      </w:pPr>
      <w:r w:rsidRPr="008E19C6">
        <w:rPr>
          <w:rFonts w:ascii="Arial" w:hAnsi="Arial" w:cs="Arial"/>
          <w:b/>
          <w:sz w:val="24"/>
          <w:szCs w:val="24"/>
        </w:rPr>
        <w:t>Efficiency Savings gap</w:t>
      </w:r>
      <w:r w:rsidRPr="008E19C6">
        <w:rPr>
          <w:rFonts w:ascii="Arial" w:hAnsi="Arial" w:cs="Arial"/>
          <w:sz w:val="24"/>
          <w:szCs w:val="24"/>
        </w:rPr>
        <w:t xml:space="preserve"> </w:t>
      </w:r>
    </w:p>
    <w:p w:rsidR="008E5C77" w:rsidRPr="008E19C6" w:rsidRDefault="008E5C77" w:rsidP="008E5C77">
      <w:pPr>
        <w:numPr>
          <w:ilvl w:val="0"/>
          <w:numId w:val="20"/>
        </w:numPr>
        <w:kinsoku w:val="0"/>
        <w:overflowPunct w:val="0"/>
        <w:spacing w:before="3"/>
        <w:ind w:right="627"/>
        <w:rPr>
          <w:rFonts w:ascii="Arial" w:hAnsi="Arial" w:cs="Arial"/>
          <w:sz w:val="24"/>
          <w:szCs w:val="24"/>
        </w:rPr>
      </w:pPr>
      <w:r w:rsidRPr="008E19C6">
        <w:rPr>
          <w:rFonts w:ascii="Arial" w:hAnsi="Arial" w:cs="Arial"/>
          <w:sz w:val="24"/>
          <w:szCs w:val="24"/>
        </w:rPr>
        <w:t>Although the current unidentified balance reduced from £1.488m at original financial planning submission to current gap of £0.955m. Active discussions continue with the Divisions and Corporate services.</w:t>
      </w:r>
    </w:p>
    <w:p w:rsidR="008E5C77" w:rsidRDefault="008E5C77" w:rsidP="001318A5">
      <w:pPr>
        <w:pStyle w:val="BodyText"/>
        <w:kinsoku w:val="0"/>
        <w:overflowPunct w:val="0"/>
        <w:rPr>
          <w:rFonts w:ascii="Arial" w:hAnsi="Arial" w:cs="Arial"/>
          <w:sz w:val="24"/>
          <w:szCs w:val="24"/>
        </w:rPr>
      </w:pPr>
    </w:p>
    <w:p w:rsidR="008E5C77" w:rsidRPr="008E19C6" w:rsidRDefault="008E5C77" w:rsidP="008E5C77">
      <w:pPr>
        <w:kinsoku w:val="0"/>
        <w:overflowPunct w:val="0"/>
        <w:ind w:right="627"/>
        <w:rPr>
          <w:rFonts w:ascii="Arial" w:hAnsi="Arial" w:cs="Arial"/>
          <w:b/>
          <w:sz w:val="24"/>
          <w:szCs w:val="24"/>
        </w:rPr>
      </w:pPr>
      <w:r w:rsidRPr="008E19C6">
        <w:rPr>
          <w:rFonts w:ascii="Arial" w:hAnsi="Arial" w:cs="Arial"/>
          <w:b/>
          <w:sz w:val="24"/>
          <w:szCs w:val="24"/>
        </w:rPr>
        <w:t>Horizon Scanning</w:t>
      </w:r>
    </w:p>
    <w:p w:rsidR="008E5C77" w:rsidRPr="008E19C6" w:rsidRDefault="008E5C77" w:rsidP="008E5C77">
      <w:pPr>
        <w:numPr>
          <w:ilvl w:val="0"/>
          <w:numId w:val="20"/>
        </w:numPr>
        <w:kinsoku w:val="0"/>
        <w:overflowPunct w:val="0"/>
        <w:spacing w:before="3"/>
        <w:ind w:right="627"/>
        <w:rPr>
          <w:rFonts w:ascii="Arial" w:hAnsi="Arial" w:cs="Arial"/>
          <w:sz w:val="24"/>
          <w:szCs w:val="24"/>
        </w:rPr>
      </w:pPr>
      <w:r w:rsidRPr="008E19C6">
        <w:rPr>
          <w:rFonts w:ascii="Arial" w:hAnsi="Arial" w:cs="Arial"/>
          <w:sz w:val="24"/>
          <w:szCs w:val="24"/>
        </w:rPr>
        <w:t>Brexit preparedness, likely impact of October 31 revised deadline.</w:t>
      </w:r>
    </w:p>
    <w:p w:rsidR="008E5C77" w:rsidRDefault="008E5C77" w:rsidP="001318A5">
      <w:pPr>
        <w:pStyle w:val="BodyText"/>
        <w:kinsoku w:val="0"/>
        <w:overflowPunct w:val="0"/>
        <w:rPr>
          <w:rFonts w:ascii="Arial" w:hAnsi="Arial" w:cs="Arial"/>
          <w:sz w:val="24"/>
          <w:szCs w:val="24"/>
        </w:rPr>
      </w:pPr>
    </w:p>
    <w:p w:rsidR="001318A5" w:rsidRDefault="008E5C77" w:rsidP="001318A5">
      <w:pPr>
        <w:rPr>
          <w:rFonts w:ascii="Arial" w:hAnsi="Arial" w:cs="Arial"/>
          <w:b/>
          <w:sz w:val="24"/>
          <w:szCs w:val="24"/>
        </w:rPr>
      </w:pPr>
      <w:r w:rsidRPr="00932501">
        <w:rPr>
          <w:rFonts w:ascii="Arial" w:hAnsi="Arial" w:cs="Arial"/>
          <w:b/>
          <w:sz w:val="24"/>
          <w:szCs w:val="24"/>
        </w:rPr>
        <w:t>Superannuation Funding</w:t>
      </w:r>
    </w:p>
    <w:p w:rsidR="008E5C77" w:rsidRPr="00BC4B7B" w:rsidRDefault="00BC4B7B" w:rsidP="00BC4B7B">
      <w:pPr>
        <w:pStyle w:val="ListParagraph"/>
        <w:numPr>
          <w:ilvl w:val="0"/>
          <w:numId w:val="24"/>
        </w:numPr>
        <w:jc w:val="both"/>
        <w:rPr>
          <w:rFonts w:ascii="Arial" w:hAnsi="Arial" w:cs="Arial"/>
        </w:rPr>
      </w:pPr>
      <w:r w:rsidRPr="00BC4B7B">
        <w:rPr>
          <w:rFonts w:ascii="Arial" w:hAnsi="Arial" w:cs="Arial"/>
        </w:rPr>
        <w:t>Change in funding calculation basis to SPPA actual March 2019 cumulative contributions against 6%</w:t>
      </w:r>
      <w:r>
        <w:rPr>
          <w:rFonts w:ascii="Arial" w:hAnsi="Arial" w:cs="Arial"/>
        </w:rPr>
        <w:t xml:space="preserve"> increase rather than Board budgeted wte and impact of offsetting reduction for Heart &amp; Lung funding via the </w:t>
      </w:r>
      <w:r w:rsidR="00037D55">
        <w:rPr>
          <w:rFonts w:ascii="Arial" w:hAnsi="Arial" w:cs="Arial"/>
        </w:rPr>
        <w:t>3-year</w:t>
      </w:r>
      <w:r>
        <w:rPr>
          <w:rFonts w:ascii="Arial" w:hAnsi="Arial" w:cs="Arial"/>
        </w:rPr>
        <w:t xml:space="preserve"> funding model.</w:t>
      </w:r>
    </w:p>
    <w:p w:rsidR="008E5C77" w:rsidRDefault="008E5C77" w:rsidP="001318A5"/>
    <w:p w:rsidR="008E5C77" w:rsidRDefault="008E5C77">
      <w:pPr>
        <w:widowControl/>
        <w:autoSpaceDE/>
        <w:autoSpaceDN/>
        <w:adjustRightInd/>
      </w:pPr>
      <w:r>
        <w:br w:type="page"/>
      </w:r>
    </w:p>
    <w:p w:rsidR="008E5C77" w:rsidRPr="00147B53" w:rsidRDefault="008E5C77" w:rsidP="008E5C77">
      <w:pPr>
        <w:pStyle w:val="Heading1"/>
        <w:ind w:left="0"/>
        <w:rPr>
          <w:rFonts w:ascii="Arial" w:hAnsi="Arial" w:cs="Arial"/>
          <w:i w:val="0"/>
          <w:sz w:val="24"/>
          <w:szCs w:val="24"/>
        </w:rPr>
      </w:pPr>
      <w:r w:rsidRPr="00147B53">
        <w:rPr>
          <w:rFonts w:ascii="Arial" w:hAnsi="Arial" w:cs="Arial"/>
          <w:i w:val="0"/>
          <w:sz w:val="24"/>
          <w:szCs w:val="24"/>
        </w:rPr>
        <w:lastRenderedPageBreak/>
        <w:t xml:space="preserve">Non-Core Position </w:t>
      </w:r>
    </w:p>
    <w:p w:rsidR="008E5C77" w:rsidRPr="00147B53" w:rsidRDefault="008E5C77" w:rsidP="008E5C77">
      <w:pPr>
        <w:pStyle w:val="Heading1"/>
        <w:ind w:left="0"/>
        <w:rPr>
          <w:rFonts w:ascii="Arial" w:hAnsi="Arial" w:cs="Arial"/>
          <w:i w:val="0"/>
          <w:sz w:val="24"/>
          <w:szCs w:val="24"/>
        </w:rPr>
      </w:pPr>
    </w:p>
    <w:p w:rsidR="008E5C77" w:rsidRDefault="008E5C77" w:rsidP="008E5C77">
      <w:pPr>
        <w:rPr>
          <w:rFonts w:ascii="Arial" w:hAnsi="Arial" w:cs="Arial"/>
          <w:sz w:val="24"/>
          <w:szCs w:val="24"/>
        </w:rPr>
      </w:pPr>
      <w:r>
        <w:rPr>
          <w:rFonts w:ascii="Arial" w:hAnsi="Arial" w:cs="Arial"/>
          <w:sz w:val="24"/>
          <w:szCs w:val="24"/>
        </w:rPr>
        <w:t>Non-core expenditure is defined as non-cash expenditure and is split as detailed below:</w:t>
      </w:r>
    </w:p>
    <w:p w:rsidR="008E5C77" w:rsidRPr="00147B53" w:rsidRDefault="008E5C77" w:rsidP="008E5C77">
      <w:pPr>
        <w:rPr>
          <w:rFonts w:ascii="Arial" w:hAnsi="Arial" w:cs="Arial"/>
          <w:sz w:val="24"/>
          <w:szCs w:val="24"/>
        </w:rPr>
      </w:pPr>
    </w:p>
    <w:p w:rsidR="008E5C77" w:rsidRDefault="008E5C77" w:rsidP="008E5C77">
      <w:pPr>
        <w:pStyle w:val="BodyTextIndent"/>
        <w:widowControl/>
        <w:numPr>
          <w:ilvl w:val="0"/>
          <w:numId w:val="22"/>
        </w:numPr>
        <w:autoSpaceDE/>
        <w:autoSpaceDN/>
        <w:adjustRightInd/>
        <w:spacing w:after="0"/>
        <w:rPr>
          <w:rFonts w:ascii="Arial" w:hAnsi="Arial" w:cs="Arial"/>
          <w:bCs/>
        </w:rPr>
      </w:pPr>
      <w:r w:rsidRPr="00147B53">
        <w:rPr>
          <w:rFonts w:ascii="Arial" w:hAnsi="Arial" w:cs="Arial"/>
          <w:bCs/>
          <w:sz w:val="24"/>
          <w:szCs w:val="24"/>
        </w:rPr>
        <w:t>Depreciation – this is an annual transfer from core RRL each year with the budget</w:t>
      </w:r>
      <w:r w:rsidRPr="004312BD">
        <w:rPr>
          <w:rFonts w:ascii="Arial" w:hAnsi="Arial" w:cs="Arial"/>
          <w:bCs/>
        </w:rPr>
        <w:t xml:space="preserve"> based on a detailed depreciation budget prepared annually in line with our approved capital plan and existing capital items. </w:t>
      </w:r>
    </w:p>
    <w:p w:rsidR="008E5C77" w:rsidRDefault="008E5C77" w:rsidP="008E5C77">
      <w:pPr>
        <w:pStyle w:val="BodyTextIndent"/>
        <w:widowControl/>
        <w:autoSpaceDE/>
        <w:autoSpaceDN/>
        <w:adjustRightInd/>
        <w:spacing w:after="0"/>
        <w:rPr>
          <w:rFonts w:ascii="Arial" w:hAnsi="Arial" w:cs="Arial"/>
          <w:bCs/>
        </w:rPr>
      </w:pPr>
    </w:p>
    <w:p w:rsidR="008E5C77" w:rsidRDefault="008E5C77" w:rsidP="008E5C77">
      <w:pPr>
        <w:pStyle w:val="BodyTextIndent"/>
        <w:widowControl/>
        <w:autoSpaceDE/>
        <w:autoSpaceDN/>
        <w:adjustRightInd/>
        <w:spacing w:after="0"/>
        <w:ind w:left="360"/>
        <w:rPr>
          <w:rFonts w:ascii="Arial" w:hAnsi="Arial" w:cs="Arial"/>
          <w:bCs/>
        </w:rPr>
      </w:pPr>
      <w:r>
        <w:rPr>
          <w:rFonts w:ascii="Arial" w:hAnsi="Arial" w:cs="Arial"/>
          <w:bCs/>
        </w:rPr>
        <w:t>Year to date this is showing a slight overspend, with this primarily due to the inclusion of projects that were completed in the last financial year, an update will be completed for month three to advise Scottish Government of the revised depreciation budget.</w:t>
      </w:r>
    </w:p>
    <w:p w:rsidR="008E5C77" w:rsidRPr="004312BD" w:rsidRDefault="008E5C77" w:rsidP="008E5C77">
      <w:pPr>
        <w:pStyle w:val="BodyTextIndent"/>
        <w:widowControl/>
        <w:autoSpaceDE/>
        <w:autoSpaceDN/>
        <w:adjustRightInd/>
        <w:spacing w:after="0"/>
        <w:ind w:left="0"/>
        <w:rPr>
          <w:rFonts w:ascii="Arial" w:hAnsi="Arial" w:cs="Arial"/>
          <w:bCs/>
        </w:rPr>
      </w:pPr>
    </w:p>
    <w:p w:rsidR="008E5C77" w:rsidRDefault="008E5C77" w:rsidP="008E5C77">
      <w:pPr>
        <w:pStyle w:val="BodyTextIndent"/>
        <w:widowControl/>
        <w:numPr>
          <w:ilvl w:val="0"/>
          <w:numId w:val="22"/>
        </w:numPr>
        <w:autoSpaceDE/>
        <w:autoSpaceDN/>
        <w:adjustRightInd/>
        <w:spacing w:after="0"/>
        <w:rPr>
          <w:rFonts w:ascii="Arial" w:hAnsi="Arial" w:cs="Arial"/>
          <w:bCs/>
        </w:rPr>
      </w:pPr>
      <w:r w:rsidRPr="004312BD">
        <w:rPr>
          <w:rFonts w:ascii="Arial" w:hAnsi="Arial" w:cs="Arial"/>
          <w:bCs/>
        </w:rPr>
        <w:t>Provisions – this is part of Annually Managed Expenditure and is managed and funded centrally. The original £</w:t>
      </w:r>
      <w:r w:rsidR="0096632E">
        <w:rPr>
          <w:rFonts w:ascii="Arial" w:hAnsi="Arial" w:cs="Arial"/>
          <w:bCs/>
        </w:rPr>
        <w:t>0.040m</w:t>
      </w:r>
      <w:r w:rsidRPr="004312BD">
        <w:rPr>
          <w:rFonts w:ascii="Arial" w:hAnsi="Arial" w:cs="Arial"/>
          <w:bCs/>
        </w:rPr>
        <w:t xml:space="preserve"> estimate in </w:t>
      </w:r>
      <w:r>
        <w:rPr>
          <w:rFonts w:ascii="Arial" w:hAnsi="Arial" w:cs="Arial"/>
          <w:bCs/>
        </w:rPr>
        <w:t>2019/20</w:t>
      </w:r>
      <w:r w:rsidRPr="004312BD">
        <w:rPr>
          <w:rFonts w:ascii="Arial" w:hAnsi="Arial" w:cs="Arial"/>
          <w:bCs/>
        </w:rPr>
        <w:t xml:space="preserve"> </w:t>
      </w:r>
      <w:r>
        <w:rPr>
          <w:rFonts w:ascii="Arial" w:hAnsi="Arial" w:cs="Arial"/>
          <w:bCs/>
        </w:rPr>
        <w:t>will be reviewed on a monthly basis, with quarterly meetings being held with the CLO to review all claims and likely financial implications</w:t>
      </w:r>
      <w:r w:rsidRPr="004312BD">
        <w:rPr>
          <w:rFonts w:ascii="Arial" w:hAnsi="Arial" w:cs="Arial"/>
          <w:bCs/>
        </w:rPr>
        <w:t>.</w:t>
      </w:r>
      <w:r>
        <w:rPr>
          <w:rFonts w:ascii="Arial" w:hAnsi="Arial" w:cs="Arial"/>
          <w:bCs/>
        </w:rPr>
        <w:t xml:space="preserve">  </w:t>
      </w:r>
    </w:p>
    <w:p w:rsidR="008E5C77" w:rsidRDefault="008E5C77" w:rsidP="008E5C77">
      <w:pPr>
        <w:pStyle w:val="BodyTextIndent"/>
        <w:widowControl/>
        <w:autoSpaceDE/>
        <w:autoSpaceDN/>
        <w:adjustRightInd/>
        <w:spacing w:after="0"/>
        <w:rPr>
          <w:rFonts w:ascii="Arial" w:hAnsi="Arial" w:cs="Arial"/>
          <w:bCs/>
        </w:rPr>
      </w:pPr>
    </w:p>
    <w:p w:rsidR="008E5C77" w:rsidRDefault="008E5C77" w:rsidP="008E5C77">
      <w:pPr>
        <w:pStyle w:val="BodyTextIndent"/>
        <w:widowControl/>
        <w:autoSpaceDE/>
        <w:autoSpaceDN/>
        <w:adjustRightInd/>
        <w:spacing w:after="0"/>
        <w:ind w:left="360"/>
        <w:rPr>
          <w:rFonts w:ascii="Arial" w:hAnsi="Arial" w:cs="Arial"/>
          <w:bCs/>
        </w:rPr>
      </w:pPr>
      <w:r>
        <w:rPr>
          <w:rFonts w:ascii="Arial" w:hAnsi="Arial" w:cs="Arial"/>
          <w:bCs/>
        </w:rPr>
        <w:t>There was a decrease in the provision value year-to-date associated with the settlement of a small number of claims for which all associated provisions have been released</w:t>
      </w:r>
    </w:p>
    <w:p w:rsidR="008E5C77" w:rsidRDefault="008E5C77" w:rsidP="008E5C77">
      <w:pPr>
        <w:pStyle w:val="BodyTextIndent"/>
        <w:widowControl/>
        <w:autoSpaceDE/>
        <w:autoSpaceDN/>
        <w:adjustRightInd/>
        <w:spacing w:after="0"/>
        <w:ind w:left="360"/>
        <w:rPr>
          <w:rFonts w:ascii="Arial" w:hAnsi="Arial" w:cs="Arial"/>
          <w:bCs/>
        </w:rPr>
      </w:pPr>
    </w:p>
    <w:p w:rsidR="008E5C77" w:rsidRDefault="008E5C77" w:rsidP="008E5C77">
      <w:pPr>
        <w:pStyle w:val="BodyTextIndent"/>
        <w:widowControl/>
        <w:autoSpaceDE/>
        <w:autoSpaceDN/>
        <w:adjustRightInd/>
        <w:spacing w:after="0"/>
        <w:ind w:left="360"/>
        <w:rPr>
          <w:rFonts w:ascii="Arial" w:hAnsi="Arial" w:cs="Arial"/>
          <w:bCs/>
        </w:rPr>
      </w:pPr>
      <w:r>
        <w:rPr>
          <w:rFonts w:ascii="Arial" w:hAnsi="Arial" w:cs="Arial"/>
          <w:bCs/>
        </w:rPr>
        <w:t>One of the large claims that the principle amount was agreed and paid in month two, remains live as we still require to agree the settlement of legal fees.  Once this is completely settled a claim for reimbursement will be submitted.</w:t>
      </w:r>
      <w:r w:rsidRPr="004312BD">
        <w:rPr>
          <w:rFonts w:ascii="Arial" w:hAnsi="Arial" w:cs="Arial"/>
          <w:bCs/>
        </w:rPr>
        <w:t xml:space="preserve"> </w:t>
      </w:r>
    </w:p>
    <w:p w:rsidR="008E5C77" w:rsidRPr="004312BD" w:rsidRDefault="008E5C77" w:rsidP="008E5C77">
      <w:pPr>
        <w:pStyle w:val="BodyTextIndent"/>
        <w:widowControl/>
        <w:autoSpaceDE/>
        <w:autoSpaceDN/>
        <w:adjustRightInd/>
        <w:spacing w:after="0"/>
        <w:ind w:left="0"/>
        <w:rPr>
          <w:rFonts w:ascii="Arial" w:hAnsi="Arial" w:cs="Arial"/>
          <w:bCs/>
        </w:rPr>
      </w:pPr>
    </w:p>
    <w:p w:rsidR="008E5C77" w:rsidRDefault="008E5C77" w:rsidP="008E5C77">
      <w:pPr>
        <w:rPr>
          <w:rFonts w:ascii="Arial" w:hAnsi="Arial" w:cs="Arial"/>
          <w:bCs/>
        </w:rPr>
      </w:pPr>
      <w:r w:rsidRPr="00D1202E">
        <w:rPr>
          <w:rFonts w:ascii="Arial" w:hAnsi="Arial" w:cs="Arial"/>
          <w:bCs/>
        </w:rPr>
        <w:t xml:space="preserve">Impairment – this also is part of Annually Managed Expenditure and is managed and funded centrally based upon an </w:t>
      </w:r>
      <w:r>
        <w:rPr>
          <w:rFonts w:ascii="Arial" w:hAnsi="Arial" w:cs="Arial"/>
          <w:bCs/>
        </w:rPr>
        <w:t>annual expected spend on building projects. The original estimate of £</w:t>
      </w:r>
      <w:r w:rsidR="008E0C91">
        <w:rPr>
          <w:rFonts w:ascii="Arial" w:hAnsi="Arial" w:cs="Arial"/>
          <w:bCs/>
        </w:rPr>
        <w:t>0.150m</w:t>
      </w:r>
      <w:r>
        <w:rPr>
          <w:rFonts w:ascii="Arial" w:hAnsi="Arial" w:cs="Arial"/>
          <w:bCs/>
        </w:rPr>
        <w:t xml:space="preserve"> in 2019/20 is unlikely to be sufficient to fund the building costs likely to be incurred in the current financial year associated with the building work for Cath Lab Five.  When the tendered costs are known and final plans signed of we will liaise with the appointed valuer to inform the level of impairment, at this point we will update SG</w:t>
      </w: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Default="008E5C77" w:rsidP="008E5C77">
      <w:pPr>
        <w:rPr>
          <w:rFonts w:ascii="Arial" w:hAnsi="Arial" w:cs="Arial"/>
          <w:bCs/>
        </w:rPr>
      </w:pPr>
    </w:p>
    <w:p w:rsidR="008E5C77" w:rsidRPr="008E5C77" w:rsidRDefault="00570658" w:rsidP="008E5C77">
      <w:pPr>
        <w:pStyle w:val="Heading1"/>
        <w:ind w:left="0"/>
        <w:rPr>
          <w:rFonts w:ascii="Arial" w:hAnsi="Arial" w:cs="Arial"/>
          <w:i w:val="0"/>
          <w:color w:val="0070C0"/>
          <w:sz w:val="28"/>
          <w:szCs w:val="28"/>
          <w:u w:val="single"/>
        </w:rPr>
      </w:pPr>
      <w:r>
        <w:rPr>
          <w:noProof/>
        </w:rPr>
        <w:lastRenderedPageBreak/>
        <w:pict>
          <v:rect id="_x0000_s1031" style="position:absolute;margin-left:71.25pt;margin-top:3.8pt;width:19.5pt;height:4.25pt;z-index:251663360;mso-position-horizontal-relative:page" o:allowincell="f" filled="f" stroked="f">
            <v:textbox style="mso-next-textbox:#_x0000_s1031" inset="0,0,0,0">
              <w:txbxContent>
                <w:p w:rsidR="004D4A04" w:rsidRDefault="004D4A04" w:rsidP="008E5C77">
                  <w:pPr>
                    <w:widowControl/>
                    <w:autoSpaceDE/>
                    <w:autoSpaceDN/>
                    <w:adjustRightInd/>
                    <w:spacing w:line="3180" w:lineRule="atLeast"/>
                    <w:rPr>
                      <w:rFonts w:ascii="Times New Roman" w:hAnsi="Times New Roman" w:cs="Times New Roman"/>
                      <w:sz w:val="24"/>
                      <w:szCs w:val="24"/>
                    </w:rPr>
                  </w:pPr>
                </w:p>
                <w:p w:rsidR="004D4A04" w:rsidRDefault="004D4A04" w:rsidP="008E5C77">
                  <w:pPr>
                    <w:rPr>
                      <w:rFonts w:ascii="Times New Roman" w:hAnsi="Times New Roman" w:cs="Times New Roman"/>
                      <w:sz w:val="24"/>
                      <w:szCs w:val="24"/>
                    </w:rPr>
                  </w:pPr>
                </w:p>
              </w:txbxContent>
            </v:textbox>
            <w10:wrap anchorx="page"/>
          </v:rect>
        </w:pict>
      </w:r>
      <w:r>
        <w:rPr>
          <w:noProof/>
        </w:rPr>
        <w:pict>
          <v:shape id="_x0000_s1032" style="position:absolute;margin-left:86.5pt;margin-top:535.6pt;width:51.65pt;height:31.85pt;z-index:-251652096;mso-position-horizontal-relative:page;mso-position-vertical-relative:page" coordsize="1034,638" o:allowincell="f" path="m1034,l240,r,57l,57,,638r794,l794,584r240,l1034,e" stroked="f">
            <v:path arrowok="t"/>
            <w10:wrap anchorx="page" anchory="page"/>
          </v:shape>
        </w:pict>
      </w:r>
      <w:r w:rsidR="008E5C77" w:rsidRPr="00AE1855">
        <w:rPr>
          <w:rFonts w:ascii="Arial" w:hAnsi="Arial" w:cs="Arial"/>
          <w:i w:val="0"/>
          <w:color w:val="0070C0"/>
          <w:sz w:val="24"/>
          <w:szCs w:val="24"/>
        </w:rPr>
        <w:t xml:space="preserve"> </w:t>
      </w:r>
      <w:r w:rsidR="008E5C77" w:rsidRPr="008E19C6">
        <w:rPr>
          <w:rFonts w:ascii="Arial" w:hAnsi="Arial" w:cs="Arial"/>
          <w:i w:val="0"/>
          <w:color w:val="0070C0"/>
          <w:sz w:val="28"/>
          <w:szCs w:val="28"/>
          <w:u w:val="single"/>
        </w:rPr>
        <w:t>Capital Position</w:t>
      </w:r>
    </w:p>
    <w:p w:rsidR="008E5C77" w:rsidRPr="008E19C6" w:rsidRDefault="008E5C77" w:rsidP="008E5C77">
      <w:pPr>
        <w:kinsoku w:val="0"/>
        <w:overflowPunct w:val="0"/>
        <w:spacing w:before="116"/>
        <w:jc w:val="both"/>
        <w:outlineLvl w:val="2"/>
        <w:rPr>
          <w:rFonts w:ascii="Arial" w:hAnsi="Arial" w:cs="Arial"/>
          <w:b/>
          <w:bCs/>
          <w:iCs/>
          <w:color w:val="0070C0"/>
          <w:sz w:val="24"/>
          <w:szCs w:val="24"/>
        </w:rPr>
      </w:pPr>
      <w:r w:rsidRPr="008E19C6">
        <w:rPr>
          <w:rFonts w:ascii="Arial" w:hAnsi="Arial" w:cs="Arial"/>
          <w:b/>
          <w:bCs/>
          <w:iCs/>
          <w:color w:val="0070C0"/>
          <w:sz w:val="24"/>
          <w:szCs w:val="24"/>
        </w:rPr>
        <w:t>Capital Spend</w:t>
      </w:r>
    </w:p>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sz w:val="24"/>
          <w:szCs w:val="24"/>
        </w:rPr>
      </w:pPr>
      <w:r w:rsidRPr="008E19C6">
        <w:rPr>
          <w:rFonts w:ascii="Arial" w:hAnsi="Arial" w:cs="Arial"/>
          <w:sz w:val="24"/>
          <w:szCs w:val="24"/>
        </w:rPr>
        <w:t>At the end of month two there has been no capital expenditure incurred, this is in line with the plan for the year as the majority of the spend routinely takes place in the second half of the year.  Plans are in progress in line with the approved Capital Plan</w:t>
      </w:r>
    </w:p>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b/>
          <w:color w:val="0070C0"/>
          <w:sz w:val="24"/>
          <w:szCs w:val="24"/>
        </w:rPr>
      </w:pPr>
      <w:r w:rsidRPr="008E19C6">
        <w:rPr>
          <w:rFonts w:ascii="Arial" w:hAnsi="Arial" w:cs="Arial"/>
          <w:b/>
          <w:color w:val="0070C0"/>
          <w:sz w:val="24"/>
          <w:szCs w:val="24"/>
        </w:rPr>
        <w:t>Capital – Detail</w:t>
      </w:r>
    </w:p>
    <w:p w:rsidR="008E5C77" w:rsidRPr="008E19C6" w:rsidRDefault="008E5C77" w:rsidP="008E5C77">
      <w:pPr>
        <w:jc w:val="both"/>
        <w:rPr>
          <w:rFonts w:ascii="Arial" w:hAnsi="Arial" w:cs="Arial"/>
          <w:b/>
          <w:color w:val="0070C0"/>
          <w:sz w:val="24"/>
          <w:szCs w:val="24"/>
        </w:rPr>
      </w:pPr>
    </w:p>
    <w:p w:rsidR="008E5C77" w:rsidRPr="008E19C6" w:rsidRDefault="008E5C77" w:rsidP="008E5C77">
      <w:pPr>
        <w:jc w:val="both"/>
        <w:rPr>
          <w:rFonts w:ascii="Arial" w:hAnsi="Arial" w:cs="Arial"/>
          <w:sz w:val="24"/>
          <w:szCs w:val="24"/>
        </w:rPr>
      </w:pPr>
      <w:r w:rsidRPr="008E19C6">
        <w:rPr>
          <w:rFonts w:ascii="Arial" w:hAnsi="Arial" w:cs="Arial"/>
          <w:sz w:val="24"/>
          <w:szCs w:val="24"/>
        </w:rPr>
        <w:t>The three elements which make up the capital budget as agreed with the Board and SGHSCD for 2019/20 are noted below:-</w:t>
      </w:r>
    </w:p>
    <w:p w:rsidR="008E5C77" w:rsidRPr="008E19C6" w:rsidRDefault="008E5C77" w:rsidP="008E5C77">
      <w:pPr>
        <w:jc w:val="both"/>
        <w:rPr>
          <w:rFonts w:ascii="Arial" w:hAnsi="Arial" w:cs="Arial"/>
          <w:sz w:val="24"/>
          <w:szCs w:val="24"/>
        </w:rPr>
      </w:pPr>
    </w:p>
    <w:p w:rsidR="008E5C77" w:rsidRPr="008E19C6" w:rsidRDefault="008E5C77" w:rsidP="008E5C77">
      <w:pPr>
        <w:numPr>
          <w:ilvl w:val="0"/>
          <w:numId w:val="4"/>
        </w:numPr>
        <w:jc w:val="both"/>
        <w:rPr>
          <w:rFonts w:ascii="Arial" w:hAnsi="Arial" w:cs="Arial"/>
          <w:sz w:val="24"/>
          <w:szCs w:val="24"/>
        </w:rPr>
      </w:pPr>
      <w:r w:rsidRPr="008E19C6">
        <w:rPr>
          <w:rFonts w:ascii="Arial" w:hAnsi="Arial" w:cs="Arial"/>
          <w:sz w:val="24"/>
          <w:szCs w:val="24"/>
        </w:rPr>
        <w:t>Formula Capital – this allocation is the money that the Board is provided with the fund all capital requirements within year that are not subject to approval by National Capital Investment Group.  This funding is broken down into three components:-</w:t>
      </w:r>
    </w:p>
    <w:p w:rsidR="008E5C77" w:rsidRPr="008E19C6" w:rsidRDefault="008E5C77" w:rsidP="008E5C77">
      <w:pPr>
        <w:numPr>
          <w:ilvl w:val="0"/>
          <w:numId w:val="21"/>
        </w:numPr>
        <w:jc w:val="both"/>
        <w:rPr>
          <w:rFonts w:ascii="Arial" w:hAnsi="Arial" w:cs="Arial"/>
          <w:sz w:val="24"/>
          <w:szCs w:val="24"/>
        </w:rPr>
      </w:pPr>
      <w:r w:rsidRPr="008E19C6">
        <w:rPr>
          <w:rFonts w:ascii="Arial" w:hAnsi="Arial" w:cs="Arial"/>
          <w:sz w:val="24"/>
          <w:szCs w:val="24"/>
        </w:rPr>
        <w:t>Estates (Building Infrastructure)</w:t>
      </w:r>
    </w:p>
    <w:p w:rsidR="008E5C77" w:rsidRPr="008E19C6" w:rsidRDefault="008E5C77" w:rsidP="008E5C77">
      <w:pPr>
        <w:numPr>
          <w:ilvl w:val="0"/>
          <w:numId w:val="21"/>
        </w:numPr>
        <w:jc w:val="both"/>
        <w:rPr>
          <w:rFonts w:ascii="Arial" w:hAnsi="Arial" w:cs="Arial"/>
          <w:sz w:val="24"/>
          <w:szCs w:val="24"/>
        </w:rPr>
      </w:pPr>
      <w:r w:rsidRPr="008E19C6">
        <w:rPr>
          <w:rFonts w:ascii="Arial" w:hAnsi="Arial" w:cs="Arial"/>
          <w:sz w:val="24"/>
          <w:szCs w:val="24"/>
        </w:rPr>
        <w:t>Medical Equipment and</w:t>
      </w:r>
    </w:p>
    <w:p w:rsidR="008E5C77" w:rsidRPr="008E19C6" w:rsidRDefault="008E5C77" w:rsidP="008E5C77">
      <w:pPr>
        <w:numPr>
          <w:ilvl w:val="0"/>
          <w:numId w:val="21"/>
        </w:numPr>
        <w:jc w:val="both"/>
        <w:rPr>
          <w:rFonts w:ascii="Arial" w:hAnsi="Arial" w:cs="Arial"/>
          <w:sz w:val="24"/>
          <w:szCs w:val="24"/>
        </w:rPr>
      </w:pPr>
      <w:r w:rsidRPr="008E19C6">
        <w:rPr>
          <w:rFonts w:ascii="Arial" w:hAnsi="Arial" w:cs="Arial"/>
          <w:sz w:val="24"/>
          <w:szCs w:val="24"/>
        </w:rPr>
        <w:t>IM&amp;T</w:t>
      </w:r>
    </w:p>
    <w:p w:rsidR="008E5C77" w:rsidRPr="008E19C6" w:rsidRDefault="008E5C77" w:rsidP="008E5C77">
      <w:pPr>
        <w:ind w:left="1440"/>
        <w:jc w:val="both"/>
        <w:rPr>
          <w:rFonts w:ascii="Arial" w:hAnsi="Arial" w:cs="Arial"/>
          <w:sz w:val="24"/>
          <w:szCs w:val="24"/>
        </w:rPr>
      </w:pPr>
    </w:p>
    <w:p w:rsidR="008E5C77" w:rsidRPr="008E19C6" w:rsidRDefault="008E5C77" w:rsidP="008E5C77">
      <w:pPr>
        <w:numPr>
          <w:ilvl w:val="0"/>
          <w:numId w:val="4"/>
        </w:numPr>
        <w:jc w:val="both"/>
        <w:rPr>
          <w:rFonts w:ascii="Arial" w:hAnsi="Arial" w:cs="Arial"/>
          <w:sz w:val="24"/>
          <w:szCs w:val="24"/>
        </w:rPr>
      </w:pPr>
      <w:r w:rsidRPr="008E19C6">
        <w:rPr>
          <w:rFonts w:ascii="Arial" w:hAnsi="Arial" w:cs="Arial"/>
          <w:sz w:val="24"/>
          <w:szCs w:val="24"/>
        </w:rPr>
        <w:t>Capital Stimulus Monies – this allocation was provided by SGHSCD to increase imaging capacity across Scotland, the residual balance in year of £1.922m has been agreed with SGHSCD with the monies in year planned to contribute to cath lab five and finalising with replacement of the cardiac MRI.  This is included with the formula capital in the table below.</w:t>
      </w:r>
    </w:p>
    <w:p w:rsidR="008E5C77" w:rsidRPr="008E19C6" w:rsidRDefault="008E5C77" w:rsidP="008E5C77">
      <w:pPr>
        <w:ind w:left="720"/>
        <w:jc w:val="both"/>
        <w:rPr>
          <w:rFonts w:ascii="Arial" w:hAnsi="Arial" w:cs="Arial"/>
          <w:sz w:val="24"/>
          <w:szCs w:val="24"/>
        </w:rPr>
      </w:pPr>
    </w:p>
    <w:p w:rsidR="008E5C77" w:rsidRPr="008E19C6" w:rsidRDefault="008E5C77" w:rsidP="008E5C77">
      <w:pPr>
        <w:numPr>
          <w:ilvl w:val="0"/>
          <w:numId w:val="4"/>
        </w:numPr>
        <w:jc w:val="both"/>
        <w:rPr>
          <w:rFonts w:ascii="Arial" w:hAnsi="Arial" w:cs="Arial"/>
          <w:sz w:val="24"/>
          <w:szCs w:val="24"/>
        </w:rPr>
      </w:pPr>
      <w:r w:rsidRPr="008E19C6">
        <w:rPr>
          <w:rFonts w:ascii="Arial" w:hAnsi="Arial" w:cs="Arial"/>
          <w:sz w:val="24"/>
          <w:szCs w:val="24"/>
        </w:rPr>
        <w:t>Elective Centre Funding – this is the Board allocation for the funding of the development at the site and is split between phase one and phase two.  Phase one relates to the Ophthalmology expansion with funding of £10.473m included in the plan for the year, this spend will vary dependent progress throughout the year.  there has been no expenditure in month, due to the timing of cost control meetings and amounts accrued at year-end</w:t>
      </w:r>
    </w:p>
    <w:p w:rsidR="008E5C77" w:rsidRPr="008E19C6" w:rsidRDefault="008E5C77" w:rsidP="008E5C77">
      <w:pPr>
        <w:spacing w:before="112"/>
        <w:ind w:left="4339" w:hanging="450"/>
        <w:rPr>
          <w:rFonts w:ascii="Arial" w:hAnsi="Arial" w:cs="Arial"/>
          <w:sz w:val="24"/>
          <w:szCs w:val="24"/>
        </w:rPr>
      </w:pPr>
    </w:p>
    <w:p w:rsidR="008E5C77" w:rsidRPr="008E19C6" w:rsidRDefault="008E5C77" w:rsidP="008E5C77">
      <w:pPr>
        <w:ind w:left="720"/>
        <w:jc w:val="both"/>
        <w:rPr>
          <w:rFonts w:ascii="Arial" w:hAnsi="Arial" w:cs="Arial"/>
          <w:sz w:val="24"/>
          <w:szCs w:val="24"/>
        </w:rPr>
      </w:pPr>
      <w:r w:rsidRPr="008E19C6">
        <w:rPr>
          <w:rFonts w:ascii="Arial" w:hAnsi="Arial" w:cs="Arial"/>
          <w:sz w:val="24"/>
          <w:szCs w:val="24"/>
        </w:rPr>
        <w:t>Phase two relates to the creation of a new facility to increase Orthopaedic Surgery capacity, £</w:t>
      </w:r>
      <w:r w:rsidR="008E0C91">
        <w:rPr>
          <w:rFonts w:ascii="Arial" w:hAnsi="Arial" w:cs="Arial"/>
          <w:sz w:val="24"/>
          <w:szCs w:val="24"/>
        </w:rPr>
        <w:t>0.421m</w:t>
      </w:r>
      <w:r w:rsidRPr="008E19C6">
        <w:rPr>
          <w:rFonts w:ascii="Arial" w:hAnsi="Arial" w:cs="Arial"/>
          <w:sz w:val="24"/>
          <w:szCs w:val="24"/>
        </w:rPr>
        <w:t xml:space="preserve"> has been allowed in the capital plan in year with regard to this.  The plan was submitted before any recent developments and progression of this development. It has been agreed with Scottish Government that this estimate will be revised to be in line with the updated Outline Business Case currently being developed.  The spend for year-to-date is approx. £</w:t>
      </w:r>
      <w:r w:rsidR="008E0C91">
        <w:rPr>
          <w:rFonts w:ascii="Arial" w:hAnsi="Arial" w:cs="Arial"/>
          <w:sz w:val="24"/>
          <w:szCs w:val="24"/>
        </w:rPr>
        <w:t>0.081m.</w:t>
      </w:r>
    </w:p>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b/>
          <w:color w:val="0070C0"/>
          <w:sz w:val="24"/>
          <w:szCs w:val="24"/>
        </w:rPr>
      </w:pPr>
      <w:r w:rsidRPr="008E19C6">
        <w:rPr>
          <w:rFonts w:ascii="Arial" w:hAnsi="Arial" w:cs="Arial"/>
          <w:b/>
          <w:color w:val="0070C0"/>
          <w:sz w:val="24"/>
          <w:szCs w:val="24"/>
        </w:rPr>
        <w:t>The Formula Capital</w:t>
      </w:r>
    </w:p>
    <w:p w:rsidR="008E5C77" w:rsidRPr="008E19C6" w:rsidRDefault="008E5C77" w:rsidP="008E5C77">
      <w:pPr>
        <w:jc w:val="both"/>
        <w:rPr>
          <w:rFonts w:ascii="Arial" w:hAnsi="Arial" w:cs="Arial"/>
          <w:b/>
          <w:i/>
          <w:color w:val="0070C0"/>
          <w:sz w:val="24"/>
          <w:szCs w:val="24"/>
        </w:rPr>
      </w:pPr>
    </w:p>
    <w:p w:rsidR="008E5C77" w:rsidRPr="008E19C6" w:rsidRDefault="008E5C77" w:rsidP="008E5C77">
      <w:pPr>
        <w:jc w:val="both"/>
        <w:rPr>
          <w:rFonts w:ascii="Arial" w:hAnsi="Arial" w:cs="Arial"/>
          <w:sz w:val="24"/>
          <w:szCs w:val="24"/>
        </w:rPr>
      </w:pPr>
      <w:r w:rsidRPr="008E19C6">
        <w:rPr>
          <w:rFonts w:ascii="Arial" w:hAnsi="Arial" w:cs="Arial"/>
          <w:sz w:val="24"/>
          <w:szCs w:val="24"/>
        </w:rPr>
        <w:t>The base formula allocation for 2019/20 is £2.691m, this year the capital stimulus money (£1,922m) has been assumed as part of this allocation which brings the allocation to £4.613m.  The detail of what has been included in the plan for the year has been agreed at the capital group meeting on 13 February 2019 with a revision undertaken on 8 May 2019.  The anticipated spend is summarised in the table below: -</w:t>
      </w:r>
    </w:p>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1560"/>
      </w:tblGrid>
      <w:tr w:rsidR="008E5C77" w:rsidRPr="008E19C6" w:rsidTr="00577564">
        <w:tc>
          <w:tcPr>
            <w:tcW w:w="2802" w:type="dxa"/>
            <w:shd w:val="clear" w:color="auto" w:fill="8DB3E2" w:themeFill="text2" w:themeFillTint="66"/>
          </w:tcPr>
          <w:p w:rsidR="008E5C77" w:rsidRPr="008E19C6" w:rsidRDefault="008E5C77" w:rsidP="00577564">
            <w:pPr>
              <w:jc w:val="both"/>
              <w:rPr>
                <w:rFonts w:ascii="Arial" w:eastAsiaTheme="minorEastAsia" w:hAnsi="Arial" w:cs="Arial"/>
                <w:b/>
                <w:sz w:val="24"/>
                <w:szCs w:val="24"/>
              </w:rPr>
            </w:pPr>
            <w:r w:rsidRPr="008E19C6">
              <w:rPr>
                <w:rFonts w:ascii="Arial" w:eastAsiaTheme="minorEastAsia" w:hAnsi="Arial" w:cs="Arial"/>
                <w:b/>
                <w:sz w:val="24"/>
                <w:szCs w:val="24"/>
              </w:rPr>
              <w:t>Area</w:t>
            </w:r>
          </w:p>
        </w:tc>
        <w:tc>
          <w:tcPr>
            <w:tcW w:w="1842" w:type="dxa"/>
            <w:shd w:val="clear" w:color="auto" w:fill="8DB3E2" w:themeFill="text2" w:themeFillTint="66"/>
          </w:tcPr>
          <w:p w:rsidR="008E5C77" w:rsidRPr="008E19C6" w:rsidRDefault="008E5C77" w:rsidP="00577564">
            <w:pPr>
              <w:jc w:val="both"/>
              <w:rPr>
                <w:rFonts w:ascii="Arial" w:eastAsiaTheme="minorEastAsia" w:hAnsi="Arial" w:cs="Arial"/>
                <w:b/>
                <w:sz w:val="24"/>
                <w:szCs w:val="24"/>
              </w:rPr>
            </w:pPr>
            <w:r w:rsidRPr="008E19C6">
              <w:rPr>
                <w:rFonts w:ascii="Arial" w:eastAsiaTheme="minorEastAsia" w:hAnsi="Arial" w:cs="Arial"/>
                <w:b/>
                <w:sz w:val="24"/>
                <w:szCs w:val="24"/>
              </w:rPr>
              <w:t>2019/20</w:t>
            </w:r>
          </w:p>
          <w:p w:rsidR="008E5C77" w:rsidRPr="008E19C6" w:rsidRDefault="008E5C77" w:rsidP="00577564">
            <w:pPr>
              <w:jc w:val="both"/>
              <w:rPr>
                <w:rFonts w:ascii="Arial" w:eastAsiaTheme="minorEastAsia" w:hAnsi="Arial" w:cs="Arial"/>
                <w:b/>
                <w:sz w:val="24"/>
                <w:szCs w:val="24"/>
              </w:rPr>
            </w:pPr>
            <w:r w:rsidRPr="008E19C6">
              <w:rPr>
                <w:rFonts w:ascii="Arial" w:eastAsiaTheme="minorEastAsia" w:hAnsi="Arial" w:cs="Arial"/>
                <w:b/>
                <w:sz w:val="24"/>
                <w:szCs w:val="24"/>
              </w:rPr>
              <w:t>£000s</w:t>
            </w:r>
          </w:p>
        </w:tc>
        <w:tc>
          <w:tcPr>
            <w:tcW w:w="1560" w:type="dxa"/>
            <w:shd w:val="clear" w:color="auto" w:fill="8DB3E2" w:themeFill="text2" w:themeFillTint="66"/>
          </w:tcPr>
          <w:p w:rsidR="008E5C77" w:rsidRPr="008E19C6" w:rsidRDefault="008E5C77" w:rsidP="00577564">
            <w:pPr>
              <w:jc w:val="both"/>
              <w:rPr>
                <w:rFonts w:ascii="Arial" w:eastAsiaTheme="minorEastAsia" w:hAnsi="Arial" w:cs="Arial"/>
                <w:b/>
                <w:sz w:val="24"/>
                <w:szCs w:val="24"/>
              </w:rPr>
            </w:pPr>
            <w:r w:rsidRPr="008E19C6">
              <w:rPr>
                <w:rFonts w:ascii="Arial" w:eastAsiaTheme="minorEastAsia" w:hAnsi="Arial" w:cs="Arial"/>
                <w:b/>
                <w:sz w:val="24"/>
                <w:szCs w:val="24"/>
              </w:rPr>
              <w:t xml:space="preserve">Spend to 31 May </w:t>
            </w:r>
          </w:p>
          <w:p w:rsidR="008E5C77" w:rsidRPr="008E19C6" w:rsidRDefault="008E5C77" w:rsidP="00577564">
            <w:pPr>
              <w:jc w:val="both"/>
              <w:rPr>
                <w:rFonts w:ascii="Arial" w:eastAsiaTheme="minorEastAsia" w:hAnsi="Arial" w:cs="Arial"/>
                <w:b/>
                <w:sz w:val="24"/>
                <w:szCs w:val="24"/>
              </w:rPr>
            </w:pPr>
            <w:r w:rsidRPr="008E19C6">
              <w:rPr>
                <w:rFonts w:ascii="Arial" w:eastAsiaTheme="minorEastAsia" w:hAnsi="Arial" w:cs="Arial"/>
                <w:b/>
                <w:sz w:val="24"/>
                <w:szCs w:val="24"/>
              </w:rPr>
              <w:t>£000ms</w:t>
            </w:r>
          </w:p>
        </w:tc>
      </w:tr>
      <w:tr w:rsidR="008E5C77" w:rsidRPr="008E19C6" w:rsidTr="00577564">
        <w:tc>
          <w:tcPr>
            <w:tcW w:w="2802" w:type="dxa"/>
          </w:tcPr>
          <w:p w:rsidR="008E5C77" w:rsidRPr="008E19C6" w:rsidRDefault="008E5C77" w:rsidP="00577564">
            <w:pPr>
              <w:jc w:val="both"/>
              <w:rPr>
                <w:rFonts w:ascii="Arial" w:eastAsiaTheme="minorEastAsia" w:hAnsi="Arial" w:cs="Arial"/>
                <w:sz w:val="24"/>
                <w:szCs w:val="24"/>
              </w:rPr>
            </w:pPr>
            <w:r w:rsidRPr="008E19C6">
              <w:rPr>
                <w:rFonts w:ascii="Arial" w:eastAsiaTheme="minorEastAsia" w:hAnsi="Arial" w:cs="Arial"/>
                <w:sz w:val="24"/>
                <w:szCs w:val="24"/>
              </w:rPr>
              <w:t>Property</w:t>
            </w:r>
          </w:p>
        </w:tc>
        <w:tc>
          <w:tcPr>
            <w:tcW w:w="1842" w:type="dxa"/>
          </w:tcPr>
          <w:p w:rsidR="008E5C77" w:rsidRPr="008E19C6" w:rsidRDefault="008E5C77" w:rsidP="00577564">
            <w:pPr>
              <w:jc w:val="center"/>
              <w:rPr>
                <w:rFonts w:ascii="Arial" w:eastAsiaTheme="minorEastAsia" w:hAnsi="Arial" w:cs="Arial"/>
                <w:sz w:val="24"/>
                <w:szCs w:val="24"/>
              </w:rPr>
            </w:pPr>
            <w:r w:rsidRPr="008E19C6">
              <w:rPr>
                <w:rFonts w:ascii="Arial" w:eastAsiaTheme="minorEastAsia" w:hAnsi="Arial" w:cs="Arial"/>
                <w:sz w:val="24"/>
                <w:szCs w:val="24"/>
              </w:rPr>
              <w:t>1,837</w:t>
            </w:r>
          </w:p>
        </w:tc>
        <w:tc>
          <w:tcPr>
            <w:tcW w:w="1560" w:type="dxa"/>
          </w:tcPr>
          <w:p w:rsidR="008E5C77" w:rsidRPr="008E19C6" w:rsidRDefault="008E5C77" w:rsidP="00577564">
            <w:pPr>
              <w:jc w:val="center"/>
              <w:rPr>
                <w:rFonts w:ascii="Arial" w:eastAsiaTheme="minorEastAsia" w:hAnsi="Arial" w:cs="Arial"/>
                <w:sz w:val="24"/>
                <w:szCs w:val="24"/>
              </w:rPr>
            </w:pPr>
            <w:r w:rsidRPr="008E19C6">
              <w:rPr>
                <w:rFonts w:ascii="Arial" w:eastAsiaTheme="minorEastAsia" w:hAnsi="Arial" w:cs="Arial"/>
                <w:sz w:val="24"/>
                <w:szCs w:val="24"/>
              </w:rPr>
              <w:t>-</w:t>
            </w:r>
          </w:p>
        </w:tc>
      </w:tr>
      <w:tr w:rsidR="008E5C77" w:rsidRPr="008E19C6" w:rsidTr="00577564">
        <w:tc>
          <w:tcPr>
            <w:tcW w:w="2802" w:type="dxa"/>
          </w:tcPr>
          <w:p w:rsidR="008E5C77" w:rsidRPr="008E19C6" w:rsidRDefault="008E5C77" w:rsidP="00577564">
            <w:pPr>
              <w:jc w:val="both"/>
              <w:rPr>
                <w:rFonts w:ascii="Arial" w:eastAsiaTheme="minorEastAsia" w:hAnsi="Arial" w:cs="Arial"/>
                <w:sz w:val="24"/>
                <w:szCs w:val="24"/>
              </w:rPr>
            </w:pPr>
            <w:r w:rsidRPr="008E19C6">
              <w:rPr>
                <w:rFonts w:ascii="Arial" w:eastAsiaTheme="minorEastAsia" w:hAnsi="Arial" w:cs="Arial"/>
                <w:sz w:val="24"/>
                <w:szCs w:val="24"/>
              </w:rPr>
              <w:t>Medical Equipment</w:t>
            </w:r>
          </w:p>
        </w:tc>
        <w:tc>
          <w:tcPr>
            <w:tcW w:w="1842" w:type="dxa"/>
          </w:tcPr>
          <w:p w:rsidR="008E5C77" w:rsidRPr="008E19C6" w:rsidRDefault="008E5C77" w:rsidP="00577564">
            <w:pPr>
              <w:jc w:val="center"/>
              <w:rPr>
                <w:rFonts w:ascii="Arial" w:eastAsiaTheme="minorEastAsia" w:hAnsi="Arial" w:cs="Arial"/>
                <w:sz w:val="24"/>
                <w:szCs w:val="24"/>
              </w:rPr>
            </w:pPr>
            <w:r w:rsidRPr="008E19C6">
              <w:rPr>
                <w:rFonts w:ascii="Arial" w:eastAsiaTheme="minorEastAsia" w:hAnsi="Arial" w:cs="Arial"/>
                <w:sz w:val="24"/>
                <w:szCs w:val="24"/>
              </w:rPr>
              <w:t>2,296</w:t>
            </w:r>
          </w:p>
        </w:tc>
        <w:tc>
          <w:tcPr>
            <w:tcW w:w="1560" w:type="dxa"/>
          </w:tcPr>
          <w:p w:rsidR="008E5C77" w:rsidRPr="008E19C6" w:rsidRDefault="008E5C77" w:rsidP="00577564">
            <w:pPr>
              <w:jc w:val="center"/>
              <w:rPr>
                <w:rFonts w:ascii="Arial" w:eastAsiaTheme="minorEastAsia" w:hAnsi="Arial" w:cs="Arial"/>
                <w:sz w:val="24"/>
                <w:szCs w:val="24"/>
              </w:rPr>
            </w:pPr>
            <w:r w:rsidRPr="008E19C6">
              <w:rPr>
                <w:rFonts w:ascii="Arial" w:eastAsiaTheme="minorEastAsia" w:hAnsi="Arial" w:cs="Arial"/>
                <w:sz w:val="24"/>
                <w:szCs w:val="24"/>
              </w:rPr>
              <w:t>370</w:t>
            </w:r>
          </w:p>
        </w:tc>
      </w:tr>
      <w:tr w:rsidR="008E5C77" w:rsidRPr="008E19C6" w:rsidTr="008E5C77">
        <w:tc>
          <w:tcPr>
            <w:tcW w:w="2802" w:type="dxa"/>
          </w:tcPr>
          <w:p w:rsidR="008E5C77" w:rsidRPr="008E19C6" w:rsidRDefault="008E5C77" w:rsidP="00577564">
            <w:pPr>
              <w:jc w:val="both"/>
              <w:rPr>
                <w:rFonts w:ascii="Arial" w:eastAsiaTheme="minorEastAsia" w:hAnsi="Arial" w:cs="Arial"/>
                <w:sz w:val="24"/>
                <w:szCs w:val="24"/>
              </w:rPr>
            </w:pPr>
            <w:r w:rsidRPr="008E19C6">
              <w:rPr>
                <w:rFonts w:ascii="Arial" w:eastAsiaTheme="minorEastAsia" w:hAnsi="Arial" w:cs="Arial"/>
                <w:sz w:val="24"/>
                <w:szCs w:val="24"/>
              </w:rPr>
              <w:t>IM&amp;T</w:t>
            </w:r>
          </w:p>
        </w:tc>
        <w:tc>
          <w:tcPr>
            <w:tcW w:w="1842" w:type="dxa"/>
            <w:tcBorders>
              <w:bottom w:val="single" w:sz="4" w:space="0" w:color="auto"/>
            </w:tcBorders>
          </w:tcPr>
          <w:p w:rsidR="008E5C77" w:rsidRPr="008E19C6" w:rsidRDefault="008E5C77" w:rsidP="00577564">
            <w:pPr>
              <w:jc w:val="center"/>
              <w:rPr>
                <w:rFonts w:ascii="Arial" w:eastAsiaTheme="minorEastAsia" w:hAnsi="Arial" w:cs="Arial"/>
                <w:sz w:val="24"/>
                <w:szCs w:val="24"/>
              </w:rPr>
            </w:pPr>
            <w:r w:rsidRPr="008E19C6">
              <w:rPr>
                <w:rFonts w:ascii="Arial" w:eastAsiaTheme="minorEastAsia" w:hAnsi="Arial" w:cs="Arial"/>
                <w:sz w:val="24"/>
                <w:szCs w:val="24"/>
              </w:rPr>
              <w:t>480</w:t>
            </w:r>
          </w:p>
        </w:tc>
        <w:tc>
          <w:tcPr>
            <w:tcW w:w="1560" w:type="dxa"/>
            <w:tcBorders>
              <w:bottom w:val="single" w:sz="4" w:space="0" w:color="auto"/>
            </w:tcBorders>
          </w:tcPr>
          <w:p w:rsidR="008E5C77" w:rsidRPr="008E19C6" w:rsidRDefault="008E5C77" w:rsidP="00577564">
            <w:pPr>
              <w:jc w:val="center"/>
              <w:rPr>
                <w:rFonts w:ascii="Arial" w:eastAsiaTheme="minorEastAsia" w:hAnsi="Arial" w:cs="Arial"/>
                <w:sz w:val="24"/>
                <w:szCs w:val="24"/>
              </w:rPr>
            </w:pPr>
            <w:r w:rsidRPr="008E19C6">
              <w:rPr>
                <w:rFonts w:ascii="Arial" w:eastAsiaTheme="minorEastAsia" w:hAnsi="Arial" w:cs="Arial"/>
                <w:sz w:val="24"/>
                <w:szCs w:val="24"/>
              </w:rPr>
              <w:t>-</w:t>
            </w:r>
          </w:p>
        </w:tc>
      </w:tr>
      <w:tr w:rsidR="008E5C77" w:rsidRPr="008E19C6" w:rsidTr="008E5C77">
        <w:tc>
          <w:tcPr>
            <w:tcW w:w="2802" w:type="dxa"/>
          </w:tcPr>
          <w:p w:rsidR="008E5C77" w:rsidRPr="008E19C6" w:rsidRDefault="008E5C77" w:rsidP="00577564">
            <w:pPr>
              <w:jc w:val="both"/>
              <w:rPr>
                <w:rFonts w:ascii="Arial" w:eastAsiaTheme="minorEastAsia" w:hAnsi="Arial" w:cs="Arial"/>
                <w:b/>
                <w:sz w:val="24"/>
                <w:szCs w:val="24"/>
              </w:rPr>
            </w:pPr>
            <w:r w:rsidRPr="008E19C6">
              <w:rPr>
                <w:rFonts w:ascii="Arial" w:eastAsiaTheme="minorEastAsia" w:hAnsi="Arial" w:cs="Arial"/>
                <w:b/>
                <w:sz w:val="24"/>
                <w:szCs w:val="24"/>
              </w:rPr>
              <w:t>Formula</w:t>
            </w:r>
          </w:p>
        </w:tc>
        <w:tc>
          <w:tcPr>
            <w:tcW w:w="1842" w:type="dxa"/>
            <w:tcBorders>
              <w:bottom w:val="single" w:sz="4" w:space="0" w:color="auto"/>
            </w:tcBorders>
          </w:tcPr>
          <w:p w:rsidR="008E5C77" w:rsidRPr="008E19C6" w:rsidRDefault="008E5C77" w:rsidP="00577564">
            <w:pPr>
              <w:jc w:val="center"/>
              <w:rPr>
                <w:rFonts w:ascii="Arial" w:eastAsiaTheme="minorEastAsia" w:hAnsi="Arial" w:cs="Arial"/>
                <w:b/>
                <w:sz w:val="24"/>
                <w:szCs w:val="24"/>
              </w:rPr>
            </w:pPr>
            <w:r w:rsidRPr="008E19C6">
              <w:rPr>
                <w:rFonts w:ascii="Arial" w:eastAsiaTheme="minorEastAsia" w:hAnsi="Arial" w:cs="Arial"/>
                <w:b/>
                <w:sz w:val="24"/>
                <w:szCs w:val="24"/>
              </w:rPr>
              <w:t>4,613</w:t>
            </w:r>
          </w:p>
        </w:tc>
        <w:tc>
          <w:tcPr>
            <w:tcW w:w="1560" w:type="dxa"/>
            <w:tcBorders>
              <w:bottom w:val="single" w:sz="4" w:space="0" w:color="auto"/>
            </w:tcBorders>
          </w:tcPr>
          <w:p w:rsidR="008E5C77" w:rsidRPr="008E19C6" w:rsidRDefault="008E5C77" w:rsidP="00577564">
            <w:pPr>
              <w:jc w:val="center"/>
              <w:rPr>
                <w:rFonts w:ascii="Arial" w:eastAsiaTheme="minorEastAsia" w:hAnsi="Arial" w:cs="Arial"/>
                <w:b/>
                <w:sz w:val="24"/>
                <w:szCs w:val="24"/>
              </w:rPr>
            </w:pPr>
            <w:r w:rsidRPr="008E19C6">
              <w:rPr>
                <w:rFonts w:ascii="Arial" w:eastAsiaTheme="minorEastAsia" w:hAnsi="Arial" w:cs="Arial"/>
                <w:b/>
                <w:sz w:val="24"/>
                <w:szCs w:val="24"/>
              </w:rPr>
              <w:t>370</w:t>
            </w:r>
          </w:p>
        </w:tc>
      </w:tr>
    </w:tbl>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sz w:val="24"/>
          <w:szCs w:val="24"/>
        </w:rPr>
      </w:pPr>
      <w:r w:rsidRPr="008E19C6">
        <w:rPr>
          <w:rFonts w:ascii="Arial" w:hAnsi="Arial" w:cs="Arial"/>
          <w:sz w:val="24"/>
          <w:szCs w:val="24"/>
        </w:rPr>
        <w:t>The spend in month relates to the turnkey costs for the new MRI scanner.</w:t>
      </w:r>
    </w:p>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sz w:val="24"/>
          <w:szCs w:val="24"/>
        </w:rPr>
      </w:pPr>
      <w:r w:rsidRPr="008E19C6">
        <w:rPr>
          <w:rFonts w:ascii="Arial" w:hAnsi="Arial" w:cs="Arial"/>
          <w:sz w:val="24"/>
          <w:szCs w:val="24"/>
        </w:rPr>
        <w:t>Through the capital group (informed by the Medical Equipment Group, the PAMS group and the e-Health Steering Group) we have undertaken a detailed review of all the plans which form part of these allocations to ensure that all items within the plan will be undertaken in the current year.  The likely area that will be subject to change is the expenditure relating to cath lab five, subject to final agreed revenue funding by the Health Boards.</w:t>
      </w:r>
    </w:p>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sz w:val="24"/>
          <w:szCs w:val="24"/>
        </w:rPr>
      </w:pPr>
      <w:r w:rsidRPr="008E19C6">
        <w:rPr>
          <w:rFonts w:ascii="Arial" w:hAnsi="Arial" w:cs="Arial"/>
          <w:sz w:val="24"/>
          <w:szCs w:val="24"/>
        </w:rPr>
        <w:t>Detailed reports will be presented to the Capital Group on a monthly basis to ensure that spend can be monitored against budget and corrective action taken when necessary.</w:t>
      </w:r>
    </w:p>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b/>
          <w:color w:val="0070C0"/>
          <w:sz w:val="24"/>
          <w:szCs w:val="24"/>
        </w:rPr>
      </w:pPr>
      <w:r w:rsidRPr="008E19C6">
        <w:rPr>
          <w:rFonts w:ascii="Arial" w:hAnsi="Arial" w:cs="Arial"/>
          <w:b/>
          <w:color w:val="0070C0"/>
          <w:sz w:val="24"/>
          <w:szCs w:val="24"/>
        </w:rPr>
        <w:t>The Capital Stimulus</w:t>
      </w:r>
    </w:p>
    <w:p w:rsidR="008E5C77" w:rsidRPr="008E19C6" w:rsidRDefault="008E5C77" w:rsidP="008E5C77">
      <w:pPr>
        <w:jc w:val="both"/>
        <w:rPr>
          <w:rFonts w:ascii="Arial" w:hAnsi="Arial" w:cs="Arial"/>
          <w:b/>
          <w:i/>
          <w:color w:val="0070C0"/>
          <w:sz w:val="24"/>
          <w:szCs w:val="24"/>
        </w:rPr>
      </w:pPr>
    </w:p>
    <w:p w:rsidR="008E5C77" w:rsidRPr="008E19C6" w:rsidRDefault="008E5C77" w:rsidP="008E5C77">
      <w:pPr>
        <w:jc w:val="both"/>
        <w:rPr>
          <w:rFonts w:ascii="Arial" w:hAnsi="Arial" w:cs="Arial"/>
          <w:sz w:val="24"/>
          <w:szCs w:val="24"/>
        </w:rPr>
      </w:pPr>
      <w:r w:rsidRPr="008E19C6">
        <w:rPr>
          <w:rFonts w:ascii="Arial" w:hAnsi="Arial" w:cs="Arial"/>
          <w:sz w:val="24"/>
          <w:szCs w:val="24"/>
        </w:rPr>
        <w:t>Residual balance of the capital stimulus money (originally £5m) is £1.922m.  The majority of this is earmarked to support the provision of a fifth cath lab and associated building works.  These funds are included with the formula capital this year, in agreement with SG.</w:t>
      </w:r>
    </w:p>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b/>
          <w:color w:val="0070C0"/>
          <w:sz w:val="24"/>
          <w:szCs w:val="24"/>
        </w:rPr>
      </w:pPr>
      <w:r w:rsidRPr="008E19C6">
        <w:rPr>
          <w:rFonts w:ascii="Arial" w:hAnsi="Arial" w:cs="Arial"/>
          <w:b/>
          <w:color w:val="0070C0"/>
          <w:sz w:val="24"/>
          <w:szCs w:val="24"/>
        </w:rPr>
        <w:t>The Elective Centre</w:t>
      </w:r>
    </w:p>
    <w:p w:rsidR="008E5C77" w:rsidRPr="008E19C6" w:rsidRDefault="008E5C77" w:rsidP="008E5C77">
      <w:pPr>
        <w:jc w:val="both"/>
        <w:rPr>
          <w:rFonts w:ascii="Arial" w:hAnsi="Arial" w:cs="Arial"/>
          <w:b/>
          <w:i/>
          <w:color w:val="0070C0"/>
          <w:sz w:val="24"/>
          <w:szCs w:val="24"/>
        </w:rPr>
      </w:pPr>
    </w:p>
    <w:p w:rsidR="008E5C77" w:rsidRPr="008E19C6" w:rsidRDefault="008E5C77" w:rsidP="008E5C77">
      <w:pPr>
        <w:jc w:val="both"/>
        <w:rPr>
          <w:rFonts w:ascii="Arial" w:hAnsi="Arial" w:cs="Arial"/>
          <w:sz w:val="24"/>
          <w:szCs w:val="24"/>
        </w:rPr>
      </w:pPr>
      <w:r w:rsidRPr="008E19C6">
        <w:rPr>
          <w:rFonts w:ascii="Arial" w:hAnsi="Arial" w:cs="Arial"/>
          <w:sz w:val="24"/>
          <w:szCs w:val="24"/>
        </w:rPr>
        <w:t>The spend for the elective centres will be monitored as in prior year by the cost control group for the project, with two separate valuations being considered with detailed cost control reports being presented to SMT.  As there has been no spend in period one this section will be updated for future reports.</w:t>
      </w:r>
    </w:p>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sz w:val="24"/>
          <w:szCs w:val="24"/>
        </w:rPr>
      </w:pPr>
    </w:p>
    <w:p w:rsidR="008E5C77" w:rsidRPr="008E19C6" w:rsidRDefault="008E5C77" w:rsidP="008E5C77">
      <w:pPr>
        <w:jc w:val="both"/>
        <w:rPr>
          <w:rFonts w:ascii="Arial" w:hAnsi="Arial" w:cs="Arial"/>
          <w:b/>
          <w:color w:val="0070C0"/>
          <w:sz w:val="24"/>
          <w:szCs w:val="24"/>
        </w:rPr>
      </w:pPr>
      <w:r w:rsidRPr="008E19C6">
        <w:rPr>
          <w:rFonts w:ascii="Arial" w:hAnsi="Arial" w:cs="Arial"/>
          <w:b/>
          <w:color w:val="0070C0"/>
          <w:sz w:val="24"/>
          <w:szCs w:val="24"/>
        </w:rPr>
        <w:t>Director of Finance</w:t>
      </w:r>
    </w:p>
    <w:p w:rsidR="008E5C77" w:rsidRPr="008E19C6" w:rsidRDefault="008E0C91" w:rsidP="008E5C77">
      <w:pPr>
        <w:jc w:val="both"/>
        <w:rPr>
          <w:rFonts w:ascii="Arial" w:hAnsi="Arial" w:cs="Arial"/>
          <w:b/>
          <w:color w:val="0070C0"/>
          <w:sz w:val="24"/>
          <w:szCs w:val="24"/>
        </w:rPr>
      </w:pPr>
      <w:r>
        <w:rPr>
          <w:rFonts w:ascii="Arial" w:hAnsi="Arial" w:cs="Arial"/>
          <w:b/>
          <w:color w:val="0070C0"/>
          <w:sz w:val="24"/>
          <w:szCs w:val="24"/>
        </w:rPr>
        <w:t>3 July</w:t>
      </w:r>
      <w:r w:rsidR="008E5C77" w:rsidRPr="008E19C6">
        <w:rPr>
          <w:rFonts w:ascii="Arial" w:hAnsi="Arial" w:cs="Arial"/>
          <w:b/>
          <w:color w:val="0070C0"/>
          <w:sz w:val="24"/>
          <w:szCs w:val="24"/>
        </w:rPr>
        <w:t xml:space="preserve"> 2019</w:t>
      </w:r>
    </w:p>
    <w:p w:rsidR="008E5C77" w:rsidRDefault="008E5C77" w:rsidP="008E5C77">
      <w:pPr>
        <w:rPr>
          <w:rFonts w:ascii="Arial" w:hAnsi="Arial" w:cs="Arial"/>
          <w:sz w:val="24"/>
          <w:szCs w:val="24"/>
        </w:rPr>
      </w:pPr>
    </w:p>
    <w:p w:rsidR="008E5C77" w:rsidRPr="00F31C3A" w:rsidRDefault="008E5C77" w:rsidP="008E5C77">
      <w:pPr>
        <w:jc w:val="both"/>
        <w:rPr>
          <w:rFonts w:ascii="Arial" w:hAnsi="Arial" w:cs="Arial"/>
          <w:sz w:val="24"/>
          <w:szCs w:val="24"/>
        </w:rPr>
      </w:pPr>
    </w:p>
    <w:p w:rsidR="008E5C77" w:rsidRDefault="008E5C77" w:rsidP="008E5C77">
      <w:pPr>
        <w:jc w:val="both"/>
        <w:rPr>
          <w:rFonts w:ascii="Arial" w:hAnsi="Arial" w:cs="Arial"/>
          <w:b/>
          <w:color w:val="0070C0"/>
          <w:sz w:val="24"/>
          <w:szCs w:val="24"/>
        </w:rPr>
      </w:pPr>
    </w:p>
    <w:p w:rsidR="008E5C77" w:rsidRDefault="008E5C77" w:rsidP="008E5C77">
      <w:pPr>
        <w:jc w:val="both"/>
        <w:rPr>
          <w:rFonts w:ascii="Arial" w:hAnsi="Arial" w:cs="Arial"/>
          <w:b/>
          <w:color w:val="0070C0"/>
          <w:sz w:val="24"/>
          <w:szCs w:val="24"/>
        </w:rPr>
      </w:pPr>
    </w:p>
    <w:p w:rsidR="008E5C77" w:rsidRDefault="008E5C77" w:rsidP="008E5C77">
      <w:pPr>
        <w:jc w:val="both"/>
        <w:rPr>
          <w:rFonts w:ascii="Arial" w:hAnsi="Arial" w:cs="Arial"/>
          <w:b/>
          <w:color w:val="0070C0"/>
          <w:sz w:val="24"/>
          <w:szCs w:val="24"/>
        </w:rPr>
      </w:pPr>
    </w:p>
    <w:p w:rsidR="008E5C77" w:rsidRDefault="008E5C77" w:rsidP="008E5C77">
      <w:pPr>
        <w:jc w:val="both"/>
        <w:rPr>
          <w:rFonts w:ascii="Arial" w:hAnsi="Arial" w:cs="Arial"/>
          <w:b/>
          <w:color w:val="0070C0"/>
          <w:sz w:val="24"/>
          <w:szCs w:val="24"/>
        </w:rPr>
      </w:pPr>
    </w:p>
    <w:p w:rsidR="008E5C77" w:rsidRDefault="008E5C77" w:rsidP="008E5C77">
      <w:pPr>
        <w:jc w:val="both"/>
        <w:rPr>
          <w:rFonts w:ascii="Arial" w:hAnsi="Arial" w:cs="Arial"/>
          <w:b/>
          <w:color w:val="0070C0"/>
          <w:sz w:val="24"/>
          <w:szCs w:val="24"/>
        </w:rPr>
      </w:pPr>
    </w:p>
    <w:p w:rsidR="008E5C77" w:rsidRDefault="008E5C77" w:rsidP="008E5C77">
      <w:pPr>
        <w:jc w:val="both"/>
        <w:rPr>
          <w:rFonts w:ascii="Arial" w:hAnsi="Arial" w:cs="Arial"/>
          <w:b/>
          <w:color w:val="0070C0"/>
          <w:sz w:val="24"/>
          <w:szCs w:val="24"/>
        </w:rPr>
      </w:pPr>
    </w:p>
    <w:p w:rsidR="008E5C77" w:rsidRDefault="008E5C77" w:rsidP="008E5C77">
      <w:pPr>
        <w:jc w:val="both"/>
        <w:rPr>
          <w:rFonts w:ascii="Arial" w:hAnsi="Arial" w:cs="Arial"/>
          <w:b/>
          <w:color w:val="0070C0"/>
          <w:sz w:val="24"/>
          <w:szCs w:val="24"/>
        </w:rPr>
      </w:pPr>
    </w:p>
    <w:p w:rsidR="008E5C77" w:rsidRDefault="008E5C77" w:rsidP="008E5C77">
      <w:pPr>
        <w:jc w:val="both"/>
        <w:rPr>
          <w:rFonts w:ascii="Arial" w:hAnsi="Arial" w:cs="Arial"/>
          <w:b/>
          <w:color w:val="0070C0"/>
          <w:sz w:val="24"/>
          <w:szCs w:val="24"/>
        </w:rPr>
      </w:pPr>
    </w:p>
    <w:p w:rsidR="008E5C77" w:rsidRPr="00AD02A6" w:rsidRDefault="008E5C77" w:rsidP="008E5C77">
      <w:pPr>
        <w:jc w:val="both"/>
        <w:rPr>
          <w:rFonts w:ascii="Arial" w:hAnsi="Arial" w:cs="Arial"/>
          <w:bCs/>
          <w:color w:val="0070C0"/>
          <w:sz w:val="24"/>
          <w:szCs w:val="24"/>
        </w:rPr>
      </w:pPr>
      <w:r w:rsidRPr="00AD02A6">
        <w:rPr>
          <w:rFonts w:ascii="Arial" w:hAnsi="Arial" w:cs="Arial"/>
          <w:bCs/>
          <w:color w:val="0070C0"/>
          <w:sz w:val="24"/>
          <w:szCs w:val="24"/>
        </w:rPr>
        <w:t xml:space="preserve">Golden Jubilee Foundation Values Statement </w:t>
      </w:r>
    </w:p>
    <w:p w:rsidR="008E5C77" w:rsidRPr="00AD02A6" w:rsidRDefault="008E5C77" w:rsidP="008E5C77">
      <w:pPr>
        <w:jc w:val="both"/>
        <w:rPr>
          <w:rFonts w:ascii="Arial" w:hAnsi="Arial" w:cs="Arial"/>
          <w:b/>
          <w:bCs/>
          <w:sz w:val="20"/>
          <w:szCs w:val="20"/>
        </w:rPr>
      </w:pPr>
    </w:p>
    <w:p w:rsidR="008E5C77" w:rsidRPr="00AD02A6" w:rsidRDefault="008E5C77" w:rsidP="008E5C77">
      <w:pPr>
        <w:pStyle w:val="BodyText"/>
        <w:kinsoku w:val="0"/>
        <w:overflowPunct w:val="0"/>
        <w:rPr>
          <w:rFonts w:ascii="Arial" w:hAnsi="Arial" w:cs="Arial"/>
        </w:rPr>
      </w:pPr>
    </w:p>
    <w:p w:rsidR="008E5C77" w:rsidRDefault="008E5C77" w:rsidP="008E5C77">
      <w:pPr>
        <w:pStyle w:val="BodyText"/>
        <w:tabs>
          <w:tab w:val="left" w:pos="3261"/>
          <w:tab w:val="left" w:pos="8080"/>
        </w:tabs>
        <w:kinsoku w:val="0"/>
        <w:overflowPunct w:val="0"/>
        <w:spacing w:line="254" w:lineRule="auto"/>
        <w:ind w:left="397" w:right="1043"/>
        <w:jc w:val="both"/>
        <w:rPr>
          <w:rFonts w:ascii="Arial" w:hAnsi="Arial" w:cs="Arial"/>
          <w:b/>
          <w:color w:val="1F497D" w:themeColor="text2"/>
          <w:sz w:val="18"/>
          <w:szCs w:val="18"/>
        </w:rPr>
      </w:pPr>
      <w:r>
        <w:rPr>
          <w:rFonts w:ascii="Arial" w:hAnsi="Arial" w:cs="Arial"/>
          <w:noProof/>
        </w:rPr>
        <w:drawing>
          <wp:inline distT="0" distB="0" distL="0" distR="0" wp14:anchorId="021008D1" wp14:editId="3C2EEA2E">
            <wp:extent cx="2466975" cy="1562100"/>
            <wp:effectExtent l="19050" t="0" r="9525" b="0"/>
            <wp:docPr id="4" name="Picture 2" descr="ival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alue2.jpg"/>
                    <pic:cNvPicPr>
                      <a:picLocks noChangeAspect="1" noChangeArrowheads="1"/>
                    </pic:cNvPicPr>
                  </pic:nvPicPr>
                  <pic:blipFill>
                    <a:blip r:embed="rId19"/>
                    <a:srcRect/>
                    <a:stretch>
                      <a:fillRect/>
                    </a:stretch>
                  </pic:blipFill>
                  <pic:spPr bwMode="auto">
                    <a:xfrm>
                      <a:off x="0" y="0"/>
                      <a:ext cx="2466975" cy="1562100"/>
                    </a:xfrm>
                    <a:prstGeom prst="rect">
                      <a:avLst/>
                    </a:prstGeom>
                    <a:noFill/>
                    <a:ln w="9525">
                      <a:noFill/>
                      <a:miter lim="800000"/>
                      <a:headEnd/>
                      <a:tailEnd/>
                    </a:ln>
                  </pic:spPr>
                </pic:pic>
              </a:graphicData>
            </a:graphic>
          </wp:inline>
        </w:drawing>
      </w:r>
      <w:r w:rsidRPr="00527DCA">
        <w:rPr>
          <w:rFonts w:ascii="Arial" w:hAnsi="Arial" w:cs="Arial"/>
          <w:b/>
          <w:color w:val="1F497D" w:themeColor="text2"/>
          <w:sz w:val="18"/>
          <w:szCs w:val="18"/>
        </w:rPr>
        <w:t xml:space="preserve"> </w:t>
      </w:r>
    </w:p>
    <w:p w:rsidR="008E5C77" w:rsidRDefault="008E5C77" w:rsidP="008E5C77">
      <w:pPr>
        <w:pStyle w:val="BodyText"/>
        <w:tabs>
          <w:tab w:val="left" w:pos="3261"/>
          <w:tab w:val="left" w:pos="8080"/>
        </w:tabs>
        <w:kinsoku w:val="0"/>
        <w:overflowPunct w:val="0"/>
        <w:spacing w:line="254" w:lineRule="auto"/>
        <w:ind w:left="397" w:right="1043"/>
        <w:jc w:val="both"/>
        <w:rPr>
          <w:rFonts w:ascii="Arial" w:hAnsi="Arial" w:cs="Arial"/>
          <w:b/>
          <w:color w:val="1F497D" w:themeColor="text2"/>
          <w:sz w:val="18"/>
          <w:szCs w:val="18"/>
        </w:rPr>
      </w:pPr>
    </w:p>
    <w:p w:rsidR="008E5C77" w:rsidRPr="00527DCA" w:rsidRDefault="008E5C77" w:rsidP="008E5C77">
      <w:pPr>
        <w:pStyle w:val="BodyText"/>
        <w:tabs>
          <w:tab w:val="left" w:pos="3261"/>
          <w:tab w:val="left" w:pos="8080"/>
        </w:tabs>
        <w:kinsoku w:val="0"/>
        <w:overflowPunct w:val="0"/>
        <w:spacing w:line="254" w:lineRule="auto"/>
        <w:ind w:left="397" w:right="1043"/>
        <w:jc w:val="both"/>
        <w:rPr>
          <w:rFonts w:ascii="Arial" w:hAnsi="Arial" w:cs="Arial"/>
          <w:b/>
          <w:color w:val="1F497D" w:themeColor="text2"/>
          <w:sz w:val="18"/>
          <w:szCs w:val="18"/>
        </w:rPr>
      </w:pPr>
      <w:r w:rsidRPr="00527DCA">
        <w:rPr>
          <w:rFonts w:ascii="Arial" w:hAnsi="Arial" w:cs="Arial"/>
          <w:b/>
          <w:color w:val="1F497D" w:themeColor="text2"/>
          <w:sz w:val="18"/>
          <w:szCs w:val="18"/>
        </w:rPr>
        <w:t>Finance Values to Deliver this Vision:-</w:t>
      </w:r>
    </w:p>
    <w:p w:rsidR="008E5C77" w:rsidRDefault="008E5C77" w:rsidP="008E5C77">
      <w:pPr>
        <w:pStyle w:val="BodyText"/>
        <w:tabs>
          <w:tab w:val="left" w:pos="3261"/>
          <w:tab w:val="left" w:pos="8080"/>
        </w:tabs>
        <w:kinsoku w:val="0"/>
        <w:overflowPunct w:val="0"/>
        <w:spacing w:line="254" w:lineRule="auto"/>
        <w:ind w:left="785" w:right="1043"/>
        <w:jc w:val="both"/>
        <w:rPr>
          <w:rFonts w:ascii="Arial" w:hAnsi="Arial" w:cs="Arial"/>
          <w:b/>
          <w:sz w:val="18"/>
          <w:szCs w:val="18"/>
        </w:rPr>
      </w:pPr>
    </w:p>
    <w:p w:rsidR="008E5C77" w:rsidRPr="00F82701" w:rsidRDefault="008E5C77" w:rsidP="008E5C77">
      <w:pPr>
        <w:pStyle w:val="BodyText"/>
        <w:tabs>
          <w:tab w:val="left" w:pos="3261"/>
          <w:tab w:val="left" w:pos="8080"/>
        </w:tabs>
        <w:kinsoku w:val="0"/>
        <w:overflowPunct w:val="0"/>
        <w:spacing w:line="254" w:lineRule="auto"/>
        <w:ind w:left="785" w:right="1043"/>
        <w:jc w:val="both"/>
        <w:rPr>
          <w:rFonts w:ascii="Arial" w:hAnsi="Arial" w:cs="Arial"/>
          <w:sz w:val="22"/>
          <w:szCs w:val="22"/>
        </w:rPr>
      </w:pPr>
      <w:r w:rsidRPr="00F82701">
        <w:rPr>
          <w:rFonts w:ascii="Arial" w:hAnsi="Arial" w:cs="Arial"/>
          <w:b/>
          <w:sz w:val="22"/>
          <w:szCs w:val="22"/>
        </w:rPr>
        <w:t>F</w:t>
      </w:r>
      <w:r w:rsidRPr="00F82701">
        <w:rPr>
          <w:rFonts w:ascii="Arial" w:hAnsi="Arial" w:cs="Arial"/>
          <w:sz w:val="22"/>
          <w:szCs w:val="22"/>
        </w:rPr>
        <w:t>uture Focused – we will constantly identify emerging changes that will impact on the department and incorporate them into the way we work</w:t>
      </w:r>
    </w:p>
    <w:p w:rsidR="008E5C77" w:rsidRPr="00F82701" w:rsidRDefault="008E5C77" w:rsidP="008E5C77">
      <w:pPr>
        <w:pStyle w:val="BodyText"/>
        <w:tabs>
          <w:tab w:val="left" w:pos="3261"/>
          <w:tab w:val="left" w:pos="8080"/>
        </w:tabs>
        <w:kinsoku w:val="0"/>
        <w:overflowPunct w:val="0"/>
        <w:spacing w:line="254" w:lineRule="auto"/>
        <w:ind w:left="765" w:right="1043"/>
        <w:jc w:val="both"/>
        <w:rPr>
          <w:rFonts w:ascii="Arial" w:hAnsi="Arial" w:cs="Arial"/>
          <w:sz w:val="22"/>
          <w:szCs w:val="22"/>
        </w:rPr>
      </w:pPr>
      <w:r w:rsidRPr="00F82701">
        <w:rPr>
          <w:rFonts w:ascii="Arial" w:hAnsi="Arial" w:cs="Arial"/>
          <w:b/>
          <w:sz w:val="22"/>
          <w:szCs w:val="22"/>
        </w:rPr>
        <w:t>I</w:t>
      </w:r>
      <w:r w:rsidRPr="00F82701">
        <w:rPr>
          <w:rFonts w:ascii="Arial" w:hAnsi="Arial" w:cs="Arial"/>
          <w:sz w:val="22"/>
          <w:szCs w:val="22"/>
        </w:rPr>
        <w:t>ntegrity – we will adhere to our responsibilities to ensure that the vision of the department is delivered effectively</w:t>
      </w:r>
    </w:p>
    <w:p w:rsidR="008E5C77" w:rsidRPr="00F82701" w:rsidRDefault="008E5C77" w:rsidP="008E5C77">
      <w:pPr>
        <w:pStyle w:val="BodyText"/>
        <w:tabs>
          <w:tab w:val="left" w:pos="3261"/>
          <w:tab w:val="left" w:pos="8080"/>
        </w:tabs>
        <w:kinsoku w:val="0"/>
        <w:overflowPunct w:val="0"/>
        <w:spacing w:line="254" w:lineRule="auto"/>
        <w:ind w:left="765" w:right="1043"/>
        <w:jc w:val="both"/>
        <w:rPr>
          <w:rFonts w:ascii="Arial" w:hAnsi="Arial" w:cs="Arial"/>
          <w:sz w:val="22"/>
          <w:szCs w:val="22"/>
        </w:rPr>
      </w:pPr>
      <w:r w:rsidRPr="00F82701">
        <w:rPr>
          <w:rFonts w:ascii="Arial" w:hAnsi="Arial" w:cs="Arial"/>
          <w:b/>
          <w:sz w:val="22"/>
          <w:szCs w:val="22"/>
        </w:rPr>
        <w:t>N</w:t>
      </w:r>
      <w:r w:rsidRPr="00F82701">
        <w:rPr>
          <w:rFonts w:ascii="Arial" w:hAnsi="Arial" w:cs="Arial"/>
          <w:sz w:val="22"/>
          <w:szCs w:val="22"/>
        </w:rPr>
        <w:t>ew skills and support – we will strive to find practical, effective and innovative solutions to achieve the required outcomes</w:t>
      </w:r>
    </w:p>
    <w:p w:rsidR="008E5C77" w:rsidRPr="00F82701" w:rsidRDefault="008E5C77" w:rsidP="008E5C77">
      <w:pPr>
        <w:pStyle w:val="BodyText"/>
        <w:tabs>
          <w:tab w:val="left" w:pos="3261"/>
          <w:tab w:val="left" w:pos="8080"/>
        </w:tabs>
        <w:kinsoku w:val="0"/>
        <w:overflowPunct w:val="0"/>
        <w:spacing w:line="254" w:lineRule="auto"/>
        <w:ind w:left="765" w:right="1043"/>
        <w:jc w:val="both"/>
        <w:rPr>
          <w:rFonts w:ascii="Arial" w:hAnsi="Arial" w:cs="Arial"/>
          <w:sz w:val="22"/>
          <w:szCs w:val="22"/>
        </w:rPr>
      </w:pPr>
      <w:r w:rsidRPr="00F82701">
        <w:rPr>
          <w:rFonts w:ascii="Arial" w:hAnsi="Arial" w:cs="Arial"/>
          <w:sz w:val="22"/>
          <w:szCs w:val="22"/>
        </w:rPr>
        <w:t xml:space="preserve">(can do) </w:t>
      </w:r>
      <w:r w:rsidRPr="00F82701">
        <w:rPr>
          <w:rFonts w:ascii="Arial" w:hAnsi="Arial" w:cs="Arial"/>
          <w:b/>
          <w:sz w:val="22"/>
          <w:szCs w:val="22"/>
        </w:rPr>
        <w:t>A</w:t>
      </w:r>
      <w:r w:rsidRPr="00F82701">
        <w:rPr>
          <w:rFonts w:ascii="Arial" w:hAnsi="Arial" w:cs="Arial"/>
          <w:sz w:val="22"/>
          <w:szCs w:val="22"/>
        </w:rPr>
        <w:t>ttitude – we will strive to ensure that the culture of the department supports a can do approach</w:t>
      </w:r>
    </w:p>
    <w:p w:rsidR="008E5C77" w:rsidRPr="00F82701" w:rsidRDefault="008E5C77" w:rsidP="008E5C77">
      <w:pPr>
        <w:pStyle w:val="BodyText"/>
        <w:tabs>
          <w:tab w:val="left" w:pos="3261"/>
          <w:tab w:val="left" w:pos="8080"/>
        </w:tabs>
        <w:kinsoku w:val="0"/>
        <w:overflowPunct w:val="0"/>
        <w:spacing w:line="254" w:lineRule="auto"/>
        <w:ind w:left="765" w:right="1043"/>
        <w:jc w:val="both"/>
        <w:rPr>
          <w:rFonts w:ascii="Arial" w:hAnsi="Arial" w:cs="Arial"/>
          <w:sz w:val="22"/>
          <w:szCs w:val="22"/>
        </w:rPr>
      </w:pPr>
      <w:r w:rsidRPr="00F82701">
        <w:rPr>
          <w:rFonts w:ascii="Arial" w:hAnsi="Arial" w:cs="Arial"/>
          <w:sz w:val="22"/>
          <w:szCs w:val="22"/>
        </w:rPr>
        <w:t>i</w:t>
      </w:r>
      <w:r w:rsidRPr="00F82701">
        <w:rPr>
          <w:rFonts w:ascii="Arial" w:hAnsi="Arial" w:cs="Arial"/>
          <w:b/>
          <w:sz w:val="22"/>
          <w:szCs w:val="22"/>
        </w:rPr>
        <w:t>N</w:t>
      </w:r>
      <w:r w:rsidRPr="00F82701">
        <w:rPr>
          <w:rFonts w:ascii="Arial" w:hAnsi="Arial" w:cs="Arial"/>
          <w:sz w:val="22"/>
          <w:szCs w:val="22"/>
        </w:rPr>
        <w:t>novative thinking – we will ensure that we embrace new innovative ways of working to continually improve our practices</w:t>
      </w:r>
    </w:p>
    <w:p w:rsidR="008E5C77" w:rsidRPr="00F82701" w:rsidRDefault="008E5C77" w:rsidP="008E5C77">
      <w:pPr>
        <w:pStyle w:val="BodyText"/>
        <w:tabs>
          <w:tab w:val="left" w:pos="3261"/>
          <w:tab w:val="left" w:pos="8080"/>
        </w:tabs>
        <w:kinsoku w:val="0"/>
        <w:overflowPunct w:val="0"/>
        <w:spacing w:line="254" w:lineRule="auto"/>
        <w:ind w:left="765" w:right="1043"/>
        <w:jc w:val="both"/>
        <w:rPr>
          <w:rFonts w:ascii="Arial" w:hAnsi="Arial" w:cs="Arial"/>
          <w:sz w:val="22"/>
          <w:szCs w:val="22"/>
        </w:rPr>
      </w:pPr>
      <w:r w:rsidRPr="00F82701">
        <w:rPr>
          <w:rFonts w:ascii="Arial" w:hAnsi="Arial" w:cs="Arial"/>
          <w:b/>
          <w:sz w:val="22"/>
          <w:szCs w:val="22"/>
        </w:rPr>
        <w:t>C</w:t>
      </w:r>
      <w:r w:rsidRPr="00F82701">
        <w:rPr>
          <w:rFonts w:ascii="Arial" w:hAnsi="Arial" w:cs="Arial"/>
          <w:sz w:val="22"/>
          <w:szCs w:val="22"/>
        </w:rPr>
        <w:t>ulture – we will work together collaboratively and in recognition of the contribution that person makes to the Department’s objectives, in doing this we will recognise the value of all points of view and treat everyone equally</w:t>
      </w:r>
    </w:p>
    <w:p w:rsidR="008E5C77" w:rsidRPr="00F82701" w:rsidRDefault="008E5C77" w:rsidP="008E5C77">
      <w:pPr>
        <w:pStyle w:val="BodyText"/>
        <w:tabs>
          <w:tab w:val="left" w:pos="3261"/>
          <w:tab w:val="left" w:pos="8080"/>
        </w:tabs>
        <w:kinsoku w:val="0"/>
        <w:overflowPunct w:val="0"/>
        <w:spacing w:line="254" w:lineRule="auto"/>
        <w:ind w:left="765" w:right="1043"/>
        <w:jc w:val="both"/>
        <w:rPr>
          <w:rFonts w:ascii="Arial" w:hAnsi="Arial" w:cs="Arial"/>
          <w:sz w:val="22"/>
          <w:szCs w:val="22"/>
        </w:rPr>
      </w:pPr>
      <w:r w:rsidRPr="00F82701">
        <w:rPr>
          <w:rFonts w:ascii="Arial" w:hAnsi="Arial" w:cs="Arial"/>
          <w:b/>
          <w:sz w:val="22"/>
          <w:szCs w:val="22"/>
        </w:rPr>
        <w:t>E</w:t>
      </w:r>
      <w:r w:rsidRPr="00F82701">
        <w:rPr>
          <w:rFonts w:ascii="Arial" w:hAnsi="Arial" w:cs="Arial"/>
          <w:sz w:val="22"/>
          <w:szCs w:val="22"/>
        </w:rPr>
        <w:t>xpertise – we are a reliable source of accurate information and sound financial advice</w:t>
      </w:r>
    </w:p>
    <w:p w:rsidR="001318A5" w:rsidRDefault="001318A5" w:rsidP="001318A5"/>
    <w:sectPr w:rsidR="001318A5" w:rsidSect="006776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04" w:rsidRDefault="004D4A04">
      <w:r>
        <w:separator/>
      </w:r>
    </w:p>
  </w:endnote>
  <w:endnote w:type="continuationSeparator" w:id="0">
    <w:p w:rsidR="004D4A04" w:rsidRDefault="004D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Georgia-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04" w:rsidRDefault="004D4A04">
    <w:pPr>
      <w:pStyle w:val="Footer"/>
      <w:jc w:val="cente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p w:rsidR="004D4A04" w:rsidRDefault="004D4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0862"/>
      <w:docPartObj>
        <w:docPartGallery w:val="Page Numbers (Bottom of Page)"/>
        <w:docPartUnique/>
      </w:docPartObj>
    </w:sdtPr>
    <w:sdtEndPr/>
    <w:sdtContent>
      <w:sdt>
        <w:sdtPr>
          <w:id w:val="565050477"/>
          <w:docPartObj>
            <w:docPartGallery w:val="Page Numbers (Top of Page)"/>
            <w:docPartUnique/>
          </w:docPartObj>
        </w:sdtPr>
        <w:sdtEndPr/>
        <w:sdtContent>
          <w:p w:rsidR="004D4A04" w:rsidRDefault="004D4A0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70658">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70658">
              <w:rPr>
                <w:b/>
                <w:noProof/>
              </w:rPr>
              <w:t>23</w:t>
            </w:r>
            <w:r>
              <w:rPr>
                <w:b/>
                <w:sz w:val="24"/>
                <w:szCs w:val="24"/>
              </w:rPr>
              <w:fldChar w:fldCharType="end"/>
            </w:r>
          </w:p>
        </w:sdtContent>
      </w:sdt>
    </w:sdtContent>
  </w:sdt>
  <w:p w:rsidR="004D4A04" w:rsidRDefault="004D4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04" w:rsidRDefault="004D4A04">
    <w:pPr>
      <w:pStyle w:val="Footer"/>
      <w:pBdr>
        <w:top w:val="single" w:sz="4" w:space="1" w:color="D9D9D9" w:themeColor="background1" w:themeShade="D9"/>
      </w:pBdr>
      <w:jc w:val="right"/>
    </w:pPr>
    <w:r>
      <w:t xml:space="preserve">1 | </w:t>
    </w:r>
    <w:r>
      <w:rPr>
        <w:color w:val="7F7F7F" w:themeColor="background1" w:themeShade="7F"/>
        <w:spacing w:val="60"/>
      </w:rPr>
      <w:t>Page</w:t>
    </w:r>
  </w:p>
  <w:p w:rsidR="004D4A04" w:rsidRDefault="004D4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04" w:rsidRDefault="004D4A04">
      <w:r>
        <w:separator/>
      </w:r>
    </w:p>
  </w:footnote>
  <w:footnote w:type="continuationSeparator" w:id="0">
    <w:p w:rsidR="004D4A04" w:rsidRDefault="004D4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04" w:rsidRDefault="004D4A04" w:rsidP="00577564">
    <w:pPr>
      <w:pStyle w:val="BodyText"/>
      <w:kinsoku w:val="0"/>
      <w:overflowPunct w:val="0"/>
      <w:spacing w:before="19"/>
      <w:ind w:left="20"/>
    </w:pPr>
    <w:r>
      <w:tab/>
    </w:r>
  </w:p>
  <w:p w:rsidR="004D4A04" w:rsidRDefault="004D4A04" w:rsidP="00577564">
    <w:pPr>
      <w:pStyle w:val="BodyText"/>
      <w:kinsoku w:val="0"/>
      <w:overflowPunct w:val="0"/>
      <w:spacing w:before="19"/>
      <w:ind w:left="20"/>
      <w:rPr>
        <w:rFonts w:ascii="Georgia-BoldItalic" w:hAnsi="Georgia-BoldItalic" w:cs="Georgia-BoldItalic"/>
        <w:b/>
        <w:bCs/>
        <w:i/>
        <w:iCs/>
        <w:color w:val="0070C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00C"/>
    <w:multiLevelType w:val="hybridMultilevel"/>
    <w:tmpl w:val="3522D20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34D01"/>
    <w:multiLevelType w:val="hybridMultilevel"/>
    <w:tmpl w:val="DA28AC7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E12DF"/>
    <w:multiLevelType w:val="hybridMultilevel"/>
    <w:tmpl w:val="1B86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9502C"/>
    <w:multiLevelType w:val="hybridMultilevel"/>
    <w:tmpl w:val="D2909D7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83219"/>
    <w:multiLevelType w:val="hybridMultilevel"/>
    <w:tmpl w:val="61381AC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D92927"/>
    <w:multiLevelType w:val="hybridMultilevel"/>
    <w:tmpl w:val="E73215A0"/>
    <w:lvl w:ilvl="0" w:tplc="04090005">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15:restartNumberingAfterBreak="0">
    <w:nsid w:val="2691559E"/>
    <w:multiLevelType w:val="hybridMultilevel"/>
    <w:tmpl w:val="CEA6591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853B7"/>
    <w:multiLevelType w:val="hybridMultilevel"/>
    <w:tmpl w:val="C532895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34E8C"/>
    <w:multiLevelType w:val="hybridMultilevel"/>
    <w:tmpl w:val="137E1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6375F"/>
    <w:multiLevelType w:val="hybridMultilevel"/>
    <w:tmpl w:val="ED5C8B7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67C11"/>
    <w:multiLevelType w:val="hybridMultilevel"/>
    <w:tmpl w:val="DABC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57EC2"/>
    <w:multiLevelType w:val="hybridMultilevel"/>
    <w:tmpl w:val="DFC8770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3AA510DF"/>
    <w:multiLevelType w:val="hybridMultilevel"/>
    <w:tmpl w:val="397CD2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A64AD5"/>
    <w:multiLevelType w:val="hybridMultilevel"/>
    <w:tmpl w:val="B8F28EE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90430"/>
    <w:multiLevelType w:val="hybridMultilevel"/>
    <w:tmpl w:val="CF8CA5FC"/>
    <w:lvl w:ilvl="0" w:tplc="08090001">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0A6646"/>
    <w:multiLevelType w:val="hybridMultilevel"/>
    <w:tmpl w:val="93F45DB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61C10"/>
    <w:multiLevelType w:val="hybridMultilevel"/>
    <w:tmpl w:val="7F4ADAC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2468C"/>
    <w:multiLevelType w:val="hybridMultilevel"/>
    <w:tmpl w:val="7A22E11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724413"/>
    <w:multiLevelType w:val="hybridMultilevel"/>
    <w:tmpl w:val="AAF2AE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B403406"/>
    <w:multiLevelType w:val="hybridMultilevel"/>
    <w:tmpl w:val="F234524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9157D1"/>
    <w:multiLevelType w:val="hybridMultilevel"/>
    <w:tmpl w:val="8A44E69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A4666"/>
    <w:multiLevelType w:val="hybridMultilevel"/>
    <w:tmpl w:val="43E6595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431BDF"/>
    <w:multiLevelType w:val="hybridMultilevel"/>
    <w:tmpl w:val="BCC69DA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A0C80"/>
    <w:multiLevelType w:val="hybridMultilevel"/>
    <w:tmpl w:val="B8F421B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5"/>
  </w:num>
  <w:num w:numId="4">
    <w:abstractNumId w:val="2"/>
  </w:num>
  <w:num w:numId="5">
    <w:abstractNumId w:val="6"/>
  </w:num>
  <w:num w:numId="6">
    <w:abstractNumId w:val="4"/>
  </w:num>
  <w:num w:numId="7">
    <w:abstractNumId w:val="9"/>
  </w:num>
  <w:num w:numId="8">
    <w:abstractNumId w:val="21"/>
  </w:num>
  <w:num w:numId="9">
    <w:abstractNumId w:val="0"/>
  </w:num>
  <w:num w:numId="10">
    <w:abstractNumId w:val="1"/>
  </w:num>
  <w:num w:numId="11">
    <w:abstractNumId w:val="17"/>
  </w:num>
  <w:num w:numId="12">
    <w:abstractNumId w:val="20"/>
  </w:num>
  <w:num w:numId="13">
    <w:abstractNumId w:val="15"/>
  </w:num>
  <w:num w:numId="14">
    <w:abstractNumId w:val="16"/>
  </w:num>
  <w:num w:numId="15">
    <w:abstractNumId w:val="8"/>
  </w:num>
  <w:num w:numId="16">
    <w:abstractNumId w:val="7"/>
  </w:num>
  <w:num w:numId="17">
    <w:abstractNumId w:val="3"/>
  </w:num>
  <w:num w:numId="18">
    <w:abstractNumId w:val="13"/>
  </w:num>
  <w:num w:numId="19">
    <w:abstractNumId w:val="19"/>
  </w:num>
  <w:num w:numId="20">
    <w:abstractNumId w:val="23"/>
  </w:num>
  <w:num w:numId="21">
    <w:abstractNumId w:val="18"/>
  </w:num>
  <w:num w:numId="22">
    <w:abstractNumId w:val="14"/>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318A5"/>
    <w:rsid w:val="00036BE9"/>
    <w:rsid w:val="00037D55"/>
    <w:rsid w:val="00095306"/>
    <w:rsid w:val="001318A5"/>
    <w:rsid w:val="00391140"/>
    <w:rsid w:val="004D4A04"/>
    <w:rsid w:val="00520BF0"/>
    <w:rsid w:val="005620BA"/>
    <w:rsid w:val="00570658"/>
    <w:rsid w:val="00577564"/>
    <w:rsid w:val="005B2292"/>
    <w:rsid w:val="00636016"/>
    <w:rsid w:val="00647170"/>
    <w:rsid w:val="0067583A"/>
    <w:rsid w:val="00677666"/>
    <w:rsid w:val="006E2514"/>
    <w:rsid w:val="008E0C91"/>
    <w:rsid w:val="008E5C77"/>
    <w:rsid w:val="00932501"/>
    <w:rsid w:val="0096632E"/>
    <w:rsid w:val="00AE5418"/>
    <w:rsid w:val="00B46062"/>
    <w:rsid w:val="00BA650A"/>
    <w:rsid w:val="00BC4B7B"/>
    <w:rsid w:val="00DC19BA"/>
    <w:rsid w:val="00E22B67"/>
    <w:rsid w:val="00F04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21D4BD"/>
  <w15:chartTrackingRefBased/>
  <w15:docId w15:val="{920444B7-764F-4E1A-A0B8-A99FBB59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7365D"/>
        <w:kern w:val="18"/>
        <w:sz w:val="22"/>
        <w:szCs w:val="22"/>
        <w:lang w:val="en-GB"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18A5"/>
    <w:pPr>
      <w:widowControl w:val="0"/>
      <w:autoSpaceDE w:val="0"/>
      <w:autoSpaceDN w:val="0"/>
      <w:adjustRightInd w:val="0"/>
    </w:pPr>
    <w:rPr>
      <w:rFonts w:ascii="Georgia" w:eastAsia="Times New Roman" w:hAnsi="Georgia" w:cs="Georgia"/>
      <w:color w:val="auto"/>
      <w:kern w:val="0"/>
      <w:lang w:eastAsia="en-GB"/>
    </w:rPr>
  </w:style>
  <w:style w:type="paragraph" w:styleId="Heading1">
    <w:name w:val="heading 1"/>
    <w:basedOn w:val="Normal"/>
    <w:next w:val="Normal"/>
    <w:link w:val="Heading1Char"/>
    <w:uiPriority w:val="1"/>
    <w:qFormat/>
    <w:rsid w:val="001318A5"/>
    <w:pPr>
      <w:spacing w:before="100"/>
      <w:ind w:left="2468"/>
      <w:outlineLvl w:val="0"/>
    </w:pPr>
    <w:rPr>
      <w:rFonts w:ascii="Georgia-BoldItalic" w:hAnsi="Georgia-BoldItalic" w:cs="Georgia-BoldItalic"/>
      <w:b/>
      <w:bCs/>
      <w:i/>
      <w:iCs/>
      <w:sz w:val="50"/>
      <w:szCs w:val="50"/>
    </w:rPr>
  </w:style>
  <w:style w:type="paragraph" w:styleId="Heading3">
    <w:name w:val="heading 3"/>
    <w:basedOn w:val="Normal"/>
    <w:next w:val="Normal"/>
    <w:link w:val="Heading3Char"/>
    <w:uiPriority w:val="9"/>
    <w:semiHidden/>
    <w:unhideWhenUsed/>
    <w:qFormat/>
    <w:rsid w:val="001318A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18A5"/>
    <w:rPr>
      <w:sz w:val="20"/>
      <w:szCs w:val="20"/>
    </w:rPr>
  </w:style>
  <w:style w:type="character" w:customStyle="1" w:styleId="BodyTextChar">
    <w:name w:val="Body Text Char"/>
    <w:basedOn w:val="DefaultParagraphFont"/>
    <w:link w:val="BodyText"/>
    <w:uiPriority w:val="1"/>
    <w:rsid w:val="001318A5"/>
    <w:rPr>
      <w:rFonts w:ascii="Georgia" w:eastAsia="Times New Roman" w:hAnsi="Georgia" w:cs="Georgia"/>
      <w:color w:val="auto"/>
      <w:kern w:val="0"/>
      <w:sz w:val="20"/>
      <w:szCs w:val="20"/>
      <w:lang w:eastAsia="en-GB"/>
    </w:rPr>
  </w:style>
  <w:style w:type="paragraph" w:styleId="Footer">
    <w:name w:val="footer"/>
    <w:basedOn w:val="Normal"/>
    <w:link w:val="FooterChar"/>
    <w:uiPriority w:val="99"/>
    <w:unhideWhenUsed/>
    <w:rsid w:val="001318A5"/>
    <w:pPr>
      <w:tabs>
        <w:tab w:val="center" w:pos="4513"/>
        <w:tab w:val="right" w:pos="9026"/>
      </w:tabs>
    </w:pPr>
  </w:style>
  <w:style w:type="character" w:customStyle="1" w:styleId="FooterChar">
    <w:name w:val="Footer Char"/>
    <w:basedOn w:val="DefaultParagraphFont"/>
    <w:link w:val="Footer"/>
    <w:uiPriority w:val="99"/>
    <w:rsid w:val="001318A5"/>
    <w:rPr>
      <w:rFonts w:ascii="Georgia" w:eastAsia="Times New Roman" w:hAnsi="Georgia" w:cs="Georgia"/>
      <w:color w:val="auto"/>
      <w:kern w:val="0"/>
      <w:lang w:eastAsia="en-GB"/>
    </w:rPr>
  </w:style>
  <w:style w:type="paragraph" w:styleId="BodyTextIndent3">
    <w:name w:val="Body Text Indent 3"/>
    <w:basedOn w:val="Normal"/>
    <w:link w:val="BodyTextIndent3Char"/>
    <w:uiPriority w:val="99"/>
    <w:semiHidden/>
    <w:unhideWhenUsed/>
    <w:rsid w:val="001318A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18A5"/>
    <w:rPr>
      <w:rFonts w:ascii="Georgia" w:eastAsia="Times New Roman" w:hAnsi="Georgia" w:cs="Georgia"/>
      <w:color w:val="auto"/>
      <w:kern w:val="0"/>
      <w:sz w:val="16"/>
      <w:szCs w:val="16"/>
      <w:lang w:eastAsia="en-GB"/>
    </w:rPr>
  </w:style>
  <w:style w:type="table" w:styleId="TableGrid">
    <w:name w:val="Table Grid"/>
    <w:basedOn w:val="TableNormal"/>
    <w:uiPriority w:val="99"/>
    <w:rsid w:val="001318A5"/>
    <w:rPr>
      <w:rFonts w:ascii="Calibri" w:eastAsia="Times New Roman" w:hAnsi="Calibri" w:cs="Times New Roman"/>
      <w:color w:val="auto"/>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318A5"/>
    <w:rPr>
      <w:rFonts w:ascii="Georgia-BoldItalic" w:eastAsia="Times New Roman" w:hAnsi="Georgia-BoldItalic" w:cs="Georgia-BoldItalic"/>
      <w:b/>
      <w:bCs/>
      <w:i/>
      <w:iCs/>
      <w:color w:val="auto"/>
      <w:kern w:val="0"/>
      <w:sz w:val="50"/>
      <w:szCs w:val="50"/>
      <w:lang w:eastAsia="en-GB"/>
    </w:rPr>
  </w:style>
  <w:style w:type="paragraph" w:styleId="ListParagraph">
    <w:name w:val="List Paragraph"/>
    <w:basedOn w:val="Normal"/>
    <w:uiPriority w:val="34"/>
    <w:qFormat/>
    <w:rsid w:val="001318A5"/>
    <w:pPr>
      <w:spacing w:before="112"/>
      <w:ind w:left="4339" w:hanging="450"/>
    </w:pPr>
    <w:rPr>
      <w:sz w:val="24"/>
      <w:szCs w:val="24"/>
    </w:rPr>
  </w:style>
  <w:style w:type="character" w:customStyle="1" w:styleId="Heading3Char">
    <w:name w:val="Heading 3 Char"/>
    <w:basedOn w:val="DefaultParagraphFont"/>
    <w:link w:val="Heading3"/>
    <w:uiPriority w:val="9"/>
    <w:semiHidden/>
    <w:rsid w:val="001318A5"/>
    <w:rPr>
      <w:rFonts w:asciiTheme="majorHAnsi" w:eastAsiaTheme="majorEastAsia" w:hAnsiTheme="majorHAnsi" w:cstheme="majorBidi"/>
      <w:color w:val="243F60" w:themeColor="accent1" w:themeShade="7F"/>
      <w:kern w:val="0"/>
      <w:sz w:val="24"/>
      <w:szCs w:val="24"/>
      <w:lang w:eastAsia="en-GB"/>
    </w:rPr>
  </w:style>
  <w:style w:type="paragraph" w:styleId="BodyTextIndent">
    <w:name w:val="Body Text Indent"/>
    <w:basedOn w:val="Normal"/>
    <w:link w:val="BodyTextIndentChar"/>
    <w:uiPriority w:val="99"/>
    <w:semiHidden/>
    <w:unhideWhenUsed/>
    <w:rsid w:val="008E5C77"/>
    <w:pPr>
      <w:spacing w:after="120"/>
      <w:ind w:left="283"/>
    </w:pPr>
  </w:style>
  <w:style w:type="character" w:customStyle="1" w:styleId="BodyTextIndentChar">
    <w:name w:val="Body Text Indent Char"/>
    <w:basedOn w:val="DefaultParagraphFont"/>
    <w:link w:val="BodyTextIndent"/>
    <w:uiPriority w:val="99"/>
    <w:semiHidden/>
    <w:rsid w:val="008E5C77"/>
    <w:rPr>
      <w:rFonts w:ascii="Georgia" w:eastAsia="Times New Roman" w:hAnsi="Georgia" w:cs="Georgia"/>
      <w:color w:val="auto"/>
      <w:kern w:val="0"/>
      <w:lang w:eastAsia="en-GB"/>
    </w:rPr>
  </w:style>
  <w:style w:type="paragraph" w:styleId="BalloonText">
    <w:name w:val="Balloon Text"/>
    <w:basedOn w:val="Normal"/>
    <w:link w:val="BalloonTextChar"/>
    <w:uiPriority w:val="99"/>
    <w:semiHidden/>
    <w:unhideWhenUsed/>
    <w:rsid w:val="00647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170"/>
    <w:rPr>
      <w:rFonts w:ascii="Segoe UI" w:eastAsia="Times New Roman" w:hAnsi="Segoe UI" w:cs="Segoe UI"/>
      <w:color w:val="auto"/>
      <w:kern w:val="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0106">
      <w:bodyDiv w:val="1"/>
      <w:marLeft w:val="0"/>
      <w:marRight w:val="0"/>
      <w:marTop w:val="0"/>
      <w:marBottom w:val="0"/>
      <w:divBdr>
        <w:top w:val="none" w:sz="0" w:space="0" w:color="auto"/>
        <w:left w:val="none" w:sz="0" w:space="0" w:color="auto"/>
        <w:bottom w:val="none" w:sz="0" w:space="0" w:color="auto"/>
        <w:right w:val="none" w:sz="0" w:space="0" w:color="auto"/>
      </w:divBdr>
    </w:div>
    <w:div w:id="1087964401">
      <w:bodyDiv w:val="1"/>
      <w:marLeft w:val="0"/>
      <w:marRight w:val="0"/>
      <w:marTop w:val="0"/>
      <w:marBottom w:val="0"/>
      <w:divBdr>
        <w:top w:val="none" w:sz="0" w:space="0" w:color="auto"/>
        <w:left w:val="none" w:sz="0" w:space="0" w:color="auto"/>
        <w:bottom w:val="none" w:sz="0" w:space="0" w:color="auto"/>
        <w:right w:val="none" w:sz="0" w:space="0" w:color="auto"/>
      </w:divBdr>
    </w:div>
    <w:div w:id="2047871655">
      <w:bodyDiv w:val="1"/>
      <w:marLeft w:val="0"/>
      <w:marRight w:val="0"/>
      <w:marTop w:val="0"/>
      <w:marBottom w:val="0"/>
      <w:divBdr>
        <w:top w:val="none" w:sz="0" w:space="0" w:color="auto"/>
        <w:left w:val="none" w:sz="0" w:space="0" w:color="auto"/>
        <w:bottom w:val="none" w:sz="0" w:space="0" w:color="auto"/>
        <w:right w:val="none" w:sz="0" w:space="0" w:color="auto"/>
      </w:divBdr>
    </w:div>
    <w:div w:id="21441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nwtc-filesrv\FinancePrivate$\EOB\Expenditure\Board%20report\2019-20\Tables%20for%20report-%20M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'RRL Trajectory'!$I$264:$I$265</c:f>
              <c:strCache>
                <c:ptCount val="1"/>
                <c:pt idx="0">
                  <c:v>RRL Plan Surplus/(Deficit) £000s</c:v>
                </c:pt>
              </c:strCache>
            </c:strRef>
          </c:tx>
          <c:cat>
            <c:strRef>
              <c:f>'RRL Trajectory'!$H$266:$H$277</c:f>
              <c:strCache>
                <c:ptCount val="12"/>
                <c:pt idx="0">
                  <c:v>April</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'RRL Trajectory'!$I$266:$I$277</c:f>
              <c:numCache>
                <c:formatCode>General</c:formatCode>
                <c:ptCount val="12"/>
                <c:pt idx="0">
                  <c:v>0</c:v>
                </c:pt>
                <c:pt idx="1">
                  <c:v>0</c:v>
                </c:pt>
                <c:pt idx="2" formatCode="#,##0">
                  <c:v>1000</c:v>
                </c:pt>
                <c:pt idx="3">
                  <c:v>825</c:v>
                </c:pt>
                <c:pt idx="4">
                  <c:v>600</c:v>
                </c:pt>
                <c:pt idx="5">
                  <c:v>300</c:v>
                </c:pt>
                <c:pt idx="6">
                  <c:v>175</c:v>
                </c:pt>
                <c:pt idx="7">
                  <c:v>0</c:v>
                </c:pt>
                <c:pt idx="8">
                  <c:v>0</c:v>
                </c:pt>
                <c:pt idx="9">
                  <c:v>0</c:v>
                </c:pt>
                <c:pt idx="10">
                  <c:v>0</c:v>
                </c:pt>
                <c:pt idx="11">
                  <c:v>0</c:v>
                </c:pt>
              </c:numCache>
            </c:numRef>
          </c:val>
          <c:smooth val="0"/>
          <c:extLst>
            <c:ext xmlns:c16="http://schemas.microsoft.com/office/drawing/2014/chart" uri="{C3380CC4-5D6E-409C-BE32-E72D297353CC}">
              <c16:uniqueId val="{00000000-03A4-4752-BE83-1BF549637052}"/>
            </c:ext>
          </c:extLst>
        </c:ser>
        <c:ser>
          <c:idx val="1"/>
          <c:order val="1"/>
          <c:tx>
            <c:strRef>
              <c:f>'RRL Trajectory'!$J$264:$J$265</c:f>
              <c:strCache>
                <c:ptCount val="1"/>
                <c:pt idx="0">
                  <c:v>RRL Actual Surplus/ (Deficit) £000s</c:v>
                </c:pt>
              </c:strCache>
            </c:strRef>
          </c:tx>
          <c:cat>
            <c:strRef>
              <c:f>'RRL Trajectory'!$H$266:$H$277</c:f>
              <c:strCache>
                <c:ptCount val="12"/>
                <c:pt idx="0">
                  <c:v>April</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'RRL Trajectory'!$J$266:$J$277</c:f>
              <c:numCache>
                <c:formatCode>General</c:formatCode>
                <c:ptCount val="12"/>
                <c:pt idx="0">
                  <c:v>1178</c:v>
                </c:pt>
                <c:pt idx="1">
                  <c:v>1065</c:v>
                </c:pt>
                <c:pt idx="2" formatCode="#,##0">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1-03A4-4752-BE83-1BF549637052}"/>
            </c:ext>
          </c:extLst>
        </c:ser>
        <c:dLbls>
          <c:showLegendKey val="0"/>
          <c:showVal val="0"/>
          <c:showCatName val="0"/>
          <c:showSerName val="0"/>
          <c:showPercent val="0"/>
          <c:showBubbleSize val="0"/>
        </c:dLbls>
        <c:marker val="1"/>
        <c:smooth val="0"/>
        <c:axId val="88464384"/>
        <c:axId val="88835200"/>
      </c:lineChart>
      <c:catAx>
        <c:axId val="88464384"/>
        <c:scaling>
          <c:orientation val="minMax"/>
        </c:scaling>
        <c:delete val="0"/>
        <c:axPos val="b"/>
        <c:numFmt formatCode="General" sourceLinked="0"/>
        <c:majorTickMark val="out"/>
        <c:minorTickMark val="none"/>
        <c:tickLblPos val="nextTo"/>
        <c:crossAx val="88835200"/>
        <c:crosses val="autoZero"/>
        <c:auto val="1"/>
        <c:lblAlgn val="ctr"/>
        <c:lblOffset val="100"/>
        <c:noMultiLvlLbl val="0"/>
      </c:catAx>
      <c:valAx>
        <c:axId val="88835200"/>
        <c:scaling>
          <c:orientation val="minMax"/>
        </c:scaling>
        <c:delete val="0"/>
        <c:axPos val="l"/>
        <c:majorGridlines/>
        <c:numFmt formatCode="General" sourceLinked="1"/>
        <c:majorTickMark val="out"/>
        <c:minorTickMark val="none"/>
        <c:tickLblPos val="nextTo"/>
        <c:crossAx val="8846438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23</Pages>
  <Words>5024</Words>
  <Characters>28642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brysonl</dc:creator>
  <cp:keywords/>
  <dc:description/>
  <cp:lastModifiedBy>Christine McGuinness</cp:lastModifiedBy>
  <cp:revision>5</cp:revision>
  <cp:lastPrinted>2019-07-02T17:45:00Z</cp:lastPrinted>
  <dcterms:created xsi:type="dcterms:W3CDTF">2019-07-03T09:18:00Z</dcterms:created>
  <dcterms:modified xsi:type="dcterms:W3CDTF">2019-07-25T15:04:00Z</dcterms:modified>
</cp:coreProperties>
</file>