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2557"/>
        <w:gridCol w:w="4814"/>
        <w:gridCol w:w="1985"/>
      </w:tblGrid>
      <w:tr w:rsidR="00300A60" w:rsidRPr="000C34A9" w:rsidTr="00942565">
        <w:trPr>
          <w:trHeight w:val="557"/>
        </w:trPr>
        <w:tc>
          <w:tcPr>
            <w:tcW w:w="2557" w:type="dxa"/>
          </w:tcPr>
          <w:p w:rsidR="00300A60" w:rsidRPr="0081525B" w:rsidRDefault="00300A60" w:rsidP="002024A7">
            <w:pPr>
              <w:pStyle w:val="Heading1"/>
              <w:spacing w:before="60" w:after="60"/>
              <w:ind w:right="183"/>
              <w:contextualSpacing/>
              <w:rPr>
                <w:rFonts w:ascii="Arial" w:hAnsi="Arial" w:cs="Arial"/>
                <w:sz w:val="24"/>
                <w:szCs w:val="24"/>
              </w:rPr>
            </w:pPr>
            <w:r w:rsidRPr="0081525B">
              <w:rPr>
                <w:rFonts w:ascii="Arial" w:hAnsi="Arial" w:cs="Arial"/>
                <w:sz w:val="24"/>
                <w:szCs w:val="24"/>
              </w:rPr>
              <w:t>Board Meeting:</w:t>
            </w:r>
          </w:p>
        </w:tc>
        <w:tc>
          <w:tcPr>
            <w:tcW w:w="4814" w:type="dxa"/>
          </w:tcPr>
          <w:p w:rsidR="00300A60" w:rsidRPr="00FB4B58" w:rsidRDefault="000C34A9" w:rsidP="00723D08">
            <w:pPr>
              <w:pStyle w:val="Heading1"/>
              <w:spacing w:before="60" w:after="60"/>
              <w:ind w:right="183"/>
              <w:contextualSpacing/>
              <w:rPr>
                <w:rFonts w:ascii="Arial" w:hAnsi="Arial" w:cs="Arial"/>
                <w:b w:val="0"/>
                <w:sz w:val="24"/>
                <w:szCs w:val="24"/>
              </w:rPr>
            </w:pPr>
            <w:r w:rsidRPr="00FB4B58">
              <w:rPr>
                <w:rFonts w:ascii="Arial" w:hAnsi="Arial" w:cs="Arial"/>
                <w:b w:val="0"/>
                <w:sz w:val="24"/>
                <w:szCs w:val="24"/>
              </w:rPr>
              <w:t>20 June</w:t>
            </w:r>
            <w:r w:rsidR="00C96377" w:rsidRPr="00FB4B58">
              <w:rPr>
                <w:rFonts w:ascii="Arial" w:hAnsi="Arial" w:cs="Arial"/>
                <w:b w:val="0"/>
                <w:sz w:val="24"/>
                <w:szCs w:val="24"/>
              </w:rPr>
              <w:t xml:space="preserve"> 2019</w:t>
            </w:r>
          </w:p>
        </w:tc>
        <w:tc>
          <w:tcPr>
            <w:tcW w:w="1985" w:type="dxa"/>
            <w:vMerge w:val="restart"/>
          </w:tcPr>
          <w:p w:rsidR="00300A60" w:rsidRPr="00FB4B58" w:rsidRDefault="00942565" w:rsidP="002024A7">
            <w:pPr>
              <w:pStyle w:val="Heading1"/>
              <w:spacing w:before="60" w:after="60"/>
              <w:ind w:right="34"/>
              <w:contextualSpacing/>
              <w:jc w:val="right"/>
              <w:rPr>
                <w:rFonts w:ascii="Arial" w:hAnsi="Arial" w:cs="Arial"/>
                <w:sz w:val="24"/>
                <w:szCs w:val="24"/>
              </w:rPr>
            </w:pPr>
            <w:r>
              <w:rPr>
                <w:rFonts w:ascii="Arial" w:hAnsi="Arial" w:cs="Arial"/>
                <w:noProof/>
                <w:sz w:val="24"/>
                <w:szCs w:val="24"/>
                <w:lang w:eastAsia="en-GB"/>
              </w:rPr>
              <w:drawing>
                <wp:inline distT="0" distB="0" distL="0" distR="0">
                  <wp:extent cx="1123315" cy="468630"/>
                  <wp:effectExtent l="19050" t="0" r="635" b="0"/>
                  <wp:docPr id="2" name="Picture 1"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123315" cy="468630"/>
                          </a:xfrm>
                          <a:prstGeom prst="rect">
                            <a:avLst/>
                          </a:prstGeom>
                        </pic:spPr>
                      </pic:pic>
                    </a:graphicData>
                  </a:graphic>
                </wp:inline>
              </w:drawing>
            </w:r>
          </w:p>
        </w:tc>
      </w:tr>
      <w:tr w:rsidR="00300A60" w:rsidRPr="000C34A9" w:rsidTr="00942565">
        <w:trPr>
          <w:trHeight w:val="559"/>
        </w:trPr>
        <w:tc>
          <w:tcPr>
            <w:tcW w:w="2557" w:type="dxa"/>
          </w:tcPr>
          <w:p w:rsidR="00300A60" w:rsidRPr="0081525B" w:rsidRDefault="00300A60" w:rsidP="002024A7">
            <w:pPr>
              <w:pStyle w:val="Heading1"/>
              <w:spacing w:before="60" w:after="60"/>
              <w:ind w:right="183"/>
              <w:contextualSpacing/>
              <w:rPr>
                <w:rFonts w:ascii="Arial" w:hAnsi="Arial" w:cs="Arial"/>
                <w:sz w:val="24"/>
                <w:szCs w:val="24"/>
              </w:rPr>
            </w:pPr>
            <w:r w:rsidRPr="0081525B">
              <w:rPr>
                <w:rFonts w:ascii="Arial" w:hAnsi="Arial" w:cs="Arial"/>
                <w:bCs w:val="0"/>
                <w:sz w:val="24"/>
                <w:szCs w:val="24"/>
              </w:rPr>
              <w:t>Subject:</w:t>
            </w:r>
          </w:p>
        </w:tc>
        <w:tc>
          <w:tcPr>
            <w:tcW w:w="4814" w:type="dxa"/>
          </w:tcPr>
          <w:p w:rsidR="00300A60" w:rsidRPr="00FB4B58" w:rsidRDefault="00300A60" w:rsidP="00300A60">
            <w:pPr>
              <w:pStyle w:val="Heading1"/>
              <w:spacing w:before="60" w:after="60"/>
              <w:ind w:right="183"/>
              <w:contextualSpacing/>
              <w:rPr>
                <w:rFonts w:ascii="Arial" w:hAnsi="Arial" w:cs="Arial"/>
                <w:b w:val="0"/>
                <w:sz w:val="24"/>
                <w:szCs w:val="24"/>
              </w:rPr>
            </w:pPr>
            <w:r w:rsidRPr="00FB4B58">
              <w:rPr>
                <w:rFonts w:ascii="Arial" w:hAnsi="Arial" w:cs="Arial"/>
                <w:b w:val="0"/>
                <w:sz w:val="24"/>
                <w:szCs w:val="24"/>
              </w:rPr>
              <w:t xml:space="preserve">Board Performance Report </w:t>
            </w:r>
          </w:p>
        </w:tc>
        <w:tc>
          <w:tcPr>
            <w:tcW w:w="1985" w:type="dxa"/>
            <w:vMerge/>
          </w:tcPr>
          <w:p w:rsidR="00300A60" w:rsidRPr="00FB4B58" w:rsidRDefault="00300A60" w:rsidP="002024A7">
            <w:pPr>
              <w:pStyle w:val="Heading1"/>
              <w:spacing w:before="60" w:after="60"/>
              <w:ind w:right="183"/>
              <w:contextualSpacing/>
              <w:rPr>
                <w:rFonts w:ascii="Arial" w:hAnsi="Arial" w:cs="Arial"/>
                <w:noProof/>
                <w:sz w:val="24"/>
                <w:szCs w:val="24"/>
                <w:lang w:eastAsia="en-GB"/>
              </w:rPr>
            </w:pPr>
          </w:p>
        </w:tc>
      </w:tr>
      <w:tr w:rsidR="00300A60" w:rsidRPr="000C34A9" w:rsidTr="00942565">
        <w:trPr>
          <w:trHeight w:val="499"/>
        </w:trPr>
        <w:tc>
          <w:tcPr>
            <w:tcW w:w="2557" w:type="dxa"/>
          </w:tcPr>
          <w:p w:rsidR="00300A60" w:rsidRPr="000C34A9" w:rsidRDefault="00300A60" w:rsidP="002024A7">
            <w:pPr>
              <w:pStyle w:val="Heading1"/>
              <w:spacing w:before="120" w:after="60"/>
              <w:ind w:right="183"/>
              <w:contextualSpacing/>
              <w:rPr>
                <w:rFonts w:ascii="Arial" w:hAnsi="Arial" w:cs="Arial"/>
                <w:sz w:val="24"/>
                <w:szCs w:val="24"/>
              </w:rPr>
            </w:pPr>
            <w:r w:rsidRPr="000C34A9">
              <w:rPr>
                <w:rFonts w:ascii="Arial" w:hAnsi="Arial" w:cs="Arial"/>
                <w:bCs w:val="0"/>
                <w:sz w:val="24"/>
                <w:szCs w:val="24"/>
              </w:rPr>
              <w:t>Recommendation:</w:t>
            </w:r>
            <w:r w:rsidRPr="000C34A9">
              <w:rPr>
                <w:rFonts w:ascii="Arial" w:hAnsi="Arial" w:cs="Arial"/>
                <w:bCs w:val="0"/>
                <w:sz w:val="24"/>
                <w:szCs w:val="24"/>
              </w:rPr>
              <w:tab/>
            </w:r>
          </w:p>
        </w:tc>
        <w:tc>
          <w:tcPr>
            <w:tcW w:w="6799" w:type="dxa"/>
            <w:gridSpan w:val="2"/>
          </w:tcPr>
          <w:p w:rsidR="00300A60" w:rsidRPr="000C34A9" w:rsidRDefault="00300A60" w:rsidP="002024A7">
            <w:pPr>
              <w:pStyle w:val="Heading1"/>
              <w:spacing w:before="120" w:after="60"/>
              <w:ind w:right="183"/>
              <w:contextualSpacing/>
              <w:rPr>
                <w:rFonts w:ascii="Arial" w:hAnsi="Arial" w:cs="Arial"/>
                <w:b w:val="0"/>
                <w:sz w:val="24"/>
                <w:szCs w:val="24"/>
              </w:rPr>
            </w:pPr>
            <w:r w:rsidRPr="000C34A9">
              <w:rPr>
                <w:rFonts w:ascii="Arial" w:hAnsi="Arial" w:cs="Arial"/>
                <w:b w:val="0"/>
                <w:sz w:val="24"/>
                <w:szCs w:val="24"/>
              </w:rPr>
              <w:t>Board members are asked to:</w:t>
            </w:r>
          </w:p>
          <w:p w:rsidR="00300A60" w:rsidRPr="000C34A9" w:rsidRDefault="00300A60" w:rsidP="002024A7"/>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300A60" w:rsidRPr="000C34A9" w:rsidTr="002024A7">
              <w:tc>
                <w:tcPr>
                  <w:tcW w:w="5694" w:type="dxa"/>
                </w:tcPr>
                <w:p w:rsidR="00300A60" w:rsidRPr="000C34A9" w:rsidRDefault="00300A60" w:rsidP="002024A7">
                  <w:pPr>
                    <w:pStyle w:val="Heading1"/>
                    <w:spacing w:before="120" w:after="60"/>
                    <w:ind w:right="183"/>
                    <w:contextualSpacing/>
                    <w:rPr>
                      <w:rFonts w:ascii="Arial" w:hAnsi="Arial" w:cs="Arial"/>
                      <w:b w:val="0"/>
                      <w:sz w:val="24"/>
                      <w:szCs w:val="24"/>
                    </w:rPr>
                  </w:pPr>
                  <w:r w:rsidRPr="000C34A9">
                    <w:rPr>
                      <w:rFonts w:ascii="Arial" w:hAnsi="Arial" w:cs="Arial"/>
                      <w:b w:val="0"/>
                      <w:sz w:val="24"/>
                      <w:szCs w:val="24"/>
                    </w:rPr>
                    <w:t>Discuss and Note</w:t>
                  </w:r>
                </w:p>
              </w:tc>
              <w:tc>
                <w:tcPr>
                  <w:tcW w:w="850" w:type="dxa"/>
                </w:tcPr>
                <w:p w:rsidR="00300A60" w:rsidRPr="000C34A9" w:rsidRDefault="00300A60" w:rsidP="002024A7">
                  <w:pPr>
                    <w:spacing w:before="120" w:after="60"/>
                    <w:contextualSpacing/>
                  </w:pPr>
                  <w:r w:rsidRPr="000C34A9">
                    <w:t>X</w:t>
                  </w:r>
                </w:p>
              </w:tc>
            </w:tr>
            <w:tr w:rsidR="00300A60" w:rsidRPr="000C34A9" w:rsidTr="002024A7">
              <w:tc>
                <w:tcPr>
                  <w:tcW w:w="5694" w:type="dxa"/>
                </w:tcPr>
                <w:p w:rsidR="00300A60" w:rsidRPr="000C34A9" w:rsidRDefault="00300A60" w:rsidP="002024A7">
                  <w:pPr>
                    <w:pStyle w:val="Heading1"/>
                    <w:spacing w:before="120" w:after="60"/>
                    <w:ind w:right="183"/>
                    <w:contextualSpacing/>
                    <w:rPr>
                      <w:rFonts w:ascii="Arial" w:hAnsi="Arial" w:cs="Arial"/>
                      <w:b w:val="0"/>
                      <w:sz w:val="24"/>
                      <w:szCs w:val="24"/>
                    </w:rPr>
                  </w:pPr>
                  <w:r w:rsidRPr="000C34A9">
                    <w:rPr>
                      <w:rFonts w:ascii="Arial" w:hAnsi="Arial" w:cs="Arial"/>
                      <w:b w:val="0"/>
                      <w:sz w:val="24"/>
                      <w:szCs w:val="24"/>
                    </w:rPr>
                    <w:t>Discuss and Approve</w:t>
                  </w:r>
                </w:p>
              </w:tc>
              <w:tc>
                <w:tcPr>
                  <w:tcW w:w="850" w:type="dxa"/>
                </w:tcPr>
                <w:p w:rsidR="00300A60" w:rsidRPr="000C34A9" w:rsidRDefault="00300A60" w:rsidP="002024A7">
                  <w:pPr>
                    <w:spacing w:before="120" w:after="60"/>
                    <w:contextualSpacing/>
                  </w:pPr>
                </w:p>
              </w:tc>
            </w:tr>
            <w:tr w:rsidR="00300A60" w:rsidRPr="000C34A9" w:rsidTr="002024A7">
              <w:tc>
                <w:tcPr>
                  <w:tcW w:w="5694" w:type="dxa"/>
                </w:tcPr>
                <w:p w:rsidR="00300A60" w:rsidRPr="000C34A9" w:rsidRDefault="00300A60" w:rsidP="002024A7">
                  <w:pPr>
                    <w:pStyle w:val="Heading1"/>
                    <w:spacing w:before="120" w:after="60"/>
                    <w:ind w:right="183"/>
                    <w:contextualSpacing/>
                    <w:rPr>
                      <w:rFonts w:ascii="Arial" w:hAnsi="Arial" w:cs="Arial"/>
                      <w:b w:val="0"/>
                      <w:sz w:val="24"/>
                      <w:szCs w:val="24"/>
                    </w:rPr>
                  </w:pPr>
                  <w:r w:rsidRPr="000C34A9">
                    <w:rPr>
                      <w:rFonts w:ascii="Arial" w:hAnsi="Arial" w:cs="Arial"/>
                      <w:b w:val="0"/>
                      <w:sz w:val="24"/>
                      <w:szCs w:val="24"/>
                    </w:rPr>
                    <w:t>Note for Information only</w:t>
                  </w:r>
                </w:p>
              </w:tc>
              <w:tc>
                <w:tcPr>
                  <w:tcW w:w="850" w:type="dxa"/>
                </w:tcPr>
                <w:p w:rsidR="00300A60" w:rsidRPr="000C34A9" w:rsidRDefault="00300A60" w:rsidP="002024A7">
                  <w:pPr>
                    <w:spacing w:before="120" w:after="60"/>
                    <w:contextualSpacing/>
                  </w:pPr>
                </w:p>
              </w:tc>
            </w:tr>
          </w:tbl>
          <w:p w:rsidR="00300A60" w:rsidRPr="000C34A9" w:rsidRDefault="00300A60" w:rsidP="002024A7">
            <w:pPr>
              <w:spacing w:before="120" w:after="60"/>
              <w:contextualSpacing/>
            </w:pPr>
          </w:p>
        </w:tc>
      </w:tr>
    </w:tbl>
    <w:p w:rsidR="000B4973" w:rsidRPr="000C34A9" w:rsidRDefault="000B4973" w:rsidP="00C24B4E">
      <w:pPr>
        <w:ind w:left="-540" w:right="183"/>
        <w:jc w:val="right"/>
        <w:rPr>
          <w:rFonts w:ascii="Arial" w:hAnsi="Arial" w:cs="Arial"/>
          <w:b/>
          <w:bCs/>
          <w:color w:val="365F91"/>
          <w:sz w:val="20"/>
          <w:szCs w:val="20"/>
        </w:rPr>
      </w:pPr>
    </w:p>
    <w:p w:rsidR="00A2577B" w:rsidRPr="000C34A9" w:rsidRDefault="00513DB0" w:rsidP="005F02B7">
      <w:pPr>
        <w:ind w:right="-46"/>
        <w:rPr>
          <w:rFonts w:ascii="Arial" w:hAnsi="Arial" w:cs="Arial"/>
          <w:b/>
          <w:bCs/>
        </w:rPr>
      </w:pPr>
      <w:r w:rsidRPr="000C34A9">
        <w:rPr>
          <w:rFonts w:ascii="Arial" w:hAnsi="Arial" w:cs="Arial"/>
          <w:b/>
          <w:bCs/>
        </w:rPr>
        <w:t>________________________________________</w:t>
      </w:r>
      <w:r w:rsidR="00C24B4E" w:rsidRPr="000C34A9">
        <w:rPr>
          <w:rFonts w:ascii="Arial" w:hAnsi="Arial" w:cs="Arial"/>
          <w:b/>
          <w:bCs/>
        </w:rPr>
        <w:t>__________________________</w:t>
      </w:r>
      <w:r w:rsidR="00942565">
        <w:rPr>
          <w:rFonts w:ascii="Arial" w:hAnsi="Arial" w:cs="Arial"/>
          <w:b/>
          <w:bCs/>
        </w:rPr>
        <w:t>__</w:t>
      </w:r>
    </w:p>
    <w:p w:rsidR="001175E5" w:rsidRPr="000C34A9" w:rsidRDefault="001175E5" w:rsidP="00C24B4E">
      <w:pPr>
        <w:pStyle w:val="BodyTextIndent"/>
        <w:ind w:left="0" w:right="183" w:firstLine="0"/>
        <w:rPr>
          <w:rFonts w:ascii="Arial" w:hAnsi="Arial" w:cs="Arial"/>
          <w:b/>
          <w:bCs/>
        </w:rPr>
      </w:pPr>
    </w:p>
    <w:p w:rsidR="00E56440" w:rsidRPr="000C34A9" w:rsidRDefault="00E56440" w:rsidP="00EB409B">
      <w:pPr>
        <w:numPr>
          <w:ilvl w:val="0"/>
          <w:numId w:val="1"/>
        </w:numPr>
        <w:tabs>
          <w:tab w:val="clear" w:pos="1080"/>
          <w:tab w:val="num" w:pos="720"/>
        </w:tabs>
        <w:ind w:left="720" w:hanging="540"/>
        <w:rPr>
          <w:rFonts w:ascii="Arial" w:hAnsi="Arial" w:cs="Arial"/>
          <w:b/>
        </w:rPr>
      </w:pPr>
      <w:r w:rsidRPr="000C34A9">
        <w:rPr>
          <w:rFonts w:ascii="Arial" w:hAnsi="Arial" w:cs="Arial"/>
          <w:b/>
        </w:rPr>
        <w:t>Introduction</w:t>
      </w:r>
    </w:p>
    <w:p w:rsidR="00E56440" w:rsidRPr="000C34A9" w:rsidRDefault="00E56440" w:rsidP="00E56440">
      <w:pPr>
        <w:ind w:left="720"/>
        <w:rPr>
          <w:rFonts w:ascii="Arial" w:hAnsi="Arial" w:cs="Arial"/>
        </w:rPr>
      </w:pPr>
    </w:p>
    <w:p w:rsidR="00E56440" w:rsidRPr="000C34A9" w:rsidRDefault="00E56440" w:rsidP="00E56440">
      <w:pPr>
        <w:ind w:left="720"/>
        <w:jc w:val="both"/>
        <w:rPr>
          <w:rFonts w:ascii="Arial" w:hAnsi="Arial" w:cs="Arial"/>
          <w:color w:val="FF0000"/>
        </w:rPr>
      </w:pPr>
      <w:r w:rsidRPr="000C34A9">
        <w:rPr>
          <w:rFonts w:ascii="Arial" w:hAnsi="Arial" w:cs="Arial"/>
        </w:rPr>
        <w:t xml:space="preserve">The Board is asked to </w:t>
      </w:r>
      <w:r w:rsidR="00E354DA" w:rsidRPr="000C34A9">
        <w:rPr>
          <w:rFonts w:ascii="Arial" w:hAnsi="Arial" w:cs="Arial"/>
        </w:rPr>
        <w:t xml:space="preserve">discuss </w:t>
      </w:r>
      <w:r w:rsidRPr="000C34A9">
        <w:rPr>
          <w:rFonts w:ascii="Arial" w:hAnsi="Arial" w:cs="Arial"/>
        </w:rPr>
        <w:t xml:space="preserve">the content of the performance report covering matters discussed at the </w:t>
      </w:r>
      <w:r w:rsidR="007A59EC">
        <w:rPr>
          <w:rFonts w:ascii="Arial" w:hAnsi="Arial" w:cs="Arial"/>
        </w:rPr>
        <w:t>May</w:t>
      </w:r>
      <w:r w:rsidR="00324B85" w:rsidRPr="000C34A9">
        <w:rPr>
          <w:rFonts w:ascii="Arial" w:hAnsi="Arial" w:cs="Arial"/>
        </w:rPr>
        <w:t xml:space="preserve"> 201</w:t>
      </w:r>
      <w:r w:rsidR="00C96377" w:rsidRPr="000C34A9">
        <w:rPr>
          <w:rFonts w:ascii="Arial" w:hAnsi="Arial" w:cs="Arial"/>
        </w:rPr>
        <w:t>9</w:t>
      </w:r>
      <w:r w:rsidRPr="000C34A9">
        <w:rPr>
          <w:rFonts w:ascii="Arial" w:hAnsi="Arial" w:cs="Arial"/>
        </w:rPr>
        <w:t xml:space="preserve"> meeting of the Perfo</w:t>
      </w:r>
      <w:r w:rsidR="00102A4A" w:rsidRPr="000C34A9">
        <w:rPr>
          <w:rFonts w:ascii="Arial" w:hAnsi="Arial" w:cs="Arial"/>
        </w:rPr>
        <w:t xml:space="preserve">rmance and Planning Committee. </w:t>
      </w:r>
    </w:p>
    <w:p w:rsidR="00E56440" w:rsidRPr="000C34A9" w:rsidRDefault="00E56440" w:rsidP="00E56440">
      <w:pPr>
        <w:ind w:left="720"/>
        <w:rPr>
          <w:rFonts w:ascii="Arial" w:hAnsi="Arial" w:cs="Arial"/>
        </w:rPr>
      </w:pPr>
      <w:r w:rsidRPr="000C34A9">
        <w:rPr>
          <w:rFonts w:ascii="Arial" w:hAnsi="Arial" w:cs="Arial"/>
        </w:rPr>
        <w:t xml:space="preserve"> </w:t>
      </w:r>
    </w:p>
    <w:p w:rsidR="00E56440" w:rsidRPr="000C34A9" w:rsidRDefault="00E56440" w:rsidP="00EB409B">
      <w:pPr>
        <w:pStyle w:val="ListParagraph"/>
        <w:numPr>
          <w:ilvl w:val="0"/>
          <w:numId w:val="2"/>
        </w:numPr>
        <w:spacing w:line="240" w:lineRule="auto"/>
        <w:rPr>
          <w:rFonts w:ascii="Arial" w:hAnsi="Arial" w:cs="Arial"/>
          <w:sz w:val="24"/>
          <w:szCs w:val="24"/>
        </w:rPr>
      </w:pPr>
      <w:r w:rsidRPr="000C34A9">
        <w:rPr>
          <w:rFonts w:ascii="Arial" w:hAnsi="Arial" w:cs="Arial"/>
          <w:sz w:val="24"/>
          <w:szCs w:val="24"/>
        </w:rPr>
        <w:t>Board Exception Report – Key Performance Indicators (KPIs)</w:t>
      </w:r>
    </w:p>
    <w:p w:rsidR="00E56440" w:rsidRPr="000C34A9" w:rsidRDefault="00E56440" w:rsidP="00EB409B">
      <w:pPr>
        <w:pStyle w:val="ListParagraph"/>
        <w:numPr>
          <w:ilvl w:val="0"/>
          <w:numId w:val="3"/>
        </w:numPr>
        <w:tabs>
          <w:tab w:val="left" w:pos="1260"/>
        </w:tabs>
        <w:spacing w:line="240" w:lineRule="auto"/>
        <w:ind w:left="2127" w:hanging="709"/>
        <w:rPr>
          <w:rFonts w:ascii="Arial" w:hAnsi="Arial" w:cs="Arial"/>
          <w:sz w:val="24"/>
          <w:szCs w:val="24"/>
        </w:rPr>
      </w:pPr>
      <w:r w:rsidRPr="000C34A9">
        <w:rPr>
          <w:rFonts w:ascii="Arial" w:hAnsi="Arial" w:cs="Arial"/>
          <w:sz w:val="24"/>
          <w:szCs w:val="24"/>
        </w:rPr>
        <w:t>Effective KPIs</w:t>
      </w:r>
    </w:p>
    <w:p w:rsidR="00E56440" w:rsidRPr="000C34A9" w:rsidRDefault="00E56440" w:rsidP="00EB409B">
      <w:pPr>
        <w:pStyle w:val="ListParagraph"/>
        <w:numPr>
          <w:ilvl w:val="0"/>
          <w:numId w:val="3"/>
        </w:numPr>
        <w:tabs>
          <w:tab w:val="left" w:pos="1260"/>
        </w:tabs>
        <w:spacing w:line="240" w:lineRule="auto"/>
        <w:ind w:left="2127" w:hanging="709"/>
        <w:rPr>
          <w:rFonts w:ascii="Arial" w:hAnsi="Arial" w:cs="Arial"/>
          <w:sz w:val="24"/>
          <w:szCs w:val="24"/>
        </w:rPr>
      </w:pPr>
      <w:r w:rsidRPr="000C34A9">
        <w:rPr>
          <w:rFonts w:ascii="Arial" w:hAnsi="Arial" w:cs="Arial"/>
          <w:sz w:val="24"/>
          <w:szCs w:val="24"/>
        </w:rPr>
        <w:t>Person-centred KPIs</w:t>
      </w:r>
    </w:p>
    <w:p w:rsidR="00E56440" w:rsidRPr="000C34A9" w:rsidRDefault="00E56440" w:rsidP="00EB409B">
      <w:pPr>
        <w:pStyle w:val="ListParagraph"/>
        <w:numPr>
          <w:ilvl w:val="0"/>
          <w:numId w:val="3"/>
        </w:numPr>
        <w:tabs>
          <w:tab w:val="left" w:pos="1260"/>
        </w:tabs>
        <w:spacing w:line="240" w:lineRule="auto"/>
        <w:ind w:left="2127" w:hanging="709"/>
        <w:rPr>
          <w:rFonts w:ascii="Arial" w:hAnsi="Arial" w:cs="Arial"/>
          <w:sz w:val="24"/>
          <w:szCs w:val="24"/>
        </w:rPr>
      </w:pPr>
      <w:r w:rsidRPr="000C34A9">
        <w:rPr>
          <w:rFonts w:ascii="Arial" w:hAnsi="Arial" w:cs="Arial"/>
          <w:sz w:val="24"/>
          <w:szCs w:val="24"/>
        </w:rPr>
        <w:t>Safe KPIs</w:t>
      </w:r>
    </w:p>
    <w:p w:rsidR="00E56440" w:rsidRPr="000C34A9" w:rsidRDefault="00E56440" w:rsidP="00E56440">
      <w:pPr>
        <w:pStyle w:val="ListParagraph"/>
        <w:spacing w:line="240" w:lineRule="auto"/>
        <w:ind w:left="1440"/>
        <w:rPr>
          <w:rFonts w:ascii="Arial" w:hAnsi="Arial" w:cs="Arial"/>
          <w:sz w:val="24"/>
          <w:szCs w:val="24"/>
        </w:rPr>
      </w:pPr>
    </w:p>
    <w:p w:rsidR="00E56440" w:rsidRPr="000C34A9" w:rsidRDefault="00E56440" w:rsidP="00EB409B">
      <w:pPr>
        <w:pStyle w:val="ListParagraph"/>
        <w:numPr>
          <w:ilvl w:val="0"/>
          <w:numId w:val="2"/>
        </w:numPr>
        <w:spacing w:line="240" w:lineRule="auto"/>
        <w:ind w:left="2160" w:hanging="1080"/>
        <w:rPr>
          <w:rFonts w:ascii="Arial" w:hAnsi="Arial" w:cs="Arial"/>
          <w:sz w:val="24"/>
          <w:szCs w:val="24"/>
        </w:rPr>
      </w:pPr>
      <w:r w:rsidRPr="000C34A9">
        <w:rPr>
          <w:rFonts w:ascii="Arial" w:hAnsi="Arial" w:cs="Arial"/>
          <w:sz w:val="24"/>
          <w:szCs w:val="24"/>
        </w:rPr>
        <w:t>Divisional Exception Reports</w:t>
      </w:r>
    </w:p>
    <w:p w:rsidR="00E56440" w:rsidRPr="000C34A9" w:rsidRDefault="00E56440" w:rsidP="00E56440">
      <w:pPr>
        <w:pStyle w:val="ListParagraph"/>
        <w:tabs>
          <w:tab w:val="left" w:pos="1260"/>
        </w:tabs>
        <w:spacing w:line="240" w:lineRule="auto"/>
        <w:ind w:left="1440"/>
        <w:rPr>
          <w:rFonts w:ascii="Arial" w:hAnsi="Arial" w:cs="Arial"/>
          <w:sz w:val="24"/>
          <w:szCs w:val="24"/>
        </w:rPr>
      </w:pPr>
      <w:r w:rsidRPr="000C34A9">
        <w:rPr>
          <w:rFonts w:ascii="Arial" w:hAnsi="Arial" w:cs="Arial"/>
          <w:sz w:val="24"/>
          <w:szCs w:val="24"/>
        </w:rPr>
        <w:t>(a)</w:t>
      </w:r>
      <w:r w:rsidRPr="000C34A9">
        <w:rPr>
          <w:rFonts w:ascii="Arial" w:hAnsi="Arial" w:cs="Arial"/>
          <w:sz w:val="24"/>
          <w:szCs w:val="24"/>
        </w:rPr>
        <w:tab/>
        <w:t>Surgical Services</w:t>
      </w:r>
    </w:p>
    <w:p w:rsidR="00E56440" w:rsidRPr="000C34A9" w:rsidRDefault="00E56440" w:rsidP="00E56440">
      <w:pPr>
        <w:pStyle w:val="ListParagraph"/>
        <w:tabs>
          <w:tab w:val="left" w:pos="1260"/>
        </w:tabs>
        <w:spacing w:line="240" w:lineRule="auto"/>
        <w:ind w:left="1440"/>
        <w:rPr>
          <w:rFonts w:ascii="Arial" w:hAnsi="Arial" w:cs="Arial"/>
          <w:sz w:val="24"/>
          <w:szCs w:val="24"/>
        </w:rPr>
      </w:pPr>
      <w:r w:rsidRPr="000C34A9">
        <w:rPr>
          <w:rFonts w:ascii="Arial" w:hAnsi="Arial" w:cs="Arial"/>
          <w:sz w:val="24"/>
          <w:szCs w:val="24"/>
        </w:rPr>
        <w:t>(b)</w:t>
      </w:r>
      <w:r w:rsidRPr="000C34A9">
        <w:rPr>
          <w:rFonts w:ascii="Arial" w:hAnsi="Arial" w:cs="Arial"/>
          <w:sz w:val="24"/>
          <w:szCs w:val="24"/>
        </w:rPr>
        <w:tab/>
        <w:t>Regional and National Medicine</w:t>
      </w:r>
    </w:p>
    <w:p w:rsidR="00E56440" w:rsidRPr="000C34A9" w:rsidRDefault="00E56440" w:rsidP="00E56440">
      <w:pPr>
        <w:pStyle w:val="ListParagraph"/>
        <w:spacing w:line="240" w:lineRule="auto"/>
        <w:ind w:left="1080"/>
        <w:rPr>
          <w:rFonts w:ascii="Arial" w:hAnsi="Arial" w:cs="Arial"/>
          <w:sz w:val="24"/>
          <w:szCs w:val="24"/>
        </w:rPr>
      </w:pPr>
    </w:p>
    <w:p w:rsidR="00E56440" w:rsidRPr="000C34A9" w:rsidRDefault="00D71522" w:rsidP="00EB409B">
      <w:pPr>
        <w:pStyle w:val="ListParagraph"/>
        <w:numPr>
          <w:ilvl w:val="0"/>
          <w:numId w:val="2"/>
        </w:numPr>
        <w:spacing w:line="240" w:lineRule="auto"/>
        <w:ind w:left="1418" w:hanging="338"/>
        <w:rPr>
          <w:rFonts w:ascii="Arial" w:hAnsi="Arial" w:cs="Arial"/>
          <w:sz w:val="24"/>
          <w:szCs w:val="24"/>
        </w:rPr>
      </w:pPr>
      <w:r w:rsidRPr="000C34A9">
        <w:rPr>
          <w:rFonts w:ascii="Arial" w:hAnsi="Arial" w:cs="Arial"/>
          <w:sz w:val="24"/>
          <w:szCs w:val="24"/>
        </w:rPr>
        <w:t>W</w:t>
      </w:r>
      <w:r w:rsidR="00E56440" w:rsidRPr="000C34A9">
        <w:rPr>
          <w:rFonts w:ascii="Arial" w:hAnsi="Arial" w:cs="Arial"/>
          <w:sz w:val="24"/>
          <w:szCs w:val="24"/>
        </w:rPr>
        <w:t xml:space="preserve">aiting lists – </w:t>
      </w:r>
      <w:r w:rsidR="00EF577A" w:rsidRPr="000C34A9">
        <w:rPr>
          <w:rFonts w:ascii="Arial" w:hAnsi="Arial" w:cs="Arial"/>
          <w:sz w:val="24"/>
          <w:szCs w:val="24"/>
        </w:rPr>
        <w:t>Cardiac Surgery, Thoracic Surgery</w:t>
      </w:r>
      <w:r w:rsidR="003D495D" w:rsidRPr="000C34A9">
        <w:rPr>
          <w:rFonts w:ascii="Arial" w:hAnsi="Arial" w:cs="Arial"/>
          <w:sz w:val="24"/>
          <w:szCs w:val="24"/>
        </w:rPr>
        <w:t xml:space="preserve"> and</w:t>
      </w:r>
      <w:r w:rsidR="00EF577A" w:rsidRPr="000C34A9">
        <w:rPr>
          <w:rFonts w:ascii="Arial" w:hAnsi="Arial" w:cs="Arial"/>
          <w:sz w:val="24"/>
          <w:szCs w:val="24"/>
        </w:rPr>
        <w:t xml:space="preserve"> Cardiology.</w:t>
      </w:r>
    </w:p>
    <w:p w:rsidR="00E56440" w:rsidRPr="000C34A9" w:rsidRDefault="00E56440" w:rsidP="00E56440">
      <w:pPr>
        <w:pStyle w:val="ListParagraph"/>
        <w:spacing w:line="240" w:lineRule="auto"/>
        <w:ind w:left="1080"/>
        <w:rPr>
          <w:rFonts w:ascii="Arial" w:hAnsi="Arial" w:cs="Arial"/>
          <w:sz w:val="24"/>
          <w:szCs w:val="24"/>
        </w:rPr>
      </w:pPr>
    </w:p>
    <w:p w:rsidR="00E56440" w:rsidRPr="000C34A9" w:rsidRDefault="00E56440" w:rsidP="00EB409B">
      <w:pPr>
        <w:pStyle w:val="ListParagraph"/>
        <w:numPr>
          <w:ilvl w:val="0"/>
          <w:numId w:val="2"/>
        </w:numPr>
        <w:spacing w:line="240" w:lineRule="auto"/>
        <w:ind w:left="2160" w:hanging="1080"/>
        <w:rPr>
          <w:rFonts w:ascii="Arial" w:hAnsi="Arial" w:cs="Arial"/>
          <w:sz w:val="24"/>
          <w:szCs w:val="24"/>
        </w:rPr>
      </w:pPr>
      <w:r w:rsidRPr="000C34A9">
        <w:rPr>
          <w:rFonts w:ascii="Arial" w:hAnsi="Arial" w:cs="Arial"/>
          <w:sz w:val="24"/>
          <w:szCs w:val="24"/>
        </w:rPr>
        <w:t>Corporate Balanced Scorecard (Appendix 1)</w:t>
      </w:r>
    </w:p>
    <w:p w:rsidR="00E56440" w:rsidRPr="000C34A9" w:rsidRDefault="00E56440" w:rsidP="00E56440">
      <w:pPr>
        <w:pStyle w:val="ListParagraph"/>
        <w:rPr>
          <w:rFonts w:ascii="Arial" w:hAnsi="Arial" w:cs="Arial"/>
          <w:sz w:val="24"/>
          <w:szCs w:val="24"/>
        </w:rPr>
      </w:pPr>
    </w:p>
    <w:p w:rsidR="00E56440" w:rsidRPr="000C34A9" w:rsidRDefault="00E56440" w:rsidP="00E56440">
      <w:pPr>
        <w:pStyle w:val="ListParagraph"/>
        <w:spacing w:line="240" w:lineRule="auto"/>
        <w:rPr>
          <w:rFonts w:ascii="Arial" w:hAnsi="Arial" w:cs="Arial"/>
          <w:sz w:val="24"/>
          <w:szCs w:val="24"/>
          <w:lang w:eastAsia="en-GB"/>
        </w:rPr>
      </w:pPr>
    </w:p>
    <w:p w:rsidR="00E56440" w:rsidRPr="000C34A9" w:rsidRDefault="00E56440" w:rsidP="00E56440">
      <w:pPr>
        <w:pStyle w:val="ListParagraph"/>
        <w:spacing w:line="240" w:lineRule="auto"/>
        <w:ind w:hanging="540"/>
        <w:rPr>
          <w:rFonts w:ascii="Arial" w:hAnsi="Arial" w:cs="Arial"/>
          <w:b/>
          <w:sz w:val="24"/>
          <w:szCs w:val="24"/>
          <w:lang w:eastAsia="en-GB"/>
        </w:rPr>
      </w:pPr>
      <w:r w:rsidRPr="000C34A9">
        <w:rPr>
          <w:rFonts w:ascii="Arial" w:hAnsi="Arial" w:cs="Arial"/>
          <w:b/>
          <w:sz w:val="24"/>
          <w:szCs w:val="24"/>
          <w:lang w:eastAsia="en-GB"/>
        </w:rPr>
        <w:t xml:space="preserve">2 </w:t>
      </w:r>
      <w:r w:rsidRPr="000C34A9">
        <w:rPr>
          <w:rFonts w:ascii="Arial" w:hAnsi="Arial" w:cs="Arial"/>
          <w:b/>
          <w:sz w:val="24"/>
          <w:szCs w:val="24"/>
          <w:lang w:eastAsia="en-GB"/>
        </w:rPr>
        <w:tab/>
      </w:r>
      <w:r w:rsidRPr="000C34A9">
        <w:rPr>
          <w:rFonts w:ascii="Arial" w:hAnsi="Arial" w:cs="Arial"/>
          <w:b/>
          <w:sz w:val="24"/>
          <w:szCs w:val="24"/>
        </w:rPr>
        <w:t>Recommendation</w:t>
      </w:r>
    </w:p>
    <w:p w:rsidR="00942565" w:rsidRDefault="00E56440" w:rsidP="00E56440">
      <w:pPr>
        <w:pStyle w:val="ListParagraph"/>
        <w:spacing w:line="240" w:lineRule="auto"/>
        <w:ind w:hanging="540"/>
        <w:rPr>
          <w:rFonts w:ascii="Arial" w:hAnsi="Arial" w:cs="Arial"/>
          <w:sz w:val="24"/>
          <w:szCs w:val="24"/>
          <w:lang w:eastAsia="en-GB"/>
        </w:rPr>
      </w:pPr>
      <w:r w:rsidRPr="000C34A9">
        <w:rPr>
          <w:rFonts w:ascii="Arial" w:hAnsi="Arial" w:cs="Arial"/>
          <w:sz w:val="24"/>
          <w:szCs w:val="24"/>
          <w:lang w:eastAsia="en-GB"/>
        </w:rPr>
        <w:tab/>
      </w:r>
    </w:p>
    <w:p w:rsidR="00E56440" w:rsidRPr="000C34A9" w:rsidRDefault="00942565" w:rsidP="00942565">
      <w:pPr>
        <w:pStyle w:val="ListParagraph"/>
        <w:spacing w:line="240" w:lineRule="auto"/>
        <w:rPr>
          <w:rFonts w:ascii="Arial" w:hAnsi="Arial" w:cs="Arial"/>
          <w:sz w:val="24"/>
          <w:szCs w:val="24"/>
          <w:lang w:eastAsia="en-GB"/>
        </w:rPr>
      </w:pPr>
      <w:r>
        <w:rPr>
          <w:rFonts w:ascii="Arial" w:hAnsi="Arial" w:cs="Arial"/>
          <w:sz w:val="24"/>
          <w:szCs w:val="24"/>
          <w:lang w:eastAsia="en-GB"/>
        </w:rPr>
        <w:t xml:space="preserve">The </w:t>
      </w:r>
      <w:r w:rsidR="00E56440" w:rsidRPr="000C34A9">
        <w:rPr>
          <w:rFonts w:ascii="Arial" w:hAnsi="Arial" w:cs="Arial"/>
          <w:sz w:val="24"/>
          <w:szCs w:val="24"/>
          <w:lang w:eastAsia="en-GB"/>
        </w:rPr>
        <w:t xml:space="preserve">Board </w:t>
      </w:r>
      <w:r>
        <w:rPr>
          <w:rFonts w:ascii="Arial" w:hAnsi="Arial" w:cs="Arial"/>
          <w:sz w:val="24"/>
          <w:szCs w:val="24"/>
          <w:lang w:eastAsia="en-GB"/>
        </w:rPr>
        <w:t xml:space="preserve">is </w:t>
      </w:r>
      <w:r w:rsidR="00E56440" w:rsidRPr="000C34A9">
        <w:rPr>
          <w:rFonts w:ascii="Arial" w:hAnsi="Arial" w:cs="Arial"/>
          <w:sz w:val="24"/>
          <w:szCs w:val="24"/>
          <w:lang w:eastAsia="en-GB"/>
        </w:rPr>
        <w:t xml:space="preserve">asked to note the update for the current reporting period.    </w:t>
      </w:r>
    </w:p>
    <w:p w:rsidR="00E56440" w:rsidRPr="000C34A9" w:rsidRDefault="00E56440" w:rsidP="00E56440">
      <w:pPr>
        <w:pStyle w:val="ListParagraph"/>
        <w:spacing w:line="240" w:lineRule="auto"/>
        <w:ind w:hanging="540"/>
        <w:rPr>
          <w:rFonts w:ascii="Arial" w:hAnsi="Arial" w:cs="Arial"/>
          <w:b/>
        </w:rPr>
      </w:pPr>
      <w:r w:rsidRPr="000C34A9">
        <w:rPr>
          <w:rFonts w:ascii="Arial" w:hAnsi="Arial" w:cs="Arial"/>
          <w:b/>
        </w:rPr>
        <w:t xml:space="preserve"> </w:t>
      </w:r>
    </w:p>
    <w:p w:rsidR="00AB1548" w:rsidRPr="000C34A9" w:rsidRDefault="00A74392" w:rsidP="00182C79">
      <w:pPr>
        <w:ind w:right="-508"/>
        <w:rPr>
          <w:rFonts w:ascii="Arial" w:hAnsi="Arial" w:cs="Arial"/>
          <w:b/>
          <w:bCs/>
        </w:rPr>
      </w:pPr>
      <w:r w:rsidRPr="000C34A9">
        <w:rPr>
          <w:rFonts w:ascii="Arial" w:hAnsi="Arial" w:cs="Arial"/>
          <w:b/>
          <w:bCs/>
        </w:rPr>
        <w:t>Jann Gardner</w:t>
      </w:r>
    </w:p>
    <w:p w:rsidR="00182C79" w:rsidRPr="000C34A9" w:rsidRDefault="00A74392" w:rsidP="00182C79">
      <w:pPr>
        <w:ind w:right="-508"/>
        <w:rPr>
          <w:rFonts w:ascii="Arial" w:hAnsi="Arial" w:cs="Arial"/>
          <w:b/>
          <w:bCs/>
        </w:rPr>
      </w:pPr>
      <w:r w:rsidRPr="000C34A9">
        <w:rPr>
          <w:rFonts w:ascii="Arial" w:hAnsi="Arial" w:cs="Arial"/>
          <w:b/>
          <w:bCs/>
        </w:rPr>
        <w:t>Chief Executive</w:t>
      </w:r>
    </w:p>
    <w:p w:rsidR="00E56440" w:rsidRPr="000C34A9" w:rsidRDefault="000C34A9" w:rsidP="00E56440">
      <w:pPr>
        <w:ind w:right="-508"/>
        <w:rPr>
          <w:rFonts w:ascii="Arial" w:hAnsi="Arial" w:cs="Arial"/>
          <w:b/>
          <w:bCs/>
        </w:rPr>
      </w:pPr>
      <w:r w:rsidRPr="000C34A9">
        <w:rPr>
          <w:rFonts w:ascii="Arial" w:hAnsi="Arial" w:cs="Arial"/>
          <w:b/>
        </w:rPr>
        <w:t>6 June</w:t>
      </w:r>
      <w:r w:rsidR="00A74392" w:rsidRPr="000C34A9">
        <w:rPr>
          <w:rFonts w:ascii="Arial" w:hAnsi="Arial" w:cs="Arial"/>
          <w:b/>
        </w:rPr>
        <w:t xml:space="preserve"> 2019</w:t>
      </w:r>
    </w:p>
    <w:p w:rsidR="00E56440" w:rsidRPr="000C34A9" w:rsidRDefault="00E56440" w:rsidP="00E56440">
      <w:pPr>
        <w:ind w:right="-508"/>
        <w:rPr>
          <w:rFonts w:ascii="Arial" w:hAnsi="Arial" w:cs="Arial"/>
          <w:b/>
          <w:bCs/>
        </w:rPr>
      </w:pPr>
    </w:p>
    <w:p w:rsidR="00E56440" w:rsidRPr="000C34A9" w:rsidRDefault="00E56440" w:rsidP="00E56440">
      <w:pPr>
        <w:ind w:right="-508"/>
        <w:rPr>
          <w:rFonts w:ascii="Arial" w:hAnsi="Arial" w:cs="Arial"/>
          <w:b/>
          <w:bCs/>
        </w:rPr>
      </w:pPr>
      <w:r w:rsidRPr="000C34A9">
        <w:rPr>
          <w:rFonts w:ascii="Arial" w:hAnsi="Arial" w:cs="Arial"/>
          <w:b/>
          <w:bCs/>
        </w:rPr>
        <w:t>(Carole Anderson, Head of Strategy and Performance)</w:t>
      </w:r>
    </w:p>
    <w:p w:rsidR="00E56440" w:rsidRPr="000C34A9" w:rsidRDefault="00E56440" w:rsidP="00E56440">
      <w:pPr>
        <w:pStyle w:val="ListParagraph"/>
        <w:ind w:left="0"/>
        <w:rPr>
          <w:rFonts w:ascii="Arial" w:hAnsi="Arial" w:cs="Arial"/>
          <w:b/>
          <w:sz w:val="24"/>
          <w:szCs w:val="24"/>
          <w:highlight w:val="yellow"/>
        </w:rPr>
      </w:pPr>
    </w:p>
    <w:p w:rsidR="00E56440" w:rsidRPr="000C34A9" w:rsidRDefault="00E56440" w:rsidP="00E56440">
      <w:pPr>
        <w:pStyle w:val="ListParagraph"/>
        <w:ind w:left="0"/>
        <w:rPr>
          <w:rFonts w:ascii="Arial" w:hAnsi="Arial" w:cs="Arial"/>
          <w:b/>
          <w:sz w:val="24"/>
          <w:szCs w:val="24"/>
          <w:highlight w:val="yellow"/>
        </w:rPr>
      </w:pPr>
    </w:p>
    <w:p w:rsidR="00E56440" w:rsidRPr="000C34A9" w:rsidRDefault="00E56440" w:rsidP="00E56440">
      <w:pPr>
        <w:pStyle w:val="ListParagraph"/>
        <w:ind w:left="0"/>
        <w:rPr>
          <w:rFonts w:ascii="Arial" w:hAnsi="Arial" w:cs="Arial"/>
          <w:b/>
          <w:sz w:val="24"/>
          <w:szCs w:val="24"/>
          <w:highlight w:val="yellow"/>
        </w:rPr>
        <w:sectPr w:rsidR="00E56440" w:rsidRPr="000C34A9" w:rsidSect="00956539">
          <w:footerReference w:type="even" r:id="rId9"/>
          <w:footerReference w:type="default" r:id="rId10"/>
          <w:headerReference w:type="first" r:id="rId11"/>
          <w:footerReference w:type="first" r:id="rId12"/>
          <w:pgSz w:w="11906" w:h="16838"/>
          <w:pgMar w:top="1418" w:right="1202" w:bottom="1440" w:left="1202" w:header="709" w:footer="709" w:gutter="0"/>
          <w:cols w:space="708"/>
          <w:titlePg/>
          <w:docGrid w:linePitch="360"/>
        </w:sectPr>
      </w:pPr>
    </w:p>
    <w:p w:rsidR="00F66A4B" w:rsidRPr="000C34A9" w:rsidRDefault="00F66A4B" w:rsidP="00987186">
      <w:pPr>
        <w:pStyle w:val="ListParagraph"/>
        <w:ind w:left="0"/>
        <w:rPr>
          <w:rFonts w:ascii="Arial" w:hAnsi="Arial" w:cs="Arial"/>
          <w:b/>
          <w:sz w:val="24"/>
          <w:szCs w:val="24"/>
          <w:highlight w:val="yellow"/>
          <w:lang w:eastAsia="en-GB"/>
        </w:rPr>
      </w:pPr>
    </w:p>
    <w:p w:rsidR="00987186" w:rsidRPr="006C2377" w:rsidRDefault="003D68FA" w:rsidP="00987186">
      <w:pPr>
        <w:pStyle w:val="ListParagraph"/>
        <w:ind w:left="0"/>
        <w:rPr>
          <w:rFonts w:ascii="Arial" w:hAnsi="Arial" w:cs="Arial"/>
          <w:b/>
          <w:sz w:val="24"/>
          <w:szCs w:val="24"/>
          <w:lang w:eastAsia="en-GB"/>
        </w:rPr>
      </w:pPr>
      <w:r w:rsidRPr="003D68FA">
        <w:rPr>
          <w:rFonts w:ascii="Arial" w:hAnsi="Arial" w:cs="Arial"/>
          <w:b/>
          <w:bCs/>
          <w:noProof/>
          <w:sz w:val="24"/>
          <w:szCs w:val="24"/>
          <w:lang w:eastAsia="en-GB"/>
        </w:rPr>
        <w:pict>
          <v:shapetype id="_x0000_t202" coordsize="21600,21600" o:spt="202" path="m,l,21600r21600,l21600,xe">
            <v:stroke joinstyle="miter"/>
            <v:path gradientshapeok="t" o:connecttype="rect"/>
          </v:shapetype>
          <v:shape id="_x0000_s1026" type="#_x0000_t202" style="position:absolute;margin-left:567pt;margin-top:-27pt;width:135pt;height:54pt;z-index:251657728" filled="f" stroked="f">
            <v:textbox style="mso-next-textbox:#_x0000_s1026">
              <w:txbxContent>
                <w:p w:rsidR="00ED0208" w:rsidRPr="0021095A" w:rsidRDefault="00ED0208" w:rsidP="00987186">
                  <w:pPr>
                    <w:rPr>
                      <w:rFonts w:ascii="Arial" w:hAnsi="Arial" w:cs="Arial"/>
                      <w:sz w:val="18"/>
                      <w:szCs w:val="18"/>
                      <w:lang w:eastAsia="en-GB"/>
                    </w:rPr>
                  </w:pPr>
                  <w:r w:rsidRPr="0021095A">
                    <w:rPr>
                      <w:rFonts w:ascii="Arial" w:hAnsi="Arial" w:cs="Arial"/>
                      <w:sz w:val="18"/>
                      <w:szCs w:val="18"/>
                    </w:rPr>
                    <w:t xml:space="preserve">Improved performance    </w:t>
                  </w:r>
                  <w:r w:rsidRPr="0021095A">
                    <w:rPr>
                      <w:rFonts w:ascii="Arial" w:hAnsi="Arial" w:cs="Arial"/>
                      <w:sz w:val="18"/>
                      <w:szCs w:val="18"/>
                      <w:lang w:eastAsia="en-GB"/>
                    </w:rPr>
                    <w:sym w:font="Wingdings" w:char="F0F1"/>
                  </w:r>
                </w:p>
                <w:p w:rsidR="00ED0208" w:rsidRPr="0021095A" w:rsidRDefault="00ED0208" w:rsidP="00987186">
                  <w:pPr>
                    <w:rPr>
                      <w:rFonts w:ascii="Arial" w:hAnsi="Arial" w:cs="Arial"/>
                      <w:sz w:val="18"/>
                      <w:szCs w:val="18"/>
                      <w:lang w:eastAsia="en-GB"/>
                    </w:rPr>
                  </w:pPr>
                  <w:r>
                    <w:rPr>
                      <w:rFonts w:ascii="Arial" w:hAnsi="Arial" w:cs="Arial"/>
                      <w:sz w:val="18"/>
                      <w:szCs w:val="18"/>
                    </w:rPr>
                    <w:t xml:space="preserve">Same performance          </w:t>
                  </w:r>
                  <w:r w:rsidRPr="0021095A">
                    <w:rPr>
                      <w:rFonts w:ascii="Arial" w:hAnsi="Arial" w:cs="Arial"/>
                      <w:sz w:val="18"/>
                      <w:szCs w:val="18"/>
                      <w:lang w:eastAsia="en-GB"/>
                    </w:rPr>
                    <w:sym w:font="Wingdings" w:char="F0F3"/>
                  </w:r>
                </w:p>
                <w:p w:rsidR="00ED0208" w:rsidRPr="0021095A" w:rsidRDefault="00ED0208" w:rsidP="00987186">
                  <w:pPr>
                    <w:rPr>
                      <w:rFonts w:ascii="Arial" w:hAnsi="Arial" w:cs="Arial"/>
                      <w:sz w:val="18"/>
                      <w:szCs w:val="18"/>
                    </w:rPr>
                  </w:pPr>
                  <w:r w:rsidRPr="0021095A">
                    <w:rPr>
                      <w:rFonts w:ascii="Arial" w:hAnsi="Arial" w:cs="Arial"/>
                      <w:sz w:val="18"/>
                      <w:szCs w:val="18"/>
                    </w:rPr>
                    <w:t xml:space="preserve">Worse performance         </w:t>
                  </w:r>
                  <w:r w:rsidRPr="0021095A">
                    <w:rPr>
                      <w:rFonts w:ascii="Arial" w:hAnsi="Arial" w:cs="Arial"/>
                      <w:sz w:val="18"/>
                      <w:szCs w:val="18"/>
                      <w:lang w:eastAsia="en-GB"/>
                    </w:rPr>
                    <w:sym w:font="Wingdings" w:char="F0F2"/>
                  </w:r>
                </w:p>
                <w:p w:rsidR="00ED0208" w:rsidRDefault="00ED0208" w:rsidP="00987186">
                  <w:pPr>
                    <w:rPr>
                      <w:rFonts w:ascii="Arial" w:hAnsi="Arial" w:cs="Arial"/>
                      <w:lang w:eastAsia="en-GB"/>
                    </w:rPr>
                  </w:pPr>
                </w:p>
                <w:p w:rsidR="00ED0208" w:rsidRDefault="00ED0208" w:rsidP="00987186"/>
                <w:p w:rsidR="00ED0208" w:rsidRPr="0035016C" w:rsidRDefault="00ED0208" w:rsidP="00987186"/>
              </w:txbxContent>
            </v:textbox>
          </v:shape>
        </w:pict>
      </w:r>
      <w:r w:rsidR="00987186" w:rsidRPr="006C2377">
        <w:rPr>
          <w:rFonts w:ascii="Arial" w:hAnsi="Arial" w:cs="Arial"/>
          <w:b/>
          <w:sz w:val="24"/>
          <w:szCs w:val="24"/>
          <w:lang w:eastAsia="en-GB"/>
        </w:rPr>
        <w:t>Board Exception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3"/>
        <w:gridCol w:w="187"/>
        <w:gridCol w:w="2818"/>
        <w:gridCol w:w="2157"/>
        <w:gridCol w:w="425"/>
        <w:gridCol w:w="992"/>
        <w:gridCol w:w="283"/>
        <w:gridCol w:w="992"/>
        <w:gridCol w:w="289"/>
        <w:gridCol w:w="1125"/>
        <w:gridCol w:w="156"/>
        <w:gridCol w:w="1443"/>
        <w:gridCol w:w="244"/>
        <w:gridCol w:w="1310"/>
      </w:tblGrid>
      <w:tr w:rsidR="00987186" w:rsidRPr="006C2377" w:rsidTr="0016508B">
        <w:tc>
          <w:tcPr>
            <w:tcW w:w="5000" w:type="pct"/>
            <w:gridSpan w:val="14"/>
          </w:tcPr>
          <w:p w:rsidR="00987186" w:rsidRPr="006C2377" w:rsidRDefault="00987186" w:rsidP="006C2377">
            <w:pPr>
              <w:rPr>
                <w:rFonts w:ascii="Arial" w:hAnsi="Arial" w:cs="Arial"/>
                <w:b/>
                <w:bCs/>
                <w:lang w:eastAsia="en-GB"/>
              </w:rPr>
            </w:pPr>
            <w:r w:rsidRPr="006C2377">
              <w:rPr>
                <w:rFonts w:ascii="Arial" w:hAnsi="Arial" w:cs="Arial"/>
                <w:b/>
                <w:bCs/>
                <w:lang w:eastAsia="en-GB"/>
              </w:rPr>
              <w:t xml:space="preserve">Effective                                                                                                                    Board Performance update – </w:t>
            </w:r>
            <w:r w:rsidR="006C2377" w:rsidRPr="006C2377">
              <w:rPr>
                <w:rFonts w:ascii="Arial" w:hAnsi="Arial" w:cs="Arial"/>
                <w:b/>
                <w:bCs/>
                <w:lang w:eastAsia="en-GB"/>
              </w:rPr>
              <w:t>June</w:t>
            </w:r>
            <w:r w:rsidRPr="006C2377">
              <w:rPr>
                <w:rFonts w:ascii="Arial" w:hAnsi="Arial" w:cs="Arial"/>
                <w:b/>
                <w:bCs/>
                <w:lang w:eastAsia="en-GB"/>
              </w:rPr>
              <w:t xml:space="preserve"> 201</w:t>
            </w:r>
            <w:r w:rsidR="005D1888" w:rsidRPr="006C2377">
              <w:rPr>
                <w:rFonts w:ascii="Arial" w:hAnsi="Arial" w:cs="Arial"/>
                <w:b/>
                <w:bCs/>
                <w:lang w:eastAsia="en-GB"/>
              </w:rPr>
              <w:t>9</w:t>
            </w:r>
          </w:p>
        </w:tc>
      </w:tr>
      <w:tr w:rsidR="006C2377" w:rsidRPr="000C34A9" w:rsidTr="008B6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blHeader/>
        </w:trPr>
        <w:tc>
          <w:tcPr>
            <w:tcW w:w="61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6C2377" w:rsidRPr="006C2377" w:rsidRDefault="006C2377" w:rsidP="0016508B">
            <w:pPr>
              <w:widowControl w:val="0"/>
              <w:autoSpaceDE w:val="0"/>
              <w:autoSpaceDN w:val="0"/>
              <w:adjustRightInd w:val="0"/>
              <w:rPr>
                <w:rFonts w:ascii="Arial" w:hAnsi="Arial" w:cs="Arial"/>
                <w:color w:val="000000"/>
                <w:lang w:eastAsia="en-GB"/>
              </w:rPr>
            </w:pPr>
            <w:r w:rsidRPr="006C2377">
              <w:rPr>
                <w:rFonts w:ascii="Arial" w:hAnsi="Arial" w:cs="Arial"/>
                <w:color w:val="000000"/>
                <w:lang w:eastAsia="en-GB"/>
              </w:rPr>
              <w:t>KPI</w:t>
            </w:r>
          </w:p>
        </w:tc>
        <w:tc>
          <w:tcPr>
            <w:tcW w:w="106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2377" w:rsidRPr="006C2377" w:rsidRDefault="006C2377" w:rsidP="0016508B">
            <w:pPr>
              <w:widowControl w:val="0"/>
              <w:autoSpaceDE w:val="0"/>
              <w:autoSpaceDN w:val="0"/>
              <w:adjustRightInd w:val="0"/>
              <w:rPr>
                <w:rFonts w:ascii="Arial" w:hAnsi="Arial" w:cs="Arial"/>
                <w:color w:val="000000"/>
                <w:lang w:eastAsia="en-GB"/>
              </w:rPr>
            </w:pPr>
            <w:r w:rsidRPr="006C2377">
              <w:rPr>
                <w:rFonts w:ascii="Arial" w:hAnsi="Arial" w:cs="Arial"/>
                <w:color w:val="000000"/>
                <w:lang w:eastAsia="en-GB"/>
              </w:rPr>
              <w:t>Details</w:t>
            </w:r>
          </w:p>
        </w:tc>
        <w:tc>
          <w:tcPr>
            <w:tcW w:w="911" w:type="pct"/>
            <w:gridSpan w:val="2"/>
            <w:tcBorders>
              <w:top w:val="single" w:sz="4" w:space="0" w:color="000000"/>
              <w:left w:val="single" w:sz="4" w:space="0" w:color="000000"/>
              <w:bottom w:val="single" w:sz="4" w:space="0" w:color="000000"/>
              <w:right w:val="single" w:sz="4" w:space="0" w:color="auto"/>
            </w:tcBorders>
            <w:shd w:val="clear" w:color="auto" w:fill="D9D9D9"/>
            <w:vAlign w:val="center"/>
          </w:tcPr>
          <w:p w:rsidR="006C2377" w:rsidRPr="006C2377" w:rsidRDefault="006C2377" w:rsidP="0016508B">
            <w:pPr>
              <w:jc w:val="center"/>
              <w:rPr>
                <w:rFonts w:ascii="Arial" w:hAnsi="Arial" w:cs="Arial"/>
              </w:rPr>
            </w:pPr>
            <w:r w:rsidRPr="006C2377">
              <w:rPr>
                <w:rFonts w:ascii="Arial" w:hAnsi="Arial" w:cs="Arial"/>
              </w:rPr>
              <w:t>Tolerance</w:t>
            </w:r>
          </w:p>
        </w:tc>
        <w:tc>
          <w:tcPr>
            <w:tcW w:w="450" w:type="pct"/>
            <w:gridSpan w:val="2"/>
            <w:tcBorders>
              <w:top w:val="single" w:sz="4" w:space="0" w:color="auto"/>
              <w:left w:val="single" w:sz="4" w:space="0" w:color="auto"/>
              <w:bottom w:val="single" w:sz="4" w:space="0" w:color="auto"/>
              <w:right w:val="single" w:sz="4" w:space="0" w:color="auto"/>
            </w:tcBorders>
            <w:shd w:val="clear" w:color="auto" w:fill="D9D9D9"/>
          </w:tcPr>
          <w:p w:rsidR="006C2377" w:rsidRPr="006C2377" w:rsidRDefault="006C2377" w:rsidP="006C2377">
            <w:pPr>
              <w:widowControl w:val="0"/>
              <w:autoSpaceDE w:val="0"/>
              <w:autoSpaceDN w:val="0"/>
              <w:adjustRightInd w:val="0"/>
              <w:jc w:val="center"/>
              <w:rPr>
                <w:rFonts w:ascii="Arial" w:hAnsi="Arial" w:cs="Arial"/>
                <w:color w:val="000000"/>
                <w:lang w:eastAsia="en-GB"/>
              </w:rPr>
            </w:pPr>
            <w:r w:rsidRPr="006C2377">
              <w:rPr>
                <w:rFonts w:ascii="Arial" w:hAnsi="Arial" w:cs="Arial"/>
                <w:color w:val="000000"/>
                <w:lang w:eastAsia="en-GB"/>
              </w:rPr>
              <w:t>Jan 2019</w:t>
            </w:r>
          </w:p>
        </w:tc>
        <w:tc>
          <w:tcPr>
            <w:tcW w:w="452" w:type="pct"/>
            <w:gridSpan w:val="2"/>
            <w:tcBorders>
              <w:top w:val="single" w:sz="4" w:space="0" w:color="auto"/>
              <w:left w:val="single" w:sz="4" w:space="0" w:color="auto"/>
              <w:bottom w:val="single" w:sz="4" w:space="0" w:color="auto"/>
              <w:right w:val="single" w:sz="4" w:space="0" w:color="auto"/>
            </w:tcBorders>
            <w:shd w:val="clear" w:color="auto" w:fill="D9D9D9"/>
          </w:tcPr>
          <w:p w:rsidR="006C2377" w:rsidRPr="006C2377" w:rsidRDefault="006C2377" w:rsidP="006C2377">
            <w:pPr>
              <w:widowControl w:val="0"/>
              <w:autoSpaceDE w:val="0"/>
              <w:autoSpaceDN w:val="0"/>
              <w:adjustRightInd w:val="0"/>
              <w:jc w:val="center"/>
              <w:rPr>
                <w:rFonts w:ascii="Arial" w:hAnsi="Arial" w:cs="Arial"/>
                <w:color w:val="000000"/>
                <w:lang w:eastAsia="en-GB"/>
              </w:rPr>
            </w:pPr>
            <w:r w:rsidRPr="006C2377">
              <w:rPr>
                <w:rFonts w:ascii="Arial" w:hAnsi="Arial" w:cs="Arial"/>
                <w:color w:val="000000"/>
                <w:lang w:eastAsia="en-GB"/>
              </w:rPr>
              <w:t>Feb 2019</w:t>
            </w:r>
          </w:p>
        </w:tc>
        <w:tc>
          <w:tcPr>
            <w:tcW w:w="452" w:type="pct"/>
            <w:gridSpan w:val="2"/>
            <w:tcBorders>
              <w:top w:val="single" w:sz="4" w:space="0" w:color="auto"/>
              <w:left w:val="single" w:sz="4" w:space="0" w:color="auto"/>
              <w:bottom w:val="single" w:sz="4" w:space="0" w:color="auto"/>
              <w:right w:val="single" w:sz="4" w:space="0" w:color="auto"/>
            </w:tcBorders>
            <w:shd w:val="clear" w:color="auto" w:fill="D9D9D9"/>
          </w:tcPr>
          <w:p w:rsidR="006C2377" w:rsidRPr="006C2377" w:rsidRDefault="006C2377" w:rsidP="00A74392">
            <w:pPr>
              <w:widowControl w:val="0"/>
              <w:autoSpaceDE w:val="0"/>
              <w:autoSpaceDN w:val="0"/>
              <w:adjustRightInd w:val="0"/>
              <w:jc w:val="center"/>
              <w:rPr>
                <w:rFonts w:ascii="Arial" w:hAnsi="Arial" w:cs="Arial"/>
                <w:color w:val="000000"/>
                <w:lang w:eastAsia="en-GB"/>
              </w:rPr>
            </w:pPr>
            <w:r>
              <w:rPr>
                <w:rFonts w:ascii="Arial" w:hAnsi="Arial" w:cs="Arial"/>
                <w:color w:val="000000"/>
                <w:lang w:eastAsia="en-GB"/>
              </w:rPr>
              <w:t>Mar</w:t>
            </w:r>
            <w:r w:rsidRPr="006C2377">
              <w:rPr>
                <w:rFonts w:ascii="Arial" w:hAnsi="Arial" w:cs="Arial"/>
                <w:color w:val="000000"/>
                <w:lang w:eastAsia="en-GB"/>
              </w:rPr>
              <w:t xml:space="preserve"> 2019</w:t>
            </w:r>
          </w:p>
        </w:tc>
        <w:tc>
          <w:tcPr>
            <w:tcW w:w="509" w:type="pct"/>
            <w:tcBorders>
              <w:top w:val="single" w:sz="4" w:space="0" w:color="000000"/>
              <w:left w:val="single" w:sz="4" w:space="0" w:color="auto"/>
              <w:bottom w:val="single" w:sz="4" w:space="0" w:color="000000"/>
              <w:right w:val="single" w:sz="4" w:space="0" w:color="000000"/>
            </w:tcBorders>
            <w:shd w:val="clear" w:color="auto" w:fill="D9D9D9"/>
            <w:vAlign w:val="center"/>
          </w:tcPr>
          <w:p w:rsidR="006C2377" w:rsidRPr="006C2377" w:rsidRDefault="006C2377" w:rsidP="0016508B">
            <w:pPr>
              <w:widowControl w:val="0"/>
              <w:autoSpaceDE w:val="0"/>
              <w:autoSpaceDN w:val="0"/>
              <w:adjustRightInd w:val="0"/>
              <w:jc w:val="center"/>
              <w:rPr>
                <w:rFonts w:ascii="Arial" w:hAnsi="Arial" w:cs="Arial"/>
                <w:color w:val="000000"/>
                <w:lang w:eastAsia="en-GB"/>
              </w:rPr>
            </w:pPr>
            <w:r w:rsidRPr="006C2377">
              <w:rPr>
                <w:rFonts w:ascii="Arial" w:hAnsi="Arial" w:cs="Arial"/>
                <w:color w:val="000000"/>
                <w:lang w:eastAsia="en-GB"/>
              </w:rPr>
              <w:t>Target</w:t>
            </w:r>
          </w:p>
        </w:tc>
        <w:tc>
          <w:tcPr>
            <w:tcW w:w="54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2377" w:rsidRPr="006C2377" w:rsidRDefault="006C2377" w:rsidP="0016508B">
            <w:pPr>
              <w:widowControl w:val="0"/>
              <w:autoSpaceDE w:val="0"/>
              <w:autoSpaceDN w:val="0"/>
              <w:adjustRightInd w:val="0"/>
              <w:jc w:val="center"/>
              <w:rPr>
                <w:rFonts w:ascii="Arial" w:hAnsi="Arial" w:cs="Arial"/>
                <w:lang w:eastAsia="en-GB"/>
              </w:rPr>
            </w:pPr>
            <w:r w:rsidRPr="006C2377">
              <w:rPr>
                <w:rFonts w:ascii="Arial" w:hAnsi="Arial" w:cs="Arial"/>
                <w:lang w:eastAsia="en-GB"/>
              </w:rPr>
              <w:t>On Track</w:t>
            </w:r>
          </w:p>
        </w:tc>
      </w:tr>
      <w:tr w:rsidR="006C2377" w:rsidRPr="000C34A9" w:rsidTr="008B6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618" w:type="pct"/>
            <w:tcBorders>
              <w:top w:val="single" w:sz="4" w:space="0" w:color="000000"/>
              <w:left w:val="single" w:sz="4" w:space="0" w:color="000000"/>
              <w:bottom w:val="single" w:sz="4" w:space="0" w:color="000000"/>
              <w:right w:val="single" w:sz="4" w:space="0" w:color="000000"/>
            </w:tcBorders>
          </w:tcPr>
          <w:p w:rsidR="006C2377" w:rsidRPr="006C2377" w:rsidRDefault="006C2377" w:rsidP="00AF15C4">
            <w:pPr>
              <w:widowControl w:val="0"/>
              <w:autoSpaceDE w:val="0"/>
              <w:autoSpaceDN w:val="0"/>
              <w:adjustRightInd w:val="0"/>
              <w:rPr>
                <w:rFonts w:ascii="Arial" w:hAnsi="Arial" w:cs="Arial"/>
                <w:color w:val="000000"/>
                <w:lang w:eastAsia="en-GB"/>
              </w:rPr>
            </w:pPr>
            <w:r w:rsidRPr="006C2377">
              <w:rPr>
                <w:rFonts w:ascii="Arial" w:hAnsi="Arial" w:cs="Arial"/>
                <w:color w:val="000000"/>
                <w:lang w:eastAsia="en-GB"/>
              </w:rPr>
              <w:t>Elective Acute Ward Bed Occupancy</w:t>
            </w:r>
          </w:p>
        </w:tc>
        <w:tc>
          <w:tcPr>
            <w:tcW w:w="1060" w:type="pct"/>
            <w:gridSpan w:val="2"/>
            <w:tcBorders>
              <w:top w:val="single" w:sz="4" w:space="0" w:color="000000"/>
              <w:left w:val="single" w:sz="4" w:space="0" w:color="000000"/>
              <w:bottom w:val="single" w:sz="4" w:space="0" w:color="000000"/>
              <w:right w:val="single" w:sz="4" w:space="0" w:color="000000"/>
            </w:tcBorders>
          </w:tcPr>
          <w:p w:rsidR="006C2377" w:rsidRPr="006C2377" w:rsidRDefault="006C2377" w:rsidP="00AF15C4">
            <w:pPr>
              <w:widowControl w:val="0"/>
              <w:autoSpaceDE w:val="0"/>
              <w:autoSpaceDN w:val="0"/>
              <w:adjustRightInd w:val="0"/>
              <w:rPr>
                <w:rFonts w:ascii="Arial" w:hAnsi="Arial" w:cs="Arial"/>
                <w:color w:val="000000"/>
                <w:lang w:eastAsia="en-GB"/>
              </w:rPr>
            </w:pPr>
            <w:r w:rsidRPr="006C2377">
              <w:rPr>
                <w:rFonts w:ascii="Arial" w:hAnsi="Arial" w:cs="Arial"/>
                <w:color w:val="000000"/>
                <w:lang w:eastAsia="en-GB"/>
              </w:rPr>
              <w:t>Combined occupancy position for NSD, 2 East, 2 West, 3 East, 3 West</w:t>
            </w:r>
          </w:p>
        </w:tc>
        <w:tc>
          <w:tcPr>
            <w:tcW w:w="911" w:type="pct"/>
            <w:gridSpan w:val="2"/>
            <w:tcBorders>
              <w:top w:val="single" w:sz="4" w:space="0" w:color="000000"/>
              <w:left w:val="single" w:sz="4" w:space="0" w:color="000000"/>
              <w:bottom w:val="single" w:sz="4" w:space="0" w:color="000000"/>
              <w:right w:val="single" w:sz="4" w:space="0" w:color="auto"/>
            </w:tcBorders>
          </w:tcPr>
          <w:p w:rsidR="006C2377" w:rsidRPr="006C2377" w:rsidRDefault="006C2377" w:rsidP="00AF15C4">
            <w:pPr>
              <w:widowControl w:val="0"/>
              <w:autoSpaceDE w:val="0"/>
              <w:autoSpaceDN w:val="0"/>
              <w:adjustRightInd w:val="0"/>
              <w:ind w:left="-107" w:right="-108"/>
              <w:jc w:val="center"/>
              <w:rPr>
                <w:rFonts w:ascii="Arial" w:hAnsi="Arial" w:cs="Arial"/>
              </w:rPr>
            </w:pPr>
            <w:r w:rsidRPr="006C2377">
              <w:rPr>
                <w:rFonts w:ascii="Arial" w:hAnsi="Arial" w:cs="Arial"/>
              </w:rPr>
              <w:t xml:space="preserve">&gt;90.1% = Red    </w:t>
            </w:r>
          </w:p>
          <w:p w:rsidR="006C2377" w:rsidRPr="006C2377" w:rsidRDefault="006C2377" w:rsidP="00AF15C4">
            <w:pPr>
              <w:widowControl w:val="0"/>
              <w:autoSpaceDE w:val="0"/>
              <w:autoSpaceDN w:val="0"/>
              <w:adjustRightInd w:val="0"/>
              <w:ind w:left="-107" w:right="-108"/>
              <w:jc w:val="center"/>
              <w:rPr>
                <w:rFonts w:ascii="Arial" w:hAnsi="Arial" w:cs="Arial"/>
              </w:rPr>
            </w:pPr>
            <w:r w:rsidRPr="006C2377">
              <w:rPr>
                <w:rFonts w:ascii="Arial" w:hAnsi="Arial" w:cs="Arial"/>
              </w:rPr>
              <w:t xml:space="preserve">86-90%= Green </w:t>
            </w:r>
          </w:p>
          <w:p w:rsidR="006C2377" w:rsidRPr="006C2377" w:rsidRDefault="006C2377" w:rsidP="00AF15C4">
            <w:pPr>
              <w:widowControl w:val="0"/>
              <w:autoSpaceDE w:val="0"/>
              <w:autoSpaceDN w:val="0"/>
              <w:adjustRightInd w:val="0"/>
              <w:ind w:left="-107" w:right="-108"/>
              <w:jc w:val="center"/>
              <w:rPr>
                <w:rFonts w:ascii="Arial" w:hAnsi="Arial" w:cs="Arial"/>
              </w:rPr>
            </w:pPr>
            <w:r w:rsidRPr="006C2377">
              <w:rPr>
                <w:rFonts w:ascii="Arial" w:hAnsi="Arial" w:cs="Arial"/>
              </w:rPr>
              <w:t xml:space="preserve">78-85.9% = Amber </w:t>
            </w:r>
          </w:p>
          <w:p w:rsidR="006C2377" w:rsidRPr="006C2377" w:rsidRDefault="006C2377" w:rsidP="00AF15C4">
            <w:pPr>
              <w:widowControl w:val="0"/>
              <w:autoSpaceDE w:val="0"/>
              <w:autoSpaceDN w:val="0"/>
              <w:adjustRightInd w:val="0"/>
              <w:ind w:left="-107" w:right="-108"/>
              <w:jc w:val="center"/>
              <w:rPr>
                <w:rFonts w:ascii="Arial" w:hAnsi="Arial" w:cs="Arial"/>
              </w:rPr>
            </w:pPr>
            <w:r w:rsidRPr="006C2377">
              <w:rPr>
                <w:rFonts w:ascii="Arial" w:hAnsi="Arial" w:cs="Arial"/>
              </w:rPr>
              <w:t>&lt;77.9% = Blue</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377" w:rsidRPr="006C2377" w:rsidRDefault="006C2377" w:rsidP="006C2377">
            <w:pPr>
              <w:widowControl w:val="0"/>
              <w:autoSpaceDE w:val="0"/>
              <w:autoSpaceDN w:val="0"/>
              <w:adjustRightInd w:val="0"/>
              <w:jc w:val="center"/>
              <w:rPr>
                <w:rFonts w:ascii="Arial" w:hAnsi="Arial" w:cs="Arial"/>
                <w:color w:val="000000"/>
                <w:lang w:eastAsia="en-GB"/>
              </w:rPr>
            </w:pPr>
            <w:r w:rsidRPr="006C2377">
              <w:rPr>
                <w:rFonts w:ascii="Arial" w:hAnsi="Arial" w:cs="Arial"/>
                <w:color w:val="000000"/>
                <w:lang w:eastAsia="en-GB"/>
              </w:rPr>
              <w:t>77.4%</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377" w:rsidRPr="006C2377" w:rsidRDefault="006C2377" w:rsidP="006C2377">
            <w:pPr>
              <w:widowControl w:val="0"/>
              <w:autoSpaceDE w:val="0"/>
              <w:autoSpaceDN w:val="0"/>
              <w:adjustRightInd w:val="0"/>
              <w:jc w:val="center"/>
              <w:rPr>
                <w:rFonts w:ascii="Arial" w:hAnsi="Arial" w:cs="Arial"/>
                <w:color w:val="000000"/>
                <w:lang w:eastAsia="en-GB"/>
              </w:rPr>
            </w:pPr>
            <w:r w:rsidRPr="006C2377">
              <w:rPr>
                <w:rFonts w:ascii="Arial" w:hAnsi="Arial" w:cs="Arial"/>
                <w:color w:val="000000"/>
                <w:lang w:eastAsia="en-GB"/>
              </w:rPr>
              <w:t>79.4%</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377" w:rsidRPr="006C2377" w:rsidRDefault="006C2377" w:rsidP="005073DA">
            <w:pPr>
              <w:widowControl w:val="0"/>
              <w:autoSpaceDE w:val="0"/>
              <w:autoSpaceDN w:val="0"/>
              <w:adjustRightInd w:val="0"/>
              <w:jc w:val="center"/>
              <w:rPr>
                <w:rFonts w:ascii="Arial" w:hAnsi="Arial" w:cs="Arial"/>
                <w:color w:val="000000"/>
                <w:lang w:eastAsia="en-GB"/>
              </w:rPr>
            </w:pPr>
            <w:r w:rsidRPr="006C2377">
              <w:rPr>
                <w:rFonts w:ascii="Arial" w:hAnsi="Arial" w:cs="Arial"/>
                <w:color w:val="000000"/>
                <w:lang w:eastAsia="en-GB"/>
              </w:rPr>
              <w:t>81.3%</w:t>
            </w:r>
          </w:p>
        </w:tc>
        <w:tc>
          <w:tcPr>
            <w:tcW w:w="509" w:type="pct"/>
            <w:tcBorders>
              <w:top w:val="single" w:sz="4" w:space="0" w:color="000000"/>
              <w:left w:val="single" w:sz="4" w:space="0" w:color="auto"/>
              <w:bottom w:val="single" w:sz="4" w:space="0" w:color="000000"/>
              <w:right w:val="single" w:sz="4" w:space="0" w:color="000000"/>
            </w:tcBorders>
            <w:vAlign w:val="center"/>
          </w:tcPr>
          <w:p w:rsidR="006C2377" w:rsidRPr="006C2377" w:rsidRDefault="006C2377" w:rsidP="00AF15C4">
            <w:pPr>
              <w:widowControl w:val="0"/>
              <w:autoSpaceDE w:val="0"/>
              <w:autoSpaceDN w:val="0"/>
              <w:adjustRightInd w:val="0"/>
              <w:ind w:left="-109" w:right="-108"/>
              <w:jc w:val="center"/>
              <w:rPr>
                <w:rFonts w:ascii="Arial" w:hAnsi="Arial" w:cs="Arial"/>
                <w:color w:val="000000"/>
                <w:lang w:eastAsia="en-GB"/>
              </w:rPr>
            </w:pPr>
            <w:r w:rsidRPr="006C2377">
              <w:rPr>
                <w:rFonts w:ascii="Arial" w:hAnsi="Arial" w:cs="Arial"/>
              </w:rPr>
              <w:t>86-90%</w:t>
            </w:r>
          </w:p>
        </w:tc>
        <w:tc>
          <w:tcPr>
            <w:tcW w:w="548" w:type="pct"/>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rsidR="006C2377" w:rsidRPr="006C2377" w:rsidRDefault="006C2377" w:rsidP="00AF15C4">
            <w:pPr>
              <w:widowControl w:val="0"/>
              <w:autoSpaceDE w:val="0"/>
              <w:autoSpaceDN w:val="0"/>
              <w:adjustRightInd w:val="0"/>
              <w:jc w:val="center"/>
              <w:rPr>
                <w:rFonts w:ascii="Arial" w:hAnsi="Arial" w:cs="Arial"/>
                <w:color w:val="000000"/>
                <w:lang w:eastAsia="en-GB"/>
              </w:rPr>
            </w:pPr>
            <w:r w:rsidRPr="006C2377">
              <w:rPr>
                <w:rFonts w:ascii="Arial" w:hAnsi="Arial" w:cs="Arial"/>
                <w:color w:val="000000"/>
                <w:lang w:eastAsia="en-GB"/>
              </w:rPr>
              <w:sym w:font="Wingdings" w:char="F0F1"/>
            </w:r>
          </w:p>
        </w:tc>
      </w:tr>
      <w:tr w:rsidR="006C2377" w:rsidRPr="000C34A9" w:rsidTr="008B6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618" w:type="pct"/>
            <w:tcBorders>
              <w:top w:val="single" w:sz="4" w:space="0" w:color="000000"/>
              <w:left w:val="single" w:sz="4" w:space="0" w:color="000000"/>
              <w:bottom w:val="single" w:sz="4" w:space="0" w:color="000000"/>
              <w:right w:val="single" w:sz="4" w:space="0" w:color="000000"/>
            </w:tcBorders>
          </w:tcPr>
          <w:p w:rsidR="006C2377" w:rsidRPr="006C2377" w:rsidRDefault="006C2377" w:rsidP="00017AFC">
            <w:pPr>
              <w:widowControl w:val="0"/>
              <w:autoSpaceDE w:val="0"/>
              <w:autoSpaceDN w:val="0"/>
              <w:adjustRightInd w:val="0"/>
              <w:rPr>
                <w:rFonts w:ascii="Arial" w:hAnsi="Arial" w:cs="Arial"/>
                <w:color w:val="000000"/>
                <w:lang w:eastAsia="en-GB"/>
              </w:rPr>
            </w:pPr>
            <w:r w:rsidRPr="006C2377">
              <w:rPr>
                <w:rFonts w:ascii="Arial" w:hAnsi="Arial" w:cs="Arial"/>
                <w:color w:val="000000"/>
                <w:lang w:eastAsia="en-GB"/>
              </w:rPr>
              <w:t>Interventional Cardiology Wards Bed Occupancy</w:t>
            </w:r>
          </w:p>
        </w:tc>
        <w:tc>
          <w:tcPr>
            <w:tcW w:w="1060" w:type="pct"/>
            <w:gridSpan w:val="2"/>
            <w:tcBorders>
              <w:top w:val="single" w:sz="4" w:space="0" w:color="000000"/>
              <w:left w:val="single" w:sz="4" w:space="0" w:color="000000"/>
              <w:bottom w:val="single" w:sz="4" w:space="0" w:color="000000"/>
              <w:right w:val="single" w:sz="4" w:space="0" w:color="000000"/>
            </w:tcBorders>
          </w:tcPr>
          <w:p w:rsidR="006C2377" w:rsidRPr="006C2377" w:rsidRDefault="006C2377" w:rsidP="00017AFC">
            <w:pPr>
              <w:rPr>
                <w:rFonts w:ascii="Arial" w:hAnsi="Arial" w:cs="Arial"/>
              </w:rPr>
            </w:pPr>
            <w:r w:rsidRPr="006C2377">
              <w:rPr>
                <w:rFonts w:ascii="Arial" w:hAnsi="Arial" w:cs="Arial"/>
              </w:rPr>
              <w:t>Combined occupancy position for 2C, 2D and CCU</w:t>
            </w:r>
          </w:p>
        </w:tc>
        <w:tc>
          <w:tcPr>
            <w:tcW w:w="911" w:type="pct"/>
            <w:gridSpan w:val="2"/>
            <w:tcBorders>
              <w:top w:val="single" w:sz="4" w:space="0" w:color="000000"/>
              <w:left w:val="single" w:sz="4" w:space="0" w:color="000000"/>
              <w:bottom w:val="single" w:sz="4" w:space="0" w:color="000000"/>
              <w:right w:val="single" w:sz="4" w:space="0" w:color="auto"/>
            </w:tcBorders>
            <w:vAlign w:val="center"/>
          </w:tcPr>
          <w:p w:rsidR="006C2377" w:rsidRPr="006C2377" w:rsidRDefault="006C2377" w:rsidP="00AF15C4">
            <w:pPr>
              <w:widowControl w:val="0"/>
              <w:autoSpaceDE w:val="0"/>
              <w:autoSpaceDN w:val="0"/>
              <w:adjustRightInd w:val="0"/>
              <w:ind w:left="-107" w:right="-108"/>
              <w:jc w:val="center"/>
              <w:rPr>
                <w:rFonts w:ascii="Arial" w:hAnsi="Arial" w:cs="Arial"/>
              </w:rPr>
            </w:pPr>
            <w:r w:rsidRPr="006C2377">
              <w:rPr>
                <w:rFonts w:ascii="Arial" w:hAnsi="Arial" w:cs="Arial"/>
              </w:rPr>
              <w:t>87.4%- 100% = R</w:t>
            </w:r>
          </w:p>
          <w:p w:rsidR="006C2377" w:rsidRPr="006C2377" w:rsidRDefault="006C2377" w:rsidP="00AF15C4">
            <w:pPr>
              <w:widowControl w:val="0"/>
              <w:autoSpaceDE w:val="0"/>
              <w:autoSpaceDN w:val="0"/>
              <w:adjustRightInd w:val="0"/>
              <w:ind w:left="-107" w:right="-108"/>
              <w:jc w:val="center"/>
              <w:rPr>
                <w:rFonts w:ascii="Arial" w:hAnsi="Arial" w:cs="Arial"/>
              </w:rPr>
            </w:pPr>
            <w:r w:rsidRPr="006C2377">
              <w:rPr>
                <w:rFonts w:ascii="Arial" w:hAnsi="Arial" w:cs="Arial"/>
              </w:rPr>
              <w:t>81% -87.3% = G</w:t>
            </w:r>
          </w:p>
          <w:p w:rsidR="006C2377" w:rsidRPr="006C2377" w:rsidRDefault="006C2377" w:rsidP="00AF15C4">
            <w:pPr>
              <w:widowControl w:val="0"/>
              <w:autoSpaceDE w:val="0"/>
              <w:autoSpaceDN w:val="0"/>
              <w:adjustRightInd w:val="0"/>
              <w:ind w:left="-107" w:right="-108"/>
              <w:jc w:val="center"/>
              <w:rPr>
                <w:rFonts w:ascii="Arial" w:hAnsi="Arial" w:cs="Arial"/>
              </w:rPr>
            </w:pPr>
            <w:r w:rsidRPr="006C2377">
              <w:rPr>
                <w:rFonts w:ascii="Arial" w:hAnsi="Arial" w:cs="Arial"/>
              </w:rPr>
              <w:t>77%-80.9%= A</w:t>
            </w:r>
          </w:p>
          <w:p w:rsidR="006C2377" w:rsidRPr="006C2377" w:rsidRDefault="006C2377" w:rsidP="00AF15C4">
            <w:pPr>
              <w:widowControl w:val="0"/>
              <w:autoSpaceDE w:val="0"/>
              <w:autoSpaceDN w:val="0"/>
              <w:adjustRightInd w:val="0"/>
              <w:ind w:left="-107" w:right="-108"/>
              <w:jc w:val="center"/>
              <w:rPr>
                <w:rFonts w:ascii="Arial" w:hAnsi="Arial" w:cs="Arial"/>
              </w:rPr>
            </w:pPr>
            <w:r w:rsidRPr="006C2377">
              <w:rPr>
                <w:rFonts w:ascii="Arial" w:hAnsi="Arial" w:cs="Arial"/>
              </w:rPr>
              <w:t>&lt;76.9%  =  B</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377" w:rsidRPr="006C2377" w:rsidRDefault="006C2377" w:rsidP="006C2377">
            <w:pPr>
              <w:widowControl w:val="0"/>
              <w:autoSpaceDE w:val="0"/>
              <w:autoSpaceDN w:val="0"/>
              <w:adjustRightInd w:val="0"/>
              <w:jc w:val="center"/>
              <w:rPr>
                <w:rFonts w:ascii="Arial" w:hAnsi="Arial" w:cs="Arial"/>
              </w:rPr>
            </w:pPr>
            <w:r w:rsidRPr="006C2377">
              <w:rPr>
                <w:rFonts w:ascii="Arial" w:hAnsi="Arial" w:cs="Arial"/>
              </w:rPr>
              <w:t>86.0%</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377" w:rsidRPr="006C2377" w:rsidRDefault="006C2377" w:rsidP="006C2377">
            <w:pPr>
              <w:widowControl w:val="0"/>
              <w:autoSpaceDE w:val="0"/>
              <w:autoSpaceDN w:val="0"/>
              <w:adjustRightInd w:val="0"/>
              <w:jc w:val="center"/>
              <w:rPr>
                <w:rFonts w:ascii="Arial" w:hAnsi="Arial" w:cs="Arial"/>
              </w:rPr>
            </w:pPr>
            <w:r w:rsidRPr="006C2377">
              <w:rPr>
                <w:rFonts w:ascii="Arial" w:hAnsi="Arial" w:cs="Arial"/>
              </w:rPr>
              <w:t>85.1%</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377" w:rsidRPr="006C2377" w:rsidRDefault="006C2377" w:rsidP="00285F42">
            <w:pPr>
              <w:widowControl w:val="0"/>
              <w:autoSpaceDE w:val="0"/>
              <w:autoSpaceDN w:val="0"/>
              <w:adjustRightInd w:val="0"/>
              <w:jc w:val="center"/>
              <w:rPr>
                <w:rFonts w:ascii="Arial" w:hAnsi="Arial" w:cs="Arial"/>
              </w:rPr>
            </w:pPr>
            <w:r w:rsidRPr="006C2377">
              <w:rPr>
                <w:rFonts w:ascii="Arial" w:hAnsi="Arial" w:cs="Arial"/>
              </w:rPr>
              <w:t>81.7%</w:t>
            </w:r>
          </w:p>
        </w:tc>
        <w:tc>
          <w:tcPr>
            <w:tcW w:w="509" w:type="pct"/>
            <w:tcBorders>
              <w:top w:val="single" w:sz="4" w:space="0" w:color="000000"/>
              <w:left w:val="single" w:sz="4" w:space="0" w:color="auto"/>
              <w:bottom w:val="single" w:sz="4" w:space="0" w:color="000000"/>
              <w:right w:val="single" w:sz="4" w:space="0" w:color="000000"/>
            </w:tcBorders>
            <w:vAlign w:val="center"/>
          </w:tcPr>
          <w:p w:rsidR="006C2377" w:rsidRPr="006C2377" w:rsidRDefault="006C2377" w:rsidP="00285F42">
            <w:pPr>
              <w:widowControl w:val="0"/>
              <w:autoSpaceDE w:val="0"/>
              <w:autoSpaceDN w:val="0"/>
              <w:adjustRightInd w:val="0"/>
              <w:ind w:left="-107" w:right="-108"/>
              <w:jc w:val="center"/>
              <w:rPr>
                <w:rFonts w:ascii="Arial" w:hAnsi="Arial" w:cs="Arial"/>
              </w:rPr>
            </w:pPr>
            <w:r w:rsidRPr="006C2377">
              <w:rPr>
                <w:rFonts w:ascii="Arial" w:hAnsi="Arial" w:cs="Arial"/>
              </w:rPr>
              <w:t>81-87.3%</w:t>
            </w:r>
          </w:p>
        </w:tc>
        <w:tc>
          <w:tcPr>
            <w:tcW w:w="548" w:type="pct"/>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6C2377" w:rsidRPr="006C2377" w:rsidRDefault="006C2377" w:rsidP="00285F42">
            <w:pPr>
              <w:widowControl w:val="0"/>
              <w:autoSpaceDE w:val="0"/>
              <w:autoSpaceDN w:val="0"/>
              <w:adjustRightInd w:val="0"/>
              <w:jc w:val="center"/>
              <w:rPr>
                <w:rFonts w:ascii="Arial" w:hAnsi="Arial" w:cs="Arial"/>
                <w:color w:val="000000"/>
                <w:lang w:eastAsia="en-GB"/>
              </w:rPr>
            </w:pPr>
            <w:r w:rsidRPr="006C2377">
              <w:rPr>
                <w:rFonts w:ascii="Arial" w:hAnsi="Arial" w:cs="Arial"/>
                <w:color w:val="000000"/>
                <w:lang w:eastAsia="en-GB"/>
              </w:rPr>
              <w:sym w:font="Wingdings" w:char="F0F2"/>
            </w:r>
          </w:p>
        </w:tc>
      </w:tr>
      <w:tr w:rsidR="006C2377" w:rsidRPr="000C34A9" w:rsidTr="008B6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618" w:type="pct"/>
            <w:tcBorders>
              <w:top w:val="single" w:sz="4" w:space="0" w:color="000000"/>
              <w:left w:val="single" w:sz="4" w:space="0" w:color="000000"/>
              <w:bottom w:val="single" w:sz="4" w:space="0" w:color="000000"/>
              <w:right w:val="single" w:sz="4" w:space="0" w:color="000000"/>
            </w:tcBorders>
          </w:tcPr>
          <w:p w:rsidR="006C2377" w:rsidRPr="006C2377" w:rsidRDefault="006C2377" w:rsidP="00017AFC">
            <w:pPr>
              <w:widowControl w:val="0"/>
              <w:autoSpaceDE w:val="0"/>
              <w:autoSpaceDN w:val="0"/>
              <w:adjustRightInd w:val="0"/>
              <w:rPr>
                <w:rFonts w:ascii="Arial" w:hAnsi="Arial" w:cs="Arial"/>
                <w:color w:val="000000"/>
                <w:lang w:eastAsia="en-GB"/>
              </w:rPr>
            </w:pPr>
            <w:r w:rsidRPr="006C2377">
              <w:rPr>
                <w:rFonts w:ascii="Arial" w:hAnsi="Arial" w:cs="Arial"/>
                <w:color w:val="000000"/>
                <w:lang w:eastAsia="en-GB"/>
              </w:rPr>
              <w:t>Critical Care Wards Bed Occupancy</w:t>
            </w:r>
          </w:p>
        </w:tc>
        <w:tc>
          <w:tcPr>
            <w:tcW w:w="1060" w:type="pct"/>
            <w:gridSpan w:val="2"/>
            <w:tcBorders>
              <w:top w:val="single" w:sz="4" w:space="0" w:color="000000"/>
              <w:left w:val="single" w:sz="4" w:space="0" w:color="000000"/>
              <w:bottom w:val="single" w:sz="4" w:space="0" w:color="000000"/>
              <w:right w:val="single" w:sz="4" w:space="0" w:color="000000"/>
            </w:tcBorders>
          </w:tcPr>
          <w:p w:rsidR="006C2377" w:rsidRPr="006C2377" w:rsidRDefault="006C2377" w:rsidP="00017AFC">
            <w:pPr>
              <w:rPr>
                <w:rFonts w:ascii="Arial" w:hAnsi="Arial" w:cs="Arial"/>
              </w:rPr>
            </w:pPr>
            <w:r w:rsidRPr="006C2377">
              <w:rPr>
                <w:rFonts w:ascii="Arial" w:hAnsi="Arial" w:cs="Arial"/>
              </w:rPr>
              <w:t>Combined occupancy position for ICU1, ICU2, HDU2, HDU3</w:t>
            </w:r>
          </w:p>
        </w:tc>
        <w:tc>
          <w:tcPr>
            <w:tcW w:w="911" w:type="pct"/>
            <w:gridSpan w:val="2"/>
            <w:tcBorders>
              <w:top w:val="single" w:sz="4" w:space="0" w:color="000000"/>
              <w:left w:val="single" w:sz="4" w:space="0" w:color="000000"/>
              <w:bottom w:val="single" w:sz="4" w:space="0" w:color="000000"/>
              <w:right w:val="single" w:sz="4" w:space="0" w:color="auto"/>
            </w:tcBorders>
            <w:vAlign w:val="center"/>
          </w:tcPr>
          <w:p w:rsidR="006C2377" w:rsidRPr="006C2377" w:rsidRDefault="006C2377" w:rsidP="00285F42">
            <w:pPr>
              <w:widowControl w:val="0"/>
              <w:autoSpaceDE w:val="0"/>
              <w:autoSpaceDN w:val="0"/>
              <w:adjustRightInd w:val="0"/>
              <w:ind w:left="-107" w:right="-108"/>
              <w:jc w:val="center"/>
              <w:rPr>
                <w:rFonts w:ascii="Arial" w:hAnsi="Arial" w:cs="Arial"/>
              </w:rPr>
            </w:pPr>
            <w:r w:rsidRPr="006C2377">
              <w:rPr>
                <w:rFonts w:ascii="Arial" w:hAnsi="Arial" w:cs="Arial"/>
              </w:rPr>
              <w:t xml:space="preserve">≥ 84.8% = R </w:t>
            </w:r>
          </w:p>
          <w:p w:rsidR="006C2377" w:rsidRPr="006C2377" w:rsidRDefault="006C2377" w:rsidP="00285F42">
            <w:pPr>
              <w:widowControl w:val="0"/>
              <w:autoSpaceDE w:val="0"/>
              <w:autoSpaceDN w:val="0"/>
              <w:adjustRightInd w:val="0"/>
              <w:ind w:left="-107" w:right="-108"/>
              <w:jc w:val="center"/>
              <w:rPr>
                <w:rFonts w:ascii="Arial" w:hAnsi="Arial" w:cs="Arial"/>
              </w:rPr>
            </w:pPr>
            <w:r w:rsidRPr="006C2377">
              <w:rPr>
                <w:rFonts w:ascii="Arial" w:hAnsi="Arial" w:cs="Arial"/>
              </w:rPr>
              <w:t xml:space="preserve">73 – 84.7% = G </w:t>
            </w:r>
          </w:p>
          <w:p w:rsidR="006C2377" w:rsidRPr="006C2377" w:rsidRDefault="006C2377" w:rsidP="00285F42">
            <w:pPr>
              <w:widowControl w:val="0"/>
              <w:autoSpaceDE w:val="0"/>
              <w:autoSpaceDN w:val="0"/>
              <w:adjustRightInd w:val="0"/>
              <w:ind w:left="-107" w:right="-108"/>
              <w:jc w:val="center"/>
              <w:rPr>
                <w:rFonts w:ascii="Arial" w:hAnsi="Arial" w:cs="Arial"/>
              </w:rPr>
            </w:pPr>
            <w:r w:rsidRPr="006C2377">
              <w:rPr>
                <w:rFonts w:ascii="Arial" w:hAnsi="Arial" w:cs="Arial"/>
              </w:rPr>
              <w:t>63.4 – 72.9% = A</w:t>
            </w:r>
          </w:p>
          <w:p w:rsidR="006C2377" w:rsidRPr="006C2377" w:rsidRDefault="006C2377" w:rsidP="00D40ADD">
            <w:pPr>
              <w:widowControl w:val="0"/>
              <w:autoSpaceDE w:val="0"/>
              <w:autoSpaceDN w:val="0"/>
              <w:adjustRightInd w:val="0"/>
              <w:ind w:left="-107" w:right="-108"/>
              <w:jc w:val="center"/>
              <w:rPr>
                <w:rFonts w:ascii="Arial" w:hAnsi="Arial" w:cs="Arial"/>
              </w:rPr>
            </w:pPr>
            <w:r w:rsidRPr="006C2377">
              <w:rPr>
                <w:rFonts w:ascii="Arial" w:hAnsi="Arial" w:cs="Arial"/>
              </w:rPr>
              <w:t>≤ 63.3% = B</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377" w:rsidRPr="006C2377" w:rsidRDefault="006C2377" w:rsidP="006C2377">
            <w:pPr>
              <w:widowControl w:val="0"/>
              <w:autoSpaceDE w:val="0"/>
              <w:autoSpaceDN w:val="0"/>
              <w:adjustRightInd w:val="0"/>
              <w:jc w:val="center"/>
              <w:rPr>
                <w:rFonts w:ascii="Arial" w:hAnsi="Arial" w:cs="Arial"/>
              </w:rPr>
            </w:pPr>
            <w:r w:rsidRPr="006C2377">
              <w:rPr>
                <w:rFonts w:ascii="Arial" w:hAnsi="Arial" w:cs="Arial"/>
              </w:rPr>
              <w:t>68.6%</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377" w:rsidRPr="006C2377" w:rsidRDefault="006C2377" w:rsidP="006C2377">
            <w:pPr>
              <w:widowControl w:val="0"/>
              <w:autoSpaceDE w:val="0"/>
              <w:autoSpaceDN w:val="0"/>
              <w:adjustRightInd w:val="0"/>
              <w:jc w:val="center"/>
              <w:rPr>
                <w:rFonts w:ascii="Arial" w:hAnsi="Arial" w:cs="Arial"/>
              </w:rPr>
            </w:pPr>
            <w:r w:rsidRPr="006C2377">
              <w:rPr>
                <w:rFonts w:ascii="Arial" w:hAnsi="Arial" w:cs="Arial"/>
              </w:rPr>
              <w:t>74.8%</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C2377" w:rsidRPr="006C2377" w:rsidRDefault="006C2377" w:rsidP="00FB6C0A">
            <w:pPr>
              <w:widowControl w:val="0"/>
              <w:autoSpaceDE w:val="0"/>
              <w:autoSpaceDN w:val="0"/>
              <w:adjustRightInd w:val="0"/>
              <w:jc w:val="center"/>
              <w:rPr>
                <w:rFonts w:ascii="Arial" w:hAnsi="Arial" w:cs="Arial"/>
              </w:rPr>
            </w:pPr>
            <w:r w:rsidRPr="006C2377">
              <w:rPr>
                <w:rFonts w:ascii="Arial" w:hAnsi="Arial" w:cs="Arial"/>
              </w:rPr>
              <w:t>76.8%</w:t>
            </w:r>
          </w:p>
        </w:tc>
        <w:tc>
          <w:tcPr>
            <w:tcW w:w="509" w:type="pct"/>
            <w:tcBorders>
              <w:top w:val="single" w:sz="4" w:space="0" w:color="000000"/>
              <w:left w:val="single" w:sz="4" w:space="0" w:color="auto"/>
              <w:bottom w:val="single" w:sz="4" w:space="0" w:color="000000"/>
              <w:right w:val="single" w:sz="4" w:space="0" w:color="000000"/>
            </w:tcBorders>
            <w:vAlign w:val="center"/>
          </w:tcPr>
          <w:p w:rsidR="006C2377" w:rsidRPr="006C2377" w:rsidRDefault="006C2377" w:rsidP="00285F42">
            <w:pPr>
              <w:widowControl w:val="0"/>
              <w:autoSpaceDE w:val="0"/>
              <w:autoSpaceDN w:val="0"/>
              <w:adjustRightInd w:val="0"/>
              <w:ind w:left="-107" w:right="-108"/>
              <w:jc w:val="center"/>
              <w:rPr>
                <w:rFonts w:ascii="Arial" w:hAnsi="Arial" w:cs="Arial"/>
              </w:rPr>
            </w:pPr>
            <w:r w:rsidRPr="006C2377">
              <w:rPr>
                <w:rFonts w:ascii="Arial" w:hAnsi="Arial" w:cs="Arial"/>
              </w:rPr>
              <w:t>70-90%</w:t>
            </w:r>
          </w:p>
        </w:tc>
        <w:tc>
          <w:tcPr>
            <w:tcW w:w="548" w:type="pct"/>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6C2377" w:rsidRPr="006C2377" w:rsidRDefault="006C2377" w:rsidP="00285F42">
            <w:pPr>
              <w:widowControl w:val="0"/>
              <w:autoSpaceDE w:val="0"/>
              <w:autoSpaceDN w:val="0"/>
              <w:adjustRightInd w:val="0"/>
              <w:jc w:val="center"/>
              <w:rPr>
                <w:rFonts w:ascii="Arial" w:hAnsi="Arial" w:cs="Arial"/>
                <w:color w:val="000000"/>
                <w:lang w:eastAsia="en-GB"/>
              </w:rPr>
            </w:pPr>
            <w:r w:rsidRPr="006C2377">
              <w:rPr>
                <w:rFonts w:ascii="Arial" w:hAnsi="Arial" w:cs="Arial"/>
                <w:color w:val="000000"/>
                <w:lang w:eastAsia="en-GB"/>
              </w:rPr>
              <w:sym w:font="Wingdings" w:char="F0F1"/>
            </w:r>
          </w:p>
        </w:tc>
      </w:tr>
      <w:tr w:rsidR="00AF15C4" w:rsidRPr="000C34A9" w:rsidTr="00165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4"/>
        </w:trPr>
        <w:tc>
          <w:tcPr>
            <w:tcW w:w="5000" w:type="pct"/>
            <w:gridSpan w:val="14"/>
            <w:tcBorders>
              <w:top w:val="single" w:sz="4" w:space="0" w:color="000000"/>
              <w:left w:val="single" w:sz="4" w:space="0" w:color="000000"/>
              <w:bottom w:val="single" w:sz="4" w:space="0" w:color="auto"/>
              <w:right w:val="single" w:sz="4" w:space="0" w:color="000000"/>
            </w:tcBorders>
          </w:tcPr>
          <w:p w:rsidR="00AF15C4" w:rsidRPr="006C2377" w:rsidRDefault="00AF15C4" w:rsidP="0016508B">
            <w:pPr>
              <w:autoSpaceDE w:val="0"/>
              <w:autoSpaceDN w:val="0"/>
              <w:spacing w:after="120"/>
              <w:jc w:val="both"/>
              <w:rPr>
                <w:rFonts w:ascii="Arial" w:hAnsi="Arial" w:cs="Arial"/>
                <w:b/>
                <w:iCs/>
                <w:color w:val="000000"/>
              </w:rPr>
            </w:pPr>
            <w:r w:rsidRPr="006C2377">
              <w:rPr>
                <w:rFonts w:ascii="Arial" w:hAnsi="Arial" w:cs="Arial"/>
                <w:b/>
                <w:iCs/>
                <w:color w:val="000000"/>
              </w:rPr>
              <w:t>Analysis</w:t>
            </w:r>
          </w:p>
          <w:p w:rsidR="006C2377" w:rsidRPr="00113117" w:rsidRDefault="006A52FF" w:rsidP="006C2377">
            <w:pPr>
              <w:tabs>
                <w:tab w:val="left" w:pos="360"/>
              </w:tabs>
              <w:spacing w:after="240"/>
              <w:ind w:right="386"/>
              <w:rPr>
                <w:rFonts w:ascii="Arial" w:hAnsi="Arial" w:cs="Arial"/>
              </w:rPr>
            </w:pPr>
            <w:r w:rsidRPr="006C2377">
              <w:rPr>
                <w:rFonts w:ascii="Arial" w:hAnsi="Arial" w:cs="Arial"/>
              </w:rPr>
              <w:t>Overall bed occupancy in the ele</w:t>
            </w:r>
            <w:r w:rsidR="006C2377" w:rsidRPr="006C2377">
              <w:rPr>
                <w:rFonts w:ascii="Arial" w:hAnsi="Arial" w:cs="Arial"/>
              </w:rPr>
              <w:t>ctive acute wards increased by 1.9</w:t>
            </w:r>
            <w:r w:rsidRPr="006C2377">
              <w:rPr>
                <w:rFonts w:ascii="Arial" w:hAnsi="Arial" w:cs="Arial"/>
              </w:rPr>
              <w:t xml:space="preserve">% in </w:t>
            </w:r>
            <w:r w:rsidR="006C2377" w:rsidRPr="006C2377">
              <w:rPr>
                <w:rFonts w:ascii="Arial" w:hAnsi="Arial" w:cs="Arial"/>
              </w:rPr>
              <w:t>March</w:t>
            </w:r>
            <w:r w:rsidRPr="006C2377">
              <w:rPr>
                <w:rFonts w:ascii="Arial" w:hAnsi="Arial" w:cs="Arial"/>
              </w:rPr>
              <w:t xml:space="preserve"> compared to </w:t>
            </w:r>
            <w:r w:rsidR="006C2377" w:rsidRPr="006C2377">
              <w:rPr>
                <w:rFonts w:ascii="Arial" w:hAnsi="Arial" w:cs="Arial"/>
              </w:rPr>
              <w:t>February</w:t>
            </w:r>
            <w:r w:rsidRPr="006C2377">
              <w:rPr>
                <w:rFonts w:ascii="Arial" w:hAnsi="Arial" w:cs="Arial"/>
              </w:rPr>
              <w:t xml:space="preserve">. </w:t>
            </w:r>
            <w:r w:rsidR="006C2377" w:rsidRPr="00113117">
              <w:rPr>
                <w:rFonts w:ascii="Arial" w:hAnsi="Arial" w:cs="Arial"/>
              </w:rPr>
              <w:t xml:space="preserve">Wards 2 East, 2 West and the National Services ward all reported decreases in occupancy. Ward 3 East reported a small increase </w:t>
            </w:r>
            <w:r w:rsidR="006C2377">
              <w:rPr>
                <w:rFonts w:ascii="Arial" w:hAnsi="Arial" w:cs="Arial"/>
              </w:rPr>
              <w:t>whilst Ward 3 West recorded</w:t>
            </w:r>
            <w:r w:rsidR="006C2377" w:rsidRPr="00113117">
              <w:rPr>
                <w:rFonts w:ascii="Arial" w:hAnsi="Arial" w:cs="Arial"/>
              </w:rPr>
              <w:t xml:space="preserve"> a 17.9% increase.</w:t>
            </w:r>
          </w:p>
          <w:p w:rsidR="006C2377" w:rsidRPr="00113117" w:rsidRDefault="006C2377" w:rsidP="006C2377">
            <w:pPr>
              <w:tabs>
                <w:tab w:val="left" w:pos="360"/>
              </w:tabs>
              <w:spacing w:after="240"/>
              <w:ind w:right="386"/>
              <w:rPr>
                <w:rFonts w:ascii="Arial" w:hAnsi="Arial" w:cs="Arial"/>
              </w:rPr>
            </w:pPr>
            <w:r>
              <w:rPr>
                <w:rFonts w:ascii="Arial" w:hAnsi="Arial" w:cs="Arial"/>
              </w:rPr>
              <w:t>Overall o</w:t>
            </w:r>
            <w:r w:rsidRPr="00113117">
              <w:rPr>
                <w:rFonts w:ascii="Arial" w:hAnsi="Arial" w:cs="Arial"/>
              </w:rPr>
              <w:t>ccupancy levels in the cardiology wards remained within the “green” target range for the fifth successive month during March. Wards 2C and 2D both reported occupancy levels above the target range. CC</w:t>
            </w:r>
            <w:r>
              <w:rPr>
                <w:rFonts w:ascii="Arial" w:hAnsi="Arial" w:cs="Arial"/>
              </w:rPr>
              <w:t>U</w:t>
            </w:r>
            <w:r w:rsidRPr="00113117">
              <w:rPr>
                <w:rFonts w:ascii="Arial" w:hAnsi="Arial" w:cs="Arial"/>
              </w:rPr>
              <w:t>’s occupancy levels decreased by over 8%</w:t>
            </w:r>
            <w:r w:rsidR="00970E45">
              <w:rPr>
                <w:rFonts w:ascii="Arial" w:hAnsi="Arial" w:cs="Arial"/>
              </w:rPr>
              <w:t xml:space="preserve"> </w:t>
            </w:r>
            <w:r w:rsidRPr="00113117">
              <w:rPr>
                <w:rFonts w:ascii="Arial" w:hAnsi="Arial" w:cs="Arial"/>
              </w:rPr>
              <w:t>for the second successive month</w:t>
            </w:r>
            <w:r>
              <w:rPr>
                <w:rFonts w:ascii="Arial" w:hAnsi="Arial" w:cs="Arial"/>
              </w:rPr>
              <w:t xml:space="preserve">. </w:t>
            </w:r>
          </w:p>
          <w:p w:rsidR="00B00054" w:rsidRPr="000C34A9" w:rsidRDefault="006C2377" w:rsidP="00970E45">
            <w:pPr>
              <w:tabs>
                <w:tab w:val="left" w:pos="360"/>
              </w:tabs>
              <w:spacing w:after="240"/>
              <w:ind w:right="386"/>
              <w:rPr>
                <w:rFonts w:ascii="Arial" w:hAnsi="Arial" w:cs="Arial"/>
                <w:highlight w:val="yellow"/>
              </w:rPr>
            </w:pPr>
            <w:r w:rsidRPr="00113117">
              <w:rPr>
                <w:rFonts w:ascii="Arial" w:hAnsi="Arial" w:cs="Arial"/>
              </w:rPr>
              <w:t>Bed occupancy within the critical care units increased by 2% during March compared to February. Both of the high dependency units reported substantial increases in occupancy. HDU2 reported an increase of over 10%</w:t>
            </w:r>
            <w:r w:rsidR="00970E45">
              <w:rPr>
                <w:rFonts w:ascii="Arial" w:hAnsi="Arial" w:cs="Arial"/>
              </w:rPr>
              <w:t>. T</w:t>
            </w:r>
            <w:r w:rsidRPr="00113117">
              <w:rPr>
                <w:rFonts w:ascii="Arial" w:hAnsi="Arial" w:cs="Arial"/>
              </w:rPr>
              <w:t>his was the third successive substantial increase in bed occupancy in the unit. HDU3 increased by almost 10% having also reported a large increase during February.</w:t>
            </w:r>
          </w:p>
        </w:tc>
      </w:tr>
      <w:tr w:rsidR="00942565" w:rsidRPr="006C2377" w:rsidTr="00942565">
        <w:tc>
          <w:tcPr>
            <w:tcW w:w="5000" w:type="pct"/>
            <w:gridSpan w:val="14"/>
          </w:tcPr>
          <w:p w:rsidR="00942565" w:rsidRPr="006C2377" w:rsidRDefault="00942565" w:rsidP="00942565">
            <w:pPr>
              <w:rPr>
                <w:rFonts w:ascii="Arial" w:hAnsi="Arial" w:cs="Arial"/>
                <w:b/>
                <w:bCs/>
                <w:lang w:eastAsia="en-GB"/>
              </w:rPr>
            </w:pPr>
            <w:r w:rsidRPr="006C2377">
              <w:rPr>
                <w:rFonts w:ascii="Arial" w:hAnsi="Arial" w:cs="Arial"/>
                <w:b/>
                <w:bCs/>
                <w:lang w:eastAsia="en-GB"/>
              </w:rPr>
              <w:lastRenderedPageBreak/>
              <w:t>Effective                                                                                                                    Board Performance update – June 2019</w:t>
            </w:r>
          </w:p>
        </w:tc>
      </w:tr>
      <w:tr w:rsidR="006C2377" w:rsidRPr="000C34A9" w:rsidTr="0094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blHeader/>
        </w:trPr>
        <w:tc>
          <w:tcPr>
            <w:tcW w:w="68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2377" w:rsidRPr="006C2377" w:rsidRDefault="006C2377" w:rsidP="00645B24">
            <w:pPr>
              <w:widowControl w:val="0"/>
              <w:autoSpaceDE w:val="0"/>
              <w:autoSpaceDN w:val="0"/>
              <w:adjustRightInd w:val="0"/>
              <w:rPr>
                <w:rFonts w:ascii="Arial" w:hAnsi="Arial" w:cs="Arial"/>
                <w:color w:val="000000"/>
                <w:lang w:eastAsia="en-GB"/>
              </w:rPr>
            </w:pPr>
            <w:r w:rsidRPr="006C2377">
              <w:rPr>
                <w:rFonts w:ascii="Arial" w:hAnsi="Arial" w:cs="Arial"/>
                <w:color w:val="000000"/>
                <w:lang w:eastAsia="en-GB"/>
              </w:rPr>
              <w:t>KPI</w:t>
            </w:r>
          </w:p>
        </w:tc>
        <w:tc>
          <w:tcPr>
            <w:tcW w:w="99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6C2377" w:rsidRPr="006C2377" w:rsidRDefault="006C2377" w:rsidP="00645B24">
            <w:pPr>
              <w:widowControl w:val="0"/>
              <w:autoSpaceDE w:val="0"/>
              <w:autoSpaceDN w:val="0"/>
              <w:adjustRightInd w:val="0"/>
              <w:rPr>
                <w:rFonts w:ascii="Arial" w:hAnsi="Arial" w:cs="Arial"/>
                <w:color w:val="000000"/>
                <w:lang w:eastAsia="en-GB"/>
              </w:rPr>
            </w:pPr>
            <w:r w:rsidRPr="006C2377">
              <w:rPr>
                <w:rFonts w:ascii="Arial" w:hAnsi="Arial" w:cs="Arial"/>
                <w:color w:val="000000"/>
                <w:lang w:eastAsia="en-GB"/>
              </w:rPr>
              <w:t>Details</w:t>
            </w:r>
          </w:p>
        </w:tc>
        <w:tc>
          <w:tcPr>
            <w:tcW w:w="761" w:type="pct"/>
            <w:tcBorders>
              <w:top w:val="single" w:sz="4" w:space="0" w:color="000000"/>
              <w:left w:val="single" w:sz="4" w:space="0" w:color="000000"/>
              <w:bottom w:val="single" w:sz="4" w:space="0" w:color="000000"/>
              <w:right w:val="single" w:sz="4" w:space="0" w:color="auto"/>
            </w:tcBorders>
            <w:shd w:val="clear" w:color="auto" w:fill="D9D9D9"/>
            <w:vAlign w:val="center"/>
          </w:tcPr>
          <w:p w:rsidR="006C2377" w:rsidRPr="006C2377" w:rsidRDefault="006C2377" w:rsidP="00645B24">
            <w:pPr>
              <w:jc w:val="center"/>
              <w:rPr>
                <w:rFonts w:ascii="Arial" w:hAnsi="Arial" w:cs="Arial"/>
              </w:rPr>
            </w:pPr>
            <w:r w:rsidRPr="006C2377">
              <w:rPr>
                <w:rFonts w:ascii="Arial" w:hAnsi="Arial" w:cs="Arial"/>
              </w:rPr>
              <w:t>Tolerance</w:t>
            </w:r>
          </w:p>
        </w:tc>
        <w:tc>
          <w:tcPr>
            <w:tcW w:w="500" w:type="pct"/>
            <w:gridSpan w:val="2"/>
            <w:tcBorders>
              <w:top w:val="single" w:sz="4" w:space="0" w:color="auto"/>
              <w:left w:val="single" w:sz="4" w:space="0" w:color="auto"/>
              <w:bottom w:val="single" w:sz="4" w:space="0" w:color="auto"/>
              <w:right w:val="single" w:sz="4" w:space="0" w:color="auto"/>
            </w:tcBorders>
            <w:shd w:val="clear" w:color="auto" w:fill="D9D9D9"/>
          </w:tcPr>
          <w:p w:rsidR="006C2377" w:rsidRPr="006C2377" w:rsidRDefault="006C2377" w:rsidP="006C2377">
            <w:pPr>
              <w:widowControl w:val="0"/>
              <w:autoSpaceDE w:val="0"/>
              <w:autoSpaceDN w:val="0"/>
              <w:adjustRightInd w:val="0"/>
              <w:jc w:val="center"/>
              <w:rPr>
                <w:rFonts w:ascii="Arial" w:hAnsi="Arial" w:cs="Arial"/>
                <w:color w:val="000000"/>
                <w:lang w:eastAsia="en-GB"/>
              </w:rPr>
            </w:pPr>
            <w:r w:rsidRPr="006C2377">
              <w:rPr>
                <w:rFonts w:ascii="Arial" w:hAnsi="Arial" w:cs="Arial"/>
                <w:color w:val="000000"/>
                <w:lang w:eastAsia="en-GB"/>
              </w:rPr>
              <w:t>Feb 2019</w:t>
            </w:r>
          </w:p>
        </w:tc>
        <w:tc>
          <w:tcPr>
            <w:tcW w:w="450" w:type="pct"/>
            <w:gridSpan w:val="2"/>
            <w:tcBorders>
              <w:top w:val="single" w:sz="4" w:space="0" w:color="auto"/>
              <w:left w:val="single" w:sz="4" w:space="0" w:color="auto"/>
              <w:bottom w:val="single" w:sz="4" w:space="0" w:color="auto"/>
              <w:right w:val="single" w:sz="4" w:space="0" w:color="auto"/>
            </w:tcBorders>
            <w:shd w:val="clear" w:color="auto" w:fill="D9D9D9"/>
          </w:tcPr>
          <w:p w:rsidR="006C2377" w:rsidRPr="006C2377" w:rsidRDefault="006C2377" w:rsidP="006C2377">
            <w:pPr>
              <w:widowControl w:val="0"/>
              <w:autoSpaceDE w:val="0"/>
              <w:autoSpaceDN w:val="0"/>
              <w:adjustRightInd w:val="0"/>
              <w:jc w:val="center"/>
              <w:rPr>
                <w:rFonts w:ascii="Arial" w:hAnsi="Arial" w:cs="Arial"/>
                <w:color w:val="000000"/>
                <w:lang w:eastAsia="en-GB"/>
              </w:rPr>
            </w:pPr>
            <w:r w:rsidRPr="006C2377">
              <w:rPr>
                <w:rFonts w:ascii="Arial" w:hAnsi="Arial" w:cs="Arial"/>
                <w:color w:val="000000"/>
                <w:lang w:eastAsia="en-GB"/>
              </w:rPr>
              <w:t>Mar 2019</w:t>
            </w:r>
          </w:p>
        </w:tc>
        <w:tc>
          <w:tcPr>
            <w:tcW w:w="499" w:type="pct"/>
            <w:gridSpan w:val="2"/>
            <w:tcBorders>
              <w:top w:val="single" w:sz="4" w:space="0" w:color="auto"/>
              <w:left w:val="single" w:sz="4" w:space="0" w:color="auto"/>
              <w:bottom w:val="single" w:sz="4" w:space="0" w:color="auto"/>
              <w:right w:val="single" w:sz="4" w:space="0" w:color="auto"/>
            </w:tcBorders>
            <w:shd w:val="clear" w:color="auto" w:fill="D9D9D9"/>
          </w:tcPr>
          <w:p w:rsidR="006C2377" w:rsidRPr="006C2377" w:rsidRDefault="006B7036" w:rsidP="00FB6C0A">
            <w:pPr>
              <w:widowControl w:val="0"/>
              <w:autoSpaceDE w:val="0"/>
              <w:autoSpaceDN w:val="0"/>
              <w:adjustRightInd w:val="0"/>
              <w:jc w:val="center"/>
              <w:rPr>
                <w:rFonts w:ascii="Arial" w:hAnsi="Arial" w:cs="Arial"/>
                <w:color w:val="000000"/>
                <w:lang w:eastAsia="en-GB"/>
              </w:rPr>
            </w:pPr>
            <w:r>
              <w:rPr>
                <w:rFonts w:ascii="Arial" w:hAnsi="Arial" w:cs="Arial"/>
                <w:color w:val="000000"/>
                <w:lang w:eastAsia="en-GB"/>
              </w:rPr>
              <w:t>Apr</w:t>
            </w:r>
            <w:r w:rsidR="006C2377" w:rsidRPr="006C2377">
              <w:rPr>
                <w:rFonts w:ascii="Arial" w:hAnsi="Arial" w:cs="Arial"/>
                <w:color w:val="000000"/>
                <w:lang w:eastAsia="en-GB"/>
              </w:rPr>
              <w:t xml:space="preserve"> 2019</w:t>
            </w:r>
          </w:p>
        </w:tc>
        <w:tc>
          <w:tcPr>
            <w:tcW w:w="650" w:type="pct"/>
            <w:gridSpan w:val="3"/>
            <w:tcBorders>
              <w:top w:val="single" w:sz="4" w:space="0" w:color="000000"/>
              <w:left w:val="single" w:sz="4" w:space="0" w:color="auto"/>
              <w:bottom w:val="single" w:sz="4" w:space="0" w:color="000000"/>
              <w:right w:val="single" w:sz="4" w:space="0" w:color="000000"/>
            </w:tcBorders>
            <w:shd w:val="clear" w:color="auto" w:fill="D9D9D9"/>
            <w:vAlign w:val="center"/>
          </w:tcPr>
          <w:p w:rsidR="006C2377" w:rsidRPr="006C2377" w:rsidRDefault="006C2377" w:rsidP="00645B24">
            <w:pPr>
              <w:widowControl w:val="0"/>
              <w:autoSpaceDE w:val="0"/>
              <w:autoSpaceDN w:val="0"/>
              <w:adjustRightInd w:val="0"/>
              <w:jc w:val="center"/>
              <w:rPr>
                <w:rFonts w:ascii="Arial" w:hAnsi="Arial" w:cs="Arial"/>
                <w:color w:val="000000"/>
                <w:lang w:eastAsia="en-GB"/>
              </w:rPr>
            </w:pPr>
            <w:r w:rsidRPr="006C2377">
              <w:rPr>
                <w:rFonts w:ascii="Arial" w:hAnsi="Arial" w:cs="Arial"/>
                <w:color w:val="000000"/>
                <w:lang w:eastAsia="en-GB"/>
              </w:rPr>
              <w:t>Target</w:t>
            </w:r>
          </w:p>
        </w:tc>
        <w:tc>
          <w:tcPr>
            <w:tcW w:w="46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6C2377" w:rsidRPr="006C2377" w:rsidRDefault="006C2377" w:rsidP="00645B24">
            <w:pPr>
              <w:widowControl w:val="0"/>
              <w:autoSpaceDE w:val="0"/>
              <w:autoSpaceDN w:val="0"/>
              <w:adjustRightInd w:val="0"/>
              <w:jc w:val="center"/>
              <w:rPr>
                <w:rFonts w:ascii="Arial" w:hAnsi="Arial" w:cs="Arial"/>
                <w:lang w:eastAsia="en-GB"/>
              </w:rPr>
            </w:pPr>
            <w:r w:rsidRPr="006C2377">
              <w:rPr>
                <w:rFonts w:ascii="Arial" w:hAnsi="Arial" w:cs="Arial"/>
                <w:lang w:eastAsia="en-GB"/>
              </w:rPr>
              <w:t>On Track</w:t>
            </w:r>
          </w:p>
        </w:tc>
      </w:tr>
      <w:tr w:rsidR="006B7036" w:rsidRPr="000C34A9" w:rsidTr="0094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684" w:type="pct"/>
            <w:gridSpan w:val="2"/>
            <w:tcBorders>
              <w:top w:val="single" w:sz="4" w:space="0" w:color="000000"/>
              <w:left w:val="single" w:sz="4" w:space="0" w:color="000000"/>
              <w:bottom w:val="single" w:sz="4" w:space="0" w:color="000000"/>
              <w:right w:val="single" w:sz="4" w:space="0" w:color="000000"/>
            </w:tcBorders>
          </w:tcPr>
          <w:p w:rsidR="006B7036" w:rsidRPr="006B7036" w:rsidRDefault="006B7036" w:rsidP="006B7036">
            <w:pPr>
              <w:widowControl w:val="0"/>
              <w:autoSpaceDE w:val="0"/>
              <w:autoSpaceDN w:val="0"/>
              <w:adjustRightInd w:val="0"/>
              <w:rPr>
                <w:rFonts w:ascii="Arial" w:hAnsi="Arial" w:cs="Arial"/>
                <w:color w:val="000000"/>
                <w:lang w:eastAsia="en-GB"/>
              </w:rPr>
            </w:pPr>
            <w:r w:rsidRPr="006B7036">
              <w:rPr>
                <w:rFonts w:ascii="Arial" w:hAnsi="Arial" w:cs="Arial"/>
                <w:color w:val="000000"/>
                <w:lang w:eastAsia="en-GB"/>
              </w:rPr>
              <w:t>Ophthalmology Cancellation Rate</w:t>
            </w:r>
          </w:p>
        </w:tc>
        <w:tc>
          <w:tcPr>
            <w:tcW w:w="994" w:type="pct"/>
            <w:tcBorders>
              <w:top w:val="single" w:sz="4" w:space="0" w:color="000000"/>
              <w:left w:val="single" w:sz="4" w:space="0" w:color="000000"/>
              <w:bottom w:val="single" w:sz="4" w:space="0" w:color="000000"/>
              <w:right w:val="single" w:sz="4" w:space="0" w:color="000000"/>
            </w:tcBorders>
          </w:tcPr>
          <w:p w:rsidR="006B7036" w:rsidRPr="006B7036" w:rsidRDefault="006B7036" w:rsidP="006B7036">
            <w:pPr>
              <w:rPr>
                <w:rFonts w:ascii="Arial" w:hAnsi="Arial" w:cs="Arial"/>
              </w:rPr>
            </w:pPr>
            <w:r w:rsidRPr="006B7036">
              <w:rPr>
                <w:rFonts w:ascii="Arial" w:hAnsi="Arial" w:cs="Arial"/>
                <w:color w:val="000000"/>
                <w:lang w:eastAsia="en-GB"/>
              </w:rPr>
              <w:t>Percentage of Ophthalmology patients cancelled on day of procedure</w:t>
            </w:r>
          </w:p>
        </w:tc>
        <w:tc>
          <w:tcPr>
            <w:tcW w:w="761" w:type="pct"/>
            <w:tcBorders>
              <w:top w:val="single" w:sz="4" w:space="0" w:color="000000"/>
              <w:left w:val="single" w:sz="4" w:space="0" w:color="000000"/>
              <w:bottom w:val="single" w:sz="4" w:space="0" w:color="000000"/>
              <w:right w:val="single" w:sz="4" w:space="0" w:color="auto"/>
            </w:tcBorders>
            <w:vAlign w:val="center"/>
          </w:tcPr>
          <w:p w:rsidR="006B7036" w:rsidRPr="006B7036" w:rsidRDefault="006B7036" w:rsidP="006B7036">
            <w:pPr>
              <w:widowControl w:val="0"/>
              <w:autoSpaceDE w:val="0"/>
              <w:autoSpaceDN w:val="0"/>
              <w:adjustRightInd w:val="0"/>
              <w:ind w:left="-107" w:right="-108"/>
              <w:jc w:val="center"/>
              <w:rPr>
                <w:rFonts w:ascii="Arial" w:hAnsi="Arial" w:cs="Arial"/>
              </w:rPr>
            </w:pPr>
            <w:r w:rsidRPr="006B7036">
              <w:rPr>
                <w:rFonts w:ascii="Arial" w:hAnsi="Arial" w:cs="Arial"/>
              </w:rPr>
              <w:t>Achieved = G</w:t>
            </w:r>
          </w:p>
          <w:p w:rsidR="006B7036" w:rsidRPr="006B7036" w:rsidRDefault="006B7036" w:rsidP="006B7036">
            <w:pPr>
              <w:widowControl w:val="0"/>
              <w:autoSpaceDE w:val="0"/>
              <w:autoSpaceDN w:val="0"/>
              <w:adjustRightInd w:val="0"/>
              <w:ind w:left="-107" w:right="-108"/>
              <w:jc w:val="center"/>
              <w:rPr>
                <w:rFonts w:ascii="Arial" w:hAnsi="Arial" w:cs="Arial"/>
              </w:rPr>
            </w:pPr>
            <w:r w:rsidRPr="006B7036">
              <w:rPr>
                <w:rFonts w:ascii="Arial" w:hAnsi="Arial" w:cs="Arial"/>
              </w:rPr>
              <w:t>Not Achieved = R</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B7036">
            <w:pPr>
              <w:widowControl w:val="0"/>
              <w:autoSpaceDE w:val="0"/>
              <w:autoSpaceDN w:val="0"/>
              <w:adjustRightInd w:val="0"/>
              <w:jc w:val="center"/>
              <w:rPr>
                <w:rFonts w:ascii="Arial" w:hAnsi="Arial" w:cs="Arial"/>
              </w:rPr>
            </w:pPr>
            <w:r w:rsidRPr="006B7036">
              <w:rPr>
                <w:rFonts w:ascii="Arial" w:hAnsi="Arial" w:cs="Arial"/>
              </w:rPr>
              <w:t>3.1%</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B7036">
            <w:pPr>
              <w:widowControl w:val="0"/>
              <w:autoSpaceDE w:val="0"/>
              <w:autoSpaceDN w:val="0"/>
              <w:adjustRightInd w:val="0"/>
              <w:jc w:val="center"/>
              <w:rPr>
                <w:rFonts w:ascii="Arial" w:hAnsi="Arial" w:cs="Arial"/>
              </w:rPr>
            </w:pPr>
            <w:r w:rsidRPr="006B7036">
              <w:rPr>
                <w:rFonts w:ascii="Arial" w:hAnsi="Arial" w:cs="Arial"/>
              </w:rPr>
              <w:t>3.5%</w:t>
            </w: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B7036">
            <w:pPr>
              <w:widowControl w:val="0"/>
              <w:autoSpaceDE w:val="0"/>
              <w:autoSpaceDN w:val="0"/>
              <w:adjustRightInd w:val="0"/>
              <w:jc w:val="center"/>
              <w:rPr>
                <w:rFonts w:ascii="Arial" w:hAnsi="Arial" w:cs="Arial"/>
              </w:rPr>
            </w:pPr>
            <w:r w:rsidRPr="006B7036">
              <w:rPr>
                <w:rFonts w:ascii="Arial" w:hAnsi="Arial" w:cs="Arial"/>
              </w:rPr>
              <w:t>2.2%</w:t>
            </w:r>
          </w:p>
        </w:tc>
        <w:tc>
          <w:tcPr>
            <w:tcW w:w="650" w:type="pct"/>
            <w:gridSpan w:val="3"/>
            <w:tcBorders>
              <w:top w:val="single" w:sz="4" w:space="0" w:color="000000"/>
              <w:left w:val="single" w:sz="4" w:space="0" w:color="auto"/>
              <w:bottom w:val="single" w:sz="4" w:space="0" w:color="000000"/>
              <w:right w:val="single" w:sz="4" w:space="0" w:color="000000"/>
            </w:tcBorders>
            <w:vAlign w:val="center"/>
          </w:tcPr>
          <w:p w:rsidR="006B7036" w:rsidRPr="006B7036" w:rsidRDefault="006B7036" w:rsidP="006B7036">
            <w:pPr>
              <w:widowControl w:val="0"/>
              <w:autoSpaceDE w:val="0"/>
              <w:autoSpaceDN w:val="0"/>
              <w:adjustRightInd w:val="0"/>
              <w:ind w:left="-107" w:right="-108"/>
              <w:jc w:val="center"/>
              <w:rPr>
                <w:rFonts w:ascii="Arial" w:hAnsi="Arial" w:cs="Arial"/>
              </w:rPr>
            </w:pPr>
            <w:r w:rsidRPr="006B7036">
              <w:rPr>
                <w:rFonts w:ascii="Arial" w:hAnsi="Arial" w:cs="Arial"/>
              </w:rPr>
              <w:t>Monthly 3% cancellation rate</w:t>
            </w:r>
          </w:p>
        </w:tc>
        <w:tc>
          <w:tcPr>
            <w:tcW w:w="46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6B7036" w:rsidRPr="006B7036" w:rsidRDefault="006B7036" w:rsidP="006B7036">
            <w:pPr>
              <w:widowControl w:val="0"/>
              <w:autoSpaceDE w:val="0"/>
              <w:autoSpaceDN w:val="0"/>
              <w:adjustRightInd w:val="0"/>
              <w:jc w:val="center"/>
              <w:rPr>
                <w:rFonts w:ascii="Arial" w:hAnsi="Arial" w:cs="Arial"/>
                <w:color w:val="000000"/>
                <w:lang w:eastAsia="en-GB"/>
              </w:rPr>
            </w:pPr>
            <w:r w:rsidRPr="006B7036">
              <w:rPr>
                <w:rFonts w:ascii="Arial" w:hAnsi="Arial" w:cs="Arial"/>
                <w:color w:val="000000"/>
                <w:lang w:eastAsia="en-GB"/>
              </w:rPr>
              <w:sym w:font="Wingdings" w:char="F0F1"/>
            </w:r>
          </w:p>
        </w:tc>
      </w:tr>
      <w:tr w:rsidR="006B7036" w:rsidRPr="000C34A9" w:rsidTr="0094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684" w:type="pct"/>
            <w:gridSpan w:val="2"/>
            <w:tcBorders>
              <w:top w:val="single" w:sz="4" w:space="0" w:color="000000"/>
              <w:left w:val="single" w:sz="4" w:space="0" w:color="000000"/>
              <w:bottom w:val="single" w:sz="4" w:space="0" w:color="000000"/>
              <w:right w:val="single" w:sz="4" w:space="0" w:color="000000"/>
            </w:tcBorders>
          </w:tcPr>
          <w:p w:rsidR="006B7036" w:rsidRPr="006B7036" w:rsidRDefault="006B7036" w:rsidP="006B7036">
            <w:pPr>
              <w:widowControl w:val="0"/>
              <w:autoSpaceDE w:val="0"/>
              <w:autoSpaceDN w:val="0"/>
              <w:adjustRightInd w:val="0"/>
              <w:rPr>
                <w:rFonts w:ascii="Arial" w:hAnsi="Arial" w:cs="Arial"/>
                <w:color w:val="000000"/>
                <w:lang w:eastAsia="en-GB"/>
              </w:rPr>
            </w:pPr>
            <w:r w:rsidRPr="006B7036">
              <w:rPr>
                <w:rFonts w:ascii="Arial" w:hAnsi="Arial" w:cs="Arial"/>
                <w:color w:val="000000"/>
                <w:lang w:eastAsia="en-GB"/>
              </w:rPr>
              <w:t>Plastic Surgery Cancellation Rate</w:t>
            </w:r>
          </w:p>
        </w:tc>
        <w:tc>
          <w:tcPr>
            <w:tcW w:w="994" w:type="pct"/>
            <w:tcBorders>
              <w:top w:val="single" w:sz="4" w:space="0" w:color="000000"/>
              <w:left w:val="single" w:sz="4" w:space="0" w:color="000000"/>
              <w:bottom w:val="single" w:sz="4" w:space="0" w:color="000000"/>
              <w:right w:val="single" w:sz="4" w:space="0" w:color="000000"/>
            </w:tcBorders>
          </w:tcPr>
          <w:p w:rsidR="006B7036" w:rsidRPr="006B7036" w:rsidRDefault="006B7036" w:rsidP="006B7036">
            <w:pPr>
              <w:rPr>
                <w:rFonts w:ascii="Arial" w:hAnsi="Arial" w:cs="Arial"/>
              </w:rPr>
            </w:pPr>
            <w:r w:rsidRPr="006B7036">
              <w:rPr>
                <w:rFonts w:ascii="Arial" w:hAnsi="Arial" w:cs="Arial"/>
                <w:color w:val="000000"/>
                <w:lang w:eastAsia="en-GB"/>
              </w:rPr>
              <w:t>Percentage of Plastic Surgery patients cancelled on day of procedure</w:t>
            </w:r>
          </w:p>
        </w:tc>
        <w:tc>
          <w:tcPr>
            <w:tcW w:w="761" w:type="pct"/>
            <w:tcBorders>
              <w:top w:val="single" w:sz="4" w:space="0" w:color="000000"/>
              <w:left w:val="single" w:sz="4" w:space="0" w:color="000000"/>
              <w:bottom w:val="single" w:sz="4" w:space="0" w:color="000000"/>
              <w:right w:val="single" w:sz="4" w:space="0" w:color="auto"/>
            </w:tcBorders>
            <w:vAlign w:val="center"/>
          </w:tcPr>
          <w:p w:rsidR="006B7036" w:rsidRPr="006B7036" w:rsidRDefault="006B7036" w:rsidP="006B7036">
            <w:pPr>
              <w:widowControl w:val="0"/>
              <w:autoSpaceDE w:val="0"/>
              <w:autoSpaceDN w:val="0"/>
              <w:adjustRightInd w:val="0"/>
              <w:ind w:left="-107" w:right="-108"/>
              <w:jc w:val="center"/>
              <w:rPr>
                <w:rFonts w:ascii="Arial" w:hAnsi="Arial" w:cs="Arial"/>
              </w:rPr>
            </w:pPr>
            <w:r w:rsidRPr="006B7036">
              <w:rPr>
                <w:rFonts w:ascii="Arial" w:hAnsi="Arial" w:cs="Arial"/>
              </w:rPr>
              <w:t>Achieved = G</w:t>
            </w:r>
          </w:p>
          <w:p w:rsidR="006B7036" w:rsidRPr="006B7036" w:rsidRDefault="006B7036" w:rsidP="006B7036">
            <w:pPr>
              <w:widowControl w:val="0"/>
              <w:autoSpaceDE w:val="0"/>
              <w:autoSpaceDN w:val="0"/>
              <w:adjustRightInd w:val="0"/>
              <w:ind w:left="-107" w:right="-108"/>
              <w:jc w:val="center"/>
              <w:rPr>
                <w:rFonts w:ascii="Arial" w:hAnsi="Arial" w:cs="Arial"/>
              </w:rPr>
            </w:pPr>
            <w:r w:rsidRPr="006B7036">
              <w:rPr>
                <w:rFonts w:ascii="Arial" w:hAnsi="Arial" w:cs="Arial"/>
              </w:rPr>
              <w:t>Not Achieved = R</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B7036">
            <w:pPr>
              <w:widowControl w:val="0"/>
              <w:autoSpaceDE w:val="0"/>
              <w:autoSpaceDN w:val="0"/>
              <w:adjustRightInd w:val="0"/>
              <w:jc w:val="center"/>
              <w:rPr>
                <w:rFonts w:ascii="Arial" w:hAnsi="Arial" w:cs="Arial"/>
              </w:rPr>
            </w:pPr>
            <w:r w:rsidRPr="006B7036">
              <w:rPr>
                <w:rFonts w:ascii="Arial" w:hAnsi="Arial" w:cs="Arial"/>
              </w:rPr>
              <w:t>4.6%</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B7036">
            <w:pPr>
              <w:widowControl w:val="0"/>
              <w:autoSpaceDE w:val="0"/>
              <w:autoSpaceDN w:val="0"/>
              <w:adjustRightInd w:val="0"/>
              <w:jc w:val="center"/>
              <w:rPr>
                <w:rFonts w:ascii="Arial" w:hAnsi="Arial" w:cs="Arial"/>
              </w:rPr>
            </w:pPr>
            <w:r w:rsidRPr="006B7036">
              <w:rPr>
                <w:rFonts w:ascii="Arial" w:hAnsi="Arial" w:cs="Arial"/>
              </w:rPr>
              <w:t>4.2%</w:t>
            </w: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B7036">
            <w:pPr>
              <w:widowControl w:val="0"/>
              <w:autoSpaceDE w:val="0"/>
              <w:autoSpaceDN w:val="0"/>
              <w:adjustRightInd w:val="0"/>
              <w:jc w:val="center"/>
              <w:rPr>
                <w:rFonts w:ascii="Arial" w:hAnsi="Arial" w:cs="Arial"/>
              </w:rPr>
            </w:pPr>
            <w:r w:rsidRPr="006B7036">
              <w:rPr>
                <w:rFonts w:ascii="Arial" w:hAnsi="Arial" w:cs="Arial"/>
              </w:rPr>
              <w:t>0.0%</w:t>
            </w:r>
          </w:p>
        </w:tc>
        <w:tc>
          <w:tcPr>
            <w:tcW w:w="650" w:type="pct"/>
            <w:gridSpan w:val="3"/>
            <w:tcBorders>
              <w:top w:val="single" w:sz="4" w:space="0" w:color="000000"/>
              <w:left w:val="single" w:sz="4" w:space="0" w:color="auto"/>
              <w:bottom w:val="single" w:sz="4" w:space="0" w:color="000000"/>
              <w:right w:val="single" w:sz="4" w:space="0" w:color="000000"/>
            </w:tcBorders>
            <w:vAlign w:val="center"/>
          </w:tcPr>
          <w:p w:rsidR="006B7036" w:rsidRPr="006B7036" w:rsidRDefault="00740D30" w:rsidP="006B7036">
            <w:pPr>
              <w:widowControl w:val="0"/>
              <w:autoSpaceDE w:val="0"/>
              <w:autoSpaceDN w:val="0"/>
              <w:adjustRightInd w:val="0"/>
              <w:ind w:left="-107" w:right="-108"/>
              <w:jc w:val="center"/>
              <w:rPr>
                <w:rFonts w:ascii="Arial" w:hAnsi="Arial" w:cs="Arial"/>
              </w:rPr>
            </w:pPr>
            <w:r w:rsidRPr="006B7036">
              <w:rPr>
                <w:rFonts w:ascii="Arial" w:hAnsi="Arial" w:cs="Arial"/>
              </w:rPr>
              <w:t>Monthly 3% cancellation rate</w:t>
            </w:r>
          </w:p>
        </w:tc>
        <w:tc>
          <w:tcPr>
            <w:tcW w:w="462" w:type="pct"/>
            <w:tcBorders>
              <w:top w:val="single" w:sz="4" w:space="0" w:color="000000"/>
              <w:left w:val="single" w:sz="4" w:space="0" w:color="000000"/>
              <w:bottom w:val="single" w:sz="4" w:space="0" w:color="000000"/>
              <w:right w:val="single" w:sz="4" w:space="0" w:color="000000"/>
            </w:tcBorders>
            <w:shd w:val="clear" w:color="auto" w:fill="00B050"/>
            <w:vAlign w:val="center"/>
          </w:tcPr>
          <w:p w:rsidR="006B7036" w:rsidRPr="006B7036" w:rsidRDefault="006B7036" w:rsidP="006B7036">
            <w:pPr>
              <w:widowControl w:val="0"/>
              <w:autoSpaceDE w:val="0"/>
              <w:autoSpaceDN w:val="0"/>
              <w:adjustRightInd w:val="0"/>
              <w:jc w:val="center"/>
              <w:rPr>
                <w:rFonts w:ascii="Arial" w:hAnsi="Arial" w:cs="Arial"/>
                <w:color w:val="000000"/>
                <w:lang w:eastAsia="en-GB"/>
              </w:rPr>
            </w:pPr>
            <w:r w:rsidRPr="006B7036">
              <w:rPr>
                <w:rFonts w:ascii="Arial" w:hAnsi="Arial" w:cs="Arial"/>
                <w:color w:val="000000"/>
                <w:lang w:eastAsia="en-GB"/>
              </w:rPr>
              <w:sym w:font="Wingdings" w:char="F0F1"/>
            </w:r>
          </w:p>
        </w:tc>
      </w:tr>
      <w:tr w:rsidR="006B7036" w:rsidRPr="000C34A9" w:rsidTr="0094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684" w:type="pct"/>
            <w:gridSpan w:val="2"/>
            <w:tcBorders>
              <w:top w:val="single" w:sz="4" w:space="0" w:color="000000"/>
              <w:left w:val="single" w:sz="4" w:space="0" w:color="000000"/>
              <w:bottom w:val="single" w:sz="4" w:space="0" w:color="000000"/>
              <w:right w:val="single" w:sz="4" w:space="0" w:color="000000"/>
            </w:tcBorders>
          </w:tcPr>
          <w:p w:rsidR="006B7036" w:rsidRPr="006B7036" w:rsidRDefault="006B7036" w:rsidP="004E72E6">
            <w:pPr>
              <w:widowControl w:val="0"/>
              <w:autoSpaceDE w:val="0"/>
              <w:autoSpaceDN w:val="0"/>
              <w:adjustRightInd w:val="0"/>
              <w:rPr>
                <w:rFonts w:ascii="Arial" w:hAnsi="Arial" w:cs="Arial"/>
                <w:color w:val="000000"/>
                <w:lang w:eastAsia="en-GB"/>
              </w:rPr>
            </w:pPr>
            <w:r w:rsidRPr="006B7036">
              <w:rPr>
                <w:rFonts w:ascii="Arial" w:hAnsi="Arial" w:cs="Arial"/>
                <w:color w:val="000000"/>
                <w:lang w:eastAsia="en-GB"/>
              </w:rPr>
              <w:t>Cardiac Surgery Cancellation Rate</w:t>
            </w:r>
          </w:p>
        </w:tc>
        <w:tc>
          <w:tcPr>
            <w:tcW w:w="994" w:type="pct"/>
            <w:tcBorders>
              <w:top w:val="single" w:sz="4" w:space="0" w:color="000000"/>
              <w:left w:val="single" w:sz="4" w:space="0" w:color="000000"/>
              <w:bottom w:val="single" w:sz="4" w:space="0" w:color="000000"/>
              <w:right w:val="single" w:sz="4" w:space="0" w:color="000000"/>
            </w:tcBorders>
          </w:tcPr>
          <w:p w:rsidR="006B7036" w:rsidRPr="006B7036" w:rsidRDefault="006B7036" w:rsidP="004E72E6">
            <w:pPr>
              <w:widowControl w:val="0"/>
              <w:autoSpaceDE w:val="0"/>
              <w:autoSpaceDN w:val="0"/>
              <w:adjustRightInd w:val="0"/>
              <w:rPr>
                <w:rFonts w:ascii="Arial" w:hAnsi="Arial" w:cs="Arial"/>
                <w:color w:val="000000"/>
                <w:lang w:eastAsia="en-GB"/>
              </w:rPr>
            </w:pPr>
            <w:r w:rsidRPr="006B7036">
              <w:rPr>
                <w:rFonts w:ascii="Arial" w:hAnsi="Arial" w:cs="Arial"/>
                <w:color w:val="000000"/>
                <w:lang w:eastAsia="en-GB"/>
              </w:rPr>
              <w:t>Percentage of Cardiac Surgery patients cancelled on day of procedure</w:t>
            </w:r>
          </w:p>
        </w:tc>
        <w:tc>
          <w:tcPr>
            <w:tcW w:w="761" w:type="pct"/>
            <w:tcBorders>
              <w:top w:val="single" w:sz="4" w:space="0" w:color="000000"/>
              <w:left w:val="single" w:sz="4" w:space="0" w:color="000000"/>
              <w:bottom w:val="single" w:sz="4" w:space="0" w:color="000000"/>
              <w:right w:val="single" w:sz="4" w:space="0" w:color="auto"/>
            </w:tcBorders>
          </w:tcPr>
          <w:p w:rsidR="006B7036" w:rsidRPr="006B7036" w:rsidRDefault="006B7036" w:rsidP="004E72E6">
            <w:pPr>
              <w:widowControl w:val="0"/>
              <w:autoSpaceDE w:val="0"/>
              <w:autoSpaceDN w:val="0"/>
              <w:adjustRightInd w:val="0"/>
              <w:ind w:left="-107" w:right="-108"/>
              <w:jc w:val="center"/>
              <w:rPr>
                <w:rFonts w:ascii="Arial" w:hAnsi="Arial" w:cs="Arial"/>
              </w:rPr>
            </w:pPr>
            <w:r w:rsidRPr="006B7036">
              <w:rPr>
                <w:rFonts w:ascii="Arial" w:hAnsi="Arial" w:cs="Arial"/>
              </w:rPr>
              <w:t>Achieved = G</w:t>
            </w:r>
          </w:p>
          <w:p w:rsidR="006B7036" w:rsidRPr="006B7036" w:rsidRDefault="006B7036" w:rsidP="004E72E6">
            <w:pPr>
              <w:widowControl w:val="0"/>
              <w:autoSpaceDE w:val="0"/>
              <w:autoSpaceDN w:val="0"/>
              <w:adjustRightInd w:val="0"/>
              <w:ind w:left="-107" w:right="-108"/>
              <w:jc w:val="center"/>
              <w:rPr>
                <w:rFonts w:ascii="Arial" w:hAnsi="Arial" w:cs="Arial"/>
              </w:rPr>
            </w:pPr>
            <w:r w:rsidRPr="006B7036">
              <w:rPr>
                <w:rFonts w:ascii="Arial" w:hAnsi="Arial" w:cs="Arial"/>
              </w:rPr>
              <w:t>Not Achieved = R</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C2377">
            <w:pPr>
              <w:widowControl w:val="0"/>
              <w:autoSpaceDE w:val="0"/>
              <w:autoSpaceDN w:val="0"/>
              <w:adjustRightInd w:val="0"/>
              <w:jc w:val="center"/>
              <w:rPr>
                <w:rFonts w:ascii="Arial" w:hAnsi="Arial" w:cs="Arial"/>
                <w:color w:val="000000"/>
                <w:lang w:eastAsia="en-GB"/>
              </w:rPr>
            </w:pPr>
            <w:r w:rsidRPr="006B7036">
              <w:rPr>
                <w:rFonts w:ascii="Arial" w:hAnsi="Arial" w:cs="Arial"/>
                <w:color w:val="000000"/>
                <w:lang w:eastAsia="en-GB"/>
              </w:rPr>
              <w:t>18.9%</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C2377">
            <w:pPr>
              <w:widowControl w:val="0"/>
              <w:autoSpaceDE w:val="0"/>
              <w:autoSpaceDN w:val="0"/>
              <w:adjustRightInd w:val="0"/>
              <w:jc w:val="center"/>
              <w:rPr>
                <w:rFonts w:ascii="Arial" w:hAnsi="Arial" w:cs="Arial"/>
                <w:color w:val="000000"/>
                <w:lang w:eastAsia="en-GB"/>
              </w:rPr>
            </w:pPr>
            <w:r w:rsidRPr="006B7036">
              <w:rPr>
                <w:rFonts w:ascii="Arial" w:hAnsi="Arial" w:cs="Arial"/>
                <w:color w:val="000000"/>
                <w:lang w:eastAsia="en-GB"/>
              </w:rPr>
              <w:t>10.8%</w:t>
            </w: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4E72E6">
            <w:pPr>
              <w:widowControl w:val="0"/>
              <w:autoSpaceDE w:val="0"/>
              <w:autoSpaceDN w:val="0"/>
              <w:adjustRightInd w:val="0"/>
              <w:jc w:val="center"/>
              <w:rPr>
                <w:rFonts w:ascii="Arial" w:hAnsi="Arial" w:cs="Arial"/>
                <w:color w:val="000000"/>
                <w:lang w:eastAsia="en-GB"/>
              </w:rPr>
            </w:pPr>
            <w:r w:rsidRPr="006B7036">
              <w:rPr>
                <w:rFonts w:ascii="Arial" w:hAnsi="Arial" w:cs="Arial"/>
                <w:color w:val="000000"/>
                <w:lang w:eastAsia="en-GB"/>
              </w:rPr>
              <w:t>11.3%</w:t>
            </w:r>
          </w:p>
        </w:tc>
        <w:tc>
          <w:tcPr>
            <w:tcW w:w="650" w:type="pct"/>
            <w:gridSpan w:val="3"/>
            <w:tcBorders>
              <w:top w:val="single" w:sz="4" w:space="0" w:color="000000"/>
              <w:left w:val="single" w:sz="4" w:space="0" w:color="auto"/>
              <w:bottom w:val="single" w:sz="4" w:space="0" w:color="000000"/>
              <w:right w:val="single" w:sz="4" w:space="0" w:color="000000"/>
            </w:tcBorders>
            <w:vAlign w:val="center"/>
          </w:tcPr>
          <w:p w:rsidR="006B7036" w:rsidRPr="006B7036" w:rsidRDefault="006B7036" w:rsidP="00740D30">
            <w:pPr>
              <w:widowControl w:val="0"/>
              <w:autoSpaceDE w:val="0"/>
              <w:autoSpaceDN w:val="0"/>
              <w:adjustRightInd w:val="0"/>
              <w:ind w:left="-109" w:right="-108"/>
              <w:jc w:val="center"/>
              <w:rPr>
                <w:rFonts w:ascii="Arial" w:hAnsi="Arial" w:cs="Arial"/>
              </w:rPr>
            </w:pPr>
            <w:r w:rsidRPr="006B7036">
              <w:rPr>
                <w:rFonts w:ascii="Arial" w:hAnsi="Arial" w:cs="Arial"/>
              </w:rPr>
              <w:t>Incremental reduction from baseline position of 1</w:t>
            </w:r>
            <w:r>
              <w:rPr>
                <w:rFonts w:ascii="Arial" w:hAnsi="Arial" w:cs="Arial"/>
              </w:rPr>
              <w:t>2</w:t>
            </w:r>
            <w:r w:rsidRPr="006B7036">
              <w:rPr>
                <w:rFonts w:ascii="Arial" w:hAnsi="Arial" w:cs="Arial"/>
              </w:rPr>
              <w:t xml:space="preserve">% to </w:t>
            </w:r>
            <w:r w:rsidR="00740D30">
              <w:rPr>
                <w:rFonts w:ascii="Arial" w:hAnsi="Arial" w:cs="Arial"/>
              </w:rPr>
              <w:t>10</w:t>
            </w:r>
            <w:r w:rsidRPr="006B7036">
              <w:rPr>
                <w:rFonts w:ascii="Arial" w:hAnsi="Arial" w:cs="Arial"/>
              </w:rPr>
              <w:t>% by March 20</w:t>
            </w:r>
            <w:r w:rsidR="00740D30">
              <w:rPr>
                <w:rFonts w:ascii="Arial" w:hAnsi="Arial" w:cs="Arial"/>
              </w:rPr>
              <w:t>20</w:t>
            </w:r>
          </w:p>
        </w:tc>
        <w:tc>
          <w:tcPr>
            <w:tcW w:w="46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6B7036" w:rsidRPr="006B7036" w:rsidRDefault="006B7036" w:rsidP="004E72E6">
            <w:pPr>
              <w:widowControl w:val="0"/>
              <w:autoSpaceDE w:val="0"/>
              <w:autoSpaceDN w:val="0"/>
              <w:adjustRightInd w:val="0"/>
              <w:jc w:val="center"/>
              <w:rPr>
                <w:rFonts w:ascii="Arial" w:hAnsi="Arial" w:cs="Arial"/>
                <w:color w:val="000000"/>
                <w:lang w:eastAsia="en-GB"/>
              </w:rPr>
            </w:pPr>
            <w:r w:rsidRPr="006B7036">
              <w:rPr>
                <w:rFonts w:ascii="Arial" w:hAnsi="Arial" w:cs="Arial"/>
                <w:color w:val="000000"/>
                <w:lang w:eastAsia="en-GB"/>
              </w:rPr>
              <w:sym w:font="Wingdings" w:char="F0F2"/>
            </w:r>
          </w:p>
        </w:tc>
      </w:tr>
      <w:tr w:rsidR="006B7036" w:rsidRPr="000C34A9" w:rsidTr="0094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684" w:type="pct"/>
            <w:gridSpan w:val="2"/>
            <w:tcBorders>
              <w:top w:val="single" w:sz="4" w:space="0" w:color="000000"/>
              <w:left w:val="single" w:sz="4" w:space="0" w:color="000000"/>
              <w:bottom w:val="single" w:sz="4" w:space="0" w:color="000000"/>
              <w:right w:val="single" w:sz="4" w:space="0" w:color="000000"/>
            </w:tcBorders>
          </w:tcPr>
          <w:p w:rsidR="006B7036" w:rsidRPr="006B7036" w:rsidRDefault="006B7036" w:rsidP="004E72E6">
            <w:pPr>
              <w:widowControl w:val="0"/>
              <w:autoSpaceDE w:val="0"/>
              <w:autoSpaceDN w:val="0"/>
              <w:adjustRightInd w:val="0"/>
              <w:rPr>
                <w:rFonts w:ascii="Arial" w:hAnsi="Arial" w:cs="Arial"/>
                <w:color w:val="000000"/>
                <w:lang w:eastAsia="en-GB"/>
              </w:rPr>
            </w:pPr>
            <w:r w:rsidRPr="006B7036">
              <w:rPr>
                <w:rFonts w:ascii="Arial" w:hAnsi="Arial" w:cs="Arial"/>
                <w:color w:val="000000"/>
                <w:lang w:eastAsia="en-GB"/>
              </w:rPr>
              <w:t>General Surgery Cancellation Rate</w:t>
            </w:r>
          </w:p>
        </w:tc>
        <w:tc>
          <w:tcPr>
            <w:tcW w:w="994" w:type="pct"/>
            <w:tcBorders>
              <w:top w:val="single" w:sz="4" w:space="0" w:color="000000"/>
              <w:left w:val="single" w:sz="4" w:space="0" w:color="000000"/>
              <w:bottom w:val="single" w:sz="4" w:space="0" w:color="000000"/>
              <w:right w:val="single" w:sz="4" w:space="0" w:color="000000"/>
            </w:tcBorders>
          </w:tcPr>
          <w:p w:rsidR="006B7036" w:rsidRPr="006B7036" w:rsidRDefault="006B7036" w:rsidP="004E72E6">
            <w:pPr>
              <w:rPr>
                <w:rFonts w:ascii="Arial" w:hAnsi="Arial" w:cs="Arial"/>
              </w:rPr>
            </w:pPr>
            <w:r w:rsidRPr="006B7036">
              <w:rPr>
                <w:rFonts w:ascii="Arial" w:hAnsi="Arial" w:cs="Arial"/>
                <w:color w:val="000000"/>
                <w:lang w:eastAsia="en-GB"/>
              </w:rPr>
              <w:t>Percentage of General Surgery patients cancelled on day of procedure</w:t>
            </w:r>
          </w:p>
        </w:tc>
        <w:tc>
          <w:tcPr>
            <w:tcW w:w="761" w:type="pct"/>
            <w:tcBorders>
              <w:top w:val="single" w:sz="4" w:space="0" w:color="000000"/>
              <w:left w:val="single" w:sz="4" w:space="0" w:color="000000"/>
              <w:bottom w:val="single" w:sz="4" w:space="0" w:color="000000"/>
              <w:right w:val="single" w:sz="4" w:space="0" w:color="auto"/>
            </w:tcBorders>
            <w:vAlign w:val="center"/>
          </w:tcPr>
          <w:p w:rsidR="006B7036" w:rsidRPr="006B7036" w:rsidRDefault="006B7036" w:rsidP="004E72E6">
            <w:pPr>
              <w:widowControl w:val="0"/>
              <w:autoSpaceDE w:val="0"/>
              <w:autoSpaceDN w:val="0"/>
              <w:adjustRightInd w:val="0"/>
              <w:ind w:left="-107" w:right="-108"/>
              <w:jc w:val="center"/>
              <w:rPr>
                <w:rFonts w:ascii="Arial" w:hAnsi="Arial" w:cs="Arial"/>
              </w:rPr>
            </w:pPr>
            <w:r w:rsidRPr="006B7036">
              <w:rPr>
                <w:rFonts w:ascii="Arial" w:hAnsi="Arial" w:cs="Arial"/>
              </w:rPr>
              <w:t>Achieved = G</w:t>
            </w:r>
          </w:p>
          <w:p w:rsidR="006B7036" w:rsidRPr="006B7036" w:rsidRDefault="006B7036" w:rsidP="004E72E6">
            <w:pPr>
              <w:widowControl w:val="0"/>
              <w:autoSpaceDE w:val="0"/>
              <w:autoSpaceDN w:val="0"/>
              <w:adjustRightInd w:val="0"/>
              <w:ind w:left="-107" w:right="-108"/>
              <w:jc w:val="center"/>
              <w:rPr>
                <w:rFonts w:ascii="Arial" w:hAnsi="Arial" w:cs="Arial"/>
              </w:rPr>
            </w:pPr>
            <w:r w:rsidRPr="006B7036">
              <w:rPr>
                <w:rFonts w:ascii="Arial" w:hAnsi="Arial" w:cs="Arial"/>
              </w:rPr>
              <w:t>Not Achieved = R</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C2377">
            <w:pPr>
              <w:widowControl w:val="0"/>
              <w:autoSpaceDE w:val="0"/>
              <w:autoSpaceDN w:val="0"/>
              <w:adjustRightInd w:val="0"/>
              <w:jc w:val="center"/>
              <w:rPr>
                <w:rFonts w:ascii="Arial" w:hAnsi="Arial" w:cs="Arial"/>
              </w:rPr>
            </w:pPr>
            <w:r w:rsidRPr="006B7036">
              <w:rPr>
                <w:rFonts w:ascii="Arial" w:hAnsi="Arial" w:cs="Arial"/>
              </w:rPr>
              <w:t>14.8%</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C2377">
            <w:pPr>
              <w:widowControl w:val="0"/>
              <w:autoSpaceDE w:val="0"/>
              <w:autoSpaceDN w:val="0"/>
              <w:adjustRightInd w:val="0"/>
              <w:jc w:val="center"/>
              <w:rPr>
                <w:rFonts w:ascii="Arial" w:hAnsi="Arial" w:cs="Arial"/>
              </w:rPr>
            </w:pPr>
            <w:r w:rsidRPr="006B7036">
              <w:rPr>
                <w:rFonts w:ascii="Arial" w:hAnsi="Arial" w:cs="Arial"/>
              </w:rPr>
              <w:t>9.6%</w:t>
            </w: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4E72E6">
            <w:pPr>
              <w:widowControl w:val="0"/>
              <w:autoSpaceDE w:val="0"/>
              <w:autoSpaceDN w:val="0"/>
              <w:adjustRightInd w:val="0"/>
              <w:jc w:val="center"/>
              <w:rPr>
                <w:rFonts w:ascii="Arial" w:hAnsi="Arial" w:cs="Arial"/>
              </w:rPr>
            </w:pPr>
            <w:r w:rsidRPr="006B7036">
              <w:rPr>
                <w:rFonts w:ascii="Arial" w:hAnsi="Arial" w:cs="Arial"/>
              </w:rPr>
              <w:t>9.7%</w:t>
            </w:r>
          </w:p>
        </w:tc>
        <w:tc>
          <w:tcPr>
            <w:tcW w:w="650" w:type="pct"/>
            <w:gridSpan w:val="3"/>
            <w:tcBorders>
              <w:top w:val="single" w:sz="4" w:space="0" w:color="000000"/>
              <w:left w:val="single" w:sz="4" w:space="0" w:color="auto"/>
              <w:bottom w:val="single" w:sz="4" w:space="0" w:color="000000"/>
              <w:right w:val="single" w:sz="4" w:space="0" w:color="000000"/>
            </w:tcBorders>
            <w:vAlign w:val="center"/>
          </w:tcPr>
          <w:p w:rsidR="006B7036" w:rsidRPr="006B7036" w:rsidRDefault="006B7036" w:rsidP="00740D30">
            <w:pPr>
              <w:widowControl w:val="0"/>
              <w:autoSpaceDE w:val="0"/>
              <w:autoSpaceDN w:val="0"/>
              <w:adjustRightInd w:val="0"/>
              <w:ind w:left="-107" w:right="-108"/>
              <w:jc w:val="center"/>
              <w:rPr>
                <w:rFonts w:ascii="Arial" w:hAnsi="Arial" w:cs="Arial"/>
              </w:rPr>
            </w:pPr>
            <w:r w:rsidRPr="006B7036">
              <w:rPr>
                <w:rFonts w:ascii="Arial" w:hAnsi="Arial" w:cs="Arial"/>
              </w:rPr>
              <w:t xml:space="preserve">Incremental reduction from baseline position of 9% to </w:t>
            </w:r>
            <w:r w:rsidR="00740D30">
              <w:rPr>
                <w:rFonts w:ascii="Arial" w:hAnsi="Arial" w:cs="Arial"/>
              </w:rPr>
              <w:t>7</w:t>
            </w:r>
            <w:r w:rsidRPr="006B7036">
              <w:rPr>
                <w:rFonts w:ascii="Arial" w:hAnsi="Arial" w:cs="Arial"/>
              </w:rPr>
              <w:t>% by March 20</w:t>
            </w:r>
            <w:r w:rsidR="00740D30">
              <w:rPr>
                <w:rFonts w:ascii="Arial" w:hAnsi="Arial" w:cs="Arial"/>
              </w:rPr>
              <w:t>20</w:t>
            </w:r>
          </w:p>
        </w:tc>
        <w:tc>
          <w:tcPr>
            <w:tcW w:w="46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6B7036" w:rsidRPr="006B7036" w:rsidRDefault="006B7036" w:rsidP="004E72E6">
            <w:pPr>
              <w:widowControl w:val="0"/>
              <w:autoSpaceDE w:val="0"/>
              <w:autoSpaceDN w:val="0"/>
              <w:adjustRightInd w:val="0"/>
              <w:jc w:val="center"/>
              <w:rPr>
                <w:rFonts w:ascii="Arial" w:hAnsi="Arial" w:cs="Arial"/>
                <w:color w:val="000000"/>
                <w:lang w:eastAsia="en-GB"/>
              </w:rPr>
            </w:pPr>
            <w:r w:rsidRPr="006B7036">
              <w:rPr>
                <w:rFonts w:ascii="Arial" w:hAnsi="Arial" w:cs="Arial"/>
                <w:color w:val="000000"/>
                <w:lang w:eastAsia="en-GB"/>
              </w:rPr>
              <w:sym w:font="Wingdings" w:char="F0F2"/>
            </w:r>
          </w:p>
        </w:tc>
      </w:tr>
      <w:tr w:rsidR="006B7036" w:rsidRPr="000C34A9" w:rsidTr="0094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684" w:type="pct"/>
            <w:gridSpan w:val="2"/>
            <w:tcBorders>
              <w:top w:val="single" w:sz="4" w:space="0" w:color="000000"/>
              <w:left w:val="single" w:sz="4" w:space="0" w:color="000000"/>
              <w:bottom w:val="single" w:sz="4" w:space="0" w:color="000000"/>
              <w:right w:val="single" w:sz="4" w:space="0" w:color="000000"/>
            </w:tcBorders>
          </w:tcPr>
          <w:p w:rsidR="006B7036" w:rsidRPr="006B7036" w:rsidRDefault="006B7036" w:rsidP="004E72E6">
            <w:pPr>
              <w:widowControl w:val="0"/>
              <w:autoSpaceDE w:val="0"/>
              <w:autoSpaceDN w:val="0"/>
              <w:adjustRightInd w:val="0"/>
              <w:rPr>
                <w:rFonts w:ascii="Arial" w:hAnsi="Arial" w:cs="Arial"/>
                <w:color w:val="000000"/>
                <w:lang w:eastAsia="en-GB"/>
              </w:rPr>
            </w:pPr>
            <w:r w:rsidRPr="006B7036">
              <w:rPr>
                <w:rFonts w:ascii="Arial" w:hAnsi="Arial" w:cs="Arial"/>
                <w:color w:val="000000"/>
                <w:lang w:eastAsia="en-GB"/>
              </w:rPr>
              <w:t>Orthopaedic Cancellation Rate</w:t>
            </w:r>
          </w:p>
        </w:tc>
        <w:tc>
          <w:tcPr>
            <w:tcW w:w="994" w:type="pct"/>
            <w:tcBorders>
              <w:top w:val="single" w:sz="4" w:space="0" w:color="000000"/>
              <w:left w:val="single" w:sz="4" w:space="0" w:color="000000"/>
              <w:bottom w:val="single" w:sz="4" w:space="0" w:color="000000"/>
              <w:right w:val="single" w:sz="4" w:space="0" w:color="000000"/>
            </w:tcBorders>
          </w:tcPr>
          <w:p w:rsidR="006B7036" w:rsidRPr="006B7036" w:rsidRDefault="006B7036" w:rsidP="004E72E6">
            <w:pPr>
              <w:rPr>
                <w:rFonts w:ascii="Arial" w:hAnsi="Arial" w:cs="Arial"/>
              </w:rPr>
            </w:pPr>
            <w:r w:rsidRPr="006B7036">
              <w:rPr>
                <w:rFonts w:ascii="Arial" w:hAnsi="Arial" w:cs="Arial"/>
                <w:color w:val="000000"/>
                <w:lang w:eastAsia="en-GB"/>
              </w:rPr>
              <w:t>Percentage of Orthopaedic patients cancelled on day of procedure</w:t>
            </w:r>
          </w:p>
        </w:tc>
        <w:tc>
          <w:tcPr>
            <w:tcW w:w="761" w:type="pct"/>
            <w:tcBorders>
              <w:top w:val="single" w:sz="4" w:space="0" w:color="000000"/>
              <w:left w:val="single" w:sz="4" w:space="0" w:color="000000"/>
              <w:bottom w:val="single" w:sz="4" w:space="0" w:color="000000"/>
              <w:right w:val="single" w:sz="4" w:space="0" w:color="auto"/>
            </w:tcBorders>
            <w:vAlign w:val="center"/>
          </w:tcPr>
          <w:p w:rsidR="006B7036" w:rsidRPr="006B7036" w:rsidRDefault="006B7036" w:rsidP="004E72E6">
            <w:pPr>
              <w:widowControl w:val="0"/>
              <w:autoSpaceDE w:val="0"/>
              <w:autoSpaceDN w:val="0"/>
              <w:adjustRightInd w:val="0"/>
              <w:ind w:left="-107" w:right="-108"/>
              <w:jc w:val="center"/>
              <w:rPr>
                <w:rFonts w:ascii="Arial" w:hAnsi="Arial" w:cs="Arial"/>
              </w:rPr>
            </w:pPr>
            <w:r w:rsidRPr="006B7036">
              <w:rPr>
                <w:rFonts w:ascii="Arial" w:hAnsi="Arial" w:cs="Arial"/>
              </w:rPr>
              <w:t>Achieved = G</w:t>
            </w:r>
          </w:p>
          <w:p w:rsidR="006B7036" w:rsidRPr="006B7036" w:rsidRDefault="006B7036" w:rsidP="004E72E6">
            <w:pPr>
              <w:widowControl w:val="0"/>
              <w:autoSpaceDE w:val="0"/>
              <w:autoSpaceDN w:val="0"/>
              <w:adjustRightInd w:val="0"/>
              <w:ind w:left="-107" w:right="-108"/>
              <w:jc w:val="center"/>
              <w:rPr>
                <w:rFonts w:ascii="Arial" w:hAnsi="Arial" w:cs="Arial"/>
              </w:rPr>
            </w:pPr>
            <w:r w:rsidRPr="006B7036">
              <w:rPr>
                <w:rFonts w:ascii="Arial" w:hAnsi="Arial" w:cs="Arial"/>
              </w:rPr>
              <w:t>Not Achieved = R</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C2377">
            <w:pPr>
              <w:widowControl w:val="0"/>
              <w:autoSpaceDE w:val="0"/>
              <w:autoSpaceDN w:val="0"/>
              <w:adjustRightInd w:val="0"/>
              <w:jc w:val="center"/>
              <w:rPr>
                <w:rFonts w:ascii="Arial" w:hAnsi="Arial" w:cs="Arial"/>
              </w:rPr>
            </w:pPr>
            <w:r w:rsidRPr="006B7036">
              <w:rPr>
                <w:rFonts w:ascii="Arial" w:hAnsi="Arial" w:cs="Arial"/>
              </w:rPr>
              <w:t>3.5%</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C2377">
            <w:pPr>
              <w:widowControl w:val="0"/>
              <w:autoSpaceDE w:val="0"/>
              <w:autoSpaceDN w:val="0"/>
              <w:adjustRightInd w:val="0"/>
              <w:jc w:val="center"/>
              <w:rPr>
                <w:rFonts w:ascii="Arial" w:hAnsi="Arial" w:cs="Arial"/>
              </w:rPr>
            </w:pPr>
            <w:r w:rsidRPr="006B7036">
              <w:rPr>
                <w:rFonts w:ascii="Arial" w:hAnsi="Arial" w:cs="Arial"/>
              </w:rPr>
              <w:t>3.2%</w:t>
            </w: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4E72E6">
            <w:pPr>
              <w:widowControl w:val="0"/>
              <w:autoSpaceDE w:val="0"/>
              <w:autoSpaceDN w:val="0"/>
              <w:adjustRightInd w:val="0"/>
              <w:jc w:val="center"/>
              <w:rPr>
                <w:rFonts w:ascii="Arial" w:hAnsi="Arial" w:cs="Arial"/>
              </w:rPr>
            </w:pPr>
            <w:r w:rsidRPr="006B7036">
              <w:rPr>
                <w:rFonts w:ascii="Arial" w:hAnsi="Arial" w:cs="Arial"/>
              </w:rPr>
              <w:t>3.6%</w:t>
            </w:r>
          </w:p>
        </w:tc>
        <w:tc>
          <w:tcPr>
            <w:tcW w:w="650" w:type="pct"/>
            <w:gridSpan w:val="3"/>
            <w:tcBorders>
              <w:top w:val="single" w:sz="4" w:space="0" w:color="000000"/>
              <w:left w:val="single" w:sz="4" w:space="0" w:color="auto"/>
              <w:bottom w:val="single" w:sz="4" w:space="0" w:color="000000"/>
              <w:right w:val="single" w:sz="4" w:space="0" w:color="000000"/>
            </w:tcBorders>
            <w:vAlign w:val="center"/>
          </w:tcPr>
          <w:p w:rsidR="006B7036" w:rsidRPr="006B7036" w:rsidRDefault="006B7036" w:rsidP="004E72E6">
            <w:pPr>
              <w:widowControl w:val="0"/>
              <w:autoSpaceDE w:val="0"/>
              <w:autoSpaceDN w:val="0"/>
              <w:adjustRightInd w:val="0"/>
              <w:ind w:left="-107" w:right="-108"/>
              <w:jc w:val="center"/>
              <w:rPr>
                <w:rFonts w:ascii="Arial" w:hAnsi="Arial" w:cs="Arial"/>
              </w:rPr>
            </w:pPr>
            <w:r w:rsidRPr="006B7036">
              <w:rPr>
                <w:rFonts w:ascii="Arial" w:hAnsi="Arial" w:cs="Arial"/>
              </w:rPr>
              <w:t>Monthly 3% cancellation rate</w:t>
            </w:r>
          </w:p>
        </w:tc>
        <w:tc>
          <w:tcPr>
            <w:tcW w:w="46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6B7036" w:rsidRPr="006B7036" w:rsidRDefault="006B7036" w:rsidP="004E72E6">
            <w:pPr>
              <w:widowControl w:val="0"/>
              <w:autoSpaceDE w:val="0"/>
              <w:autoSpaceDN w:val="0"/>
              <w:adjustRightInd w:val="0"/>
              <w:jc w:val="center"/>
              <w:rPr>
                <w:rFonts w:ascii="Arial" w:hAnsi="Arial" w:cs="Arial"/>
                <w:color w:val="000000"/>
                <w:lang w:eastAsia="en-GB"/>
              </w:rPr>
            </w:pPr>
            <w:r w:rsidRPr="006B7036">
              <w:rPr>
                <w:rFonts w:ascii="Arial" w:hAnsi="Arial" w:cs="Arial"/>
                <w:color w:val="000000"/>
                <w:lang w:eastAsia="en-GB"/>
              </w:rPr>
              <w:sym w:font="Wingdings" w:char="F0F2"/>
            </w:r>
          </w:p>
        </w:tc>
      </w:tr>
      <w:tr w:rsidR="006B7036" w:rsidRPr="000C34A9" w:rsidTr="0094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684" w:type="pct"/>
            <w:gridSpan w:val="2"/>
            <w:tcBorders>
              <w:top w:val="single" w:sz="4" w:space="0" w:color="000000"/>
              <w:left w:val="single" w:sz="4" w:space="0" w:color="000000"/>
              <w:bottom w:val="single" w:sz="4" w:space="0" w:color="000000"/>
              <w:right w:val="single" w:sz="4" w:space="0" w:color="000000"/>
            </w:tcBorders>
          </w:tcPr>
          <w:p w:rsidR="006B7036" w:rsidRPr="006B7036" w:rsidRDefault="006B7036" w:rsidP="004E72E6">
            <w:pPr>
              <w:widowControl w:val="0"/>
              <w:autoSpaceDE w:val="0"/>
              <w:autoSpaceDN w:val="0"/>
              <w:adjustRightInd w:val="0"/>
              <w:rPr>
                <w:rFonts w:ascii="Arial" w:hAnsi="Arial" w:cs="Arial"/>
                <w:color w:val="000000"/>
                <w:lang w:eastAsia="en-GB"/>
              </w:rPr>
            </w:pPr>
            <w:r w:rsidRPr="006B7036">
              <w:rPr>
                <w:rFonts w:ascii="Arial" w:hAnsi="Arial" w:cs="Arial"/>
                <w:color w:val="000000"/>
                <w:lang w:eastAsia="en-GB"/>
              </w:rPr>
              <w:t>Endoscopy Cancellation Rate</w:t>
            </w:r>
          </w:p>
        </w:tc>
        <w:tc>
          <w:tcPr>
            <w:tcW w:w="994" w:type="pct"/>
            <w:tcBorders>
              <w:top w:val="single" w:sz="4" w:space="0" w:color="000000"/>
              <w:left w:val="single" w:sz="4" w:space="0" w:color="000000"/>
              <w:bottom w:val="single" w:sz="4" w:space="0" w:color="000000"/>
              <w:right w:val="single" w:sz="4" w:space="0" w:color="000000"/>
            </w:tcBorders>
          </w:tcPr>
          <w:p w:rsidR="006B7036" w:rsidRPr="006B7036" w:rsidRDefault="006B7036" w:rsidP="004E72E6">
            <w:pPr>
              <w:widowControl w:val="0"/>
              <w:autoSpaceDE w:val="0"/>
              <w:autoSpaceDN w:val="0"/>
              <w:adjustRightInd w:val="0"/>
              <w:rPr>
                <w:rFonts w:ascii="Arial" w:hAnsi="Arial" w:cs="Arial"/>
                <w:color w:val="000000"/>
                <w:lang w:eastAsia="en-GB"/>
              </w:rPr>
            </w:pPr>
            <w:r w:rsidRPr="006B7036">
              <w:rPr>
                <w:rFonts w:ascii="Arial" w:hAnsi="Arial" w:cs="Arial"/>
                <w:color w:val="000000"/>
                <w:lang w:eastAsia="en-GB"/>
              </w:rPr>
              <w:t>Percentage of Endoscopy patients cancelled on day of procedure</w:t>
            </w:r>
          </w:p>
        </w:tc>
        <w:tc>
          <w:tcPr>
            <w:tcW w:w="761" w:type="pct"/>
            <w:tcBorders>
              <w:top w:val="single" w:sz="4" w:space="0" w:color="000000"/>
              <w:left w:val="single" w:sz="4" w:space="0" w:color="000000"/>
              <w:bottom w:val="single" w:sz="4" w:space="0" w:color="000000"/>
              <w:right w:val="single" w:sz="4" w:space="0" w:color="auto"/>
            </w:tcBorders>
            <w:vAlign w:val="center"/>
          </w:tcPr>
          <w:p w:rsidR="006B7036" w:rsidRPr="006B7036" w:rsidRDefault="006B7036" w:rsidP="004E72E6">
            <w:pPr>
              <w:widowControl w:val="0"/>
              <w:autoSpaceDE w:val="0"/>
              <w:autoSpaceDN w:val="0"/>
              <w:adjustRightInd w:val="0"/>
              <w:ind w:left="-107" w:right="-108"/>
              <w:jc w:val="center"/>
              <w:rPr>
                <w:rFonts w:ascii="Arial" w:hAnsi="Arial" w:cs="Arial"/>
              </w:rPr>
            </w:pPr>
            <w:r w:rsidRPr="006B7036">
              <w:rPr>
                <w:rFonts w:ascii="Arial" w:hAnsi="Arial" w:cs="Arial"/>
              </w:rPr>
              <w:t>Achieved = G</w:t>
            </w:r>
          </w:p>
          <w:p w:rsidR="006B7036" w:rsidRPr="006B7036" w:rsidRDefault="006B7036" w:rsidP="004E72E6">
            <w:pPr>
              <w:widowControl w:val="0"/>
              <w:autoSpaceDE w:val="0"/>
              <w:autoSpaceDN w:val="0"/>
              <w:adjustRightInd w:val="0"/>
              <w:ind w:left="-107" w:right="-108"/>
              <w:jc w:val="center"/>
              <w:rPr>
                <w:rFonts w:ascii="Arial" w:hAnsi="Arial" w:cs="Arial"/>
              </w:rPr>
            </w:pPr>
            <w:r w:rsidRPr="006B7036">
              <w:rPr>
                <w:rFonts w:ascii="Arial" w:hAnsi="Arial" w:cs="Arial"/>
              </w:rPr>
              <w:t>Not Achieved = R</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C2377">
            <w:pPr>
              <w:widowControl w:val="0"/>
              <w:autoSpaceDE w:val="0"/>
              <w:autoSpaceDN w:val="0"/>
              <w:adjustRightInd w:val="0"/>
              <w:jc w:val="center"/>
              <w:rPr>
                <w:rFonts w:ascii="Arial" w:hAnsi="Arial" w:cs="Arial"/>
              </w:rPr>
            </w:pPr>
            <w:r w:rsidRPr="006B7036">
              <w:rPr>
                <w:rFonts w:ascii="Arial" w:hAnsi="Arial" w:cs="Arial"/>
              </w:rPr>
              <w:t>5.4%</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C2377">
            <w:pPr>
              <w:widowControl w:val="0"/>
              <w:autoSpaceDE w:val="0"/>
              <w:autoSpaceDN w:val="0"/>
              <w:adjustRightInd w:val="0"/>
              <w:jc w:val="center"/>
              <w:rPr>
                <w:rFonts w:ascii="Arial" w:hAnsi="Arial" w:cs="Arial"/>
              </w:rPr>
            </w:pPr>
            <w:r w:rsidRPr="006B7036">
              <w:rPr>
                <w:rFonts w:ascii="Arial" w:hAnsi="Arial" w:cs="Arial"/>
              </w:rPr>
              <w:t>6.0%</w:t>
            </w: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B7036">
            <w:pPr>
              <w:widowControl w:val="0"/>
              <w:autoSpaceDE w:val="0"/>
              <w:autoSpaceDN w:val="0"/>
              <w:adjustRightInd w:val="0"/>
              <w:jc w:val="center"/>
              <w:rPr>
                <w:rFonts w:ascii="Arial" w:hAnsi="Arial" w:cs="Arial"/>
              </w:rPr>
            </w:pPr>
            <w:r w:rsidRPr="006B7036">
              <w:rPr>
                <w:rFonts w:ascii="Arial" w:hAnsi="Arial" w:cs="Arial"/>
              </w:rPr>
              <w:t>9.7%</w:t>
            </w:r>
          </w:p>
        </w:tc>
        <w:tc>
          <w:tcPr>
            <w:tcW w:w="650" w:type="pct"/>
            <w:gridSpan w:val="3"/>
            <w:tcBorders>
              <w:top w:val="single" w:sz="4" w:space="0" w:color="000000"/>
              <w:left w:val="single" w:sz="4" w:space="0" w:color="auto"/>
              <w:bottom w:val="single" w:sz="4" w:space="0" w:color="000000"/>
              <w:right w:val="single" w:sz="4" w:space="0" w:color="000000"/>
            </w:tcBorders>
            <w:vAlign w:val="center"/>
          </w:tcPr>
          <w:p w:rsidR="006B7036" w:rsidRPr="006B7036" w:rsidRDefault="006B7036" w:rsidP="00740D30">
            <w:pPr>
              <w:widowControl w:val="0"/>
              <w:autoSpaceDE w:val="0"/>
              <w:autoSpaceDN w:val="0"/>
              <w:adjustRightInd w:val="0"/>
              <w:ind w:left="-107" w:right="-108"/>
              <w:jc w:val="center"/>
              <w:rPr>
                <w:rFonts w:ascii="Arial" w:hAnsi="Arial" w:cs="Arial"/>
              </w:rPr>
            </w:pPr>
            <w:r w:rsidRPr="006B7036">
              <w:rPr>
                <w:rFonts w:ascii="Arial" w:hAnsi="Arial" w:cs="Arial"/>
              </w:rPr>
              <w:t xml:space="preserve">Incremental reduction from baseline position of </w:t>
            </w:r>
            <w:r w:rsidR="00740D30">
              <w:rPr>
                <w:rFonts w:ascii="Arial" w:hAnsi="Arial" w:cs="Arial"/>
              </w:rPr>
              <w:t>6</w:t>
            </w:r>
            <w:r w:rsidRPr="006B7036">
              <w:rPr>
                <w:rFonts w:ascii="Arial" w:hAnsi="Arial" w:cs="Arial"/>
              </w:rPr>
              <w:t>% to 5% by March 20</w:t>
            </w:r>
            <w:r w:rsidR="00740D30">
              <w:rPr>
                <w:rFonts w:ascii="Arial" w:hAnsi="Arial" w:cs="Arial"/>
              </w:rPr>
              <w:t>20</w:t>
            </w:r>
          </w:p>
        </w:tc>
        <w:tc>
          <w:tcPr>
            <w:tcW w:w="46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6B7036" w:rsidRPr="006B7036" w:rsidRDefault="006B7036" w:rsidP="005E0E6D">
            <w:pPr>
              <w:widowControl w:val="0"/>
              <w:autoSpaceDE w:val="0"/>
              <w:autoSpaceDN w:val="0"/>
              <w:adjustRightInd w:val="0"/>
              <w:jc w:val="center"/>
              <w:rPr>
                <w:rFonts w:ascii="Arial" w:hAnsi="Arial" w:cs="Arial"/>
                <w:color w:val="000000"/>
                <w:lang w:eastAsia="en-GB"/>
              </w:rPr>
            </w:pPr>
            <w:r w:rsidRPr="006B7036">
              <w:rPr>
                <w:rFonts w:ascii="Arial" w:hAnsi="Arial" w:cs="Arial"/>
                <w:color w:val="000000"/>
                <w:lang w:eastAsia="en-GB"/>
              </w:rPr>
              <w:sym w:font="Wingdings" w:char="F0F2"/>
            </w:r>
          </w:p>
        </w:tc>
      </w:tr>
    </w:tbl>
    <w:p w:rsidR="00942565" w:rsidRDefault="0094256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8"/>
        <w:gridCol w:w="2818"/>
        <w:gridCol w:w="2157"/>
        <w:gridCol w:w="1417"/>
        <w:gridCol w:w="1276"/>
        <w:gridCol w:w="1415"/>
        <w:gridCol w:w="1843"/>
        <w:gridCol w:w="1310"/>
      </w:tblGrid>
      <w:tr w:rsidR="00942565" w:rsidRPr="006C2377" w:rsidTr="00942565">
        <w:tc>
          <w:tcPr>
            <w:tcW w:w="5000" w:type="pct"/>
            <w:gridSpan w:val="8"/>
          </w:tcPr>
          <w:p w:rsidR="00942565" w:rsidRPr="006C2377" w:rsidRDefault="00942565" w:rsidP="00942565">
            <w:pPr>
              <w:rPr>
                <w:rFonts w:ascii="Arial" w:hAnsi="Arial" w:cs="Arial"/>
                <w:b/>
                <w:bCs/>
                <w:lang w:eastAsia="en-GB"/>
              </w:rPr>
            </w:pPr>
            <w:r w:rsidRPr="006C2377">
              <w:rPr>
                <w:rFonts w:ascii="Arial" w:hAnsi="Arial" w:cs="Arial"/>
                <w:b/>
                <w:bCs/>
                <w:lang w:eastAsia="en-GB"/>
              </w:rPr>
              <w:lastRenderedPageBreak/>
              <w:t>Effective                                                                                                                    Board Performance update – June 2019</w:t>
            </w:r>
          </w:p>
        </w:tc>
      </w:tr>
      <w:tr w:rsidR="00942565" w:rsidRPr="000C34A9" w:rsidTr="0094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blHeader/>
        </w:trPr>
        <w:tc>
          <w:tcPr>
            <w:tcW w:w="68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42565" w:rsidRPr="006C2377" w:rsidRDefault="00942565" w:rsidP="00942565">
            <w:pPr>
              <w:widowControl w:val="0"/>
              <w:autoSpaceDE w:val="0"/>
              <w:autoSpaceDN w:val="0"/>
              <w:adjustRightInd w:val="0"/>
              <w:rPr>
                <w:rFonts w:ascii="Arial" w:hAnsi="Arial" w:cs="Arial"/>
                <w:color w:val="000000"/>
                <w:lang w:eastAsia="en-GB"/>
              </w:rPr>
            </w:pPr>
            <w:r w:rsidRPr="006C2377">
              <w:rPr>
                <w:rFonts w:ascii="Arial" w:hAnsi="Arial" w:cs="Arial"/>
                <w:color w:val="000000"/>
                <w:lang w:eastAsia="en-GB"/>
              </w:rPr>
              <w:t>KPI</w:t>
            </w:r>
          </w:p>
        </w:tc>
        <w:tc>
          <w:tcPr>
            <w:tcW w:w="99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42565" w:rsidRPr="006C2377" w:rsidRDefault="00942565" w:rsidP="00942565">
            <w:pPr>
              <w:widowControl w:val="0"/>
              <w:autoSpaceDE w:val="0"/>
              <w:autoSpaceDN w:val="0"/>
              <w:adjustRightInd w:val="0"/>
              <w:rPr>
                <w:rFonts w:ascii="Arial" w:hAnsi="Arial" w:cs="Arial"/>
                <w:color w:val="000000"/>
                <w:lang w:eastAsia="en-GB"/>
              </w:rPr>
            </w:pPr>
            <w:r w:rsidRPr="006C2377">
              <w:rPr>
                <w:rFonts w:ascii="Arial" w:hAnsi="Arial" w:cs="Arial"/>
                <w:color w:val="000000"/>
                <w:lang w:eastAsia="en-GB"/>
              </w:rPr>
              <w:t>Details</w:t>
            </w:r>
          </w:p>
        </w:tc>
        <w:tc>
          <w:tcPr>
            <w:tcW w:w="761" w:type="pct"/>
            <w:tcBorders>
              <w:top w:val="single" w:sz="4" w:space="0" w:color="000000"/>
              <w:left w:val="single" w:sz="4" w:space="0" w:color="000000"/>
              <w:bottom w:val="single" w:sz="4" w:space="0" w:color="000000"/>
              <w:right w:val="single" w:sz="4" w:space="0" w:color="auto"/>
            </w:tcBorders>
            <w:shd w:val="clear" w:color="auto" w:fill="D9D9D9"/>
            <w:vAlign w:val="center"/>
          </w:tcPr>
          <w:p w:rsidR="00942565" w:rsidRPr="006C2377" w:rsidRDefault="00942565" w:rsidP="00942565">
            <w:pPr>
              <w:jc w:val="center"/>
              <w:rPr>
                <w:rFonts w:ascii="Arial" w:hAnsi="Arial" w:cs="Arial"/>
              </w:rPr>
            </w:pPr>
            <w:r w:rsidRPr="006C2377">
              <w:rPr>
                <w:rFonts w:ascii="Arial" w:hAnsi="Arial" w:cs="Arial"/>
              </w:rPr>
              <w:t>Tolerance</w:t>
            </w:r>
          </w:p>
        </w:tc>
        <w:tc>
          <w:tcPr>
            <w:tcW w:w="500" w:type="pct"/>
            <w:tcBorders>
              <w:top w:val="single" w:sz="4" w:space="0" w:color="auto"/>
              <w:left w:val="single" w:sz="4" w:space="0" w:color="auto"/>
              <w:bottom w:val="single" w:sz="4" w:space="0" w:color="auto"/>
              <w:right w:val="single" w:sz="4" w:space="0" w:color="auto"/>
            </w:tcBorders>
            <w:shd w:val="clear" w:color="auto" w:fill="D9D9D9"/>
          </w:tcPr>
          <w:p w:rsidR="00942565" w:rsidRPr="006C2377" w:rsidRDefault="00942565" w:rsidP="00942565">
            <w:pPr>
              <w:widowControl w:val="0"/>
              <w:autoSpaceDE w:val="0"/>
              <w:autoSpaceDN w:val="0"/>
              <w:adjustRightInd w:val="0"/>
              <w:jc w:val="center"/>
              <w:rPr>
                <w:rFonts w:ascii="Arial" w:hAnsi="Arial" w:cs="Arial"/>
                <w:color w:val="000000"/>
                <w:lang w:eastAsia="en-GB"/>
              </w:rPr>
            </w:pPr>
            <w:r w:rsidRPr="006C2377">
              <w:rPr>
                <w:rFonts w:ascii="Arial" w:hAnsi="Arial" w:cs="Arial"/>
                <w:color w:val="000000"/>
                <w:lang w:eastAsia="en-GB"/>
              </w:rPr>
              <w:t>Feb 2019</w:t>
            </w:r>
          </w:p>
        </w:tc>
        <w:tc>
          <w:tcPr>
            <w:tcW w:w="450" w:type="pct"/>
            <w:tcBorders>
              <w:top w:val="single" w:sz="4" w:space="0" w:color="auto"/>
              <w:left w:val="single" w:sz="4" w:space="0" w:color="auto"/>
              <w:bottom w:val="single" w:sz="4" w:space="0" w:color="auto"/>
              <w:right w:val="single" w:sz="4" w:space="0" w:color="auto"/>
            </w:tcBorders>
            <w:shd w:val="clear" w:color="auto" w:fill="D9D9D9"/>
          </w:tcPr>
          <w:p w:rsidR="00942565" w:rsidRPr="006C2377" w:rsidRDefault="00942565" w:rsidP="00942565">
            <w:pPr>
              <w:widowControl w:val="0"/>
              <w:autoSpaceDE w:val="0"/>
              <w:autoSpaceDN w:val="0"/>
              <w:adjustRightInd w:val="0"/>
              <w:jc w:val="center"/>
              <w:rPr>
                <w:rFonts w:ascii="Arial" w:hAnsi="Arial" w:cs="Arial"/>
                <w:color w:val="000000"/>
                <w:lang w:eastAsia="en-GB"/>
              </w:rPr>
            </w:pPr>
            <w:r w:rsidRPr="006C2377">
              <w:rPr>
                <w:rFonts w:ascii="Arial" w:hAnsi="Arial" w:cs="Arial"/>
                <w:color w:val="000000"/>
                <w:lang w:eastAsia="en-GB"/>
              </w:rPr>
              <w:t>Mar 2019</w:t>
            </w:r>
          </w:p>
        </w:tc>
        <w:tc>
          <w:tcPr>
            <w:tcW w:w="499" w:type="pct"/>
            <w:tcBorders>
              <w:top w:val="single" w:sz="4" w:space="0" w:color="auto"/>
              <w:left w:val="single" w:sz="4" w:space="0" w:color="auto"/>
              <w:bottom w:val="single" w:sz="4" w:space="0" w:color="auto"/>
              <w:right w:val="single" w:sz="4" w:space="0" w:color="auto"/>
            </w:tcBorders>
            <w:shd w:val="clear" w:color="auto" w:fill="D9D9D9"/>
          </w:tcPr>
          <w:p w:rsidR="00942565" w:rsidRPr="006C2377" w:rsidRDefault="00942565" w:rsidP="00942565">
            <w:pPr>
              <w:widowControl w:val="0"/>
              <w:autoSpaceDE w:val="0"/>
              <w:autoSpaceDN w:val="0"/>
              <w:adjustRightInd w:val="0"/>
              <w:jc w:val="center"/>
              <w:rPr>
                <w:rFonts w:ascii="Arial" w:hAnsi="Arial" w:cs="Arial"/>
                <w:color w:val="000000"/>
                <w:lang w:eastAsia="en-GB"/>
              </w:rPr>
            </w:pPr>
            <w:r>
              <w:rPr>
                <w:rFonts w:ascii="Arial" w:hAnsi="Arial" w:cs="Arial"/>
                <w:color w:val="000000"/>
                <w:lang w:eastAsia="en-GB"/>
              </w:rPr>
              <w:t>Apr</w:t>
            </w:r>
            <w:r w:rsidRPr="006C2377">
              <w:rPr>
                <w:rFonts w:ascii="Arial" w:hAnsi="Arial" w:cs="Arial"/>
                <w:color w:val="000000"/>
                <w:lang w:eastAsia="en-GB"/>
              </w:rPr>
              <w:t xml:space="preserve"> 2019</w:t>
            </w:r>
          </w:p>
        </w:tc>
        <w:tc>
          <w:tcPr>
            <w:tcW w:w="650" w:type="pct"/>
            <w:tcBorders>
              <w:top w:val="single" w:sz="4" w:space="0" w:color="000000"/>
              <w:left w:val="single" w:sz="4" w:space="0" w:color="auto"/>
              <w:bottom w:val="single" w:sz="4" w:space="0" w:color="000000"/>
              <w:right w:val="single" w:sz="4" w:space="0" w:color="000000"/>
            </w:tcBorders>
            <w:shd w:val="clear" w:color="auto" w:fill="D9D9D9"/>
            <w:vAlign w:val="center"/>
          </w:tcPr>
          <w:p w:rsidR="00942565" w:rsidRPr="006C2377" w:rsidRDefault="00942565" w:rsidP="00942565">
            <w:pPr>
              <w:widowControl w:val="0"/>
              <w:autoSpaceDE w:val="0"/>
              <w:autoSpaceDN w:val="0"/>
              <w:adjustRightInd w:val="0"/>
              <w:jc w:val="center"/>
              <w:rPr>
                <w:rFonts w:ascii="Arial" w:hAnsi="Arial" w:cs="Arial"/>
                <w:color w:val="000000"/>
                <w:lang w:eastAsia="en-GB"/>
              </w:rPr>
            </w:pPr>
            <w:r w:rsidRPr="006C2377">
              <w:rPr>
                <w:rFonts w:ascii="Arial" w:hAnsi="Arial" w:cs="Arial"/>
                <w:color w:val="000000"/>
                <w:lang w:eastAsia="en-GB"/>
              </w:rPr>
              <w:t>Target</w:t>
            </w:r>
          </w:p>
        </w:tc>
        <w:tc>
          <w:tcPr>
            <w:tcW w:w="46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942565" w:rsidRPr="006C2377" w:rsidRDefault="00942565" w:rsidP="00942565">
            <w:pPr>
              <w:widowControl w:val="0"/>
              <w:autoSpaceDE w:val="0"/>
              <w:autoSpaceDN w:val="0"/>
              <w:adjustRightInd w:val="0"/>
              <w:jc w:val="center"/>
              <w:rPr>
                <w:rFonts w:ascii="Arial" w:hAnsi="Arial" w:cs="Arial"/>
                <w:lang w:eastAsia="en-GB"/>
              </w:rPr>
            </w:pPr>
            <w:r w:rsidRPr="006C2377">
              <w:rPr>
                <w:rFonts w:ascii="Arial" w:hAnsi="Arial" w:cs="Arial"/>
                <w:lang w:eastAsia="en-GB"/>
              </w:rPr>
              <w:t>On Track</w:t>
            </w:r>
          </w:p>
        </w:tc>
      </w:tr>
      <w:tr w:rsidR="006B7036" w:rsidRPr="000C34A9" w:rsidTr="0094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684" w:type="pct"/>
            <w:tcBorders>
              <w:top w:val="single" w:sz="4" w:space="0" w:color="000000"/>
              <w:left w:val="single" w:sz="4" w:space="0" w:color="000000"/>
              <w:bottom w:val="single" w:sz="4" w:space="0" w:color="000000"/>
              <w:right w:val="single" w:sz="4" w:space="0" w:color="000000"/>
            </w:tcBorders>
          </w:tcPr>
          <w:p w:rsidR="006B7036" w:rsidRPr="006B7036" w:rsidRDefault="006B7036" w:rsidP="004E72E6">
            <w:pPr>
              <w:widowControl w:val="0"/>
              <w:autoSpaceDE w:val="0"/>
              <w:autoSpaceDN w:val="0"/>
              <w:adjustRightInd w:val="0"/>
              <w:rPr>
                <w:rFonts w:ascii="Arial" w:hAnsi="Arial" w:cs="Arial"/>
                <w:color w:val="000000"/>
                <w:lang w:eastAsia="en-GB"/>
              </w:rPr>
            </w:pPr>
            <w:r w:rsidRPr="006B7036">
              <w:rPr>
                <w:rFonts w:ascii="Arial" w:hAnsi="Arial" w:cs="Arial"/>
                <w:color w:val="000000"/>
                <w:lang w:eastAsia="en-GB"/>
              </w:rPr>
              <w:t>Thoracic Surgery Cancellation Rate</w:t>
            </w:r>
          </w:p>
        </w:tc>
        <w:tc>
          <w:tcPr>
            <w:tcW w:w="994" w:type="pct"/>
            <w:tcBorders>
              <w:top w:val="single" w:sz="4" w:space="0" w:color="000000"/>
              <w:left w:val="single" w:sz="4" w:space="0" w:color="000000"/>
              <w:bottom w:val="single" w:sz="4" w:space="0" w:color="000000"/>
              <w:right w:val="single" w:sz="4" w:space="0" w:color="000000"/>
            </w:tcBorders>
          </w:tcPr>
          <w:p w:rsidR="006B7036" w:rsidRPr="006B7036" w:rsidRDefault="006B7036" w:rsidP="004E72E6">
            <w:pPr>
              <w:widowControl w:val="0"/>
              <w:autoSpaceDE w:val="0"/>
              <w:autoSpaceDN w:val="0"/>
              <w:adjustRightInd w:val="0"/>
              <w:rPr>
                <w:rFonts w:ascii="Arial" w:hAnsi="Arial" w:cs="Arial"/>
                <w:color w:val="000000"/>
                <w:lang w:eastAsia="en-GB"/>
              </w:rPr>
            </w:pPr>
            <w:r w:rsidRPr="006B7036">
              <w:rPr>
                <w:rFonts w:ascii="Arial" w:hAnsi="Arial" w:cs="Arial"/>
                <w:color w:val="000000"/>
                <w:lang w:eastAsia="en-GB"/>
              </w:rPr>
              <w:t>Percentage of Thoracic Surgery patients cancelled on day of procedure</w:t>
            </w:r>
          </w:p>
        </w:tc>
        <w:tc>
          <w:tcPr>
            <w:tcW w:w="761" w:type="pct"/>
            <w:tcBorders>
              <w:top w:val="single" w:sz="4" w:space="0" w:color="000000"/>
              <w:left w:val="single" w:sz="4" w:space="0" w:color="000000"/>
              <w:bottom w:val="single" w:sz="4" w:space="0" w:color="000000"/>
              <w:right w:val="single" w:sz="4" w:space="0" w:color="auto"/>
            </w:tcBorders>
          </w:tcPr>
          <w:p w:rsidR="006B7036" w:rsidRPr="006B7036" w:rsidRDefault="006B7036" w:rsidP="004E72E6">
            <w:pPr>
              <w:widowControl w:val="0"/>
              <w:autoSpaceDE w:val="0"/>
              <w:autoSpaceDN w:val="0"/>
              <w:adjustRightInd w:val="0"/>
              <w:ind w:left="-107" w:right="-108"/>
              <w:jc w:val="center"/>
              <w:rPr>
                <w:rFonts w:ascii="Arial" w:hAnsi="Arial" w:cs="Arial"/>
              </w:rPr>
            </w:pPr>
            <w:r w:rsidRPr="006B7036">
              <w:rPr>
                <w:rFonts w:ascii="Arial" w:hAnsi="Arial" w:cs="Arial"/>
              </w:rPr>
              <w:t>Achieved = G</w:t>
            </w:r>
          </w:p>
          <w:p w:rsidR="006B7036" w:rsidRPr="006B7036" w:rsidRDefault="006B7036" w:rsidP="004E72E6">
            <w:pPr>
              <w:widowControl w:val="0"/>
              <w:autoSpaceDE w:val="0"/>
              <w:autoSpaceDN w:val="0"/>
              <w:adjustRightInd w:val="0"/>
              <w:ind w:left="-107" w:right="-108"/>
              <w:jc w:val="center"/>
              <w:rPr>
                <w:rFonts w:ascii="Arial" w:hAnsi="Arial" w:cs="Arial"/>
              </w:rPr>
            </w:pPr>
            <w:r w:rsidRPr="006B7036">
              <w:rPr>
                <w:rFonts w:ascii="Arial" w:hAnsi="Arial" w:cs="Arial"/>
              </w:rPr>
              <w:t>Not Achieved = R</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C2377">
            <w:pPr>
              <w:widowControl w:val="0"/>
              <w:autoSpaceDE w:val="0"/>
              <w:autoSpaceDN w:val="0"/>
              <w:adjustRightInd w:val="0"/>
              <w:jc w:val="center"/>
              <w:rPr>
                <w:rFonts w:ascii="Arial" w:hAnsi="Arial" w:cs="Arial"/>
                <w:color w:val="000000"/>
                <w:lang w:eastAsia="en-GB"/>
              </w:rPr>
            </w:pPr>
            <w:r w:rsidRPr="006B7036">
              <w:rPr>
                <w:rFonts w:ascii="Arial" w:hAnsi="Arial" w:cs="Arial"/>
                <w:color w:val="000000"/>
                <w:lang w:eastAsia="en-GB"/>
              </w:rPr>
              <w:t>5.2%</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C2377">
            <w:pPr>
              <w:widowControl w:val="0"/>
              <w:autoSpaceDE w:val="0"/>
              <w:autoSpaceDN w:val="0"/>
              <w:adjustRightInd w:val="0"/>
              <w:jc w:val="center"/>
              <w:rPr>
                <w:rFonts w:ascii="Arial" w:hAnsi="Arial" w:cs="Arial"/>
                <w:color w:val="000000"/>
                <w:lang w:eastAsia="en-GB"/>
              </w:rPr>
            </w:pPr>
            <w:r w:rsidRPr="006B7036">
              <w:rPr>
                <w:rFonts w:ascii="Arial" w:hAnsi="Arial" w:cs="Arial"/>
                <w:color w:val="000000"/>
                <w:lang w:eastAsia="en-GB"/>
              </w:rPr>
              <w:t>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4E72E6">
            <w:pPr>
              <w:widowControl w:val="0"/>
              <w:autoSpaceDE w:val="0"/>
              <w:autoSpaceDN w:val="0"/>
              <w:adjustRightInd w:val="0"/>
              <w:jc w:val="center"/>
              <w:rPr>
                <w:rFonts w:ascii="Arial" w:hAnsi="Arial" w:cs="Arial"/>
                <w:color w:val="000000"/>
                <w:lang w:eastAsia="en-GB"/>
              </w:rPr>
            </w:pPr>
            <w:r w:rsidRPr="006B7036">
              <w:rPr>
                <w:rFonts w:ascii="Arial" w:hAnsi="Arial" w:cs="Arial"/>
                <w:color w:val="000000"/>
                <w:lang w:eastAsia="en-GB"/>
              </w:rPr>
              <w:t>9.0%</w:t>
            </w:r>
          </w:p>
        </w:tc>
        <w:tc>
          <w:tcPr>
            <w:tcW w:w="650" w:type="pct"/>
            <w:tcBorders>
              <w:top w:val="single" w:sz="4" w:space="0" w:color="000000"/>
              <w:left w:val="single" w:sz="4" w:space="0" w:color="auto"/>
              <w:bottom w:val="single" w:sz="4" w:space="0" w:color="000000"/>
              <w:right w:val="single" w:sz="4" w:space="0" w:color="000000"/>
            </w:tcBorders>
            <w:vAlign w:val="center"/>
          </w:tcPr>
          <w:p w:rsidR="006B7036" w:rsidRPr="006B7036" w:rsidRDefault="006B7036" w:rsidP="00740D30">
            <w:pPr>
              <w:widowControl w:val="0"/>
              <w:autoSpaceDE w:val="0"/>
              <w:autoSpaceDN w:val="0"/>
              <w:adjustRightInd w:val="0"/>
              <w:ind w:left="-109" w:right="-108"/>
              <w:jc w:val="center"/>
              <w:rPr>
                <w:rFonts w:ascii="Arial" w:hAnsi="Arial" w:cs="Arial"/>
              </w:rPr>
            </w:pPr>
            <w:r w:rsidRPr="006B7036">
              <w:rPr>
                <w:rFonts w:ascii="Arial" w:hAnsi="Arial" w:cs="Arial"/>
              </w:rPr>
              <w:t xml:space="preserve">Incremental reduction from baseline position of </w:t>
            </w:r>
            <w:r w:rsidR="00740D30">
              <w:rPr>
                <w:rFonts w:ascii="Arial" w:hAnsi="Arial" w:cs="Arial"/>
              </w:rPr>
              <w:t>5</w:t>
            </w:r>
            <w:r w:rsidRPr="006B7036">
              <w:rPr>
                <w:rFonts w:ascii="Arial" w:hAnsi="Arial" w:cs="Arial"/>
              </w:rPr>
              <w:t xml:space="preserve">% to </w:t>
            </w:r>
            <w:r w:rsidR="00740D30">
              <w:rPr>
                <w:rFonts w:ascii="Arial" w:hAnsi="Arial" w:cs="Arial"/>
              </w:rPr>
              <w:t>4</w:t>
            </w:r>
            <w:r w:rsidRPr="006B7036">
              <w:rPr>
                <w:rFonts w:ascii="Arial" w:hAnsi="Arial" w:cs="Arial"/>
              </w:rPr>
              <w:t>% by March 20</w:t>
            </w:r>
            <w:r w:rsidR="00740D30">
              <w:rPr>
                <w:rFonts w:ascii="Arial" w:hAnsi="Arial" w:cs="Arial"/>
              </w:rPr>
              <w:t>20</w:t>
            </w:r>
          </w:p>
        </w:tc>
        <w:tc>
          <w:tcPr>
            <w:tcW w:w="46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6B7036" w:rsidRPr="006B7036" w:rsidRDefault="006B7036" w:rsidP="005E0E6D">
            <w:pPr>
              <w:widowControl w:val="0"/>
              <w:autoSpaceDE w:val="0"/>
              <w:autoSpaceDN w:val="0"/>
              <w:adjustRightInd w:val="0"/>
              <w:jc w:val="center"/>
              <w:rPr>
                <w:rFonts w:ascii="Arial" w:hAnsi="Arial" w:cs="Arial"/>
                <w:color w:val="000000"/>
                <w:lang w:eastAsia="en-GB"/>
              </w:rPr>
            </w:pPr>
            <w:r w:rsidRPr="006B7036">
              <w:rPr>
                <w:rFonts w:ascii="Arial" w:hAnsi="Arial" w:cs="Arial"/>
                <w:color w:val="000000"/>
                <w:lang w:eastAsia="en-GB"/>
              </w:rPr>
              <w:sym w:font="Wingdings" w:char="F0F2"/>
            </w:r>
          </w:p>
        </w:tc>
      </w:tr>
      <w:tr w:rsidR="006B7036" w:rsidRPr="000C34A9" w:rsidTr="0094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684" w:type="pct"/>
            <w:tcBorders>
              <w:top w:val="single" w:sz="4" w:space="0" w:color="000000"/>
              <w:left w:val="single" w:sz="4" w:space="0" w:color="000000"/>
              <w:bottom w:val="single" w:sz="4" w:space="0" w:color="000000"/>
              <w:right w:val="single" w:sz="4" w:space="0" w:color="000000"/>
            </w:tcBorders>
          </w:tcPr>
          <w:p w:rsidR="006B7036" w:rsidRPr="006B7036" w:rsidRDefault="006B7036" w:rsidP="00645B24">
            <w:pPr>
              <w:widowControl w:val="0"/>
              <w:autoSpaceDE w:val="0"/>
              <w:autoSpaceDN w:val="0"/>
              <w:adjustRightInd w:val="0"/>
              <w:rPr>
                <w:rFonts w:ascii="Arial" w:hAnsi="Arial" w:cs="Arial"/>
                <w:color w:val="000000"/>
                <w:lang w:eastAsia="en-GB"/>
              </w:rPr>
            </w:pPr>
            <w:r w:rsidRPr="006B7036">
              <w:rPr>
                <w:rFonts w:ascii="Arial" w:hAnsi="Arial" w:cs="Arial"/>
                <w:color w:val="000000"/>
                <w:lang w:eastAsia="en-GB"/>
              </w:rPr>
              <w:t>Cardiology Cancellation Rate</w:t>
            </w:r>
          </w:p>
        </w:tc>
        <w:tc>
          <w:tcPr>
            <w:tcW w:w="994" w:type="pct"/>
            <w:tcBorders>
              <w:top w:val="single" w:sz="4" w:space="0" w:color="000000"/>
              <w:left w:val="single" w:sz="4" w:space="0" w:color="000000"/>
              <w:bottom w:val="single" w:sz="4" w:space="0" w:color="000000"/>
              <w:right w:val="single" w:sz="4" w:space="0" w:color="000000"/>
            </w:tcBorders>
          </w:tcPr>
          <w:p w:rsidR="006B7036" w:rsidRPr="006B7036" w:rsidRDefault="006B7036" w:rsidP="00DF07CB">
            <w:pPr>
              <w:rPr>
                <w:rFonts w:ascii="Arial" w:hAnsi="Arial" w:cs="Arial"/>
              </w:rPr>
            </w:pPr>
            <w:r w:rsidRPr="006B7036">
              <w:rPr>
                <w:rFonts w:ascii="Arial" w:hAnsi="Arial" w:cs="Arial"/>
                <w:color w:val="000000"/>
                <w:lang w:eastAsia="en-GB"/>
              </w:rPr>
              <w:t>Percentage of Cardiology patients cancelled on day of procedure</w:t>
            </w:r>
          </w:p>
        </w:tc>
        <w:tc>
          <w:tcPr>
            <w:tcW w:w="761" w:type="pct"/>
            <w:tcBorders>
              <w:top w:val="single" w:sz="4" w:space="0" w:color="000000"/>
              <w:left w:val="single" w:sz="4" w:space="0" w:color="000000"/>
              <w:bottom w:val="single" w:sz="4" w:space="0" w:color="000000"/>
              <w:right w:val="single" w:sz="4" w:space="0" w:color="auto"/>
            </w:tcBorders>
            <w:vAlign w:val="center"/>
          </w:tcPr>
          <w:p w:rsidR="006B7036" w:rsidRPr="006B7036" w:rsidRDefault="006B7036" w:rsidP="00CC1DF1">
            <w:pPr>
              <w:widowControl w:val="0"/>
              <w:autoSpaceDE w:val="0"/>
              <w:autoSpaceDN w:val="0"/>
              <w:adjustRightInd w:val="0"/>
              <w:ind w:left="-107" w:right="-108"/>
              <w:jc w:val="center"/>
              <w:rPr>
                <w:rFonts w:ascii="Arial" w:hAnsi="Arial" w:cs="Arial"/>
              </w:rPr>
            </w:pPr>
            <w:r w:rsidRPr="006B7036">
              <w:rPr>
                <w:rFonts w:ascii="Arial" w:hAnsi="Arial" w:cs="Arial"/>
              </w:rPr>
              <w:t>Achieved = G</w:t>
            </w:r>
          </w:p>
          <w:p w:rsidR="006B7036" w:rsidRPr="006B7036" w:rsidRDefault="006B7036" w:rsidP="00CC1DF1">
            <w:pPr>
              <w:widowControl w:val="0"/>
              <w:autoSpaceDE w:val="0"/>
              <w:autoSpaceDN w:val="0"/>
              <w:adjustRightInd w:val="0"/>
              <w:ind w:left="-107" w:right="-108"/>
              <w:jc w:val="center"/>
              <w:rPr>
                <w:rFonts w:ascii="Arial" w:hAnsi="Arial" w:cs="Arial"/>
              </w:rPr>
            </w:pPr>
            <w:r w:rsidRPr="006B7036">
              <w:rPr>
                <w:rFonts w:ascii="Arial" w:hAnsi="Arial" w:cs="Arial"/>
              </w:rPr>
              <w:t>Not Achieved = R</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C2377">
            <w:pPr>
              <w:widowControl w:val="0"/>
              <w:autoSpaceDE w:val="0"/>
              <w:autoSpaceDN w:val="0"/>
              <w:adjustRightInd w:val="0"/>
              <w:jc w:val="center"/>
              <w:rPr>
                <w:rFonts w:ascii="Arial" w:hAnsi="Arial" w:cs="Arial"/>
              </w:rPr>
            </w:pPr>
            <w:r w:rsidRPr="006B7036">
              <w:rPr>
                <w:rFonts w:ascii="Arial" w:hAnsi="Arial" w:cs="Arial"/>
              </w:rPr>
              <w:t>0%</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6C2377">
            <w:pPr>
              <w:widowControl w:val="0"/>
              <w:autoSpaceDE w:val="0"/>
              <w:autoSpaceDN w:val="0"/>
              <w:adjustRightInd w:val="0"/>
              <w:jc w:val="center"/>
              <w:rPr>
                <w:rFonts w:ascii="Arial" w:hAnsi="Arial" w:cs="Arial"/>
              </w:rPr>
            </w:pPr>
            <w:r w:rsidRPr="006B7036">
              <w:rPr>
                <w:rFonts w:ascii="Arial" w:hAnsi="Arial" w:cs="Arial"/>
              </w:rPr>
              <w:t>9.5%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6B7036" w:rsidRPr="006B7036" w:rsidRDefault="006B7036" w:rsidP="00FB6C0A">
            <w:pPr>
              <w:widowControl w:val="0"/>
              <w:autoSpaceDE w:val="0"/>
              <w:autoSpaceDN w:val="0"/>
              <w:adjustRightInd w:val="0"/>
              <w:jc w:val="center"/>
              <w:rPr>
                <w:rFonts w:ascii="Arial" w:hAnsi="Arial" w:cs="Arial"/>
              </w:rPr>
            </w:pPr>
            <w:r w:rsidRPr="006B7036">
              <w:rPr>
                <w:rFonts w:ascii="Arial" w:hAnsi="Arial" w:cs="Arial"/>
              </w:rPr>
              <w:t>6.8%</w:t>
            </w:r>
          </w:p>
        </w:tc>
        <w:tc>
          <w:tcPr>
            <w:tcW w:w="650" w:type="pct"/>
            <w:tcBorders>
              <w:top w:val="single" w:sz="4" w:space="0" w:color="000000"/>
              <w:left w:val="single" w:sz="4" w:space="0" w:color="auto"/>
              <w:bottom w:val="single" w:sz="4" w:space="0" w:color="000000"/>
              <w:right w:val="single" w:sz="4" w:space="0" w:color="000000"/>
            </w:tcBorders>
            <w:vAlign w:val="center"/>
          </w:tcPr>
          <w:p w:rsidR="006B7036" w:rsidRPr="006B7036" w:rsidRDefault="00740D30" w:rsidP="00740D30">
            <w:pPr>
              <w:widowControl w:val="0"/>
              <w:autoSpaceDE w:val="0"/>
              <w:autoSpaceDN w:val="0"/>
              <w:adjustRightInd w:val="0"/>
              <w:ind w:left="-107" w:right="-108"/>
              <w:jc w:val="center"/>
              <w:rPr>
                <w:rFonts w:ascii="Arial" w:hAnsi="Arial" w:cs="Arial"/>
              </w:rPr>
            </w:pPr>
            <w:r w:rsidRPr="006B7036">
              <w:rPr>
                <w:rFonts w:ascii="Arial" w:hAnsi="Arial" w:cs="Arial"/>
              </w:rPr>
              <w:t xml:space="preserve">Monthly </w:t>
            </w:r>
            <w:r>
              <w:rPr>
                <w:rFonts w:ascii="Arial" w:hAnsi="Arial" w:cs="Arial"/>
              </w:rPr>
              <w:t>4</w:t>
            </w:r>
            <w:r w:rsidRPr="006B7036">
              <w:rPr>
                <w:rFonts w:ascii="Arial" w:hAnsi="Arial" w:cs="Arial"/>
              </w:rPr>
              <w:t>% cancellation rate</w:t>
            </w:r>
          </w:p>
        </w:tc>
        <w:tc>
          <w:tcPr>
            <w:tcW w:w="462"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6B7036" w:rsidRPr="006B7036" w:rsidRDefault="006B7036" w:rsidP="00645B24">
            <w:pPr>
              <w:widowControl w:val="0"/>
              <w:autoSpaceDE w:val="0"/>
              <w:autoSpaceDN w:val="0"/>
              <w:adjustRightInd w:val="0"/>
              <w:jc w:val="center"/>
              <w:rPr>
                <w:rFonts w:ascii="Arial" w:hAnsi="Arial" w:cs="Arial"/>
                <w:color w:val="000000"/>
                <w:lang w:eastAsia="en-GB"/>
              </w:rPr>
            </w:pPr>
            <w:r w:rsidRPr="006B7036">
              <w:rPr>
                <w:rFonts w:ascii="Arial" w:hAnsi="Arial" w:cs="Arial"/>
                <w:color w:val="000000"/>
                <w:lang w:eastAsia="en-GB"/>
              </w:rPr>
              <w:sym w:font="Wingdings" w:char="F0F1"/>
            </w:r>
          </w:p>
        </w:tc>
      </w:tr>
      <w:tr w:rsidR="006B7036" w:rsidRPr="000C34A9" w:rsidTr="00645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74"/>
        </w:trPr>
        <w:tc>
          <w:tcPr>
            <w:tcW w:w="5000" w:type="pct"/>
            <w:gridSpan w:val="8"/>
            <w:tcBorders>
              <w:top w:val="single" w:sz="4" w:space="0" w:color="000000"/>
              <w:left w:val="single" w:sz="4" w:space="0" w:color="000000"/>
              <w:bottom w:val="single" w:sz="4" w:space="0" w:color="auto"/>
              <w:right w:val="single" w:sz="4" w:space="0" w:color="000000"/>
            </w:tcBorders>
          </w:tcPr>
          <w:p w:rsidR="006B7036" w:rsidRPr="00740D30" w:rsidRDefault="006B7036" w:rsidP="00645B24">
            <w:pPr>
              <w:autoSpaceDE w:val="0"/>
              <w:autoSpaceDN w:val="0"/>
              <w:spacing w:after="120"/>
              <w:jc w:val="both"/>
              <w:rPr>
                <w:rFonts w:ascii="Arial" w:hAnsi="Arial" w:cs="Arial"/>
                <w:b/>
                <w:iCs/>
                <w:color w:val="000000"/>
              </w:rPr>
            </w:pPr>
            <w:r w:rsidRPr="00740D30">
              <w:rPr>
                <w:rFonts w:ascii="Arial" w:hAnsi="Arial" w:cs="Arial"/>
                <w:b/>
                <w:iCs/>
                <w:color w:val="000000"/>
              </w:rPr>
              <w:t>Analysis</w:t>
            </w:r>
          </w:p>
          <w:p w:rsidR="00EB3DB2" w:rsidRDefault="006B7036" w:rsidP="004E4AEB">
            <w:pPr>
              <w:autoSpaceDE w:val="0"/>
              <w:autoSpaceDN w:val="0"/>
              <w:spacing w:after="120"/>
              <w:jc w:val="both"/>
              <w:rPr>
                <w:rFonts w:ascii="Arial" w:hAnsi="Arial" w:cs="Arial"/>
              </w:rPr>
            </w:pPr>
            <w:r w:rsidRPr="00740D30">
              <w:rPr>
                <w:rFonts w:ascii="Arial" w:hAnsi="Arial" w:cs="Arial"/>
              </w:rPr>
              <w:t>Challenging stretch targets have been set for 2019/20 cancellation rates, aiming to improve our cancellation rates</w:t>
            </w:r>
            <w:r w:rsidR="00970E45">
              <w:rPr>
                <w:rFonts w:ascii="Arial" w:hAnsi="Arial" w:cs="Arial"/>
              </w:rPr>
              <w:t>,</w:t>
            </w:r>
            <w:r w:rsidRPr="00740D30">
              <w:rPr>
                <w:rFonts w:ascii="Arial" w:hAnsi="Arial" w:cs="Arial"/>
              </w:rPr>
              <w:t xml:space="preserve"> which are the lowest in the </w:t>
            </w:r>
            <w:r w:rsidRPr="00EB3DB2">
              <w:rPr>
                <w:rFonts w:ascii="Arial" w:hAnsi="Arial" w:cs="Arial"/>
              </w:rPr>
              <w:t>country.</w:t>
            </w:r>
            <w:r w:rsidR="00CB6D91">
              <w:rPr>
                <w:rFonts w:ascii="Arial" w:hAnsi="Arial" w:cs="Arial"/>
              </w:rPr>
              <w:t xml:space="preserve"> </w:t>
            </w:r>
            <w:r w:rsidR="00EB3DB2" w:rsidRPr="00EB3DB2">
              <w:rPr>
                <w:rFonts w:ascii="Arial" w:hAnsi="Arial" w:cs="Arial"/>
              </w:rPr>
              <w:t>D</w:t>
            </w:r>
            <w:r w:rsidRPr="00EB3DB2">
              <w:rPr>
                <w:rFonts w:ascii="Arial" w:hAnsi="Arial" w:cs="Arial"/>
              </w:rPr>
              <w:t xml:space="preserve">uring </w:t>
            </w:r>
            <w:r w:rsidR="00EB3DB2" w:rsidRPr="00EB3DB2">
              <w:rPr>
                <w:rFonts w:ascii="Arial" w:hAnsi="Arial" w:cs="Arial"/>
              </w:rPr>
              <w:t>April only ophthalmolo</w:t>
            </w:r>
            <w:r w:rsidR="00CB6D91">
              <w:rPr>
                <w:rFonts w:ascii="Arial" w:hAnsi="Arial" w:cs="Arial"/>
              </w:rPr>
              <w:t>gy and plastic surgery met these</w:t>
            </w:r>
            <w:r w:rsidR="00EB3DB2" w:rsidRPr="00EB3DB2">
              <w:rPr>
                <w:rFonts w:ascii="Arial" w:hAnsi="Arial" w:cs="Arial"/>
              </w:rPr>
              <w:t xml:space="preserve"> challenging </w:t>
            </w:r>
            <w:r w:rsidR="00021D0F">
              <w:rPr>
                <w:rFonts w:ascii="Arial" w:hAnsi="Arial" w:cs="Arial"/>
              </w:rPr>
              <w:t xml:space="preserve">improvement </w:t>
            </w:r>
            <w:r w:rsidR="008C6FF1">
              <w:rPr>
                <w:rFonts w:ascii="Arial" w:hAnsi="Arial" w:cs="Arial"/>
              </w:rPr>
              <w:t>targets, with plastic surgery reporting no cancellations from the 43 scheduled procedures during the month.</w:t>
            </w:r>
          </w:p>
          <w:p w:rsidR="006B7036" w:rsidRDefault="00CB6D91" w:rsidP="00CB6D91">
            <w:pPr>
              <w:tabs>
                <w:tab w:val="left" w:pos="360"/>
              </w:tabs>
              <w:ind w:right="386"/>
              <w:rPr>
                <w:rFonts w:ascii="Arial" w:hAnsi="Arial" w:cs="Arial"/>
              </w:rPr>
            </w:pPr>
            <w:r w:rsidRPr="00CB6D91">
              <w:rPr>
                <w:rFonts w:ascii="Arial" w:hAnsi="Arial" w:cs="Arial"/>
              </w:rPr>
              <w:t xml:space="preserve">There were 17 cardiac surgery cancellations during </w:t>
            </w:r>
            <w:proofErr w:type="gramStart"/>
            <w:r w:rsidRPr="00CB6D91">
              <w:rPr>
                <w:rFonts w:ascii="Arial" w:hAnsi="Arial" w:cs="Arial"/>
              </w:rPr>
              <w:t>April,</w:t>
            </w:r>
            <w:proofErr w:type="gramEnd"/>
            <w:r w:rsidRPr="00CB6D91">
              <w:rPr>
                <w:rFonts w:ascii="Arial" w:hAnsi="Arial" w:cs="Arial"/>
              </w:rPr>
              <w:t xml:space="preserve"> this was an increase of two on March. Six of the cancellations were due to the patient not being fit and a further six of the cancellations were due to a lack of operating time. During April there were 12 thoracic surgery cancellations, an increase of one on March. Four of the cancellations were due to a lack of operating time with a further four due to the patient not being fit. There were 18 endoscopy cancellations in April; eight of the cancellations were related to patient attendance for appointments.</w:t>
            </w:r>
            <w:r w:rsidR="008C6FF1">
              <w:rPr>
                <w:rFonts w:ascii="Arial" w:hAnsi="Arial" w:cs="Arial"/>
              </w:rPr>
              <w:t xml:space="preserve"> </w:t>
            </w:r>
            <w:r w:rsidR="001A27D8">
              <w:rPr>
                <w:rFonts w:ascii="Arial" w:hAnsi="Arial" w:cs="Arial"/>
              </w:rPr>
              <w:t>A campaign with the aim of reducing the number of patients who do not attend for their endoscopy procedures has started.</w:t>
            </w:r>
            <w:r w:rsidRPr="00CB6D91">
              <w:rPr>
                <w:rFonts w:ascii="Arial" w:hAnsi="Arial" w:cs="Arial"/>
              </w:rPr>
              <w:t xml:space="preserve"> Seven general surgery procedures were cancelled in April; an improvement of three on the ten cancellations in March. Four of the seven cancellations in April were due to the procedure not being required. There were 13 orthopaedic cancellations during April, one fewer than in March. Reduced activity in April has resulted in an increase in the cancellation rate</w:t>
            </w:r>
            <w:r w:rsidR="00C5430D">
              <w:rPr>
                <w:rFonts w:ascii="Arial" w:hAnsi="Arial" w:cs="Arial"/>
              </w:rPr>
              <w:t xml:space="preserve"> overall</w:t>
            </w:r>
            <w:r w:rsidRPr="00CB6D91">
              <w:rPr>
                <w:rFonts w:ascii="Arial" w:hAnsi="Arial" w:cs="Arial"/>
              </w:rPr>
              <w:t xml:space="preserve">.  The most common orthopaedic cancellation reason in April was due to the patient not being fit. During April three cardiology procedures were cancelled, a reduction of one compared to March. All of the </w:t>
            </w:r>
            <w:r>
              <w:rPr>
                <w:rFonts w:ascii="Arial" w:hAnsi="Arial" w:cs="Arial"/>
              </w:rPr>
              <w:t xml:space="preserve">cardiology </w:t>
            </w:r>
            <w:r w:rsidRPr="00CB6D91">
              <w:rPr>
                <w:rFonts w:ascii="Arial" w:hAnsi="Arial" w:cs="Arial"/>
              </w:rPr>
              <w:t>cancellations in April were due to the patients not being fit.</w:t>
            </w:r>
          </w:p>
          <w:p w:rsidR="00CB6D91" w:rsidRPr="00CB6D91" w:rsidRDefault="00CB6D91" w:rsidP="00CB6D91">
            <w:pPr>
              <w:tabs>
                <w:tab w:val="left" w:pos="360"/>
              </w:tabs>
              <w:ind w:right="386"/>
              <w:rPr>
                <w:rFonts w:ascii="Arial" w:hAnsi="Arial" w:cs="Arial"/>
              </w:rPr>
            </w:pPr>
          </w:p>
        </w:tc>
      </w:tr>
    </w:tbl>
    <w:p w:rsidR="00942565" w:rsidRDefault="0094256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0"/>
        <w:gridCol w:w="848"/>
        <w:gridCol w:w="1959"/>
        <w:gridCol w:w="2157"/>
        <w:gridCol w:w="425"/>
        <w:gridCol w:w="709"/>
        <w:gridCol w:w="706"/>
        <w:gridCol w:w="286"/>
        <w:gridCol w:w="856"/>
        <w:gridCol w:w="278"/>
        <w:gridCol w:w="1004"/>
        <w:gridCol w:w="128"/>
        <w:gridCol w:w="1287"/>
        <w:gridCol w:w="28"/>
        <w:gridCol w:w="1553"/>
      </w:tblGrid>
      <w:tr w:rsidR="00942565" w:rsidRPr="006C2377" w:rsidTr="00942565">
        <w:tc>
          <w:tcPr>
            <w:tcW w:w="5000" w:type="pct"/>
            <w:gridSpan w:val="15"/>
          </w:tcPr>
          <w:p w:rsidR="00942565" w:rsidRPr="006C2377" w:rsidRDefault="00942565" w:rsidP="00942565">
            <w:pPr>
              <w:rPr>
                <w:rFonts w:ascii="Arial" w:hAnsi="Arial" w:cs="Arial"/>
                <w:b/>
                <w:bCs/>
                <w:lang w:eastAsia="en-GB"/>
              </w:rPr>
            </w:pPr>
            <w:r w:rsidRPr="006C2377">
              <w:rPr>
                <w:rFonts w:ascii="Arial" w:hAnsi="Arial" w:cs="Arial"/>
                <w:b/>
                <w:bCs/>
                <w:lang w:eastAsia="en-GB"/>
              </w:rPr>
              <w:lastRenderedPageBreak/>
              <w:t>Effective                                                                                                                    Board Performance update – June 2019</w:t>
            </w:r>
          </w:p>
        </w:tc>
      </w:tr>
      <w:tr w:rsidR="00021313" w:rsidRPr="000C34A9" w:rsidTr="008B6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blHeader/>
        </w:trPr>
        <w:tc>
          <w:tcPr>
            <w:tcW w:w="68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021313" w:rsidRPr="002D42EF" w:rsidRDefault="00021313" w:rsidP="008C4142">
            <w:pPr>
              <w:widowControl w:val="0"/>
              <w:autoSpaceDE w:val="0"/>
              <w:autoSpaceDN w:val="0"/>
              <w:adjustRightInd w:val="0"/>
              <w:rPr>
                <w:rFonts w:ascii="Arial" w:hAnsi="Arial" w:cs="Arial"/>
                <w:color w:val="000000"/>
                <w:lang w:eastAsia="en-GB"/>
              </w:rPr>
            </w:pPr>
            <w:r w:rsidRPr="002D42EF">
              <w:rPr>
                <w:rFonts w:ascii="Arial" w:hAnsi="Arial" w:cs="Arial"/>
                <w:color w:val="000000"/>
                <w:lang w:eastAsia="en-GB"/>
              </w:rPr>
              <w:t>KPI</w:t>
            </w:r>
          </w:p>
        </w:tc>
        <w:tc>
          <w:tcPr>
            <w:tcW w:w="99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021313" w:rsidRPr="002D42EF" w:rsidRDefault="00021313" w:rsidP="008C4142">
            <w:pPr>
              <w:widowControl w:val="0"/>
              <w:autoSpaceDE w:val="0"/>
              <w:autoSpaceDN w:val="0"/>
              <w:adjustRightInd w:val="0"/>
              <w:rPr>
                <w:rFonts w:ascii="Arial" w:hAnsi="Arial" w:cs="Arial"/>
                <w:color w:val="000000"/>
                <w:lang w:eastAsia="en-GB"/>
              </w:rPr>
            </w:pPr>
            <w:r w:rsidRPr="002D42EF">
              <w:rPr>
                <w:rFonts w:ascii="Arial" w:hAnsi="Arial" w:cs="Arial"/>
                <w:color w:val="000000"/>
                <w:lang w:eastAsia="en-GB"/>
              </w:rPr>
              <w:t>Details</w:t>
            </w:r>
          </w:p>
        </w:tc>
        <w:tc>
          <w:tcPr>
            <w:tcW w:w="911" w:type="pct"/>
            <w:gridSpan w:val="2"/>
            <w:tcBorders>
              <w:top w:val="single" w:sz="4" w:space="0" w:color="000000"/>
              <w:left w:val="single" w:sz="4" w:space="0" w:color="000000"/>
              <w:bottom w:val="single" w:sz="4" w:space="0" w:color="000000"/>
              <w:right w:val="single" w:sz="4" w:space="0" w:color="auto"/>
            </w:tcBorders>
            <w:shd w:val="clear" w:color="auto" w:fill="D9D9D9"/>
            <w:vAlign w:val="center"/>
          </w:tcPr>
          <w:p w:rsidR="00021313" w:rsidRPr="002D42EF" w:rsidRDefault="00021313" w:rsidP="008C4142">
            <w:pPr>
              <w:jc w:val="center"/>
              <w:rPr>
                <w:rFonts w:ascii="Arial" w:hAnsi="Arial" w:cs="Arial"/>
              </w:rPr>
            </w:pPr>
            <w:r w:rsidRPr="002D42EF">
              <w:rPr>
                <w:rFonts w:ascii="Arial" w:hAnsi="Arial" w:cs="Arial"/>
              </w:rPr>
              <w:t>Tolerance</w:t>
            </w:r>
          </w:p>
        </w:tc>
        <w:tc>
          <w:tcPr>
            <w:tcW w:w="499" w:type="pct"/>
            <w:gridSpan w:val="2"/>
            <w:tcBorders>
              <w:top w:val="single" w:sz="4" w:space="0" w:color="auto"/>
              <w:left w:val="single" w:sz="4" w:space="0" w:color="auto"/>
              <w:bottom w:val="single" w:sz="4" w:space="0" w:color="auto"/>
              <w:right w:val="single" w:sz="4" w:space="0" w:color="auto"/>
            </w:tcBorders>
            <w:shd w:val="clear" w:color="auto" w:fill="D9D9D9"/>
          </w:tcPr>
          <w:p w:rsidR="00021313" w:rsidRPr="002D42EF" w:rsidRDefault="00021313" w:rsidP="00021313">
            <w:pPr>
              <w:widowControl w:val="0"/>
              <w:autoSpaceDE w:val="0"/>
              <w:autoSpaceDN w:val="0"/>
              <w:adjustRightInd w:val="0"/>
              <w:jc w:val="center"/>
              <w:rPr>
                <w:rFonts w:ascii="Arial" w:hAnsi="Arial" w:cs="Arial"/>
                <w:color w:val="000000"/>
                <w:lang w:eastAsia="en-GB"/>
              </w:rPr>
            </w:pPr>
            <w:r w:rsidRPr="002D42EF">
              <w:rPr>
                <w:rFonts w:ascii="Arial" w:hAnsi="Arial" w:cs="Arial"/>
                <w:color w:val="000000"/>
                <w:lang w:eastAsia="en-GB"/>
              </w:rPr>
              <w:t>Feb 2019</w:t>
            </w:r>
          </w:p>
        </w:tc>
        <w:tc>
          <w:tcPr>
            <w:tcW w:w="403" w:type="pct"/>
            <w:gridSpan w:val="2"/>
            <w:tcBorders>
              <w:top w:val="single" w:sz="4" w:space="0" w:color="auto"/>
              <w:left w:val="single" w:sz="4" w:space="0" w:color="auto"/>
              <w:bottom w:val="single" w:sz="4" w:space="0" w:color="auto"/>
              <w:right w:val="single" w:sz="4" w:space="0" w:color="auto"/>
            </w:tcBorders>
            <w:shd w:val="clear" w:color="auto" w:fill="D9D9D9"/>
          </w:tcPr>
          <w:p w:rsidR="00021313" w:rsidRPr="002D42EF" w:rsidRDefault="00021313" w:rsidP="00021313">
            <w:pPr>
              <w:widowControl w:val="0"/>
              <w:autoSpaceDE w:val="0"/>
              <w:autoSpaceDN w:val="0"/>
              <w:adjustRightInd w:val="0"/>
              <w:jc w:val="center"/>
              <w:rPr>
                <w:rFonts w:ascii="Arial" w:hAnsi="Arial" w:cs="Arial"/>
                <w:color w:val="000000"/>
                <w:lang w:eastAsia="en-GB"/>
              </w:rPr>
            </w:pPr>
            <w:r w:rsidRPr="002D42EF">
              <w:rPr>
                <w:rFonts w:ascii="Arial" w:hAnsi="Arial" w:cs="Arial"/>
                <w:color w:val="000000"/>
                <w:lang w:eastAsia="en-GB"/>
              </w:rPr>
              <w:t>Mar 2019</w:t>
            </w:r>
          </w:p>
        </w:tc>
        <w:tc>
          <w:tcPr>
            <w:tcW w:w="452" w:type="pct"/>
            <w:gridSpan w:val="2"/>
            <w:tcBorders>
              <w:top w:val="single" w:sz="4" w:space="0" w:color="auto"/>
              <w:left w:val="single" w:sz="4" w:space="0" w:color="auto"/>
              <w:bottom w:val="single" w:sz="4" w:space="0" w:color="auto"/>
              <w:right w:val="single" w:sz="4" w:space="0" w:color="auto"/>
            </w:tcBorders>
            <w:shd w:val="clear" w:color="auto" w:fill="D9D9D9"/>
          </w:tcPr>
          <w:p w:rsidR="00021313" w:rsidRPr="002D42EF" w:rsidRDefault="00021313" w:rsidP="00021313">
            <w:pPr>
              <w:widowControl w:val="0"/>
              <w:autoSpaceDE w:val="0"/>
              <w:autoSpaceDN w:val="0"/>
              <w:adjustRightInd w:val="0"/>
              <w:jc w:val="center"/>
              <w:rPr>
                <w:rFonts w:ascii="Arial" w:hAnsi="Arial" w:cs="Arial"/>
                <w:color w:val="000000"/>
                <w:lang w:eastAsia="en-GB"/>
              </w:rPr>
            </w:pPr>
            <w:r w:rsidRPr="002D42EF">
              <w:rPr>
                <w:rFonts w:ascii="Arial" w:hAnsi="Arial" w:cs="Arial"/>
                <w:color w:val="000000"/>
                <w:lang w:eastAsia="en-GB"/>
              </w:rPr>
              <w:t>Apr 2019</w:t>
            </w:r>
          </w:p>
        </w:tc>
        <w:tc>
          <w:tcPr>
            <w:tcW w:w="509" w:type="pct"/>
            <w:gridSpan w:val="3"/>
            <w:tcBorders>
              <w:top w:val="single" w:sz="4" w:space="0" w:color="000000"/>
              <w:left w:val="single" w:sz="4" w:space="0" w:color="auto"/>
              <w:bottom w:val="single" w:sz="4" w:space="0" w:color="000000"/>
              <w:right w:val="single" w:sz="4" w:space="0" w:color="000000"/>
            </w:tcBorders>
            <w:shd w:val="clear" w:color="auto" w:fill="D9D9D9"/>
            <w:vAlign w:val="center"/>
          </w:tcPr>
          <w:p w:rsidR="00021313" w:rsidRPr="002D42EF" w:rsidRDefault="00021313" w:rsidP="008C4142">
            <w:pPr>
              <w:widowControl w:val="0"/>
              <w:autoSpaceDE w:val="0"/>
              <w:autoSpaceDN w:val="0"/>
              <w:adjustRightInd w:val="0"/>
              <w:jc w:val="center"/>
              <w:rPr>
                <w:rFonts w:ascii="Arial" w:hAnsi="Arial" w:cs="Arial"/>
                <w:color w:val="000000"/>
                <w:lang w:eastAsia="en-GB"/>
              </w:rPr>
            </w:pPr>
            <w:r w:rsidRPr="002D42EF">
              <w:rPr>
                <w:rFonts w:ascii="Arial" w:hAnsi="Arial" w:cs="Arial"/>
                <w:color w:val="000000"/>
                <w:lang w:eastAsia="en-GB"/>
              </w:rPr>
              <w:t>Target</w:t>
            </w:r>
          </w:p>
        </w:tc>
        <w:tc>
          <w:tcPr>
            <w:tcW w:w="54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021313" w:rsidRPr="002D42EF" w:rsidRDefault="00021313" w:rsidP="008C4142">
            <w:pPr>
              <w:widowControl w:val="0"/>
              <w:autoSpaceDE w:val="0"/>
              <w:autoSpaceDN w:val="0"/>
              <w:adjustRightInd w:val="0"/>
              <w:jc w:val="center"/>
              <w:rPr>
                <w:rFonts w:ascii="Arial" w:hAnsi="Arial" w:cs="Arial"/>
                <w:lang w:eastAsia="en-GB"/>
              </w:rPr>
            </w:pPr>
            <w:r w:rsidRPr="002D42EF">
              <w:rPr>
                <w:rFonts w:ascii="Arial" w:hAnsi="Arial" w:cs="Arial"/>
                <w:lang w:eastAsia="en-GB"/>
              </w:rPr>
              <w:t>On Track</w:t>
            </w:r>
          </w:p>
        </w:tc>
      </w:tr>
      <w:tr w:rsidR="00021313" w:rsidRPr="000C34A9" w:rsidTr="008B6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688" w:type="pct"/>
            <w:tcBorders>
              <w:top w:val="single" w:sz="4" w:space="0" w:color="000000"/>
              <w:left w:val="single" w:sz="4" w:space="0" w:color="000000"/>
              <w:right w:val="single" w:sz="4" w:space="0" w:color="000000"/>
            </w:tcBorders>
          </w:tcPr>
          <w:p w:rsidR="00021313" w:rsidRPr="002D42EF" w:rsidRDefault="00021313" w:rsidP="008C4142">
            <w:pPr>
              <w:widowControl w:val="0"/>
              <w:autoSpaceDE w:val="0"/>
              <w:autoSpaceDN w:val="0"/>
              <w:adjustRightInd w:val="0"/>
              <w:rPr>
                <w:rFonts w:ascii="Arial" w:hAnsi="Arial" w:cs="Arial"/>
                <w:color w:val="000000"/>
                <w:lang w:eastAsia="en-GB"/>
              </w:rPr>
            </w:pPr>
            <w:r w:rsidRPr="002D42EF">
              <w:rPr>
                <w:rFonts w:ascii="Arial" w:hAnsi="Arial" w:cs="Arial"/>
              </w:rPr>
              <w:t>Treatment Time Guarantee (TTG)</w:t>
            </w:r>
          </w:p>
        </w:tc>
        <w:tc>
          <w:tcPr>
            <w:tcW w:w="990" w:type="pct"/>
            <w:gridSpan w:val="2"/>
            <w:tcBorders>
              <w:top w:val="single" w:sz="4" w:space="0" w:color="000000"/>
              <w:left w:val="single" w:sz="4" w:space="0" w:color="000000"/>
              <w:bottom w:val="single" w:sz="4" w:space="0" w:color="000000"/>
              <w:right w:val="single" w:sz="4" w:space="0" w:color="000000"/>
            </w:tcBorders>
          </w:tcPr>
          <w:p w:rsidR="00021313" w:rsidRPr="002D42EF" w:rsidRDefault="00021313" w:rsidP="008C4142">
            <w:pPr>
              <w:rPr>
                <w:rFonts w:ascii="Arial" w:hAnsi="Arial" w:cs="Arial"/>
              </w:rPr>
            </w:pPr>
            <w:r w:rsidRPr="002D42EF">
              <w:rPr>
                <w:rFonts w:ascii="Arial" w:hAnsi="Arial" w:cs="Arial"/>
              </w:rPr>
              <w:t>Percentage of patients admitted within 12 weeks</w:t>
            </w:r>
          </w:p>
        </w:tc>
        <w:tc>
          <w:tcPr>
            <w:tcW w:w="911" w:type="pct"/>
            <w:gridSpan w:val="2"/>
            <w:tcBorders>
              <w:top w:val="single" w:sz="4" w:space="0" w:color="000000"/>
              <w:left w:val="single" w:sz="4" w:space="0" w:color="000000"/>
              <w:bottom w:val="single" w:sz="4" w:space="0" w:color="000000"/>
              <w:right w:val="single" w:sz="4" w:space="0" w:color="auto"/>
            </w:tcBorders>
            <w:vAlign w:val="center"/>
          </w:tcPr>
          <w:p w:rsidR="00021313" w:rsidRPr="002D42EF" w:rsidRDefault="00021313" w:rsidP="008C2ADF">
            <w:pPr>
              <w:widowControl w:val="0"/>
              <w:autoSpaceDE w:val="0"/>
              <w:autoSpaceDN w:val="0"/>
              <w:adjustRightInd w:val="0"/>
              <w:ind w:left="-107" w:right="-108"/>
              <w:jc w:val="center"/>
              <w:rPr>
                <w:rFonts w:ascii="Arial" w:hAnsi="Arial" w:cs="Arial"/>
              </w:rPr>
            </w:pPr>
            <w:r w:rsidRPr="002D42EF">
              <w:rPr>
                <w:rFonts w:ascii="Arial" w:hAnsi="Arial" w:cs="Arial"/>
              </w:rPr>
              <w:t>100% = Green</w:t>
            </w:r>
          </w:p>
          <w:p w:rsidR="00021313" w:rsidRPr="002D42EF" w:rsidRDefault="00021313" w:rsidP="008C2ADF">
            <w:pPr>
              <w:widowControl w:val="0"/>
              <w:autoSpaceDE w:val="0"/>
              <w:autoSpaceDN w:val="0"/>
              <w:adjustRightInd w:val="0"/>
              <w:ind w:left="-107" w:right="-108"/>
              <w:jc w:val="center"/>
              <w:rPr>
                <w:rFonts w:ascii="Arial" w:hAnsi="Arial" w:cs="Arial"/>
              </w:rPr>
            </w:pPr>
            <w:r w:rsidRPr="002D42EF">
              <w:rPr>
                <w:rFonts w:ascii="Arial" w:hAnsi="Arial" w:cs="Arial"/>
              </w:rPr>
              <w:t>95-99.9% = Amber</w:t>
            </w:r>
          </w:p>
          <w:p w:rsidR="00021313" w:rsidRPr="002D42EF" w:rsidRDefault="00021313" w:rsidP="008C2ADF">
            <w:pPr>
              <w:widowControl w:val="0"/>
              <w:autoSpaceDE w:val="0"/>
              <w:autoSpaceDN w:val="0"/>
              <w:adjustRightInd w:val="0"/>
              <w:ind w:left="-107" w:right="-108"/>
              <w:jc w:val="center"/>
              <w:rPr>
                <w:rFonts w:ascii="Arial" w:hAnsi="Arial" w:cs="Arial"/>
              </w:rPr>
            </w:pPr>
            <w:r w:rsidRPr="002D42EF">
              <w:rPr>
                <w:rFonts w:ascii="Arial" w:hAnsi="Arial" w:cs="Arial"/>
              </w:rPr>
              <w:t>≤94.9% = Red</w:t>
            </w:r>
          </w:p>
        </w:tc>
        <w:tc>
          <w:tcPr>
            <w:tcW w:w="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1313" w:rsidRPr="002D42EF" w:rsidRDefault="00021313" w:rsidP="00021313">
            <w:pPr>
              <w:widowControl w:val="0"/>
              <w:autoSpaceDE w:val="0"/>
              <w:autoSpaceDN w:val="0"/>
              <w:adjustRightInd w:val="0"/>
              <w:jc w:val="center"/>
              <w:rPr>
                <w:rFonts w:ascii="Arial" w:hAnsi="Arial" w:cs="Arial"/>
              </w:rPr>
            </w:pPr>
            <w:r w:rsidRPr="002D42EF">
              <w:rPr>
                <w:rFonts w:ascii="Arial" w:hAnsi="Arial" w:cs="Arial"/>
              </w:rPr>
              <w:t>90.7%</w:t>
            </w:r>
          </w:p>
        </w:tc>
        <w:tc>
          <w:tcPr>
            <w:tcW w:w="4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1313" w:rsidRPr="002D42EF" w:rsidRDefault="00021313" w:rsidP="00E62EBA">
            <w:pPr>
              <w:widowControl w:val="0"/>
              <w:autoSpaceDE w:val="0"/>
              <w:autoSpaceDN w:val="0"/>
              <w:adjustRightInd w:val="0"/>
              <w:jc w:val="center"/>
              <w:rPr>
                <w:rFonts w:ascii="Arial" w:hAnsi="Arial" w:cs="Arial"/>
              </w:rPr>
            </w:pPr>
            <w:r w:rsidRPr="002D42EF">
              <w:rPr>
                <w:rFonts w:ascii="Arial" w:hAnsi="Arial" w:cs="Arial"/>
              </w:rPr>
              <w:t>93.5%</w:t>
            </w:r>
          </w:p>
        </w:tc>
        <w:tc>
          <w:tcPr>
            <w:tcW w:w="4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1313" w:rsidRPr="002D42EF" w:rsidRDefault="00021313" w:rsidP="005A7432">
            <w:pPr>
              <w:widowControl w:val="0"/>
              <w:autoSpaceDE w:val="0"/>
              <w:autoSpaceDN w:val="0"/>
              <w:adjustRightInd w:val="0"/>
              <w:jc w:val="center"/>
              <w:rPr>
                <w:rFonts w:ascii="Arial" w:hAnsi="Arial" w:cs="Arial"/>
              </w:rPr>
            </w:pPr>
            <w:r w:rsidRPr="002D42EF">
              <w:rPr>
                <w:rFonts w:ascii="Arial" w:hAnsi="Arial" w:cs="Arial"/>
              </w:rPr>
              <w:t>93.4%</w:t>
            </w:r>
          </w:p>
        </w:tc>
        <w:tc>
          <w:tcPr>
            <w:tcW w:w="509" w:type="pct"/>
            <w:gridSpan w:val="3"/>
            <w:tcBorders>
              <w:top w:val="single" w:sz="4" w:space="0" w:color="000000"/>
              <w:left w:val="single" w:sz="4" w:space="0" w:color="auto"/>
              <w:bottom w:val="single" w:sz="4" w:space="0" w:color="000000"/>
              <w:right w:val="single" w:sz="4" w:space="0" w:color="000000"/>
            </w:tcBorders>
            <w:vAlign w:val="center"/>
          </w:tcPr>
          <w:p w:rsidR="00021313" w:rsidRPr="002D42EF" w:rsidRDefault="00021313" w:rsidP="008C4142">
            <w:pPr>
              <w:ind w:left="-49" w:right="-108" w:hanging="60"/>
              <w:jc w:val="center"/>
              <w:rPr>
                <w:rFonts w:ascii="Arial" w:hAnsi="Arial" w:cs="Arial"/>
                <w:color w:val="000000"/>
                <w:lang w:eastAsia="en-GB"/>
              </w:rPr>
            </w:pPr>
            <w:r w:rsidRPr="002D42EF">
              <w:rPr>
                <w:rFonts w:ascii="Arial" w:hAnsi="Arial" w:cs="Arial"/>
                <w:color w:val="000000"/>
                <w:lang w:eastAsia="en-GB"/>
              </w:rPr>
              <w:t>0</w:t>
            </w:r>
          </w:p>
        </w:tc>
        <w:tc>
          <w:tcPr>
            <w:tcW w:w="548" w:type="pct"/>
            <w:tcBorders>
              <w:top w:val="single" w:sz="4" w:space="0" w:color="000000"/>
              <w:left w:val="single" w:sz="4" w:space="0" w:color="000000"/>
              <w:bottom w:val="single" w:sz="4" w:space="0" w:color="000000"/>
              <w:right w:val="single" w:sz="4" w:space="0" w:color="000000"/>
            </w:tcBorders>
            <w:shd w:val="clear" w:color="auto" w:fill="FF0000"/>
            <w:vAlign w:val="center"/>
          </w:tcPr>
          <w:p w:rsidR="00021313" w:rsidRPr="002D42EF" w:rsidRDefault="00021313" w:rsidP="008C4142">
            <w:pPr>
              <w:widowControl w:val="0"/>
              <w:autoSpaceDE w:val="0"/>
              <w:autoSpaceDN w:val="0"/>
              <w:adjustRightInd w:val="0"/>
              <w:jc w:val="center"/>
              <w:rPr>
                <w:rFonts w:ascii="Arial" w:hAnsi="Arial" w:cs="Arial"/>
                <w:lang w:eastAsia="en-GB"/>
              </w:rPr>
            </w:pPr>
            <w:r w:rsidRPr="002D42EF">
              <w:rPr>
                <w:rFonts w:ascii="Arial" w:hAnsi="Arial" w:cs="Arial"/>
                <w:lang w:eastAsia="en-GB"/>
              </w:rPr>
              <w:sym w:font="Wingdings" w:char="F0F2"/>
            </w:r>
          </w:p>
        </w:tc>
      </w:tr>
      <w:tr w:rsidR="006B7036" w:rsidRPr="000C34A9" w:rsidTr="00F34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5000" w:type="pct"/>
            <w:gridSpan w:val="15"/>
            <w:tcBorders>
              <w:top w:val="single" w:sz="4" w:space="0" w:color="000000"/>
              <w:left w:val="single" w:sz="4" w:space="0" w:color="000000"/>
              <w:bottom w:val="single" w:sz="4" w:space="0" w:color="000000"/>
              <w:right w:val="single" w:sz="4" w:space="0" w:color="000000"/>
            </w:tcBorders>
          </w:tcPr>
          <w:p w:rsidR="006B7036" w:rsidRPr="002D42EF" w:rsidRDefault="006B7036" w:rsidP="007020FC">
            <w:pPr>
              <w:autoSpaceDE w:val="0"/>
              <w:autoSpaceDN w:val="0"/>
              <w:spacing w:after="120"/>
              <w:rPr>
                <w:rFonts w:ascii="Arial" w:hAnsi="Arial" w:cs="Arial"/>
                <w:b/>
                <w:iCs/>
                <w:color w:val="000000"/>
              </w:rPr>
            </w:pPr>
            <w:r w:rsidRPr="002D42EF">
              <w:rPr>
                <w:rFonts w:ascii="Arial" w:hAnsi="Arial" w:cs="Arial"/>
                <w:b/>
                <w:iCs/>
                <w:color w:val="000000"/>
              </w:rPr>
              <w:t>Analysis</w:t>
            </w:r>
          </w:p>
          <w:p w:rsidR="006B7036" w:rsidRPr="000C34A9" w:rsidRDefault="00021313" w:rsidP="00942565">
            <w:pPr>
              <w:tabs>
                <w:tab w:val="left" w:pos="360"/>
              </w:tabs>
              <w:ind w:right="386"/>
              <w:rPr>
                <w:rFonts w:ascii="Arial" w:hAnsi="Arial" w:cs="Arial"/>
                <w:highlight w:val="yellow"/>
              </w:rPr>
            </w:pPr>
            <w:r w:rsidRPr="00FE6D3A">
              <w:rPr>
                <w:rFonts w:ascii="Arial" w:hAnsi="Arial" w:cs="Arial"/>
              </w:rPr>
              <w:t xml:space="preserve">In April 1,273 </w:t>
            </w:r>
            <w:r>
              <w:rPr>
                <w:rFonts w:ascii="Arial" w:hAnsi="Arial" w:cs="Arial"/>
              </w:rPr>
              <w:t xml:space="preserve">(93.4%) </w:t>
            </w:r>
            <w:r w:rsidRPr="00FE6D3A">
              <w:rPr>
                <w:rFonts w:ascii="Arial" w:hAnsi="Arial" w:cs="Arial"/>
              </w:rPr>
              <w:t>patients were treated within 12 weeks.</w:t>
            </w:r>
            <w:r>
              <w:rPr>
                <w:rFonts w:ascii="Arial" w:hAnsi="Arial" w:cs="Arial"/>
              </w:rPr>
              <w:t xml:space="preserve"> Ten fewer patients (90) were treated over the 12 weeks TTG in April than in March however reduced activity due to public holidays in April did see the percentage treated reduce </w:t>
            </w:r>
            <w:r w:rsidR="00C5430D">
              <w:rPr>
                <w:rFonts w:ascii="Arial" w:hAnsi="Arial" w:cs="Arial"/>
              </w:rPr>
              <w:t xml:space="preserve">very </w:t>
            </w:r>
            <w:r>
              <w:rPr>
                <w:rFonts w:ascii="Arial" w:hAnsi="Arial" w:cs="Arial"/>
              </w:rPr>
              <w:t xml:space="preserve">slightly (by 0.1%). </w:t>
            </w:r>
            <w:r w:rsidR="006B7036" w:rsidRPr="002D42EF">
              <w:rPr>
                <w:rFonts w:ascii="Arial" w:hAnsi="Arial" w:cs="Arial"/>
              </w:rPr>
              <w:t xml:space="preserve">The patients treated beyond their 12 week guarantee date were comprised of </w:t>
            </w:r>
            <w:r w:rsidR="002D42EF" w:rsidRPr="002D42EF">
              <w:rPr>
                <w:rFonts w:ascii="Arial" w:hAnsi="Arial" w:cs="Arial"/>
              </w:rPr>
              <w:t>33</w:t>
            </w:r>
            <w:r w:rsidR="006B7036" w:rsidRPr="002D42EF">
              <w:rPr>
                <w:rFonts w:ascii="Arial" w:hAnsi="Arial" w:cs="Arial"/>
              </w:rPr>
              <w:t xml:space="preserve"> coronary, 3</w:t>
            </w:r>
            <w:r w:rsidR="002D42EF" w:rsidRPr="002D42EF">
              <w:rPr>
                <w:rFonts w:ascii="Arial" w:hAnsi="Arial" w:cs="Arial"/>
              </w:rPr>
              <w:t>4</w:t>
            </w:r>
            <w:r w:rsidR="006B7036" w:rsidRPr="002D42EF">
              <w:rPr>
                <w:rFonts w:ascii="Arial" w:hAnsi="Arial" w:cs="Arial"/>
              </w:rPr>
              <w:t xml:space="preserve"> electrophysiology, </w:t>
            </w:r>
            <w:r w:rsidR="002D42EF" w:rsidRPr="002D42EF">
              <w:rPr>
                <w:rFonts w:ascii="Arial" w:hAnsi="Arial" w:cs="Arial"/>
              </w:rPr>
              <w:t xml:space="preserve">four device </w:t>
            </w:r>
            <w:r w:rsidR="006B7036" w:rsidRPr="002D42EF">
              <w:rPr>
                <w:rFonts w:ascii="Arial" w:hAnsi="Arial" w:cs="Arial"/>
              </w:rPr>
              <w:t xml:space="preserve">and </w:t>
            </w:r>
            <w:r w:rsidR="002D42EF" w:rsidRPr="002D42EF">
              <w:rPr>
                <w:rFonts w:ascii="Arial" w:hAnsi="Arial" w:cs="Arial"/>
              </w:rPr>
              <w:t xml:space="preserve">19 </w:t>
            </w:r>
            <w:r w:rsidR="006B7036" w:rsidRPr="002D42EF">
              <w:rPr>
                <w:rFonts w:ascii="Arial" w:hAnsi="Arial" w:cs="Arial"/>
              </w:rPr>
              <w:t>cardiac surgery patients.</w:t>
            </w:r>
          </w:p>
        </w:tc>
      </w:tr>
      <w:tr w:rsidR="00CB6D91" w:rsidRPr="000C34A9" w:rsidTr="005A7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98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B6D91" w:rsidRPr="00CB6D91" w:rsidRDefault="00CB6D91" w:rsidP="007A4EC7">
            <w:pPr>
              <w:widowControl w:val="0"/>
              <w:autoSpaceDE w:val="0"/>
              <w:autoSpaceDN w:val="0"/>
              <w:adjustRightInd w:val="0"/>
              <w:rPr>
                <w:rFonts w:ascii="Arial" w:hAnsi="Arial" w:cs="Arial"/>
                <w:color w:val="000000"/>
                <w:lang w:eastAsia="en-GB"/>
              </w:rPr>
            </w:pPr>
            <w:r w:rsidRPr="00CB6D91">
              <w:rPr>
                <w:rFonts w:ascii="Arial" w:hAnsi="Arial" w:cs="Arial"/>
                <w:color w:val="000000"/>
                <w:lang w:eastAsia="en-GB"/>
              </w:rPr>
              <w:t>KPI</w:t>
            </w:r>
          </w:p>
        </w:tc>
        <w:tc>
          <w:tcPr>
            <w:tcW w:w="1452"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B6D91" w:rsidRPr="00CB6D91" w:rsidRDefault="00CB6D91" w:rsidP="007A4EC7">
            <w:pPr>
              <w:jc w:val="center"/>
              <w:rPr>
                <w:rFonts w:ascii="Arial" w:hAnsi="Arial" w:cs="Arial"/>
              </w:rPr>
            </w:pPr>
            <w:r w:rsidRPr="00CB6D91">
              <w:rPr>
                <w:rFonts w:ascii="Arial" w:hAnsi="Arial" w:cs="Arial"/>
                <w:color w:val="000000"/>
                <w:lang w:eastAsia="en-GB"/>
              </w:rPr>
              <w:t>Details</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D9D9D9"/>
          </w:tcPr>
          <w:p w:rsidR="00CB6D91" w:rsidRPr="00CB6D91" w:rsidRDefault="00CB6D91" w:rsidP="00CB6D91">
            <w:pPr>
              <w:widowControl w:val="0"/>
              <w:autoSpaceDE w:val="0"/>
              <w:autoSpaceDN w:val="0"/>
              <w:adjustRightInd w:val="0"/>
              <w:jc w:val="center"/>
              <w:rPr>
                <w:rFonts w:ascii="Arial" w:hAnsi="Arial" w:cs="Arial"/>
                <w:color w:val="000000"/>
                <w:lang w:eastAsia="en-GB"/>
              </w:rPr>
            </w:pPr>
            <w:r w:rsidRPr="00CB6D91">
              <w:rPr>
                <w:rFonts w:ascii="Arial" w:hAnsi="Arial" w:cs="Arial"/>
                <w:color w:val="000000"/>
                <w:lang w:eastAsia="en-GB"/>
              </w:rPr>
              <w:t>Jan 2019</w:t>
            </w:r>
          </w:p>
        </w:tc>
        <w:tc>
          <w:tcPr>
            <w:tcW w:w="350" w:type="pct"/>
            <w:gridSpan w:val="2"/>
            <w:tcBorders>
              <w:top w:val="single" w:sz="4" w:space="0" w:color="000000"/>
              <w:left w:val="single" w:sz="4" w:space="0" w:color="000000"/>
              <w:bottom w:val="single" w:sz="4" w:space="0" w:color="000000"/>
              <w:right w:val="single" w:sz="4" w:space="0" w:color="000000"/>
            </w:tcBorders>
            <w:shd w:val="clear" w:color="auto" w:fill="D9D9D9"/>
          </w:tcPr>
          <w:p w:rsidR="00CB6D91" w:rsidRPr="00CB6D91" w:rsidRDefault="00CB6D91" w:rsidP="00CB6D91">
            <w:pPr>
              <w:widowControl w:val="0"/>
              <w:autoSpaceDE w:val="0"/>
              <w:autoSpaceDN w:val="0"/>
              <w:adjustRightInd w:val="0"/>
              <w:jc w:val="center"/>
              <w:rPr>
                <w:rFonts w:ascii="Arial" w:hAnsi="Arial" w:cs="Arial"/>
                <w:color w:val="000000"/>
                <w:lang w:eastAsia="en-GB"/>
              </w:rPr>
            </w:pPr>
            <w:r w:rsidRPr="00CB6D91">
              <w:rPr>
                <w:rFonts w:ascii="Arial" w:hAnsi="Arial" w:cs="Arial"/>
                <w:color w:val="000000"/>
                <w:lang w:eastAsia="en-GB"/>
              </w:rPr>
              <w:t>Feb 2019</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D9D9D9"/>
          </w:tcPr>
          <w:p w:rsidR="00CB6D91" w:rsidRPr="00CB6D91" w:rsidRDefault="00CB6D91" w:rsidP="00CB6D91">
            <w:pPr>
              <w:widowControl w:val="0"/>
              <w:autoSpaceDE w:val="0"/>
              <w:autoSpaceDN w:val="0"/>
              <w:adjustRightInd w:val="0"/>
              <w:jc w:val="center"/>
              <w:rPr>
                <w:rFonts w:ascii="Arial" w:hAnsi="Arial" w:cs="Arial"/>
                <w:color w:val="000000"/>
                <w:lang w:eastAsia="en-GB"/>
              </w:rPr>
            </w:pPr>
            <w:r w:rsidRPr="00CB6D91">
              <w:rPr>
                <w:rFonts w:ascii="Arial" w:hAnsi="Arial" w:cs="Arial"/>
                <w:color w:val="000000"/>
                <w:lang w:eastAsia="en-GB"/>
              </w:rPr>
              <w:t>Mar 2019</w:t>
            </w: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D9D9D9"/>
          </w:tcPr>
          <w:p w:rsidR="00CB6D91" w:rsidRPr="00CB6D91" w:rsidRDefault="00CB6D91" w:rsidP="00CB6D91">
            <w:pPr>
              <w:widowControl w:val="0"/>
              <w:autoSpaceDE w:val="0"/>
              <w:autoSpaceDN w:val="0"/>
              <w:adjustRightInd w:val="0"/>
              <w:jc w:val="center"/>
              <w:rPr>
                <w:rFonts w:ascii="Arial" w:hAnsi="Arial" w:cs="Arial"/>
                <w:color w:val="000000"/>
                <w:lang w:eastAsia="en-GB"/>
              </w:rPr>
            </w:pPr>
            <w:r w:rsidRPr="00CB6D91">
              <w:rPr>
                <w:rFonts w:ascii="Arial" w:hAnsi="Arial" w:cs="Arial"/>
                <w:color w:val="000000"/>
                <w:lang w:eastAsia="en-GB"/>
              </w:rPr>
              <w:t>Apr 2019</w:t>
            </w:r>
          </w:p>
        </w:tc>
        <w:tc>
          <w:tcPr>
            <w:tcW w:w="45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B6D91" w:rsidRPr="00CB6D91" w:rsidRDefault="00CB6D91" w:rsidP="007A4EC7">
            <w:pPr>
              <w:widowControl w:val="0"/>
              <w:autoSpaceDE w:val="0"/>
              <w:autoSpaceDN w:val="0"/>
              <w:adjustRightInd w:val="0"/>
              <w:jc w:val="center"/>
              <w:rPr>
                <w:rFonts w:ascii="Arial" w:hAnsi="Arial" w:cs="Arial"/>
                <w:color w:val="000000"/>
                <w:lang w:eastAsia="en-GB"/>
              </w:rPr>
            </w:pPr>
            <w:r w:rsidRPr="00CB6D91">
              <w:rPr>
                <w:rFonts w:ascii="Arial" w:hAnsi="Arial" w:cs="Arial"/>
                <w:color w:val="000000"/>
                <w:lang w:eastAsia="en-GB"/>
              </w:rPr>
              <w:t>Target</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B6D91" w:rsidRPr="00CB6D91" w:rsidRDefault="00CB6D91" w:rsidP="007A4EC7">
            <w:pPr>
              <w:widowControl w:val="0"/>
              <w:autoSpaceDE w:val="0"/>
              <w:autoSpaceDN w:val="0"/>
              <w:adjustRightInd w:val="0"/>
              <w:jc w:val="center"/>
              <w:rPr>
                <w:rFonts w:ascii="Arial" w:hAnsi="Arial" w:cs="Arial"/>
                <w:lang w:eastAsia="en-GB"/>
              </w:rPr>
            </w:pPr>
            <w:r w:rsidRPr="00CB6D91">
              <w:rPr>
                <w:rFonts w:ascii="Arial" w:hAnsi="Arial" w:cs="Arial"/>
                <w:lang w:eastAsia="en-GB"/>
              </w:rPr>
              <w:t>On Track</w:t>
            </w:r>
          </w:p>
        </w:tc>
      </w:tr>
      <w:tr w:rsidR="00CB6D91" w:rsidRPr="000C34A9" w:rsidTr="00CB6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10"/>
        </w:trPr>
        <w:tc>
          <w:tcPr>
            <w:tcW w:w="987" w:type="pct"/>
            <w:gridSpan w:val="2"/>
            <w:tcBorders>
              <w:top w:val="single" w:sz="4" w:space="0" w:color="000000"/>
              <w:left w:val="single" w:sz="4" w:space="0" w:color="000000"/>
              <w:bottom w:val="single" w:sz="4" w:space="0" w:color="000000"/>
              <w:right w:val="single" w:sz="4" w:space="0" w:color="000000"/>
            </w:tcBorders>
          </w:tcPr>
          <w:p w:rsidR="00CB6D91" w:rsidRPr="00CB6D91" w:rsidRDefault="00CB6D91" w:rsidP="005A7432">
            <w:pPr>
              <w:autoSpaceDE w:val="0"/>
              <w:autoSpaceDN w:val="0"/>
              <w:spacing w:after="120"/>
              <w:rPr>
                <w:rFonts w:ascii="Arial" w:hAnsi="Arial" w:cs="Arial"/>
                <w:iCs/>
                <w:color w:val="000000"/>
              </w:rPr>
            </w:pPr>
            <w:r w:rsidRPr="00CB6D91">
              <w:rPr>
                <w:rFonts w:ascii="Arial" w:hAnsi="Arial" w:cs="Arial"/>
                <w:iCs/>
                <w:color w:val="000000"/>
              </w:rPr>
              <w:t>Cardiac Surgery Day of Surgery Admission Rate</w:t>
            </w:r>
          </w:p>
        </w:tc>
        <w:tc>
          <w:tcPr>
            <w:tcW w:w="1452" w:type="pct"/>
            <w:gridSpan w:val="2"/>
            <w:tcBorders>
              <w:top w:val="single" w:sz="4" w:space="0" w:color="000000"/>
              <w:left w:val="single" w:sz="4" w:space="0" w:color="000000"/>
              <w:bottom w:val="single" w:sz="4" w:space="0" w:color="000000"/>
              <w:right w:val="single" w:sz="4" w:space="0" w:color="000000"/>
            </w:tcBorders>
          </w:tcPr>
          <w:p w:rsidR="00CB6D91" w:rsidRPr="00CB6D91" w:rsidRDefault="00CB6D91" w:rsidP="005A7432">
            <w:pPr>
              <w:autoSpaceDE w:val="0"/>
              <w:autoSpaceDN w:val="0"/>
              <w:spacing w:after="120"/>
              <w:jc w:val="center"/>
              <w:rPr>
                <w:rFonts w:ascii="Arial" w:hAnsi="Arial" w:cs="Arial"/>
                <w:iCs/>
                <w:color w:val="000000"/>
              </w:rPr>
            </w:pPr>
            <w:r w:rsidRPr="00CB6D91">
              <w:rPr>
                <w:rFonts w:ascii="Arial" w:hAnsi="Arial" w:cs="Arial"/>
                <w:iCs/>
                <w:color w:val="000000"/>
              </w:rPr>
              <w:t>Target for 15% of Cardiac Surgery major procedure admissions to be DoSA by March 2019</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CB6D91" w:rsidRPr="00CB6D91" w:rsidRDefault="00CB6D91" w:rsidP="00CB6D91">
            <w:pPr>
              <w:widowControl w:val="0"/>
              <w:autoSpaceDE w:val="0"/>
              <w:autoSpaceDN w:val="0"/>
              <w:adjustRightInd w:val="0"/>
              <w:rPr>
                <w:rFonts w:ascii="Arial" w:hAnsi="Arial" w:cs="Arial"/>
              </w:rPr>
            </w:pPr>
            <w:r w:rsidRPr="00CB6D91">
              <w:rPr>
                <w:rFonts w:ascii="Arial" w:hAnsi="Arial" w:cs="Arial"/>
              </w:rPr>
              <w:t>8.9%</w:t>
            </w:r>
          </w:p>
        </w:tc>
        <w:tc>
          <w:tcPr>
            <w:tcW w:w="350" w:type="pct"/>
            <w:gridSpan w:val="2"/>
            <w:tcBorders>
              <w:top w:val="single" w:sz="4" w:space="0" w:color="000000"/>
              <w:left w:val="single" w:sz="4" w:space="0" w:color="000000"/>
              <w:bottom w:val="single" w:sz="4" w:space="0" w:color="000000"/>
              <w:right w:val="single" w:sz="4" w:space="0" w:color="000000"/>
            </w:tcBorders>
            <w:vAlign w:val="center"/>
          </w:tcPr>
          <w:p w:rsidR="00CB6D91" w:rsidRPr="00CB6D91" w:rsidRDefault="00CB6D91" w:rsidP="00CB6D91">
            <w:pPr>
              <w:widowControl w:val="0"/>
              <w:autoSpaceDE w:val="0"/>
              <w:autoSpaceDN w:val="0"/>
              <w:adjustRightInd w:val="0"/>
              <w:rPr>
                <w:rFonts w:ascii="Arial" w:hAnsi="Arial" w:cs="Arial"/>
              </w:rPr>
            </w:pPr>
            <w:r w:rsidRPr="00CB6D91">
              <w:rPr>
                <w:rFonts w:ascii="Arial" w:hAnsi="Arial" w:cs="Arial"/>
              </w:rPr>
              <w:t>13.2%</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CB6D91" w:rsidRPr="00CB6D91" w:rsidRDefault="00CB6D91" w:rsidP="00CB6D91">
            <w:pPr>
              <w:widowControl w:val="0"/>
              <w:autoSpaceDE w:val="0"/>
              <w:autoSpaceDN w:val="0"/>
              <w:adjustRightInd w:val="0"/>
              <w:jc w:val="center"/>
              <w:rPr>
                <w:rFonts w:ascii="Arial" w:hAnsi="Arial" w:cs="Arial"/>
              </w:rPr>
            </w:pPr>
            <w:r w:rsidRPr="00CB6D91">
              <w:rPr>
                <w:rFonts w:ascii="Arial" w:hAnsi="Arial" w:cs="Arial"/>
              </w:rPr>
              <w:t>15.9%</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CB6D91" w:rsidRPr="00CB6D91" w:rsidRDefault="00CB6D91" w:rsidP="005A7432">
            <w:pPr>
              <w:widowControl w:val="0"/>
              <w:autoSpaceDE w:val="0"/>
              <w:autoSpaceDN w:val="0"/>
              <w:adjustRightInd w:val="0"/>
              <w:jc w:val="center"/>
              <w:rPr>
                <w:rFonts w:ascii="Arial" w:hAnsi="Arial" w:cs="Arial"/>
              </w:rPr>
            </w:pPr>
            <w:r w:rsidRPr="00CB6D91">
              <w:rPr>
                <w:rFonts w:ascii="Arial" w:hAnsi="Arial" w:cs="Arial"/>
              </w:rPr>
              <w:t>8.7%</w:t>
            </w:r>
          </w:p>
        </w:tc>
        <w:tc>
          <w:tcPr>
            <w:tcW w:w="454" w:type="pct"/>
            <w:tcBorders>
              <w:top w:val="single" w:sz="4" w:space="0" w:color="000000"/>
              <w:left w:val="single" w:sz="4" w:space="0" w:color="000000"/>
              <w:bottom w:val="single" w:sz="4" w:space="0" w:color="000000"/>
              <w:right w:val="single" w:sz="4" w:space="0" w:color="000000"/>
            </w:tcBorders>
            <w:vAlign w:val="center"/>
          </w:tcPr>
          <w:p w:rsidR="00CB6D91" w:rsidRPr="00CB6D91" w:rsidRDefault="00CB6D91" w:rsidP="005A7432">
            <w:pPr>
              <w:widowControl w:val="0"/>
              <w:autoSpaceDE w:val="0"/>
              <w:autoSpaceDN w:val="0"/>
              <w:adjustRightInd w:val="0"/>
              <w:jc w:val="center"/>
              <w:rPr>
                <w:rFonts w:ascii="Arial" w:hAnsi="Arial" w:cs="Arial"/>
              </w:rPr>
            </w:pPr>
            <w:r w:rsidRPr="00CB6D91">
              <w:rPr>
                <w:rFonts w:ascii="Arial" w:hAnsi="Arial" w:cs="Arial"/>
              </w:rPr>
              <w:t>15% by March 2019</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FF0000"/>
            <w:vAlign w:val="center"/>
          </w:tcPr>
          <w:p w:rsidR="00CB6D91" w:rsidRPr="00CB6D91" w:rsidRDefault="00CB6D91" w:rsidP="005A7432">
            <w:pPr>
              <w:jc w:val="center"/>
              <w:rPr>
                <w:rFonts w:ascii="Arial" w:hAnsi="Arial" w:cs="Arial"/>
              </w:rPr>
            </w:pPr>
            <w:r>
              <w:rPr>
                <w:rFonts w:ascii="Arial" w:hAnsi="Arial" w:cs="Arial"/>
              </w:rPr>
              <w:sym w:font="Wingdings" w:char="F0F2"/>
            </w:r>
          </w:p>
        </w:tc>
      </w:tr>
      <w:tr w:rsidR="00CB6D91" w:rsidRPr="000C34A9" w:rsidTr="005A7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10"/>
        </w:trPr>
        <w:tc>
          <w:tcPr>
            <w:tcW w:w="987" w:type="pct"/>
            <w:gridSpan w:val="2"/>
            <w:tcBorders>
              <w:top w:val="single" w:sz="4" w:space="0" w:color="000000"/>
              <w:left w:val="single" w:sz="4" w:space="0" w:color="000000"/>
              <w:bottom w:val="single" w:sz="4" w:space="0" w:color="000000"/>
              <w:right w:val="single" w:sz="4" w:space="0" w:color="000000"/>
            </w:tcBorders>
          </w:tcPr>
          <w:p w:rsidR="00CB6D91" w:rsidRPr="00CB6D91" w:rsidRDefault="00CB6D91" w:rsidP="00524586">
            <w:pPr>
              <w:autoSpaceDE w:val="0"/>
              <w:autoSpaceDN w:val="0"/>
              <w:spacing w:after="120"/>
              <w:rPr>
                <w:rFonts w:ascii="Arial" w:hAnsi="Arial" w:cs="Arial"/>
                <w:b/>
                <w:iCs/>
                <w:color w:val="000000"/>
              </w:rPr>
            </w:pPr>
            <w:r w:rsidRPr="00CB6D91">
              <w:rPr>
                <w:rFonts w:ascii="Arial" w:hAnsi="Arial" w:cs="Arial"/>
                <w:color w:val="000000"/>
                <w:lang w:eastAsia="en-GB"/>
              </w:rPr>
              <w:t>Orthopaedic Day of Surgery</w:t>
            </w:r>
            <w:r w:rsidRPr="00CB6D91">
              <w:rPr>
                <w:rFonts w:ascii="Arial" w:hAnsi="Arial" w:cs="Arial"/>
                <w:b/>
                <w:iCs/>
                <w:color w:val="000000"/>
              </w:rPr>
              <w:t xml:space="preserve"> </w:t>
            </w:r>
            <w:r w:rsidRPr="00CB6D91">
              <w:rPr>
                <w:rFonts w:ascii="Arial" w:hAnsi="Arial" w:cs="Arial"/>
                <w:color w:val="000000"/>
                <w:lang w:eastAsia="en-GB"/>
              </w:rPr>
              <w:t>Admission Rate (Primary Joint Replacement)</w:t>
            </w:r>
          </w:p>
        </w:tc>
        <w:tc>
          <w:tcPr>
            <w:tcW w:w="1452" w:type="pct"/>
            <w:gridSpan w:val="2"/>
            <w:tcBorders>
              <w:top w:val="single" w:sz="4" w:space="0" w:color="000000"/>
              <w:left w:val="single" w:sz="4" w:space="0" w:color="000000"/>
              <w:bottom w:val="single" w:sz="4" w:space="0" w:color="000000"/>
              <w:right w:val="single" w:sz="4" w:space="0" w:color="000000"/>
            </w:tcBorders>
          </w:tcPr>
          <w:p w:rsidR="00CB6D91" w:rsidRPr="00CB6D91" w:rsidRDefault="00CB6D91" w:rsidP="00524586">
            <w:pPr>
              <w:autoSpaceDE w:val="0"/>
              <w:autoSpaceDN w:val="0"/>
              <w:spacing w:after="120"/>
              <w:jc w:val="center"/>
              <w:rPr>
                <w:rFonts w:ascii="Arial" w:hAnsi="Arial" w:cs="Arial"/>
                <w:iCs/>
                <w:color w:val="000000"/>
              </w:rPr>
            </w:pPr>
            <w:r w:rsidRPr="00CB6D91">
              <w:rPr>
                <w:rFonts w:ascii="Arial" w:hAnsi="Arial" w:cs="Arial"/>
                <w:iCs/>
                <w:color w:val="000000"/>
              </w:rPr>
              <w:t>Target for 70% of Orthopaedic Primary Joint Replacement admissions to be DoSA, rising to 75% from October 2018.</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CB6D91" w:rsidRPr="00CB6D91" w:rsidRDefault="00CB6D91" w:rsidP="00CB6D91">
            <w:pPr>
              <w:widowControl w:val="0"/>
              <w:autoSpaceDE w:val="0"/>
              <w:autoSpaceDN w:val="0"/>
              <w:adjustRightInd w:val="0"/>
              <w:jc w:val="center"/>
              <w:rPr>
                <w:rFonts w:ascii="Arial" w:hAnsi="Arial" w:cs="Arial"/>
              </w:rPr>
            </w:pPr>
            <w:r w:rsidRPr="00CB6D91">
              <w:rPr>
                <w:rFonts w:ascii="Arial" w:hAnsi="Arial" w:cs="Arial"/>
              </w:rPr>
              <w:t>60.9%</w:t>
            </w:r>
          </w:p>
        </w:tc>
        <w:tc>
          <w:tcPr>
            <w:tcW w:w="350" w:type="pct"/>
            <w:gridSpan w:val="2"/>
            <w:tcBorders>
              <w:top w:val="single" w:sz="4" w:space="0" w:color="000000"/>
              <w:left w:val="single" w:sz="4" w:space="0" w:color="000000"/>
              <w:bottom w:val="single" w:sz="4" w:space="0" w:color="000000"/>
              <w:right w:val="single" w:sz="4" w:space="0" w:color="000000"/>
            </w:tcBorders>
            <w:vAlign w:val="center"/>
          </w:tcPr>
          <w:p w:rsidR="00CB6D91" w:rsidRPr="00CB6D91" w:rsidRDefault="00CB6D91" w:rsidP="00CB6D91">
            <w:pPr>
              <w:widowControl w:val="0"/>
              <w:autoSpaceDE w:val="0"/>
              <w:autoSpaceDN w:val="0"/>
              <w:adjustRightInd w:val="0"/>
              <w:jc w:val="center"/>
              <w:rPr>
                <w:rFonts w:ascii="Arial" w:hAnsi="Arial" w:cs="Arial"/>
              </w:rPr>
            </w:pPr>
            <w:r w:rsidRPr="00CB6D91">
              <w:rPr>
                <w:rFonts w:ascii="Arial" w:hAnsi="Arial" w:cs="Arial"/>
              </w:rPr>
              <w:t>65.3%</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CB6D91" w:rsidRPr="00CB6D91" w:rsidRDefault="00CB6D91" w:rsidP="00CB6D91">
            <w:pPr>
              <w:widowControl w:val="0"/>
              <w:autoSpaceDE w:val="0"/>
              <w:autoSpaceDN w:val="0"/>
              <w:adjustRightInd w:val="0"/>
              <w:jc w:val="center"/>
              <w:rPr>
                <w:rFonts w:ascii="Arial" w:hAnsi="Arial" w:cs="Arial"/>
              </w:rPr>
            </w:pPr>
            <w:r w:rsidRPr="00CB6D91">
              <w:rPr>
                <w:rFonts w:ascii="Arial" w:hAnsi="Arial" w:cs="Arial"/>
              </w:rPr>
              <w:t>-</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CB6D91" w:rsidRPr="00CB6D91" w:rsidRDefault="00CB6D91" w:rsidP="00616AEE">
            <w:pPr>
              <w:widowControl w:val="0"/>
              <w:autoSpaceDE w:val="0"/>
              <w:autoSpaceDN w:val="0"/>
              <w:adjustRightInd w:val="0"/>
              <w:jc w:val="center"/>
              <w:rPr>
                <w:rFonts w:ascii="Arial" w:hAnsi="Arial" w:cs="Arial"/>
              </w:rPr>
            </w:pPr>
          </w:p>
        </w:tc>
        <w:tc>
          <w:tcPr>
            <w:tcW w:w="454" w:type="pct"/>
            <w:tcBorders>
              <w:top w:val="single" w:sz="4" w:space="0" w:color="000000"/>
              <w:left w:val="single" w:sz="4" w:space="0" w:color="000000"/>
              <w:bottom w:val="single" w:sz="4" w:space="0" w:color="000000"/>
              <w:right w:val="single" w:sz="4" w:space="0" w:color="000000"/>
            </w:tcBorders>
            <w:vAlign w:val="center"/>
          </w:tcPr>
          <w:p w:rsidR="00CB6D91" w:rsidRPr="00CB6D91" w:rsidRDefault="00CB6D91" w:rsidP="00616AEE">
            <w:pPr>
              <w:widowControl w:val="0"/>
              <w:autoSpaceDE w:val="0"/>
              <w:autoSpaceDN w:val="0"/>
              <w:adjustRightInd w:val="0"/>
              <w:jc w:val="center"/>
              <w:rPr>
                <w:rFonts w:ascii="Arial" w:hAnsi="Arial" w:cs="Arial"/>
              </w:rPr>
            </w:pPr>
            <w:r w:rsidRPr="00CB6D91">
              <w:rPr>
                <w:rFonts w:ascii="Arial" w:hAnsi="Arial" w:cs="Arial"/>
              </w:rPr>
              <w:t>75% from October 2018</w:t>
            </w:r>
          </w:p>
          <w:p w:rsidR="00CB6D91" w:rsidRPr="00CB6D91" w:rsidRDefault="00CB6D91" w:rsidP="00616AEE">
            <w:pPr>
              <w:widowControl w:val="0"/>
              <w:autoSpaceDE w:val="0"/>
              <w:autoSpaceDN w:val="0"/>
              <w:adjustRightInd w:val="0"/>
              <w:jc w:val="center"/>
              <w:rPr>
                <w:rFonts w:ascii="Arial" w:hAnsi="Arial" w:cs="Arial"/>
              </w:rPr>
            </w:pP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FF0000"/>
          </w:tcPr>
          <w:p w:rsidR="00CB6D91" w:rsidRPr="00CB6D91" w:rsidRDefault="00CB6D91" w:rsidP="00524586">
            <w:pPr>
              <w:widowControl w:val="0"/>
              <w:autoSpaceDE w:val="0"/>
              <w:autoSpaceDN w:val="0"/>
              <w:adjustRightInd w:val="0"/>
              <w:jc w:val="center"/>
              <w:rPr>
                <w:rFonts w:ascii="Arial" w:hAnsi="Arial" w:cs="Arial"/>
              </w:rPr>
            </w:pPr>
          </w:p>
          <w:p w:rsidR="00CB6D91" w:rsidRPr="00CB6D91" w:rsidRDefault="00CB6D91" w:rsidP="00524586">
            <w:pPr>
              <w:widowControl w:val="0"/>
              <w:autoSpaceDE w:val="0"/>
              <w:autoSpaceDN w:val="0"/>
              <w:adjustRightInd w:val="0"/>
              <w:jc w:val="center"/>
              <w:rPr>
                <w:rFonts w:ascii="Arial" w:hAnsi="Arial" w:cs="Arial"/>
              </w:rPr>
            </w:pPr>
            <w:r w:rsidRPr="00CB6D91">
              <w:rPr>
                <w:rFonts w:ascii="Arial" w:hAnsi="Arial" w:cs="Arial"/>
              </w:rPr>
              <w:sym w:font="Wingdings" w:char="F0F1"/>
            </w:r>
          </w:p>
        </w:tc>
      </w:tr>
      <w:tr w:rsidR="00CB6D91" w:rsidRPr="000C34A9" w:rsidTr="00CB6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8"/>
        </w:trPr>
        <w:tc>
          <w:tcPr>
            <w:tcW w:w="987" w:type="pct"/>
            <w:gridSpan w:val="2"/>
            <w:tcBorders>
              <w:top w:val="single" w:sz="4" w:space="0" w:color="000000"/>
              <w:left w:val="single" w:sz="4" w:space="0" w:color="000000"/>
              <w:bottom w:val="single" w:sz="4" w:space="0" w:color="000000"/>
              <w:right w:val="single" w:sz="4" w:space="0" w:color="000000"/>
            </w:tcBorders>
          </w:tcPr>
          <w:p w:rsidR="00CB6D91" w:rsidRPr="00CB6D91" w:rsidRDefault="00CB6D91" w:rsidP="00524586">
            <w:pPr>
              <w:autoSpaceDE w:val="0"/>
              <w:autoSpaceDN w:val="0"/>
              <w:spacing w:after="120"/>
              <w:rPr>
                <w:rFonts w:ascii="Arial" w:hAnsi="Arial" w:cs="Arial"/>
                <w:iCs/>
                <w:color w:val="000000"/>
              </w:rPr>
            </w:pPr>
            <w:r w:rsidRPr="00CB6D91">
              <w:rPr>
                <w:rFonts w:ascii="Arial" w:hAnsi="Arial" w:cs="Arial"/>
                <w:iCs/>
                <w:color w:val="000000"/>
              </w:rPr>
              <w:t>Thoracic Surgery Day of Surgery Admission Rate</w:t>
            </w:r>
          </w:p>
        </w:tc>
        <w:tc>
          <w:tcPr>
            <w:tcW w:w="1452" w:type="pct"/>
            <w:gridSpan w:val="2"/>
            <w:tcBorders>
              <w:top w:val="single" w:sz="4" w:space="0" w:color="000000"/>
              <w:left w:val="single" w:sz="4" w:space="0" w:color="000000"/>
              <w:bottom w:val="single" w:sz="4" w:space="0" w:color="000000"/>
              <w:right w:val="single" w:sz="4" w:space="0" w:color="000000"/>
            </w:tcBorders>
          </w:tcPr>
          <w:p w:rsidR="00CB6D91" w:rsidRPr="00CB6D91" w:rsidRDefault="00CB6D91" w:rsidP="00524586">
            <w:pPr>
              <w:autoSpaceDE w:val="0"/>
              <w:autoSpaceDN w:val="0"/>
              <w:spacing w:after="120"/>
              <w:jc w:val="center"/>
              <w:rPr>
                <w:rFonts w:ascii="Arial" w:hAnsi="Arial" w:cs="Arial"/>
                <w:iCs/>
                <w:color w:val="000000"/>
              </w:rPr>
            </w:pPr>
            <w:r w:rsidRPr="00CB6D91">
              <w:rPr>
                <w:rFonts w:ascii="Arial" w:hAnsi="Arial" w:cs="Arial"/>
                <w:iCs/>
                <w:color w:val="000000"/>
              </w:rPr>
              <w:t>Target for 44% of Thoracic Surgery admissions to be DoSA by March 2019</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CB6D91" w:rsidRPr="00CB6D91" w:rsidRDefault="00CB6D91" w:rsidP="00CB6D91">
            <w:pPr>
              <w:widowControl w:val="0"/>
              <w:autoSpaceDE w:val="0"/>
              <w:autoSpaceDN w:val="0"/>
              <w:adjustRightInd w:val="0"/>
              <w:jc w:val="center"/>
              <w:rPr>
                <w:rFonts w:ascii="Arial" w:hAnsi="Arial" w:cs="Arial"/>
              </w:rPr>
            </w:pPr>
            <w:r w:rsidRPr="00CB6D91">
              <w:rPr>
                <w:rFonts w:ascii="Arial" w:hAnsi="Arial" w:cs="Arial"/>
              </w:rPr>
              <w:t>24.2%</w:t>
            </w:r>
          </w:p>
        </w:tc>
        <w:tc>
          <w:tcPr>
            <w:tcW w:w="350" w:type="pct"/>
            <w:gridSpan w:val="2"/>
            <w:tcBorders>
              <w:top w:val="single" w:sz="4" w:space="0" w:color="000000"/>
              <w:left w:val="single" w:sz="4" w:space="0" w:color="000000"/>
              <w:bottom w:val="single" w:sz="4" w:space="0" w:color="000000"/>
              <w:right w:val="single" w:sz="4" w:space="0" w:color="000000"/>
            </w:tcBorders>
            <w:vAlign w:val="center"/>
          </w:tcPr>
          <w:p w:rsidR="00CB6D91" w:rsidRPr="00CB6D91" w:rsidRDefault="00CB6D91" w:rsidP="00CB6D91">
            <w:pPr>
              <w:widowControl w:val="0"/>
              <w:autoSpaceDE w:val="0"/>
              <w:autoSpaceDN w:val="0"/>
              <w:adjustRightInd w:val="0"/>
              <w:jc w:val="center"/>
              <w:rPr>
                <w:rFonts w:ascii="Arial" w:hAnsi="Arial" w:cs="Arial"/>
              </w:rPr>
            </w:pPr>
            <w:r w:rsidRPr="00CB6D91">
              <w:rPr>
                <w:rFonts w:ascii="Arial" w:hAnsi="Arial" w:cs="Arial"/>
              </w:rPr>
              <w:t>18.8%</w:t>
            </w:r>
          </w:p>
        </w:tc>
        <w:tc>
          <w:tcPr>
            <w:tcW w:w="400" w:type="pct"/>
            <w:gridSpan w:val="2"/>
            <w:tcBorders>
              <w:top w:val="single" w:sz="4" w:space="0" w:color="000000"/>
              <w:left w:val="single" w:sz="4" w:space="0" w:color="000000"/>
              <w:bottom w:val="single" w:sz="4" w:space="0" w:color="000000"/>
              <w:right w:val="single" w:sz="4" w:space="0" w:color="000000"/>
            </w:tcBorders>
            <w:vAlign w:val="center"/>
          </w:tcPr>
          <w:p w:rsidR="00CB6D91" w:rsidRPr="00CB6D91" w:rsidRDefault="00CB6D91" w:rsidP="00CB6D91">
            <w:pPr>
              <w:widowControl w:val="0"/>
              <w:autoSpaceDE w:val="0"/>
              <w:autoSpaceDN w:val="0"/>
              <w:adjustRightInd w:val="0"/>
              <w:jc w:val="center"/>
              <w:rPr>
                <w:rFonts w:ascii="Arial" w:hAnsi="Arial" w:cs="Arial"/>
              </w:rPr>
            </w:pPr>
            <w:r w:rsidRPr="00CB6D91">
              <w:rPr>
                <w:rFonts w:ascii="Arial" w:hAnsi="Arial" w:cs="Arial"/>
              </w:rPr>
              <w:t>-</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CB6D91" w:rsidRPr="00CB6D91" w:rsidRDefault="00CB6D91" w:rsidP="00616AEE">
            <w:pPr>
              <w:widowControl w:val="0"/>
              <w:autoSpaceDE w:val="0"/>
              <w:autoSpaceDN w:val="0"/>
              <w:adjustRightInd w:val="0"/>
              <w:jc w:val="center"/>
              <w:rPr>
                <w:rFonts w:ascii="Arial" w:hAnsi="Arial" w:cs="Arial"/>
              </w:rPr>
            </w:pPr>
          </w:p>
        </w:tc>
        <w:tc>
          <w:tcPr>
            <w:tcW w:w="454" w:type="pct"/>
            <w:tcBorders>
              <w:top w:val="single" w:sz="4" w:space="0" w:color="000000"/>
              <w:left w:val="single" w:sz="4" w:space="0" w:color="000000"/>
              <w:bottom w:val="single" w:sz="4" w:space="0" w:color="000000"/>
              <w:right w:val="single" w:sz="4" w:space="0" w:color="000000"/>
            </w:tcBorders>
            <w:vAlign w:val="center"/>
          </w:tcPr>
          <w:p w:rsidR="00CB6D91" w:rsidRPr="00CB6D91" w:rsidRDefault="00CB6D91" w:rsidP="00616AEE">
            <w:pPr>
              <w:widowControl w:val="0"/>
              <w:autoSpaceDE w:val="0"/>
              <w:autoSpaceDN w:val="0"/>
              <w:adjustRightInd w:val="0"/>
              <w:jc w:val="center"/>
              <w:rPr>
                <w:rFonts w:ascii="Arial" w:hAnsi="Arial" w:cs="Arial"/>
              </w:rPr>
            </w:pPr>
            <w:r w:rsidRPr="00CB6D91">
              <w:rPr>
                <w:rFonts w:ascii="Arial" w:hAnsi="Arial" w:cs="Arial"/>
              </w:rPr>
              <w:t>44% by March 2019</w:t>
            </w:r>
          </w:p>
        </w:tc>
        <w:tc>
          <w:tcPr>
            <w:tcW w:w="558" w:type="pct"/>
            <w:gridSpan w:val="2"/>
            <w:tcBorders>
              <w:top w:val="single" w:sz="4" w:space="0" w:color="000000"/>
              <w:left w:val="single" w:sz="4" w:space="0" w:color="000000"/>
              <w:bottom w:val="single" w:sz="4" w:space="0" w:color="000000"/>
              <w:right w:val="single" w:sz="4" w:space="0" w:color="000000"/>
            </w:tcBorders>
            <w:shd w:val="clear" w:color="auto" w:fill="FF0000"/>
          </w:tcPr>
          <w:p w:rsidR="00CB6D91" w:rsidRPr="00CB6D91" w:rsidRDefault="00CB6D91" w:rsidP="00524586">
            <w:pPr>
              <w:widowControl w:val="0"/>
              <w:autoSpaceDE w:val="0"/>
              <w:autoSpaceDN w:val="0"/>
              <w:adjustRightInd w:val="0"/>
              <w:jc w:val="center"/>
              <w:rPr>
                <w:rFonts w:ascii="Arial" w:hAnsi="Arial" w:cs="Arial"/>
              </w:rPr>
            </w:pPr>
          </w:p>
          <w:p w:rsidR="00CB6D91" w:rsidRPr="00CB6D91" w:rsidRDefault="00CB6D91" w:rsidP="00524586">
            <w:pPr>
              <w:widowControl w:val="0"/>
              <w:autoSpaceDE w:val="0"/>
              <w:autoSpaceDN w:val="0"/>
              <w:adjustRightInd w:val="0"/>
              <w:jc w:val="center"/>
              <w:rPr>
                <w:rFonts w:ascii="Arial" w:hAnsi="Arial" w:cs="Arial"/>
              </w:rPr>
            </w:pPr>
            <w:r>
              <w:rPr>
                <w:rFonts w:ascii="Arial" w:hAnsi="Arial" w:cs="Arial"/>
              </w:rPr>
              <w:sym w:font="Wingdings" w:char="F0F2"/>
            </w:r>
          </w:p>
        </w:tc>
      </w:tr>
      <w:tr w:rsidR="006B7036" w:rsidRPr="000C34A9" w:rsidTr="00F34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40"/>
        </w:trPr>
        <w:tc>
          <w:tcPr>
            <w:tcW w:w="5000" w:type="pct"/>
            <w:gridSpan w:val="15"/>
            <w:tcBorders>
              <w:top w:val="single" w:sz="4" w:space="0" w:color="000000"/>
              <w:left w:val="single" w:sz="4" w:space="0" w:color="000000"/>
              <w:bottom w:val="single" w:sz="4" w:space="0" w:color="000000"/>
              <w:right w:val="single" w:sz="4" w:space="0" w:color="000000"/>
            </w:tcBorders>
          </w:tcPr>
          <w:p w:rsidR="006B7036" w:rsidRPr="004821BD" w:rsidRDefault="006B7036" w:rsidP="00524586">
            <w:pPr>
              <w:autoSpaceDE w:val="0"/>
              <w:autoSpaceDN w:val="0"/>
              <w:spacing w:after="120"/>
              <w:rPr>
                <w:rFonts w:ascii="Arial" w:hAnsi="Arial" w:cs="Arial"/>
                <w:b/>
                <w:iCs/>
                <w:color w:val="000000"/>
              </w:rPr>
            </w:pPr>
            <w:r w:rsidRPr="004821BD">
              <w:rPr>
                <w:rFonts w:ascii="Arial" w:hAnsi="Arial" w:cs="Arial"/>
                <w:b/>
                <w:iCs/>
                <w:color w:val="000000"/>
              </w:rPr>
              <w:t>Analysis</w:t>
            </w:r>
          </w:p>
          <w:p w:rsidR="006B7036" w:rsidRPr="004821BD" w:rsidRDefault="004821BD" w:rsidP="00970E45">
            <w:pPr>
              <w:pStyle w:val="ListParagraph"/>
              <w:tabs>
                <w:tab w:val="left" w:pos="360"/>
              </w:tabs>
              <w:ind w:left="0" w:right="386"/>
              <w:rPr>
                <w:rFonts w:ascii="Arial" w:hAnsi="Arial" w:cs="Arial"/>
              </w:rPr>
            </w:pPr>
            <w:r w:rsidRPr="00970E45">
              <w:rPr>
                <w:rFonts w:ascii="Arial" w:hAnsi="Arial" w:cs="Arial"/>
                <w:sz w:val="24"/>
                <w:szCs w:val="24"/>
              </w:rPr>
              <w:t xml:space="preserve">In February 169 orthopaedic and 12 thoracic patients were admitted as </w:t>
            </w:r>
            <w:proofErr w:type="spellStart"/>
            <w:r w:rsidRPr="00970E45">
              <w:rPr>
                <w:rFonts w:ascii="Arial" w:hAnsi="Arial" w:cs="Arial"/>
                <w:sz w:val="24"/>
                <w:szCs w:val="24"/>
              </w:rPr>
              <w:t>DoSA</w:t>
            </w:r>
            <w:proofErr w:type="spellEnd"/>
            <w:r w:rsidRPr="00970E45">
              <w:rPr>
                <w:rFonts w:ascii="Arial" w:hAnsi="Arial" w:cs="Arial"/>
                <w:sz w:val="24"/>
                <w:szCs w:val="24"/>
              </w:rPr>
              <w:t xml:space="preserve">. </w:t>
            </w:r>
            <w:r w:rsidR="00CB6D91" w:rsidRPr="00970E45">
              <w:rPr>
                <w:rFonts w:ascii="Arial" w:hAnsi="Arial" w:cs="Arial"/>
                <w:sz w:val="24"/>
                <w:szCs w:val="24"/>
              </w:rPr>
              <w:t>Six c</w:t>
            </w:r>
            <w:r w:rsidR="006B7036" w:rsidRPr="00970E45">
              <w:rPr>
                <w:rFonts w:ascii="Arial" w:hAnsi="Arial" w:cs="Arial"/>
                <w:sz w:val="24"/>
                <w:szCs w:val="24"/>
              </w:rPr>
              <w:t xml:space="preserve">ardiac surgery </w:t>
            </w:r>
            <w:r w:rsidR="00CB6D91" w:rsidRPr="00970E45">
              <w:rPr>
                <w:rFonts w:ascii="Arial" w:hAnsi="Arial" w:cs="Arial"/>
                <w:sz w:val="24"/>
                <w:szCs w:val="24"/>
              </w:rPr>
              <w:t xml:space="preserve">patients were admitted as DoSA in April. Absence among the anaesthetist team during February and March meant fewer patients than anticipated were assessed at the pre-operative assessment clinic where suitable </w:t>
            </w:r>
            <w:proofErr w:type="spellStart"/>
            <w:r w:rsidRPr="00970E45">
              <w:rPr>
                <w:rFonts w:ascii="Arial" w:hAnsi="Arial" w:cs="Arial"/>
                <w:sz w:val="24"/>
                <w:szCs w:val="24"/>
              </w:rPr>
              <w:t>DoSA</w:t>
            </w:r>
            <w:proofErr w:type="spellEnd"/>
            <w:r w:rsidRPr="00970E45">
              <w:rPr>
                <w:rFonts w:ascii="Arial" w:hAnsi="Arial" w:cs="Arial"/>
                <w:sz w:val="24"/>
                <w:szCs w:val="24"/>
              </w:rPr>
              <w:t xml:space="preserve"> candidates are identified</w:t>
            </w:r>
            <w:r w:rsidR="00970E45">
              <w:rPr>
                <w:rFonts w:ascii="Arial" w:hAnsi="Arial" w:cs="Arial"/>
                <w:sz w:val="24"/>
                <w:szCs w:val="24"/>
              </w:rPr>
              <w:t xml:space="preserve">, impacting </w:t>
            </w:r>
            <w:r w:rsidRPr="00970E45">
              <w:rPr>
                <w:rFonts w:ascii="Arial" w:hAnsi="Arial" w:cs="Arial"/>
                <w:sz w:val="24"/>
                <w:szCs w:val="24"/>
              </w:rPr>
              <w:t>the rates for April.</w:t>
            </w:r>
          </w:p>
        </w:tc>
      </w:tr>
    </w:tbl>
    <w:p w:rsidR="005C4449" w:rsidRPr="000C34A9" w:rsidRDefault="005C4449" w:rsidP="00987186">
      <w:pPr>
        <w:rPr>
          <w:rFonts w:ascii="Arial" w:hAnsi="Arial" w:cs="Arial"/>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1"/>
        <w:gridCol w:w="1772"/>
        <w:gridCol w:w="1772"/>
        <w:gridCol w:w="1772"/>
        <w:gridCol w:w="1771"/>
        <w:gridCol w:w="1772"/>
        <w:gridCol w:w="1772"/>
        <w:gridCol w:w="1772"/>
      </w:tblGrid>
      <w:tr w:rsidR="00356C7F" w:rsidRPr="000C34A9" w:rsidTr="00356C7F">
        <w:trPr>
          <w:trHeight w:val="411"/>
        </w:trPr>
        <w:tc>
          <w:tcPr>
            <w:tcW w:w="14174" w:type="dxa"/>
            <w:gridSpan w:val="8"/>
          </w:tcPr>
          <w:p w:rsidR="00356C7F" w:rsidRPr="000C34A9" w:rsidRDefault="00356C7F" w:rsidP="004821BD">
            <w:pPr>
              <w:rPr>
                <w:rFonts w:ascii="Arial" w:hAnsi="Arial" w:cs="Arial"/>
                <w:highlight w:val="yellow"/>
              </w:rPr>
            </w:pPr>
            <w:r w:rsidRPr="004821BD">
              <w:rPr>
                <w:rFonts w:ascii="Arial" w:hAnsi="Arial" w:cs="Arial"/>
                <w:b/>
                <w:bCs/>
                <w:lang w:eastAsia="en-GB"/>
              </w:rPr>
              <w:lastRenderedPageBreak/>
              <w:t xml:space="preserve">Safe                                                                                                                            Board Performance update – </w:t>
            </w:r>
            <w:r w:rsidR="004821BD" w:rsidRPr="004821BD">
              <w:rPr>
                <w:rFonts w:ascii="Arial" w:hAnsi="Arial" w:cs="Arial"/>
                <w:b/>
                <w:bCs/>
                <w:lang w:eastAsia="en-GB"/>
              </w:rPr>
              <w:t>June</w:t>
            </w:r>
            <w:r w:rsidRPr="004821BD">
              <w:rPr>
                <w:rFonts w:ascii="Arial" w:hAnsi="Arial" w:cs="Arial"/>
                <w:b/>
                <w:bCs/>
                <w:lang w:eastAsia="en-GB"/>
              </w:rPr>
              <w:t xml:space="preserve"> 201</w:t>
            </w:r>
            <w:r w:rsidR="00114724" w:rsidRPr="004821BD">
              <w:rPr>
                <w:rFonts w:ascii="Arial" w:hAnsi="Arial" w:cs="Arial"/>
                <w:b/>
                <w:bCs/>
                <w:lang w:eastAsia="en-GB"/>
              </w:rPr>
              <w:t>9</w:t>
            </w:r>
          </w:p>
        </w:tc>
      </w:tr>
      <w:tr w:rsidR="004821BD" w:rsidRPr="000C34A9" w:rsidTr="004821BD">
        <w:trPr>
          <w:trHeight w:val="414"/>
        </w:trPr>
        <w:tc>
          <w:tcPr>
            <w:tcW w:w="1771" w:type="dxa"/>
            <w:shd w:val="clear" w:color="auto" w:fill="D9D9D9" w:themeFill="background1" w:themeFillShade="D9"/>
            <w:vAlign w:val="center"/>
          </w:tcPr>
          <w:p w:rsidR="004821BD" w:rsidRPr="004821BD" w:rsidRDefault="004821BD" w:rsidP="004821BD">
            <w:pPr>
              <w:widowControl w:val="0"/>
              <w:autoSpaceDE w:val="0"/>
              <w:autoSpaceDN w:val="0"/>
              <w:adjustRightInd w:val="0"/>
              <w:rPr>
                <w:rFonts w:ascii="Arial" w:hAnsi="Arial" w:cs="Arial"/>
                <w:color w:val="000000"/>
                <w:lang w:eastAsia="en-GB"/>
              </w:rPr>
            </w:pPr>
            <w:r w:rsidRPr="004821BD">
              <w:rPr>
                <w:rFonts w:ascii="Arial" w:hAnsi="Arial" w:cs="Arial"/>
                <w:color w:val="000000"/>
                <w:lang w:eastAsia="en-GB"/>
              </w:rPr>
              <w:t>KPI</w:t>
            </w:r>
          </w:p>
        </w:tc>
        <w:tc>
          <w:tcPr>
            <w:tcW w:w="1772" w:type="dxa"/>
            <w:shd w:val="clear" w:color="auto" w:fill="D9D9D9" w:themeFill="background1" w:themeFillShade="D9"/>
            <w:vAlign w:val="center"/>
          </w:tcPr>
          <w:p w:rsidR="004821BD" w:rsidRPr="004821BD" w:rsidRDefault="004821BD" w:rsidP="004821BD">
            <w:pPr>
              <w:widowControl w:val="0"/>
              <w:autoSpaceDE w:val="0"/>
              <w:autoSpaceDN w:val="0"/>
              <w:adjustRightInd w:val="0"/>
              <w:rPr>
                <w:rFonts w:ascii="Arial" w:hAnsi="Arial" w:cs="Arial"/>
                <w:color w:val="000000"/>
                <w:lang w:eastAsia="en-GB"/>
              </w:rPr>
            </w:pPr>
            <w:r w:rsidRPr="004821BD">
              <w:rPr>
                <w:rFonts w:ascii="Arial" w:hAnsi="Arial" w:cs="Arial"/>
                <w:color w:val="000000"/>
                <w:lang w:eastAsia="en-GB"/>
              </w:rPr>
              <w:t>Details</w:t>
            </w:r>
          </w:p>
        </w:tc>
        <w:tc>
          <w:tcPr>
            <w:tcW w:w="1772" w:type="dxa"/>
            <w:shd w:val="clear" w:color="auto" w:fill="D9D9D9" w:themeFill="background1" w:themeFillShade="D9"/>
            <w:vAlign w:val="center"/>
          </w:tcPr>
          <w:p w:rsidR="004821BD" w:rsidRPr="004821BD" w:rsidRDefault="004821BD" w:rsidP="004821BD">
            <w:pPr>
              <w:jc w:val="center"/>
              <w:rPr>
                <w:rFonts w:ascii="Arial" w:hAnsi="Arial" w:cs="Arial"/>
              </w:rPr>
            </w:pPr>
            <w:r w:rsidRPr="004821BD">
              <w:rPr>
                <w:rFonts w:ascii="Arial" w:hAnsi="Arial" w:cs="Arial"/>
              </w:rPr>
              <w:t>Tolerance</w:t>
            </w:r>
          </w:p>
        </w:tc>
        <w:tc>
          <w:tcPr>
            <w:tcW w:w="1772" w:type="dxa"/>
            <w:shd w:val="clear" w:color="auto" w:fill="D9D9D9" w:themeFill="background1" w:themeFillShade="D9"/>
          </w:tcPr>
          <w:p w:rsidR="004821BD" w:rsidRPr="004821BD" w:rsidRDefault="004821BD" w:rsidP="004821BD">
            <w:pPr>
              <w:widowControl w:val="0"/>
              <w:autoSpaceDE w:val="0"/>
              <w:autoSpaceDN w:val="0"/>
              <w:adjustRightInd w:val="0"/>
              <w:jc w:val="center"/>
              <w:rPr>
                <w:rFonts w:ascii="Arial" w:hAnsi="Arial" w:cs="Arial"/>
                <w:color w:val="000000"/>
                <w:lang w:eastAsia="en-GB"/>
              </w:rPr>
            </w:pPr>
            <w:r>
              <w:rPr>
                <w:rFonts w:ascii="Arial" w:hAnsi="Arial" w:cs="Arial"/>
                <w:color w:val="000000"/>
                <w:lang w:eastAsia="en-GB"/>
              </w:rPr>
              <w:t>Q2</w:t>
            </w:r>
            <w:r w:rsidRPr="004821BD">
              <w:rPr>
                <w:rFonts w:ascii="Arial" w:hAnsi="Arial" w:cs="Arial"/>
                <w:color w:val="000000"/>
                <w:lang w:eastAsia="en-GB"/>
              </w:rPr>
              <w:t xml:space="preserve"> 2018</w:t>
            </w:r>
            <w:r>
              <w:rPr>
                <w:rFonts w:ascii="Arial" w:hAnsi="Arial" w:cs="Arial"/>
                <w:color w:val="000000"/>
                <w:lang w:eastAsia="en-GB"/>
              </w:rPr>
              <w:t>/19</w:t>
            </w:r>
          </w:p>
        </w:tc>
        <w:tc>
          <w:tcPr>
            <w:tcW w:w="1771" w:type="dxa"/>
            <w:shd w:val="clear" w:color="auto" w:fill="D9D9D9" w:themeFill="background1" w:themeFillShade="D9"/>
          </w:tcPr>
          <w:p w:rsidR="004821BD" w:rsidRPr="004821BD" w:rsidRDefault="004821BD" w:rsidP="004821BD">
            <w:pPr>
              <w:widowControl w:val="0"/>
              <w:autoSpaceDE w:val="0"/>
              <w:autoSpaceDN w:val="0"/>
              <w:adjustRightInd w:val="0"/>
              <w:jc w:val="center"/>
              <w:rPr>
                <w:rFonts w:ascii="Arial" w:hAnsi="Arial" w:cs="Arial"/>
                <w:color w:val="000000"/>
                <w:lang w:eastAsia="en-GB"/>
              </w:rPr>
            </w:pPr>
            <w:r>
              <w:rPr>
                <w:rFonts w:ascii="Arial" w:hAnsi="Arial" w:cs="Arial"/>
                <w:color w:val="000000"/>
                <w:lang w:eastAsia="en-GB"/>
              </w:rPr>
              <w:t>Q3</w:t>
            </w:r>
            <w:r w:rsidRPr="004821BD">
              <w:rPr>
                <w:rFonts w:ascii="Arial" w:hAnsi="Arial" w:cs="Arial"/>
                <w:color w:val="000000"/>
                <w:lang w:eastAsia="en-GB"/>
              </w:rPr>
              <w:t xml:space="preserve"> 2018</w:t>
            </w:r>
            <w:r>
              <w:rPr>
                <w:rFonts w:ascii="Arial" w:hAnsi="Arial" w:cs="Arial"/>
                <w:color w:val="000000"/>
                <w:lang w:eastAsia="en-GB"/>
              </w:rPr>
              <w:t>/19</w:t>
            </w:r>
          </w:p>
        </w:tc>
        <w:tc>
          <w:tcPr>
            <w:tcW w:w="1772" w:type="dxa"/>
            <w:shd w:val="clear" w:color="auto" w:fill="D9D9D9" w:themeFill="background1" w:themeFillShade="D9"/>
          </w:tcPr>
          <w:p w:rsidR="004821BD" w:rsidRPr="004821BD" w:rsidRDefault="004821BD" w:rsidP="004821BD">
            <w:pPr>
              <w:widowControl w:val="0"/>
              <w:autoSpaceDE w:val="0"/>
              <w:autoSpaceDN w:val="0"/>
              <w:adjustRightInd w:val="0"/>
              <w:jc w:val="center"/>
              <w:rPr>
                <w:rFonts w:ascii="Arial" w:hAnsi="Arial" w:cs="Arial"/>
                <w:color w:val="000000"/>
                <w:lang w:eastAsia="en-GB"/>
              </w:rPr>
            </w:pPr>
            <w:r>
              <w:rPr>
                <w:rFonts w:ascii="Arial" w:hAnsi="Arial" w:cs="Arial"/>
                <w:color w:val="000000"/>
                <w:lang w:eastAsia="en-GB"/>
              </w:rPr>
              <w:t>Q4</w:t>
            </w:r>
            <w:r w:rsidRPr="004821BD">
              <w:rPr>
                <w:rFonts w:ascii="Arial" w:hAnsi="Arial" w:cs="Arial"/>
                <w:color w:val="000000"/>
                <w:lang w:eastAsia="en-GB"/>
              </w:rPr>
              <w:t xml:space="preserve"> 2018</w:t>
            </w:r>
            <w:r>
              <w:rPr>
                <w:rFonts w:ascii="Arial" w:hAnsi="Arial" w:cs="Arial"/>
                <w:color w:val="000000"/>
                <w:lang w:eastAsia="en-GB"/>
              </w:rPr>
              <w:t>/19</w:t>
            </w:r>
          </w:p>
        </w:tc>
        <w:tc>
          <w:tcPr>
            <w:tcW w:w="1772" w:type="dxa"/>
            <w:shd w:val="clear" w:color="auto" w:fill="D9D9D9" w:themeFill="background1" w:themeFillShade="D9"/>
            <w:vAlign w:val="center"/>
          </w:tcPr>
          <w:p w:rsidR="004821BD" w:rsidRPr="004821BD" w:rsidRDefault="004821BD" w:rsidP="004821BD">
            <w:pPr>
              <w:widowControl w:val="0"/>
              <w:autoSpaceDE w:val="0"/>
              <w:autoSpaceDN w:val="0"/>
              <w:adjustRightInd w:val="0"/>
              <w:jc w:val="center"/>
              <w:rPr>
                <w:rFonts w:ascii="Arial" w:hAnsi="Arial" w:cs="Arial"/>
                <w:color w:val="000000"/>
                <w:lang w:eastAsia="en-GB"/>
              </w:rPr>
            </w:pPr>
            <w:r w:rsidRPr="004821BD">
              <w:rPr>
                <w:rFonts w:ascii="Arial" w:hAnsi="Arial" w:cs="Arial"/>
                <w:color w:val="000000"/>
                <w:lang w:eastAsia="en-GB"/>
              </w:rPr>
              <w:t>Target</w:t>
            </w:r>
          </w:p>
        </w:tc>
        <w:tc>
          <w:tcPr>
            <w:tcW w:w="1772" w:type="dxa"/>
            <w:tcBorders>
              <w:bottom w:val="single" w:sz="4" w:space="0" w:color="auto"/>
            </w:tcBorders>
            <w:shd w:val="clear" w:color="auto" w:fill="D9D9D9" w:themeFill="background1" w:themeFillShade="D9"/>
            <w:vAlign w:val="center"/>
          </w:tcPr>
          <w:p w:rsidR="004821BD" w:rsidRPr="004821BD" w:rsidRDefault="004821BD" w:rsidP="004821BD">
            <w:pPr>
              <w:widowControl w:val="0"/>
              <w:autoSpaceDE w:val="0"/>
              <w:autoSpaceDN w:val="0"/>
              <w:adjustRightInd w:val="0"/>
              <w:jc w:val="center"/>
              <w:rPr>
                <w:rFonts w:ascii="Arial" w:hAnsi="Arial" w:cs="Arial"/>
                <w:lang w:eastAsia="en-GB"/>
              </w:rPr>
            </w:pPr>
            <w:r w:rsidRPr="004821BD">
              <w:rPr>
                <w:rFonts w:ascii="Arial" w:hAnsi="Arial" w:cs="Arial"/>
                <w:lang w:eastAsia="en-GB"/>
              </w:rPr>
              <w:t>On Track</w:t>
            </w:r>
          </w:p>
        </w:tc>
      </w:tr>
      <w:tr w:rsidR="004821BD" w:rsidRPr="000C34A9" w:rsidTr="009344B3">
        <w:trPr>
          <w:trHeight w:val="190"/>
        </w:trPr>
        <w:tc>
          <w:tcPr>
            <w:tcW w:w="1771" w:type="dxa"/>
          </w:tcPr>
          <w:p w:rsidR="004821BD" w:rsidRPr="000C34A9" w:rsidRDefault="004821BD" w:rsidP="00356C7F">
            <w:pPr>
              <w:rPr>
                <w:rFonts w:ascii="Arial" w:hAnsi="Arial" w:cs="Arial"/>
                <w:highlight w:val="yellow"/>
              </w:rPr>
            </w:pPr>
            <w:r w:rsidRPr="004821BD">
              <w:rPr>
                <w:rFonts w:ascii="Arial" w:hAnsi="Arial" w:cs="Arial"/>
              </w:rPr>
              <w:t>MRSA/MSSA bacterium</w:t>
            </w:r>
          </w:p>
        </w:tc>
        <w:tc>
          <w:tcPr>
            <w:tcW w:w="1772" w:type="dxa"/>
          </w:tcPr>
          <w:p w:rsidR="004821BD" w:rsidRPr="000C34A9" w:rsidRDefault="004821BD" w:rsidP="004821BD">
            <w:pPr>
              <w:jc w:val="center"/>
              <w:rPr>
                <w:rFonts w:ascii="Arial" w:hAnsi="Arial" w:cs="Arial"/>
                <w:highlight w:val="yellow"/>
              </w:rPr>
            </w:pPr>
            <w:r w:rsidRPr="004821BD">
              <w:rPr>
                <w:rFonts w:ascii="Arial" w:hAnsi="Arial" w:cs="Arial"/>
              </w:rPr>
              <w:t>Maintain a rate of 0.12 cases per 1000 acute occupied bed days</w:t>
            </w:r>
          </w:p>
        </w:tc>
        <w:tc>
          <w:tcPr>
            <w:tcW w:w="1772" w:type="dxa"/>
            <w:vAlign w:val="center"/>
          </w:tcPr>
          <w:p w:rsidR="004821BD" w:rsidRPr="004821BD" w:rsidRDefault="004821BD" w:rsidP="004821BD">
            <w:pPr>
              <w:jc w:val="center"/>
              <w:rPr>
                <w:rFonts w:ascii="Arial" w:hAnsi="Arial" w:cs="Arial"/>
              </w:rPr>
            </w:pPr>
          </w:p>
          <w:p w:rsidR="004821BD" w:rsidRPr="004821BD" w:rsidRDefault="004821BD" w:rsidP="004821BD">
            <w:pPr>
              <w:jc w:val="center"/>
              <w:rPr>
                <w:rFonts w:ascii="Arial" w:hAnsi="Arial" w:cs="Arial"/>
              </w:rPr>
            </w:pPr>
            <w:r w:rsidRPr="004821BD">
              <w:rPr>
                <w:rFonts w:ascii="Arial" w:hAnsi="Arial" w:cs="Arial"/>
              </w:rPr>
              <w:t>≤0.12 = G</w:t>
            </w:r>
          </w:p>
          <w:p w:rsidR="004821BD" w:rsidRPr="004821BD" w:rsidRDefault="004821BD" w:rsidP="004821BD">
            <w:pPr>
              <w:jc w:val="center"/>
              <w:rPr>
                <w:rFonts w:ascii="Arial" w:hAnsi="Arial" w:cs="Arial"/>
              </w:rPr>
            </w:pPr>
            <w:r w:rsidRPr="004821BD">
              <w:rPr>
                <w:rFonts w:ascii="Arial" w:hAnsi="Arial" w:cs="Arial"/>
              </w:rPr>
              <w:t>&gt;0.12 = R</w:t>
            </w:r>
          </w:p>
        </w:tc>
        <w:tc>
          <w:tcPr>
            <w:tcW w:w="1772" w:type="dxa"/>
            <w:vAlign w:val="center"/>
          </w:tcPr>
          <w:p w:rsidR="004821BD" w:rsidRPr="004821BD" w:rsidRDefault="004821BD" w:rsidP="004821BD">
            <w:pPr>
              <w:jc w:val="center"/>
              <w:rPr>
                <w:rFonts w:ascii="Arial" w:hAnsi="Arial" w:cs="Arial"/>
              </w:rPr>
            </w:pPr>
            <w:r w:rsidRPr="004821BD">
              <w:rPr>
                <w:rFonts w:ascii="Arial" w:hAnsi="Arial" w:cs="Arial"/>
              </w:rPr>
              <w:t>0</w:t>
            </w:r>
          </w:p>
        </w:tc>
        <w:tc>
          <w:tcPr>
            <w:tcW w:w="1771" w:type="dxa"/>
            <w:vAlign w:val="center"/>
          </w:tcPr>
          <w:p w:rsidR="004821BD" w:rsidRPr="004821BD" w:rsidRDefault="004821BD" w:rsidP="004821BD">
            <w:pPr>
              <w:jc w:val="center"/>
              <w:rPr>
                <w:rFonts w:ascii="Arial" w:hAnsi="Arial" w:cs="Arial"/>
              </w:rPr>
            </w:pPr>
            <w:r w:rsidRPr="004821BD">
              <w:rPr>
                <w:rFonts w:ascii="Arial" w:hAnsi="Arial" w:cs="Arial"/>
              </w:rPr>
              <w:t>0.25</w:t>
            </w:r>
          </w:p>
        </w:tc>
        <w:tc>
          <w:tcPr>
            <w:tcW w:w="1772" w:type="dxa"/>
            <w:vAlign w:val="center"/>
          </w:tcPr>
          <w:p w:rsidR="004821BD" w:rsidRPr="004821BD" w:rsidRDefault="004821BD" w:rsidP="004821BD">
            <w:pPr>
              <w:jc w:val="center"/>
              <w:rPr>
                <w:rFonts w:ascii="Arial" w:hAnsi="Arial" w:cs="Arial"/>
              </w:rPr>
            </w:pPr>
            <w:r w:rsidRPr="004821BD">
              <w:rPr>
                <w:rFonts w:ascii="Arial" w:hAnsi="Arial" w:cs="Arial"/>
              </w:rPr>
              <w:t>0.17</w:t>
            </w:r>
          </w:p>
        </w:tc>
        <w:tc>
          <w:tcPr>
            <w:tcW w:w="1772" w:type="dxa"/>
            <w:vAlign w:val="center"/>
          </w:tcPr>
          <w:p w:rsidR="004821BD" w:rsidRPr="004821BD" w:rsidRDefault="004821BD" w:rsidP="004821BD">
            <w:pPr>
              <w:jc w:val="center"/>
              <w:rPr>
                <w:rFonts w:ascii="Arial" w:hAnsi="Arial" w:cs="Arial"/>
              </w:rPr>
            </w:pPr>
            <w:r w:rsidRPr="004821BD">
              <w:rPr>
                <w:rFonts w:ascii="Arial" w:hAnsi="Arial" w:cs="Arial"/>
              </w:rPr>
              <w:t>≤0.12 = G</w:t>
            </w:r>
          </w:p>
          <w:p w:rsidR="004821BD" w:rsidRPr="004821BD" w:rsidRDefault="004821BD" w:rsidP="004821BD">
            <w:pPr>
              <w:jc w:val="center"/>
              <w:rPr>
                <w:rFonts w:ascii="Arial" w:hAnsi="Arial" w:cs="Arial"/>
              </w:rPr>
            </w:pPr>
          </w:p>
        </w:tc>
        <w:tc>
          <w:tcPr>
            <w:tcW w:w="1772" w:type="dxa"/>
            <w:shd w:val="clear" w:color="auto" w:fill="FFC000"/>
            <w:vAlign w:val="center"/>
          </w:tcPr>
          <w:p w:rsidR="004821BD" w:rsidRPr="004821BD" w:rsidRDefault="004821BD" w:rsidP="004821BD">
            <w:pPr>
              <w:jc w:val="center"/>
              <w:rPr>
                <w:rFonts w:ascii="Arial" w:hAnsi="Arial" w:cs="Arial"/>
              </w:rPr>
            </w:pPr>
            <w:r w:rsidRPr="004821BD">
              <w:rPr>
                <w:rFonts w:ascii="Arial" w:hAnsi="Arial" w:cs="Arial"/>
              </w:rPr>
              <w:sym w:font="Wingdings" w:char="F0F1"/>
            </w:r>
          </w:p>
        </w:tc>
      </w:tr>
      <w:tr w:rsidR="004821BD" w:rsidRPr="000C34A9" w:rsidTr="004821BD">
        <w:trPr>
          <w:trHeight w:val="190"/>
        </w:trPr>
        <w:tc>
          <w:tcPr>
            <w:tcW w:w="1771" w:type="dxa"/>
          </w:tcPr>
          <w:p w:rsidR="004821BD" w:rsidRPr="004821BD" w:rsidRDefault="004821BD" w:rsidP="004821BD">
            <w:pPr>
              <w:rPr>
                <w:rFonts w:ascii="Arial" w:hAnsi="Arial" w:cs="Arial"/>
              </w:rPr>
            </w:pPr>
            <w:r w:rsidRPr="004821BD">
              <w:rPr>
                <w:rFonts w:ascii="Arial" w:hAnsi="Arial" w:cs="Arial"/>
              </w:rPr>
              <w:t>Clostridium difficile infections (CDI) in ages 15+</w:t>
            </w:r>
          </w:p>
          <w:p w:rsidR="004821BD" w:rsidRPr="004821BD" w:rsidRDefault="004821BD" w:rsidP="004821BD">
            <w:pPr>
              <w:rPr>
                <w:rFonts w:ascii="Arial" w:hAnsi="Arial" w:cs="Arial"/>
              </w:rPr>
            </w:pPr>
          </w:p>
          <w:p w:rsidR="004821BD" w:rsidRPr="000C34A9" w:rsidRDefault="004821BD" w:rsidP="004821BD">
            <w:pPr>
              <w:rPr>
                <w:rFonts w:ascii="Arial" w:hAnsi="Arial" w:cs="Arial"/>
                <w:highlight w:val="yellow"/>
              </w:rPr>
            </w:pPr>
          </w:p>
        </w:tc>
        <w:tc>
          <w:tcPr>
            <w:tcW w:w="1772" w:type="dxa"/>
          </w:tcPr>
          <w:p w:rsidR="004821BD" w:rsidRPr="004821BD" w:rsidRDefault="004821BD" w:rsidP="004821BD">
            <w:pPr>
              <w:rPr>
                <w:rFonts w:ascii="Arial" w:hAnsi="Arial" w:cs="Arial"/>
              </w:rPr>
            </w:pPr>
            <w:r w:rsidRPr="004821BD">
              <w:rPr>
                <w:rFonts w:ascii="Arial" w:hAnsi="Arial" w:cs="Arial"/>
              </w:rPr>
              <w:t>Maintain at 0.10 cases per 1000 total acute occupied bed days or lower</w:t>
            </w:r>
          </w:p>
          <w:p w:rsidR="004821BD" w:rsidRPr="000C34A9" w:rsidRDefault="004821BD" w:rsidP="00356C7F">
            <w:pPr>
              <w:rPr>
                <w:rFonts w:ascii="Arial" w:hAnsi="Arial" w:cs="Arial"/>
                <w:highlight w:val="yellow"/>
              </w:rPr>
            </w:pPr>
          </w:p>
        </w:tc>
        <w:tc>
          <w:tcPr>
            <w:tcW w:w="1772" w:type="dxa"/>
            <w:vAlign w:val="center"/>
          </w:tcPr>
          <w:p w:rsidR="004821BD" w:rsidRPr="004821BD" w:rsidRDefault="004821BD" w:rsidP="004821BD">
            <w:pPr>
              <w:jc w:val="center"/>
              <w:rPr>
                <w:rFonts w:ascii="Arial" w:hAnsi="Arial" w:cs="Arial"/>
              </w:rPr>
            </w:pPr>
            <w:r w:rsidRPr="004821BD">
              <w:rPr>
                <w:rFonts w:ascii="Arial" w:hAnsi="Arial" w:cs="Arial"/>
              </w:rPr>
              <w:t>≤0.10 = G</w:t>
            </w:r>
          </w:p>
          <w:p w:rsidR="004821BD" w:rsidRPr="004821BD" w:rsidRDefault="004821BD" w:rsidP="004821BD">
            <w:pPr>
              <w:jc w:val="center"/>
              <w:rPr>
                <w:rFonts w:ascii="Arial" w:hAnsi="Arial" w:cs="Arial"/>
              </w:rPr>
            </w:pPr>
            <w:r w:rsidRPr="004821BD">
              <w:rPr>
                <w:rFonts w:ascii="Arial" w:hAnsi="Arial" w:cs="Arial"/>
              </w:rPr>
              <w:t>&gt;0.10 = R</w:t>
            </w:r>
          </w:p>
        </w:tc>
        <w:tc>
          <w:tcPr>
            <w:tcW w:w="1772" w:type="dxa"/>
            <w:vAlign w:val="center"/>
          </w:tcPr>
          <w:p w:rsidR="004821BD" w:rsidRPr="004821BD" w:rsidRDefault="004821BD" w:rsidP="004821BD">
            <w:pPr>
              <w:jc w:val="center"/>
              <w:rPr>
                <w:rFonts w:ascii="Arial" w:hAnsi="Arial" w:cs="Arial"/>
              </w:rPr>
            </w:pPr>
            <w:r w:rsidRPr="004821BD">
              <w:rPr>
                <w:rFonts w:ascii="Arial" w:hAnsi="Arial" w:cs="Arial"/>
              </w:rPr>
              <w:t>0</w:t>
            </w:r>
          </w:p>
        </w:tc>
        <w:tc>
          <w:tcPr>
            <w:tcW w:w="1771" w:type="dxa"/>
            <w:vAlign w:val="center"/>
          </w:tcPr>
          <w:p w:rsidR="004821BD" w:rsidRPr="004821BD" w:rsidRDefault="004821BD" w:rsidP="004821BD">
            <w:pPr>
              <w:jc w:val="center"/>
              <w:rPr>
                <w:rFonts w:ascii="Arial" w:hAnsi="Arial" w:cs="Arial"/>
              </w:rPr>
            </w:pPr>
            <w:r w:rsidRPr="004821BD">
              <w:rPr>
                <w:rFonts w:ascii="Arial" w:hAnsi="Arial" w:cs="Arial"/>
              </w:rPr>
              <w:t>0</w:t>
            </w:r>
          </w:p>
        </w:tc>
        <w:tc>
          <w:tcPr>
            <w:tcW w:w="1772" w:type="dxa"/>
            <w:vAlign w:val="center"/>
          </w:tcPr>
          <w:p w:rsidR="004821BD" w:rsidRPr="004821BD" w:rsidRDefault="004821BD" w:rsidP="004821BD">
            <w:pPr>
              <w:jc w:val="center"/>
              <w:rPr>
                <w:rFonts w:ascii="Arial" w:hAnsi="Arial" w:cs="Arial"/>
              </w:rPr>
            </w:pPr>
            <w:r w:rsidRPr="004821BD">
              <w:rPr>
                <w:rFonts w:ascii="Arial" w:hAnsi="Arial" w:cs="Arial"/>
              </w:rPr>
              <w:t>0</w:t>
            </w:r>
          </w:p>
        </w:tc>
        <w:tc>
          <w:tcPr>
            <w:tcW w:w="1772" w:type="dxa"/>
            <w:vAlign w:val="center"/>
          </w:tcPr>
          <w:p w:rsidR="004821BD" w:rsidRPr="004821BD" w:rsidRDefault="004821BD" w:rsidP="004821BD">
            <w:pPr>
              <w:jc w:val="center"/>
              <w:rPr>
                <w:rFonts w:ascii="Arial" w:hAnsi="Arial" w:cs="Arial"/>
              </w:rPr>
            </w:pPr>
            <w:r w:rsidRPr="004821BD">
              <w:rPr>
                <w:rFonts w:ascii="Arial" w:hAnsi="Arial" w:cs="Arial"/>
              </w:rPr>
              <w:t>≤0.10 = G</w:t>
            </w:r>
          </w:p>
        </w:tc>
        <w:tc>
          <w:tcPr>
            <w:tcW w:w="1772" w:type="dxa"/>
            <w:tcBorders>
              <w:bottom w:val="nil"/>
            </w:tcBorders>
            <w:shd w:val="clear" w:color="auto" w:fill="00B050"/>
            <w:vAlign w:val="center"/>
          </w:tcPr>
          <w:p w:rsidR="004821BD" w:rsidRPr="004821BD" w:rsidRDefault="004821BD" w:rsidP="004821BD">
            <w:pPr>
              <w:jc w:val="center"/>
              <w:rPr>
                <w:rFonts w:ascii="Arial" w:hAnsi="Arial" w:cs="Arial"/>
              </w:rPr>
            </w:pPr>
            <w:r w:rsidRPr="004821BD">
              <w:rPr>
                <w:rFonts w:ascii="Arial" w:hAnsi="Arial" w:cs="Arial"/>
              </w:rPr>
              <w:sym w:font="Wingdings" w:char="F0F3"/>
            </w:r>
          </w:p>
        </w:tc>
      </w:tr>
      <w:tr w:rsidR="004821BD" w:rsidRPr="000C34A9" w:rsidTr="00356C7F">
        <w:trPr>
          <w:trHeight w:val="414"/>
        </w:trPr>
        <w:tc>
          <w:tcPr>
            <w:tcW w:w="14174" w:type="dxa"/>
            <w:gridSpan w:val="8"/>
          </w:tcPr>
          <w:p w:rsidR="004821BD" w:rsidRDefault="009344B3" w:rsidP="00356C7F">
            <w:pPr>
              <w:rPr>
                <w:rFonts w:ascii="Arial" w:hAnsi="Arial" w:cs="Arial"/>
              </w:rPr>
            </w:pPr>
            <w:r w:rsidRPr="009344B3">
              <w:rPr>
                <w:rFonts w:ascii="Arial" w:hAnsi="Arial" w:cs="Arial"/>
              </w:rPr>
              <w:t xml:space="preserve">During </w:t>
            </w:r>
            <w:r w:rsidR="00970E45">
              <w:rPr>
                <w:rFonts w:ascii="Arial" w:hAnsi="Arial" w:cs="Arial"/>
              </w:rPr>
              <w:t>q</w:t>
            </w:r>
            <w:r w:rsidRPr="009344B3">
              <w:rPr>
                <w:rFonts w:ascii="Arial" w:hAnsi="Arial" w:cs="Arial"/>
              </w:rPr>
              <w:t xml:space="preserve">uarter </w:t>
            </w:r>
            <w:r w:rsidR="00970E45">
              <w:rPr>
                <w:rFonts w:ascii="Arial" w:hAnsi="Arial" w:cs="Arial"/>
              </w:rPr>
              <w:t>f</w:t>
            </w:r>
            <w:r w:rsidRPr="009344B3">
              <w:rPr>
                <w:rFonts w:ascii="Arial" w:hAnsi="Arial" w:cs="Arial"/>
              </w:rPr>
              <w:t>our of 2018/19</w:t>
            </w:r>
            <w:r w:rsidR="00970E45">
              <w:rPr>
                <w:rFonts w:ascii="Arial" w:hAnsi="Arial" w:cs="Arial"/>
              </w:rPr>
              <w:t>,</w:t>
            </w:r>
            <w:r w:rsidRPr="009344B3">
              <w:rPr>
                <w:rFonts w:ascii="Arial" w:hAnsi="Arial" w:cs="Arial"/>
              </w:rPr>
              <w:t xml:space="preserve"> there were two reported instances of MRSA/MSSA. This was above the local target of 0.12 instances per 1000 acute occupied bed days but was below the national target of 0.24 instances per 1000 acute occupied bed days.</w:t>
            </w:r>
          </w:p>
          <w:p w:rsidR="009344B3" w:rsidRPr="000C34A9" w:rsidRDefault="009344B3" w:rsidP="00356C7F">
            <w:pPr>
              <w:rPr>
                <w:rFonts w:ascii="Arial" w:hAnsi="Arial" w:cs="Arial"/>
                <w:highlight w:val="yellow"/>
              </w:rPr>
            </w:pPr>
            <w:r w:rsidRPr="009344B3">
              <w:rPr>
                <w:rFonts w:ascii="Arial" w:hAnsi="Arial" w:cs="Arial"/>
              </w:rPr>
              <w:t>No instances of CDI have been reported since June 2018.</w:t>
            </w:r>
          </w:p>
        </w:tc>
      </w:tr>
    </w:tbl>
    <w:p w:rsidR="005C4449" w:rsidRPr="000C34A9" w:rsidRDefault="005C4449" w:rsidP="00987186">
      <w:pPr>
        <w:rPr>
          <w:rFonts w:ascii="Arial" w:hAnsi="Arial" w:cs="Arial"/>
          <w:highlight w:val="yellow"/>
        </w:rPr>
      </w:pPr>
    </w:p>
    <w:p w:rsidR="00942565" w:rsidRDefault="00942565">
      <w:r>
        <w:br w:type="page"/>
      </w:r>
    </w:p>
    <w:tbl>
      <w:tblPr>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4"/>
        <w:gridCol w:w="125"/>
        <w:gridCol w:w="114"/>
        <w:gridCol w:w="1676"/>
        <w:gridCol w:w="93"/>
        <w:gridCol w:w="389"/>
        <w:gridCol w:w="1307"/>
        <w:gridCol w:w="75"/>
        <w:gridCol w:w="460"/>
        <w:gridCol w:w="1255"/>
        <w:gridCol w:w="57"/>
        <w:gridCol w:w="389"/>
        <w:gridCol w:w="1343"/>
        <w:gridCol w:w="40"/>
        <w:gridCol w:w="177"/>
        <w:gridCol w:w="1573"/>
        <w:gridCol w:w="128"/>
        <w:gridCol w:w="13"/>
        <w:gridCol w:w="1648"/>
        <w:gridCol w:w="194"/>
        <w:gridCol w:w="1596"/>
      </w:tblGrid>
      <w:tr w:rsidR="00176E07" w:rsidRPr="000C34A9" w:rsidTr="000965B0">
        <w:trPr>
          <w:trHeight w:val="411"/>
        </w:trPr>
        <w:tc>
          <w:tcPr>
            <w:tcW w:w="14316" w:type="dxa"/>
            <w:gridSpan w:val="21"/>
          </w:tcPr>
          <w:p w:rsidR="00176E07" w:rsidRPr="009344B3" w:rsidRDefault="00176E07" w:rsidP="00672B12">
            <w:pPr>
              <w:rPr>
                <w:rFonts w:ascii="Arial" w:hAnsi="Arial" w:cs="Arial"/>
              </w:rPr>
            </w:pPr>
            <w:r w:rsidRPr="009344B3">
              <w:rPr>
                <w:rFonts w:ascii="Arial" w:hAnsi="Arial" w:cs="Arial"/>
                <w:b/>
                <w:bCs/>
                <w:lang w:eastAsia="en-GB"/>
              </w:rPr>
              <w:lastRenderedPageBreak/>
              <w:t xml:space="preserve">Person Centred                                                                                                          Board Performance update – </w:t>
            </w:r>
            <w:r w:rsidR="00672B12" w:rsidRPr="009344B3">
              <w:rPr>
                <w:rFonts w:ascii="Arial" w:hAnsi="Arial" w:cs="Arial"/>
                <w:b/>
                <w:bCs/>
                <w:lang w:eastAsia="en-GB"/>
              </w:rPr>
              <w:t>May</w:t>
            </w:r>
            <w:r w:rsidR="00E62EBA" w:rsidRPr="009344B3">
              <w:rPr>
                <w:rFonts w:ascii="Arial" w:hAnsi="Arial" w:cs="Arial"/>
                <w:b/>
                <w:bCs/>
                <w:lang w:eastAsia="en-GB"/>
              </w:rPr>
              <w:t xml:space="preserve"> </w:t>
            </w:r>
            <w:r w:rsidRPr="009344B3">
              <w:rPr>
                <w:rFonts w:ascii="Arial" w:hAnsi="Arial" w:cs="Arial"/>
                <w:b/>
                <w:bCs/>
                <w:lang w:eastAsia="en-GB"/>
              </w:rPr>
              <w:t xml:space="preserve"> 201</w:t>
            </w:r>
            <w:r w:rsidR="00E91EE7" w:rsidRPr="009344B3">
              <w:rPr>
                <w:rFonts w:ascii="Arial" w:hAnsi="Arial" w:cs="Arial"/>
                <w:b/>
                <w:bCs/>
                <w:lang w:eastAsia="en-GB"/>
              </w:rPr>
              <w:t>9</w:t>
            </w:r>
          </w:p>
        </w:tc>
      </w:tr>
      <w:tr w:rsidR="009344B3" w:rsidRPr="000C34A9" w:rsidTr="00D94FB8">
        <w:trPr>
          <w:trHeight w:val="403"/>
        </w:trPr>
        <w:tc>
          <w:tcPr>
            <w:tcW w:w="1903" w:type="dxa"/>
            <w:gridSpan w:val="3"/>
            <w:shd w:val="clear" w:color="auto" w:fill="D9D9D9"/>
            <w:vAlign w:val="center"/>
          </w:tcPr>
          <w:p w:rsidR="009344B3" w:rsidRPr="009344B3" w:rsidRDefault="009344B3" w:rsidP="00E641FB">
            <w:pPr>
              <w:widowControl w:val="0"/>
              <w:autoSpaceDE w:val="0"/>
              <w:autoSpaceDN w:val="0"/>
              <w:adjustRightInd w:val="0"/>
              <w:rPr>
                <w:rFonts w:ascii="Arial" w:hAnsi="Arial" w:cs="Arial"/>
                <w:color w:val="000000"/>
                <w:lang w:eastAsia="en-GB"/>
              </w:rPr>
            </w:pPr>
            <w:r w:rsidRPr="009344B3">
              <w:rPr>
                <w:rFonts w:ascii="Arial" w:hAnsi="Arial" w:cs="Arial"/>
                <w:color w:val="000000"/>
                <w:lang w:eastAsia="en-GB"/>
              </w:rPr>
              <w:t>KPI</w:t>
            </w:r>
          </w:p>
        </w:tc>
        <w:tc>
          <w:tcPr>
            <w:tcW w:w="1769" w:type="dxa"/>
            <w:gridSpan w:val="2"/>
            <w:shd w:val="clear" w:color="auto" w:fill="D9D9D9"/>
            <w:vAlign w:val="center"/>
          </w:tcPr>
          <w:p w:rsidR="009344B3" w:rsidRPr="009344B3" w:rsidRDefault="009344B3" w:rsidP="00E641FB">
            <w:pPr>
              <w:widowControl w:val="0"/>
              <w:autoSpaceDE w:val="0"/>
              <w:autoSpaceDN w:val="0"/>
              <w:adjustRightInd w:val="0"/>
              <w:rPr>
                <w:rFonts w:ascii="Arial" w:hAnsi="Arial" w:cs="Arial"/>
                <w:color w:val="000000"/>
                <w:lang w:eastAsia="en-GB"/>
              </w:rPr>
            </w:pPr>
            <w:r w:rsidRPr="009344B3">
              <w:rPr>
                <w:rFonts w:ascii="Arial" w:hAnsi="Arial" w:cs="Arial"/>
                <w:color w:val="000000"/>
                <w:lang w:eastAsia="en-GB"/>
              </w:rPr>
              <w:t>Details</w:t>
            </w:r>
          </w:p>
        </w:tc>
        <w:tc>
          <w:tcPr>
            <w:tcW w:w="1771" w:type="dxa"/>
            <w:gridSpan w:val="3"/>
            <w:shd w:val="clear" w:color="auto" w:fill="D9D9D9"/>
            <w:vAlign w:val="center"/>
          </w:tcPr>
          <w:p w:rsidR="009344B3" w:rsidRPr="009344B3" w:rsidRDefault="009344B3" w:rsidP="00E641FB">
            <w:pPr>
              <w:jc w:val="center"/>
              <w:rPr>
                <w:rFonts w:ascii="Arial" w:hAnsi="Arial" w:cs="Arial"/>
              </w:rPr>
            </w:pPr>
            <w:r w:rsidRPr="009344B3">
              <w:rPr>
                <w:rFonts w:ascii="Arial" w:hAnsi="Arial" w:cs="Arial"/>
              </w:rPr>
              <w:t>Tolerance</w:t>
            </w:r>
          </w:p>
        </w:tc>
        <w:tc>
          <w:tcPr>
            <w:tcW w:w="1772" w:type="dxa"/>
            <w:gridSpan w:val="3"/>
            <w:shd w:val="clear" w:color="auto" w:fill="D9D9D9"/>
          </w:tcPr>
          <w:p w:rsidR="009344B3" w:rsidRPr="009344B3" w:rsidRDefault="009344B3" w:rsidP="009344B3">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Jan 2019</w:t>
            </w:r>
          </w:p>
        </w:tc>
        <w:tc>
          <w:tcPr>
            <w:tcW w:w="1772" w:type="dxa"/>
            <w:gridSpan w:val="3"/>
            <w:shd w:val="clear" w:color="auto" w:fill="D9D9D9"/>
          </w:tcPr>
          <w:p w:rsidR="009344B3" w:rsidRPr="009344B3" w:rsidRDefault="009344B3" w:rsidP="009344B3">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Feb 2019</w:t>
            </w:r>
          </w:p>
        </w:tc>
        <w:tc>
          <w:tcPr>
            <w:tcW w:w="1891" w:type="dxa"/>
            <w:gridSpan w:val="4"/>
            <w:shd w:val="clear" w:color="auto" w:fill="D9D9D9"/>
          </w:tcPr>
          <w:p w:rsidR="009344B3" w:rsidRPr="009344B3" w:rsidRDefault="009344B3" w:rsidP="007A4EC7">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Mar 2019</w:t>
            </w:r>
          </w:p>
        </w:tc>
        <w:tc>
          <w:tcPr>
            <w:tcW w:w="1842" w:type="dxa"/>
            <w:gridSpan w:val="2"/>
            <w:shd w:val="clear" w:color="auto" w:fill="D9D9D9"/>
            <w:vAlign w:val="center"/>
          </w:tcPr>
          <w:p w:rsidR="009344B3" w:rsidRPr="009344B3" w:rsidRDefault="009344B3" w:rsidP="00E641FB">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Target</w:t>
            </w:r>
          </w:p>
        </w:tc>
        <w:tc>
          <w:tcPr>
            <w:tcW w:w="1596" w:type="dxa"/>
            <w:shd w:val="clear" w:color="auto" w:fill="D9D9D9"/>
            <w:vAlign w:val="center"/>
          </w:tcPr>
          <w:p w:rsidR="009344B3" w:rsidRPr="009344B3" w:rsidRDefault="009344B3" w:rsidP="00E641FB">
            <w:pPr>
              <w:widowControl w:val="0"/>
              <w:autoSpaceDE w:val="0"/>
              <w:autoSpaceDN w:val="0"/>
              <w:adjustRightInd w:val="0"/>
              <w:jc w:val="center"/>
              <w:rPr>
                <w:rFonts w:ascii="Arial" w:hAnsi="Arial" w:cs="Arial"/>
                <w:lang w:eastAsia="en-GB"/>
              </w:rPr>
            </w:pPr>
            <w:r w:rsidRPr="009344B3">
              <w:rPr>
                <w:rFonts w:ascii="Arial" w:hAnsi="Arial" w:cs="Arial"/>
                <w:lang w:eastAsia="en-GB"/>
              </w:rPr>
              <w:t>On Track</w:t>
            </w:r>
          </w:p>
        </w:tc>
      </w:tr>
      <w:tr w:rsidR="009344B3" w:rsidRPr="000C34A9" w:rsidTr="00D94FB8">
        <w:trPr>
          <w:trHeight w:val="422"/>
        </w:trPr>
        <w:tc>
          <w:tcPr>
            <w:tcW w:w="1903" w:type="dxa"/>
            <w:gridSpan w:val="3"/>
          </w:tcPr>
          <w:p w:rsidR="009344B3" w:rsidRPr="009344B3" w:rsidRDefault="009344B3" w:rsidP="00E641FB">
            <w:pPr>
              <w:widowControl w:val="0"/>
              <w:autoSpaceDE w:val="0"/>
              <w:autoSpaceDN w:val="0"/>
              <w:adjustRightInd w:val="0"/>
              <w:rPr>
                <w:rFonts w:ascii="Arial" w:hAnsi="Arial" w:cs="Arial"/>
                <w:color w:val="000000"/>
                <w:lang w:eastAsia="en-GB"/>
              </w:rPr>
            </w:pPr>
            <w:r w:rsidRPr="009344B3">
              <w:rPr>
                <w:rFonts w:ascii="Arial" w:hAnsi="Arial" w:cs="Arial"/>
                <w:color w:val="000000"/>
                <w:lang w:eastAsia="en-GB"/>
              </w:rPr>
              <w:t>Stage Two complaints responded to within 20 days.</w:t>
            </w:r>
          </w:p>
        </w:tc>
        <w:tc>
          <w:tcPr>
            <w:tcW w:w="1769" w:type="dxa"/>
            <w:gridSpan w:val="2"/>
          </w:tcPr>
          <w:p w:rsidR="009344B3" w:rsidRPr="009344B3" w:rsidRDefault="009344B3" w:rsidP="00672B12">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Measured as a percentage of complaints received.</w:t>
            </w:r>
          </w:p>
        </w:tc>
        <w:tc>
          <w:tcPr>
            <w:tcW w:w="1771" w:type="dxa"/>
            <w:gridSpan w:val="3"/>
            <w:vAlign w:val="center"/>
          </w:tcPr>
          <w:p w:rsidR="009344B3" w:rsidRPr="009344B3" w:rsidRDefault="009344B3" w:rsidP="00672B12">
            <w:pPr>
              <w:rPr>
                <w:rFonts w:ascii="Arial" w:hAnsi="Arial" w:cs="Arial"/>
                <w:color w:val="000000"/>
                <w:sz w:val="22"/>
              </w:rPr>
            </w:pPr>
            <w:r w:rsidRPr="009344B3">
              <w:rPr>
                <w:rFonts w:ascii="Arial" w:hAnsi="Arial" w:cs="Arial"/>
                <w:color w:val="000000"/>
                <w:sz w:val="22"/>
              </w:rPr>
              <w:t xml:space="preserve">&gt;75% = Green        </w:t>
            </w:r>
          </w:p>
          <w:p w:rsidR="009344B3" w:rsidRPr="009344B3" w:rsidRDefault="009344B3" w:rsidP="00672B12">
            <w:pPr>
              <w:rPr>
                <w:rFonts w:ascii="Arial" w:hAnsi="Arial" w:cs="Arial"/>
                <w:color w:val="000000"/>
                <w:sz w:val="22"/>
              </w:rPr>
            </w:pPr>
            <w:r w:rsidRPr="009344B3">
              <w:rPr>
                <w:rFonts w:ascii="Arial" w:hAnsi="Arial" w:cs="Arial"/>
                <w:color w:val="000000"/>
                <w:sz w:val="22"/>
              </w:rPr>
              <w:t xml:space="preserve">75% - 60%  = Amber           </w:t>
            </w:r>
          </w:p>
          <w:p w:rsidR="009344B3" w:rsidRPr="009344B3" w:rsidRDefault="009344B3" w:rsidP="00672B12">
            <w:pPr>
              <w:rPr>
                <w:rFonts w:ascii="Arial" w:hAnsi="Arial" w:cs="Arial"/>
                <w:color w:val="000000"/>
              </w:rPr>
            </w:pPr>
            <w:r w:rsidRPr="009344B3">
              <w:rPr>
                <w:rFonts w:ascii="Arial" w:hAnsi="Arial" w:cs="Arial"/>
                <w:color w:val="000000"/>
                <w:sz w:val="22"/>
              </w:rPr>
              <w:t>&lt;60% = Red</w:t>
            </w:r>
          </w:p>
        </w:tc>
        <w:tc>
          <w:tcPr>
            <w:tcW w:w="1772" w:type="dxa"/>
            <w:gridSpan w:val="3"/>
            <w:vAlign w:val="center"/>
          </w:tcPr>
          <w:p w:rsidR="009344B3" w:rsidRPr="009344B3" w:rsidRDefault="009344B3" w:rsidP="009344B3">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40%</w:t>
            </w:r>
          </w:p>
        </w:tc>
        <w:tc>
          <w:tcPr>
            <w:tcW w:w="1772" w:type="dxa"/>
            <w:gridSpan w:val="3"/>
            <w:vAlign w:val="center"/>
          </w:tcPr>
          <w:p w:rsidR="009344B3" w:rsidRPr="009344B3" w:rsidRDefault="009344B3" w:rsidP="009344B3">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60%</w:t>
            </w:r>
          </w:p>
        </w:tc>
        <w:tc>
          <w:tcPr>
            <w:tcW w:w="1891" w:type="dxa"/>
            <w:gridSpan w:val="4"/>
            <w:vAlign w:val="center"/>
          </w:tcPr>
          <w:p w:rsidR="009344B3" w:rsidRPr="009344B3" w:rsidRDefault="009344B3" w:rsidP="00E91EE7">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0%</w:t>
            </w:r>
          </w:p>
        </w:tc>
        <w:tc>
          <w:tcPr>
            <w:tcW w:w="1842" w:type="dxa"/>
            <w:gridSpan w:val="2"/>
            <w:vAlign w:val="center"/>
          </w:tcPr>
          <w:p w:rsidR="009344B3" w:rsidRPr="009344B3" w:rsidRDefault="009344B3" w:rsidP="000C2740">
            <w:pPr>
              <w:widowControl w:val="0"/>
              <w:autoSpaceDE w:val="0"/>
              <w:autoSpaceDN w:val="0"/>
              <w:adjustRightInd w:val="0"/>
              <w:ind w:left="-109" w:right="-108"/>
              <w:jc w:val="center"/>
              <w:rPr>
                <w:rFonts w:ascii="Arial" w:hAnsi="Arial" w:cs="Arial"/>
                <w:color w:val="000000"/>
                <w:lang w:eastAsia="en-GB"/>
              </w:rPr>
            </w:pPr>
            <w:r w:rsidRPr="009344B3">
              <w:rPr>
                <w:rFonts w:ascii="Arial" w:hAnsi="Arial" w:cs="Arial"/>
                <w:color w:val="000000"/>
                <w:sz w:val="22"/>
              </w:rPr>
              <w:t>&gt;75%</w:t>
            </w:r>
          </w:p>
        </w:tc>
        <w:tc>
          <w:tcPr>
            <w:tcW w:w="1596" w:type="dxa"/>
            <w:shd w:val="clear" w:color="auto" w:fill="FF0000"/>
            <w:vAlign w:val="center"/>
          </w:tcPr>
          <w:p w:rsidR="009344B3" w:rsidRPr="009344B3" w:rsidRDefault="009344B3" w:rsidP="00E641FB">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sym w:font="Wingdings" w:char="F0F2"/>
            </w:r>
          </w:p>
        </w:tc>
      </w:tr>
      <w:tr w:rsidR="00176E07" w:rsidRPr="000C34A9" w:rsidTr="000965B0">
        <w:trPr>
          <w:trHeight w:val="414"/>
        </w:trPr>
        <w:tc>
          <w:tcPr>
            <w:tcW w:w="14316" w:type="dxa"/>
            <w:gridSpan w:val="21"/>
          </w:tcPr>
          <w:p w:rsidR="00176E07" w:rsidRPr="009344B3" w:rsidRDefault="00176E07" w:rsidP="00970E45">
            <w:pPr>
              <w:pStyle w:val="ListParagraph"/>
              <w:ind w:left="0" w:right="386"/>
              <w:rPr>
                <w:rFonts w:ascii="Arial" w:hAnsi="Arial" w:cs="Arial"/>
                <w:b/>
                <w:sz w:val="24"/>
                <w:szCs w:val="24"/>
              </w:rPr>
            </w:pPr>
            <w:r w:rsidRPr="009344B3">
              <w:rPr>
                <w:rFonts w:ascii="Arial" w:hAnsi="Arial" w:cs="Arial"/>
                <w:b/>
                <w:sz w:val="24"/>
                <w:szCs w:val="24"/>
              </w:rPr>
              <w:t>Analysis</w:t>
            </w:r>
          </w:p>
          <w:p w:rsidR="009344B3" w:rsidRPr="000C34A9" w:rsidRDefault="009344B3" w:rsidP="00970E45">
            <w:pPr>
              <w:spacing w:after="240"/>
              <w:ind w:right="386"/>
              <w:rPr>
                <w:rFonts w:ascii="Arial" w:hAnsi="Arial" w:cs="Arial"/>
                <w:highlight w:val="yellow"/>
              </w:rPr>
            </w:pPr>
            <w:r w:rsidRPr="004A3B00">
              <w:rPr>
                <w:rFonts w:ascii="Arial" w:hAnsi="Arial" w:cs="Arial"/>
              </w:rPr>
              <w:t>During March</w:t>
            </w:r>
            <w:r w:rsidR="00970E45">
              <w:rPr>
                <w:rFonts w:ascii="Arial" w:hAnsi="Arial" w:cs="Arial"/>
              </w:rPr>
              <w:t>,</w:t>
            </w:r>
            <w:r w:rsidRPr="004A3B00">
              <w:rPr>
                <w:rFonts w:ascii="Arial" w:hAnsi="Arial" w:cs="Arial"/>
              </w:rPr>
              <w:t xml:space="preserve"> there were eight Stage One complaints and two Stage Two complaints.</w:t>
            </w:r>
            <w:r>
              <w:rPr>
                <w:rFonts w:ascii="Arial" w:hAnsi="Arial" w:cs="Arial"/>
              </w:rPr>
              <w:t xml:space="preserve"> </w:t>
            </w:r>
            <w:r w:rsidRPr="004A3B00">
              <w:rPr>
                <w:rFonts w:ascii="Arial" w:hAnsi="Arial" w:cs="Arial"/>
              </w:rPr>
              <w:t>Seven of the eight Stage One complaints wer</w:t>
            </w:r>
            <w:r>
              <w:rPr>
                <w:rFonts w:ascii="Arial" w:hAnsi="Arial" w:cs="Arial"/>
              </w:rPr>
              <w:t>e responded to within five days;</w:t>
            </w:r>
            <w:r w:rsidRPr="004A3B00">
              <w:t xml:space="preserve"> </w:t>
            </w:r>
            <w:r>
              <w:rPr>
                <w:rFonts w:ascii="Arial" w:hAnsi="Arial" w:cs="Arial"/>
              </w:rPr>
              <w:t>n</w:t>
            </w:r>
            <w:r w:rsidRPr="004A3B00">
              <w:rPr>
                <w:rFonts w:ascii="Arial" w:hAnsi="Arial" w:cs="Arial"/>
              </w:rPr>
              <w:t xml:space="preserve">either of the Stage Two complaints </w:t>
            </w:r>
            <w:proofErr w:type="gramStart"/>
            <w:r w:rsidRPr="004A3B00">
              <w:rPr>
                <w:rFonts w:ascii="Arial" w:hAnsi="Arial" w:cs="Arial"/>
              </w:rPr>
              <w:t>were</w:t>
            </w:r>
            <w:proofErr w:type="gramEnd"/>
            <w:r w:rsidRPr="004A3B00">
              <w:rPr>
                <w:rFonts w:ascii="Arial" w:hAnsi="Arial" w:cs="Arial"/>
              </w:rPr>
              <w:t xml:space="preserve"> responded to within 20 days.</w:t>
            </w:r>
            <w:r w:rsidR="00970E45">
              <w:rPr>
                <w:rFonts w:ascii="Arial" w:hAnsi="Arial" w:cs="Arial"/>
              </w:rPr>
              <w:t xml:space="preserve"> </w:t>
            </w:r>
            <w:r w:rsidRPr="00290765">
              <w:rPr>
                <w:rFonts w:ascii="Arial" w:hAnsi="Arial" w:cs="Arial"/>
              </w:rPr>
              <w:t xml:space="preserve">The </w:t>
            </w:r>
            <w:r>
              <w:rPr>
                <w:rFonts w:ascii="Arial" w:hAnsi="Arial" w:cs="Arial"/>
              </w:rPr>
              <w:t xml:space="preserve">Stage Two </w:t>
            </w:r>
            <w:r w:rsidRPr="00290765">
              <w:rPr>
                <w:rFonts w:ascii="Arial" w:hAnsi="Arial" w:cs="Arial"/>
              </w:rPr>
              <w:t xml:space="preserve">complaints which were not responded to within the target 20 days were </w:t>
            </w:r>
            <w:r>
              <w:rPr>
                <w:rFonts w:ascii="Arial" w:hAnsi="Arial" w:cs="Arial"/>
              </w:rPr>
              <w:t>due to</w:t>
            </w:r>
            <w:r w:rsidRPr="00290765">
              <w:rPr>
                <w:rFonts w:ascii="Arial" w:hAnsi="Arial" w:cs="Arial"/>
              </w:rPr>
              <w:t xml:space="preserve"> a delay in </w:t>
            </w:r>
            <w:r>
              <w:rPr>
                <w:rFonts w:ascii="Arial" w:hAnsi="Arial" w:cs="Arial"/>
              </w:rPr>
              <w:t xml:space="preserve">a response to </w:t>
            </w:r>
            <w:r w:rsidRPr="00290765">
              <w:rPr>
                <w:rFonts w:ascii="Arial" w:hAnsi="Arial" w:cs="Arial"/>
              </w:rPr>
              <w:t>on</w:t>
            </w:r>
            <w:r>
              <w:rPr>
                <w:rFonts w:ascii="Arial" w:hAnsi="Arial" w:cs="Arial"/>
              </w:rPr>
              <w:t>e complaint being returned to Clinical G</w:t>
            </w:r>
            <w:r w:rsidRPr="00290765">
              <w:rPr>
                <w:rFonts w:ascii="Arial" w:hAnsi="Arial" w:cs="Arial"/>
              </w:rPr>
              <w:t xml:space="preserve">overnance. The second complaint </w:t>
            </w:r>
            <w:r>
              <w:rPr>
                <w:rFonts w:ascii="Arial" w:hAnsi="Arial" w:cs="Arial"/>
              </w:rPr>
              <w:t xml:space="preserve">response was delayed as it </w:t>
            </w:r>
            <w:r w:rsidRPr="00290765">
              <w:rPr>
                <w:rFonts w:ascii="Arial" w:hAnsi="Arial" w:cs="Arial"/>
              </w:rPr>
              <w:t>required clarification on medication guidance with another Health Board.</w:t>
            </w:r>
          </w:p>
        </w:tc>
      </w:tr>
      <w:tr w:rsidR="009344B3" w:rsidRPr="000C34A9" w:rsidTr="00D94FB8">
        <w:trPr>
          <w:trHeight w:val="277"/>
        </w:trPr>
        <w:tc>
          <w:tcPr>
            <w:tcW w:w="1664" w:type="dxa"/>
            <w:shd w:val="clear" w:color="auto" w:fill="D9D9D9"/>
            <w:vAlign w:val="center"/>
          </w:tcPr>
          <w:p w:rsidR="009344B3" w:rsidRPr="009344B3" w:rsidRDefault="009344B3" w:rsidP="00AB3656">
            <w:pPr>
              <w:widowControl w:val="0"/>
              <w:autoSpaceDE w:val="0"/>
              <w:autoSpaceDN w:val="0"/>
              <w:adjustRightInd w:val="0"/>
              <w:rPr>
                <w:rFonts w:ascii="Arial" w:hAnsi="Arial" w:cs="Arial"/>
                <w:color w:val="000000"/>
                <w:lang w:eastAsia="en-GB"/>
              </w:rPr>
            </w:pPr>
            <w:r w:rsidRPr="009344B3">
              <w:rPr>
                <w:rFonts w:ascii="Arial" w:hAnsi="Arial" w:cs="Arial"/>
                <w:color w:val="000000"/>
                <w:lang w:eastAsia="en-GB"/>
              </w:rPr>
              <w:t>KPI</w:t>
            </w:r>
          </w:p>
        </w:tc>
        <w:tc>
          <w:tcPr>
            <w:tcW w:w="2397" w:type="dxa"/>
            <w:gridSpan w:val="5"/>
            <w:shd w:val="clear" w:color="auto" w:fill="D9D9D9"/>
            <w:vAlign w:val="center"/>
          </w:tcPr>
          <w:p w:rsidR="009344B3" w:rsidRPr="009344B3" w:rsidRDefault="009344B3" w:rsidP="00AB3656">
            <w:pPr>
              <w:widowControl w:val="0"/>
              <w:autoSpaceDE w:val="0"/>
              <w:autoSpaceDN w:val="0"/>
              <w:adjustRightInd w:val="0"/>
              <w:rPr>
                <w:rFonts w:ascii="Arial" w:hAnsi="Arial" w:cs="Arial"/>
                <w:color w:val="000000"/>
                <w:lang w:eastAsia="en-GB"/>
              </w:rPr>
            </w:pPr>
            <w:r w:rsidRPr="009344B3">
              <w:rPr>
                <w:rFonts w:ascii="Arial" w:hAnsi="Arial" w:cs="Arial"/>
                <w:color w:val="000000"/>
                <w:lang w:eastAsia="en-GB"/>
              </w:rPr>
              <w:t>Details</w:t>
            </w:r>
          </w:p>
        </w:tc>
        <w:tc>
          <w:tcPr>
            <w:tcW w:w="1842" w:type="dxa"/>
            <w:gridSpan w:val="3"/>
            <w:shd w:val="clear" w:color="auto" w:fill="D9D9D9"/>
            <w:vAlign w:val="center"/>
          </w:tcPr>
          <w:p w:rsidR="009344B3" w:rsidRPr="009344B3" w:rsidRDefault="009344B3" w:rsidP="00AB3656">
            <w:pPr>
              <w:jc w:val="center"/>
              <w:rPr>
                <w:rFonts w:ascii="Arial" w:hAnsi="Arial" w:cs="Arial"/>
              </w:rPr>
            </w:pPr>
            <w:r w:rsidRPr="009344B3">
              <w:rPr>
                <w:rFonts w:ascii="Arial" w:hAnsi="Arial" w:cs="Arial"/>
              </w:rPr>
              <w:t>Tolerance</w:t>
            </w:r>
          </w:p>
        </w:tc>
        <w:tc>
          <w:tcPr>
            <w:tcW w:w="1701" w:type="dxa"/>
            <w:gridSpan w:val="3"/>
            <w:shd w:val="clear" w:color="auto" w:fill="D9D9D9"/>
          </w:tcPr>
          <w:p w:rsidR="009344B3" w:rsidRPr="009344B3" w:rsidRDefault="009344B3" w:rsidP="009344B3">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Jan 2019</w:t>
            </w:r>
          </w:p>
        </w:tc>
        <w:tc>
          <w:tcPr>
            <w:tcW w:w="1560" w:type="dxa"/>
            <w:gridSpan w:val="3"/>
            <w:shd w:val="clear" w:color="auto" w:fill="D9D9D9"/>
          </w:tcPr>
          <w:p w:rsidR="009344B3" w:rsidRPr="009344B3" w:rsidRDefault="009344B3" w:rsidP="00B801F0">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Feb 2019</w:t>
            </w:r>
          </w:p>
        </w:tc>
        <w:tc>
          <w:tcPr>
            <w:tcW w:w="1701" w:type="dxa"/>
            <w:gridSpan w:val="2"/>
            <w:shd w:val="clear" w:color="auto" w:fill="D9D9D9"/>
          </w:tcPr>
          <w:p w:rsidR="009344B3" w:rsidRPr="009344B3" w:rsidRDefault="009344B3" w:rsidP="00B801F0">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Mar 2019</w:t>
            </w:r>
          </w:p>
        </w:tc>
        <w:tc>
          <w:tcPr>
            <w:tcW w:w="1855" w:type="dxa"/>
            <w:gridSpan w:val="3"/>
            <w:shd w:val="clear" w:color="auto" w:fill="D9D9D9"/>
            <w:vAlign w:val="center"/>
          </w:tcPr>
          <w:p w:rsidR="009344B3" w:rsidRPr="009344B3" w:rsidRDefault="009344B3" w:rsidP="00AB3656">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Target</w:t>
            </w:r>
          </w:p>
        </w:tc>
        <w:tc>
          <w:tcPr>
            <w:tcW w:w="1596" w:type="dxa"/>
            <w:shd w:val="clear" w:color="auto" w:fill="D9D9D9"/>
            <w:vAlign w:val="center"/>
          </w:tcPr>
          <w:p w:rsidR="009344B3" w:rsidRPr="009344B3" w:rsidRDefault="009344B3" w:rsidP="00AB3656">
            <w:pPr>
              <w:widowControl w:val="0"/>
              <w:autoSpaceDE w:val="0"/>
              <w:autoSpaceDN w:val="0"/>
              <w:adjustRightInd w:val="0"/>
              <w:jc w:val="center"/>
              <w:rPr>
                <w:rFonts w:ascii="Arial" w:hAnsi="Arial" w:cs="Arial"/>
                <w:lang w:eastAsia="en-GB"/>
              </w:rPr>
            </w:pPr>
            <w:r w:rsidRPr="009344B3">
              <w:rPr>
                <w:rFonts w:ascii="Arial" w:hAnsi="Arial" w:cs="Arial"/>
                <w:lang w:eastAsia="en-GB"/>
              </w:rPr>
              <w:t>On Track</w:t>
            </w:r>
          </w:p>
        </w:tc>
      </w:tr>
      <w:tr w:rsidR="009344B3" w:rsidRPr="000C34A9" w:rsidTr="00D94FB8">
        <w:trPr>
          <w:trHeight w:val="276"/>
        </w:trPr>
        <w:tc>
          <w:tcPr>
            <w:tcW w:w="1664" w:type="dxa"/>
          </w:tcPr>
          <w:p w:rsidR="009344B3" w:rsidRPr="009344B3" w:rsidRDefault="009344B3" w:rsidP="00AB3656">
            <w:pPr>
              <w:widowControl w:val="0"/>
              <w:autoSpaceDE w:val="0"/>
              <w:autoSpaceDN w:val="0"/>
              <w:adjustRightInd w:val="0"/>
              <w:rPr>
                <w:rFonts w:ascii="Arial" w:hAnsi="Arial" w:cs="Arial"/>
              </w:rPr>
            </w:pPr>
            <w:r w:rsidRPr="009344B3">
              <w:rPr>
                <w:rFonts w:ascii="Arial" w:hAnsi="Arial" w:cs="Arial"/>
              </w:rPr>
              <w:t>Sickness Absence</w:t>
            </w:r>
          </w:p>
        </w:tc>
        <w:tc>
          <w:tcPr>
            <w:tcW w:w="2397" w:type="dxa"/>
            <w:gridSpan w:val="5"/>
          </w:tcPr>
          <w:p w:rsidR="009344B3" w:rsidRPr="009344B3" w:rsidRDefault="009344B3" w:rsidP="00AB3656">
            <w:pPr>
              <w:widowControl w:val="0"/>
              <w:autoSpaceDE w:val="0"/>
              <w:autoSpaceDN w:val="0"/>
              <w:adjustRightInd w:val="0"/>
              <w:rPr>
                <w:rFonts w:ascii="Arial" w:hAnsi="Arial" w:cs="Arial"/>
              </w:rPr>
            </w:pPr>
            <w:r w:rsidRPr="009344B3">
              <w:rPr>
                <w:rFonts w:ascii="Arial" w:hAnsi="Arial" w:cs="Arial"/>
              </w:rPr>
              <w:t>Percentage hours lost due to staff sickness absence as reported via SWISS</w:t>
            </w:r>
          </w:p>
        </w:tc>
        <w:tc>
          <w:tcPr>
            <w:tcW w:w="1842" w:type="dxa"/>
            <w:gridSpan w:val="3"/>
          </w:tcPr>
          <w:p w:rsidR="009344B3" w:rsidRPr="009344B3" w:rsidRDefault="009344B3" w:rsidP="00AB3656">
            <w:pPr>
              <w:widowControl w:val="0"/>
              <w:autoSpaceDE w:val="0"/>
              <w:autoSpaceDN w:val="0"/>
              <w:adjustRightInd w:val="0"/>
              <w:ind w:left="-107" w:right="-108"/>
              <w:jc w:val="center"/>
              <w:rPr>
                <w:rFonts w:ascii="Arial" w:hAnsi="Arial" w:cs="Arial"/>
              </w:rPr>
            </w:pPr>
            <w:r w:rsidRPr="009344B3">
              <w:rPr>
                <w:rFonts w:ascii="Arial" w:hAnsi="Arial" w:cs="Arial"/>
              </w:rPr>
              <w:t xml:space="preserve">Achieved = Green                  </w:t>
            </w:r>
          </w:p>
          <w:p w:rsidR="009344B3" w:rsidRPr="009344B3" w:rsidRDefault="009344B3" w:rsidP="00AB3656">
            <w:pPr>
              <w:widowControl w:val="0"/>
              <w:autoSpaceDE w:val="0"/>
              <w:autoSpaceDN w:val="0"/>
              <w:adjustRightInd w:val="0"/>
              <w:ind w:left="-108" w:right="-108"/>
              <w:jc w:val="center"/>
              <w:rPr>
                <w:rFonts w:ascii="Arial" w:hAnsi="Arial" w:cs="Arial"/>
              </w:rPr>
            </w:pPr>
            <w:r w:rsidRPr="009344B3">
              <w:rPr>
                <w:rFonts w:ascii="Arial" w:hAnsi="Arial" w:cs="Arial"/>
              </w:rPr>
              <w:t>Not achieved = Red</w:t>
            </w:r>
          </w:p>
        </w:tc>
        <w:tc>
          <w:tcPr>
            <w:tcW w:w="1701" w:type="dxa"/>
            <w:gridSpan w:val="3"/>
            <w:vAlign w:val="center"/>
          </w:tcPr>
          <w:p w:rsidR="009344B3" w:rsidRPr="009344B3" w:rsidRDefault="009344B3" w:rsidP="009344B3">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5.20%</w:t>
            </w:r>
          </w:p>
        </w:tc>
        <w:tc>
          <w:tcPr>
            <w:tcW w:w="1560" w:type="dxa"/>
            <w:gridSpan w:val="3"/>
            <w:vAlign w:val="center"/>
          </w:tcPr>
          <w:p w:rsidR="009344B3" w:rsidRPr="009344B3" w:rsidRDefault="009344B3" w:rsidP="00767171">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4.55%</w:t>
            </w:r>
          </w:p>
        </w:tc>
        <w:tc>
          <w:tcPr>
            <w:tcW w:w="1701" w:type="dxa"/>
            <w:gridSpan w:val="2"/>
            <w:vAlign w:val="center"/>
          </w:tcPr>
          <w:p w:rsidR="009344B3" w:rsidRPr="009344B3" w:rsidRDefault="009344B3" w:rsidP="00AB3656">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4.48%</w:t>
            </w:r>
          </w:p>
        </w:tc>
        <w:tc>
          <w:tcPr>
            <w:tcW w:w="1855" w:type="dxa"/>
            <w:gridSpan w:val="3"/>
            <w:vAlign w:val="center"/>
          </w:tcPr>
          <w:p w:rsidR="009344B3" w:rsidRPr="009344B3" w:rsidRDefault="009344B3" w:rsidP="00AB3656">
            <w:pPr>
              <w:widowControl w:val="0"/>
              <w:autoSpaceDE w:val="0"/>
              <w:autoSpaceDN w:val="0"/>
              <w:adjustRightInd w:val="0"/>
              <w:jc w:val="center"/>
              <w:rPr>
                <w:rFonts w:ascii="Arial" w:hAnsi="Arial" w:cs="Arial"/>
              </w:rPr>
            </w:pPr>
            <w:r w:rsidRPr="009344B3">
              <w:rPr>
                <w:rFonts w:ascii="Arial" w:hAnsi="Arial" w:cs="Arial"/>
              </w:rPr>
              <w:t>≤4%</w:t>
            </w:r>
          </w:p>
        </w:tc>
        <w:tc>
          <w:tcPr>
            <w:tcW w:w="1596" w:type="dxa"/>
            <w:shd w:val="clear" w:color="auto" w:fill="FF0000"/>
            <w:vAlign w:val="center"/>
          </w:tcPr>
          <w:p w:rsidR="009344B3" w:rsidRPr="009344B3" w:rsidRDefault="009344B3" w:rsidP="00AB3656">
            <w:pPr>
              <w:widowControl w:val="0"/>
              <w:autoSpaceDE w:val="0"/>
              <w:autoSpaceDN w:val="0"/>
              <w:adjustRightInd w:val="0"/>
              <w:jc w:val="center"/>
              <w:rPr>
                <w:rFonts w:ascii="Arial" w:hAnsi="Arial" w:cs="Arial"/>
                <w:color w:val="000000"/>
                <w:lang w:eastAsia="en-GB"/>
              </w:rPr>
            </w:pPr>
            <w:r>
              <w:rPr>
                <w:rFonts w:ascii="Arial" w:hAnsi="Arial" w:cs="Arial"/>
                <w:lang w:eastAsia="en-GB"/>
              </w:rPr>
              <w:sym w:font="Wingdings" w:char="F0F1"/>
            </w:r>
          </w:p>
        </w:tc>
      </w:tr>
      <w:tr w:rsidR="00AB3656" w:rsidRPr="000C34A9" w:rsidTr="000965B0">
        <w:trPr>
          <w:trHeight w:val="276"/>
        </w:trPr>
        <w:tc>
          <w:tcPr>
            <w:tcW w:w="14316" w:type="dxa"/>
            <w:gridSpan w:val="21"/>
          </w:tcPr>
          <w:p w:rsidR="00AB3656" w:rsidRPr="009344B3" w:rsidRDefault="00AB3656" w:rsidP="00AB3656">
            <w:pPr>
              <w:autoSpaceDE w:val="0"/>
              <w:autoSpaceDN w:val="0"/>
              <w:spacing w:after="120"/>
              <w:jc w:val="both"/>
              <w:rPr>
                <w:rFonts w:ascii="Arial" w:hAnsi="Arial" w:cs="Arial"/>
                <w:b/>
                <w:iCs/>
                <w:color w:val="000000"/>
              </w:rPr>
            </w:pPr>
            <w:r w:rsidRPr="009344B3">
              <w:rPr>
                <w:rFonts w:ascii="Arial" w:hAnsi="Arial" w:cs="Arial"/>
                <w:b/>
                <w:iCs/>
                <w:color w:val="000000"/>
              </w:rPr>
              <w:t>Analysis</w:t>
            </w:r>
          </w:p>
          <w:p w:rsidR="009344B3" w:rsidRPr="000C34A9" w:rsidRDefault="009344B3" w:rsidP="009344B3">
            <w:pPr>
              <w:rPr>
                <w:rFonts w:ascii="Arial" w:hAnsi="Arial" w:cs="Arial"/>
                <w:highlight w:val="yellow"/>
              </w:rPr>
            </w:pPr>
            <w:r w:rsidRPr="004A3B00">
              <w:rPr>
                <w:rFonts w:ascii="Arial" w:hAnsi="Arial" w:cs="Arial"/>
              </w:rPr>
              <w:t>Sickness absence in March was reported at 4.48%</w:t>
            </w:r>
            <w:r>
              <w:rPr>
                <w:rFonts w:ascii="Arial" w:hAnsi="Arial" w:cs="Arial"/>
              </w:rPr>
              <w:t xml:space="preserve">, the lowest sickness absence rate </w:t>
            </w:r>
            <w:r w:rsidR="00C5430D">
              <w:rPr>
                <w:rFonts w:ascii="Arial" w:hAnsi="Arial" w:cs="Arial"/>
              </w:rPr>
              <w:t xml:space="preserve">for our Board </w:t>
            </w:r>
            <w:r>
              <w:rPr>
                <w:rFonts w:ascii="Arial" w:hAnsi="Arial" w:cs="Arial"/>
              </w:rPr>
              <w:t>since September 2017</w:t>
            </w:r>
            <w:r w:rsidRPr="004A3B00">
              <w:rPr>
                <w:rFonts w:ascii="Arial" w:hAnsi="Arial" w:cs="Arial"/>
              </w:rPr>
              <w:t xml:space="preserve">. This was </w:t>
            </w:r>
            <w:r>
              <w:rPr>
                <w:rFonts w:ascii="Arial" w:hAnsi="Arial" w:cs="Arial"/>
              </w:rPr>
              <w:t xml:space="preserve">also </w:t>
            </w:r>
            <w:r w:rsidRPr="004A3B00">
              <w:rPr>
                <w:rFonts w:ascii="Arial" w:hAnsi="Arial" w:cs="Arial"/>
              </w:rPr>
              <w:t>below the NHS Scotland total of 5.23% for the 22 Scottish NHS Boards.</w:t>
            </w:r>
          </w:p>
        </w:tc>
      </w:tr>
      <w:tr w:rsidR="00D870CC" w:rsidRPr="000C34A9" w:rsidTr="000E1D41">
        <w:trPr>
          <w:trHeight w:val="276"/>
        </w:trPr>
        <w:tc>
          <w:tcPr>
            <w:tcW w:w="1789" w:type="dxa"/>
            <w:gridSpan w:val="2"/>
            <w:shd w:val="clear" w:color="auto" w:fill="D9D9D9" w:themeFill="background1" w:themeFillShade="D9"/>
            <w:vAlign w:val="center"/>
          </w:tcPr>
          <w:p w:rsidR="00D870CC" w:rsidRPr="009344B3" w:rsidRDefault="00D870CC" w:rsidP="000E1D41">
            <w:pPr>
              <w:widowControl w:val="0"/>
              <w:autoSpaceDE w:val="0"/>
              <w:autoSpaceDN w:val="0"/>
              <w:adjustRightInd w:val="0"/>
              <w:rPr>
                <w:rFonts w:ascii="Arial" w:hAnsi="Arial" w:cs="Arial"/>
                <w:color w:val="000000"/>
                <w:lang w:eastAsia="en-GB"/>
              </w:rPr>
            </w:pPr>
            <w:r w:rsidRPr="009344B3">
              <w:rPr>
                <w:rFonts w:ascii="Arial" w:hAnsi="Arial" w:cs="Arial"/>
                <w:color w:val="000000"/>
                <w:lang w:eastAsia="en-GB"/>
              </w:rPr>
              <w:t>KPI</w:t>
            </w:r>
          </w:p>
        </w:tc>
        <w:tc>
          <w:tcPr>
            <w:tcW w:w="1790" w:type="dxa"/>
            <w:gridSpan w:val="2"/>
            <w:shd w:val="clear" w:color="auto" w:fill="D9D9D9" w:themeFill="background1" w:themeFillShade="D9"/>
            <w:vAlign w:val="center"/>
          </w:tcPr>
          <w:p w:rsidR="00D870CC" w:rsidRPr="009344B3" w:rsidRDefault="00D870CC" w:rsidP="000E1D41">
            <w:pPr>
              <w:widowControl w:val="0"/>
              <w:autoSpaceDE w:val="0"/>
              <w:autoSpaceDN w:val="0"/>
              <w:adjustRightInd w:val="0"/>
              <w:rPr>
                <w:rFonts w:ascii="Arial" w:hAnsi="Arial" w:cs="Arial"/>
                <w:color w:val="000000"/>
                <w:lang w:eastAsia="en-GB"/>
              </w:rPr>
            </w:pPr>
            <w:r w:rsidRPr="009344B3">
              <w:rPr>
                <w:rFonts w:ascii="Arial" w:hAnsi="Arial" w:cs="Arial"/>
                <w:color w:val="000000"/>
                <w:lang w:eastAsia="en-GB"/>
              </w:rPr>
              <w:t>Details</w:t>
            </w:r>
          </w:p>
        </w:tc>
        <w:tc>
          <w:tcPr>
            <w:tcW w:w="1789" w:type="dxa"/>
            <w:gridSpan w:val="3"/>
            <w:shd w:val="clear" w:color="auto" w:fill="D9D9D9" w:themeFill="background1" w:themeFillShade="D9"/>
            <w:vAlign w:val="center"/>
          </w:tcPr>
          <w:p w:rsidR="00D870CC" w:rsidRPr="009344B3" w:rsidRDefault="00D870CC" w:rsidP="000E1D41">
            <w:pPr>
              <w:jc w:val="center"/>
              <w:rPr>
                <w:rFonts w:ascii="Arial" w:hAnsi="Arial" w:cs="Arial"/>
              </w:rPr>
            </w:pPr>
            <w:r w:rsidRPr="009344B3">
              <w:rPr>
                <w:rFonts w:ascii="Arial" w:hAnsi="Arial" w:cs="Arial"/>
              </w:rPr>
              <w:t>Tolerance</w:t>
            </w:r>
          </w:p>
        </w:tc>
        <w:tc>
          <w:tcPr>
            <w:tcW w:w="1790" w:type="dxa"/>
            <w:gridSpan w:val="3"/>
            <w:shd w:val="clear" w:color="auto" w:fill="D9D9D9" w:themeFill="background1" w:themeFillShade="D9"/>
          </w:tcPr>
          <w:p w:rsidR="00D870CC" w:rsidRPr="009344B3" w:rsidRDefault="00D870CC" w:rsidP="00D870CC">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Feb 2019</w:t>
            </w:r>
          </w:p>
        </w:tc>
        <w:tc>
          <w:tcPr>
            <w:tcW w:w="1789" w:type="dxa"/>
            <w:gridSpan w:val="3"/>
            <w:shd w:val="clear" w:color="auto" w:fill="D9D9D9" w:themeFill="background1" w:themeFillShade="D9"/>
          </w:tcPr>
          <w:p w:rsidR="00D870CC" w:rsidRPr="009344B3" w:rsidRDefault="00D870CC" w:rsidP="00D870CC">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Mar 2019</w:t>
            </w:r>
          </w:p>
        </w:tc>
        <w:tc>
          <w:tcPr>
            <w:tcW w:w="1790" w:type="dxa"/>
            <w:gridSpan w:val="3"/>
            <w:shd w:val="clear" w:color="auto" w:fill="D9D9D9" w:themeFill="background1" w:themeFillShade="D9"/>
          </w:tcPr>
          <w:p w:rsidR="00D870CC" w:rsidRPr="009344B3" w:rsidRDefault="00D870CC" w:rsidP="000E1D41">
            <w:pPr>
              <w:widowControl w:val="0"/>
              <w:autoSpaceDE w:val="0"/>
              <w:autoSpaceDN w:val="0"/>
              <w:adjustRightInd w:val="0"/>
              <w:jc w:val="center"/>
              <w:rPr>
                <w:rFonts w:ascii="Arial" w:hAnsi="Arial" w:cs="Arial"/>
                <w:color w:val="000000"/>
                <w:lang w:eastAsia="en-GB"/>
              </w:rPr>
            </w:pPr>
            <w:r>
              <w:rPr>
                <w:rFonts w:ascii="Arial" w:hAnsi="Arial" w:cs="Arial"/>
                <w:color w:val="000000"/>
                <w:lang w:eastAsia="en-GB"/>
              </w:rPr>
              <w:t>Apr 2019</w:t>
            </w:r>
          </w:p>
        </w:tc>
        <w:tc>
          <w:tcPr>
            <w:tcW w:w="1789" w:type="dxa"/>
            <w:gridSpan w:val="3"/>
            <w:shd w:val="clear" w:color="auto" w:fill="D9D9D9" w:themeFill="background1" w:themeFillShade="D9"/>
            <w:vAlign w:val="center"/>
          </w:tcPr>
          <w:p w:rsidR="00D870CC" w:rsidRPr="009344B3" w:rsidRDefault="00D870CC" w:rsidP="000E1D41">
            <w:pPr>
              <w:widowControl w:val="0"/>
              <w:autoSpaceDE w:val="0"/>
              <w:autoSpaceDN w:val="0"/>
              <w:adjustRightInd w:val="0"/>
              <w:jc w:val="center"/>
              <w:rPr>
                <w:rFonts w:ascii="Arial" w:hAnsi="Arial" w:cs="Arial"/>
                <w:color w:val="000000"/>
                <w:lang w:eastAsia="en-GB"/>
              </w:rPr>
            </w:pPr>
            <w:r w:rsidRPr="009344B3">
              <w:rPr>
                <w:rFonts w:ascii="Arial" w:hAnsi="Arial" w:cs="Arial"/>
                <w:color w:val="000000"/>
                <w:lang w:eastAsia="en-GB"/>
              </w:rPr>
              <w:t>Target</w:t>
            </w:r>
          </w:p>
        </w:tc>
        <w:tc>
          <w:tcPr>
            <w:tcW w:w="1790" w:type="dxa"/>
            <w:gridSpan w:val="2"/>
            <w:shd w:val="clear" w:color="auto" w:fill="D9D9D9" w:themeFill="background1" w:themeFillShade="D9"/>
            <w:vAlign w:val="center"/>
          </w:tcPr>
          <w:p w:rsidR="00D870CC" w:rsidRPr="009344B3" w:rsidRDefault="00D870CC" w:rsidP="000E1D41">
            <w:pPr>
              <w:widowControl w:val="0"/>
              <w:autoSpaceDE w:val="0"/>
              <w:autoSpaceDN w:val="0"/>
              <w:adjustRightInd w:val="0"/>
              <w:jc w:val="center"/>
              <w:rPr>
                <w:rFonts w:ascii="Arial" w:hAnsi="Arial" w:cs="Arial"/>
                <w:lang w:eastAsia="en-GB"/>
              </w:rPr>
            </w:pPr>
            <w:r w:rsidRPr="009344B3">
              <w:rPr>
                <w:rFonts w:ascii="Arial" w:hAnsi="Arial" w:cs="Arial"/>
                <w:lang w:eastAsia="en-GB"/>
              </w:rPr>
              <w:t>On Track</w:t>
            </w:r>
          </w:p>
        </w:tc>
      </w:tr>
      <w:tr w:rsidR="000E1D41" w:rsidRPr="000C34A9" w:rsidTr="00D870CC">
        <w:trPr>
          <w:trHeight w:val="276"/>
        </w:trPr>
        <w:tc>
          <w:tcPr>
            <w:tcW w:w="1789" w:type="dxa"/>
            <w:gridSpan w:val="2"/>
          </w:tcPr>
          <w:p w:rsidR="000E1D41" w:rsidRPr="00D870CC" w:rsidRDefault="000E1D41" w:rsidP="00970E45">
            <w:pPr>
              <w:autoSpaceDE w:val="0"/>
              <w:autoSpaceDN w:val="0"/>
              <w:spacing w:after="120"/>
              <w:rPr>
                <w:rFonts w:ascii="Arial" w:hAnsi="Arial" w:cs="Arial"/>
                <w:iCs/>
                <w:color w:val="000000"/>
              </w:rPr>
            </w:pPr>
            <w:r w:rsidRPr="00D870CC">
              <w:rPr>
                <w:rFonts w:ascii="Arial" w:hAnsi="Arial" w:cs="Arial"/>
                <w:iCs/>
                <w:color w:val="000000"/>
              </w:rPr>
              <w:t xml:space="preserve">TURAS PDR - Actively using TURAS for annual PDR </w:t>
            </w:r>
          </w:p>
        </w:tc>
        <w:tc>
          <w:tcPr>
            <w:tcW w:w="1790" w:type="dxa"/>
            <w:gridSpan w:val="2"/>
          </w:tcPr>
          <w:p w:rsidR="000E1D41" w:rsidRPr="00D870CC" w:rsidRDefault="000E1D41" w:rsidP="000E1D41">
            <w:pPr>
              <w:autoSpaceDE w:val="0"/>
              <w:autoSpaceDN w:val="0"/>
              <w:spacing w:after="120"/>
              <w:jc w:val="both"/>
              <w:rPr>
                <w:rFonts w:ascii="Arial" w:hAnsi="Arial" w:cs="Arial"/>
                <w:iCs/>
                <w:color w:val="000000"/>
              </w:rPr>
            </w:pPr>
            <w:r w:rsidRPr="00D870CC">
              <w:rPr>
                <w:rFonts w:ascii="Arial" w:hAnsi="Arial" w:cs="Arial"/>
                <w:iCs/>
                <w:color w:val="000000"/>
              </w:rPr>
              <w:t>Maintain at 80% or above</w:t>
            </w:r>
          </w:p>
          <w:p w:rsidR="000E1D41" w:rsidRPr="00D870CC" w:rsidRDefault="000E1D41" w:rsidP="000E1D41">
            <w:pPr>
              <w:autoSpaceDE w:val="0"/>
              <w:autoSpaceDN w:val="0"/>
              <w:spacing w:after="120"/>
              <w:jc w:val="both"/>
              <w:rPr>
                <w:rFonts w:ascii="Arial" w:hAnsi="Arial" w:cs="Arial"/>
                <w:iCs/>
                <w:color w:val="000000"/>
              </w:rPr>
            </w:pPr>
          </w:p>
          <w:p w:rsidR="000E1D41" w:rsidRPr="00D870CC" w:rsidRDefault="000E1D41" w:rsidP="000E1D41">
            <w:pPr>
              <w:autoSpaceDE w:val="0"/>
              <w:autoSpaceDN w:val="0"/>
              <w:spacing w:after="120"/>
              <w:jc w:val="both"/>
              <w:rPr>
                <w:rFonts w:ascii="Arial" w:hAnsi="Arial" w:cs="Arial"/>
                <w:iCs/>
                <w:color w:val="000000"/>
              </w:rPr>
            </w:pPr>
            <w:r w:rsidRPr="00D870CC">
              <w:rPr>
                <w:rFonts w:ascii="Arial" w:hAnsi="Arial" w:cs="Arial"/>
                <w:iCs/>
                <w:color w:val="000000"/>
              </w:rPr>
              <w:t xml:space="preserve"> </w:t>
            </w:r>
          </w:p>
        </w:tc>
        <w:tc>
          <w:tcPr>
            <w:tcW w:w="1789" w:type="dxa"/>
            <w:gridSpan w:val="3"/>
            <w:vAlign w:val="center"/>
          </w:tcPr>
          <w:p w:rsidR="00D870CC" w:rsidRPr="00D870CC" w:rsidRDefault="00D870CC" w:rsidP="00D870CC">
            <w:pPr>
              <w:autoSpaceDE w:val="0"/>
              <w:autoSpaceDN w:val="0"/>
              <w:spacing w:after="120"/>
              <w:jc w:val="center"/>
              <w:rPr>
                <w:rFonts w:ascii="Arial" w:hAnsi="Arial" w:cs="Arial"/>
                <w:iCs/>
                <w:color w:val="000000"/>
              </w:rPr>
            </w:pPr>
            <w:r w:rsidRPr="00D870CC">
              <w:rPr>
                <w:rFonts w:ascii="Arial" w:hAnsi="Arial" w:cs="Arial"/>
                <w:iCs/>
                <w:color w:val="000000"/>
              </w:rPr>
              <w:t>≥80% = G</w:t>
            </w:r>
          </w:p>
          <w:p w:rsidR="000E1D41" w:rsidRPr="00D870CC" w:rsidRDefault="00D870CC" w:rsidP="00D870CC">
            <w:pPr>
              <w:autoSpaceDE w:val="0"/>
              <w:autoSpaceDN w:val="0"/>
              <w:spacing w:after="120"/>
              <w:jc w:val="center"/>
              <w:rPr>
                <w:rFonts w:ascii="Arial" w:hAnsi="Arial" w:cs="Arial"/>
                <w:iCs/>
                <w:color w:val="000000"/>
              </w:rPr>
            </w:pPr>
            <w:r w:rsidRPr="00D870CC">
              <w:rPr>
                <w:rFonts w:ascii="Arial" w:hAnsi="Arial" w:cs="Arial"/>
                <w:iCs/>
                <w:color w:val="000000"/>
              </w:rPr>
              <w:t>≤79.9% = R</w:t>
            </w:r>
          </w:p>
        </w:tc>
        <w:tc>
          <w:tcPr>
            <w:tcW w:w="1790" w:type="dxa"/>
            <w:gridSpan w:val="3"/>
            <w:vAlign w:val="center"/>
          </w:tcPr>
          <w:p w:rsidR="000E1D41" w:rsidRPr="00D870CC" w:rsidRDefault="00D870CC" w:rsidP="00D870CC">
            <w:pPr>
              <w:autoSpaceDE w:val="0"/>
              <w:autoSpaceDN w:val="0"/>
              <w:spacing w:after="120"/>
              <w:jc w:val="center"/>
              <w:rPr>
                <w:rFonts w:ascii="Arial" w:hAnsi="Arial" w:cs="Arial"/>
                <w:iCs/>
                <w:color w:val="000000"/>
              </w:rPr>
            </w:pPr>
            <w:r w:rsidRPr="00D870CC">
              <w:rPr>
                <w:rFonts w:ascii="Arial" w:hAnsi="Arial" w:cs="Arial"/>
                <w:iCs/>
                <w:color w:val="000000"/>
              </w:rPr>
              <w:t>N/A</w:t>
            </w:r>
          </w:p>
        </w:tc>
        <w:tc>
          <w:tcPr>
            <w:tcW w:w="1789" w:type="dxa"/>
            <w:gridSpan w:val="3"/>
            <w:vAlign w:val="center"/>
          </w:tcPr>
          <w:p w:rsidR="000E1D41" w:rsidRPr="00D870CC" w:rsidRDefault="00D870CC" w:rsidP="00D870CC">
            <w:pPr>
              <w:autoSpaceDE w:val="0"/>
              <w:autoSpaceDN w:val="0"/>
              <w:spacing w:after="120"/>
              <w:jc w:val="center"/>
              <w:rPr>
                <w:rFonts w:ascii="Arial" w:hAnsi="Arial" w:cs="Arial"/>
                <w:iCs/>
                <w:color w:val="000000"/>
              </w:rPr>
            </w:pPr>
            <w:r w:rsidRPr="00D870CC">
              <w:rPr>
                <w:rFonts w:ascii="Arial" w:hAnsi="Arial" w:cs="Arial"/>
                <w:iCs/>
                <w:color w:val="000000"/>
              </w:rPr>
              <w:t>N/A</w:t>
            </w:r>
          </w:p>
        </w:tc>
        <w:tc>
          <w:tcPr>
            <w:tcW w:w="1790" w:type="dxa"/>
            <w:gridSpan w:val="3"/>
            <w:vAlign w:val="center"/>
          </w:tcPr>
          <w:p w:rsidR="000E1D41" w:rsidRPr="00D870CC" w:rsidRDefault="00D870CC" w:rsidP="00D870CC">
            <w:pPr>
              <w:autoSpaceDE w:val="0"/>
              <w:autoSpaceDN w:val="0"/>
              <w:spacing w:after="120"/>
              <w:jc w:val="center"/>
              <w:rPr>
                <w:rFonts w:ascii="Arial" w:hAnsi="Arial" w:cs="Arial"/>
                <w:iCs/>
                <w:color w:val="000000"/>
              </w:rPr>
            </w:pPr>
            <w:r w:rsidRPr="00D870CC">
              <w:rPr>
                <w:rFonts w:ascii="Arial" w:hAnsi="Arial" w:cs="Arial"/>
                <w:iCs/>
                <w:color w:val="000000"/>
              </w:rPr>
              <w:t>55%</w:t>
            </w:r>
          </w:p>
        </w:tc>
        <w:tc>
          <w:tcPr>
            <w:tcW w:w="1789" w:type="dxa"/>
            <w:gridSpan w:val="3"/>
            <w:vAlign w:val="center"/>
          </w:tcPr>
          <w:p w:rsidR="000E1D41" w:rsidRPr="00D870CC" w:rsidRDefault="00D870CC" w:rsidP="00D870CC">
            <w:pPr>
              <w:autoSpaceDE w:val="0"/>
              <w:autoSpaceDN w:val="0"/>
              <w:spacing w:after="120"/>
              <w:jc w:val="center"/>
              <w:rPr>
                <w:rFonts w:ascii="Arial" w:hAnsi="Arial" w:cs="Arial"/>
                <w:iCs/>
                <w:color w:val="000000"/>
              </w:rPr>
            </w:pPr>
            <w:r w:rsidRPr="00D870CC">
              <w:rPr>
                <w:rFonts w:ascii="Arial" w:hAnsi="Arial" w:cs="Arial"/>
                <w:iCs/>
                <w:color w:val="000000"/>
              </w:rPr>
              <w:t>≥80%</w:t>
            </w:r>
          </w:p>
        </w:tc>
        <w:tc>
          <w:tcPr>
            <w:tcW w:w="1790" w:type="dxa"/>
            <w:gridSpan w:val="2"/>
            <w:shd w:val="clear" w:color="auto" w:fill="FF0000"/>
            <w:vAlign w:val="center"/>
          </w:tcPr>
          <w:p w:rsidR="000E1D41" w:rsidRPr="00D870CC" w:rsidRDefault="00D870CC" w:rsidP="00D870CC">
            <w:pPr>
              <w:autoSpaceDE w:val="0"/>
              <w:autoSpaceDN w:val="0"/>
              <w:spacing w:after="120"/>
              <w:jc w:val="center"/>
              <w:rPr>
                <w:rFonts w:ascii="Arial" w:hAnsi="Arial" w:cs="Arial"/>
                <w:iCs/>
                <w:color w:val="000000"/>
              </w:rPr>
            </w:pPr>
            <w:r w:rsidRPr="00D870CC">
              <w:rPr>
                <w:rFonts w:ascii="Arial" w:hAnsi="Arial" w:cs="Arial"/>
                <w:iCs/>
                <w:color w:val="000000"/>
              </w:rPr>
              <w:sym w:font="Wingdings" w:char="F0F2"/>
            </w:r>
          </w:p>
        </w:tc>
      </w:tr>
      <w:tr w:rsidR="000E1D41" w:rsidRPr="000C34A9" w:rsidTr="000965B0">
        <w:trPr>
          <w:trHeight w:val="276"/>
        </w:trPr>
        <w:tc>
          <w:tcPr>
            <w:tcW w:w="14316" w:type="dxa"/>
            <w:gridSpan w:val="21"/>
          </w:tcPr>
          <w:p w:rsidR="00D870CC" w:rsidRDefault="00D870CC" w:rsidP="00D870CC">
            <w:pPr>
              <w:rPr>
                <w:rFonts w:ascii="Arial" w:hAnsi="Arial" w:cs="Arial"/>
              </w:rPr>
            </w:pPr>
            <w:r>
              <w:rPr>
                <w:rFonts w:ascii="Arial" w:hAnsi="Arial" w:cs="Arial"/>
              </w:rPr>
              <w:lastRenderedPageBreak/>
              <w:t>The first reporting of TURAS data shows that 55% of staff had a completed annual PDR at the end of April. This is a 35% decrease on the last reported position in January 2018. The PDR completion rate for each division was as follows:</w:t>
            </w:r>
          </w:p>
          <w:p w:rsidR="00D870CC" w:rsidRPr="00D870CC" w:rsidRDefault="00D870CC" w:rsidP="00D870CC">
            <w:pPr>
              <w:pStyle w:val="ListParagraph"/>
              <w:numPr>
                <w:ilvl w:val="0"/>
                <w:numId w:val="5"/>
              </w:numPr>
              <w:spacing w:after="0" w:line="240" w:lineRule="auto"/>
              <w:contextualSpacing w:val="0"/>
              <w:rPr>
                <w:rFonts w:ascii="Arial" w:hAnsi="Arial" w:cs="Arial"/>
                <w:sz w:val="24"/>
              </w:rPr>
            </w:pPr>
            <w:r w:rsidRPr="00D870CC">
              <w:rPr>
                <w:rFonts w:ascii="Arial" w:hAnsi="Arial" w:cs="Arial"/>
                <w:sz w:val="24"/>
              </w:rPr>
              <w:t>Corporate – 59%</w:t>
            </w:r>
          </w:p>
          <w:p w:rsidR="00D870CC" w:rsidRPr="00D870CC" w:rsidRDefault="00D870CC" w:rsidP="00D870CC">
            <w:pPr>
              <w:pStyle w:val="ListParagraph"/>
              <w:numPr>
                <w:ilvl w:val="0"/>
                <w:numId w:val="5"/>
              </w:numPr>
              <w:spacing w:after="0" w:line="240" w:lineRule="auto"/>
              <w:contextualSpacing w:val="0"/>
              <w:rPr>
                <w:rFonts w:ascii="Arial" w:hAnsi="Arial" w:cs="Arial"/>
                <w:sz w:val="24"/>
              </w:rPr>
            </w:pPr>
            <w:r w:rsidRPr="00D870CC">
              <w:rPr>
                <w:rFonts w:ascii="Arial" w:hAnsi="Arial" w:cs="Arial"/>
                <w:sz w:val="24"/>
              </w:rPr>
              <w:t>Hotel – 62%</w:t>
            </w:r>
          </w:p>
          <w:p w:rsidR="00D870CC" w:rsidRPr="00D870CC" w:rsidRDefault="00D870CC" w:rsidP="00D870CC">
            <w:pPr>
              <w:pStyle w:val="ListParagraph"/>
              <w:numPr>
                <w:ilvl w:val="0"/>
                <w:numId w:val="5"/>
              </w:numPr>
              <w:spacing w:after="0" w:line="240" w:lineRule="auto"/>
              <w:contextualSpacing w:val="0"/>
              <w:rPr>
                <w:rFonts w:ascii="Arial" w:hAnsi="Arial" w:cs="Arial"/>
                <w:sz w:val="24"/>
              </w:rPr>
            </w:pPr>
            <w:r w:rsidRPr="00D870CC">
              <w:rPr>
                <w:rFonts w:ascii="Arial" w:hAnsi="Arial" w:cs="Arial"/>
                <w:sz w:val="24"/>
              </w:rPr>
              <w:t>Regional and National Medicine – 66%</w:t>
            </w:r>
          </w:p>
          <w:p w:rsidR="000E1D41" w:rsidRDefault="00D870CC" w:rsidP="00D870CC">
            <w:pPr>
              <w:pStyle w:val="ListParagraph"/>
              <w:numPr>
                <w:ilvl w:val="0"/>
                <w:numId w:val="5"/>
              </w:numPr>
              <w:spacing w:after="0" w:line="240" w:lineRule="auto"/>
              <w:contextualSpacing w:val="0"/>
              <w:rPr>
                <w:rFonts w:ascii="Arial" w:hAnsi="Arial" w:cs="Arial"/>
                <w:sz w:val="24"/>
              </w:rPr>
            </w:pPr>
            <w:r w:rsidRPr="00D870CC">
              <w:rPr>
                <w:rFonts w:ascii="Arial" w:hAnsi="Arial" w:cs="Arial"/>
                <w:sz w:val="24"/>
              </w:rPr>
              <w:t>Surgical Services – 47%</w:t>
            </w:r>
          </w:p>
          <w:p w:rsidR="00D870CC" w:rsidRPr="00D870CC" w:rsidRDefault="00D870CC" w:rsidP="00970E45">
            <w:pPr>
              <w:rPr>
                <w:rFonts w:ascii="Arial" w:hAnsi="Arial" w:cs="Arial"/>
              </w:rPr>
            </w:pPr>
            <w:r>
              <w:rPr>
                <w:rFonts w:ascii="Arial" w:hAnsi="Arial" w:cs="Arial"/>
              </w:rPr>
              <w:t>It was highlighted that there had been issues with signing off completed PDRs</w:t>
            </w:r>
            <w:r w:rsidR="00970E45">
              <w:rPr>
                <w:rFonts w:ascii="Arial" w:hAnsi="Arial" w:cs="Arial"/>
              </w:rPr>
              <w:t>. T</w:t>
            </w:r>
            <w:r>
              <w:rPr>
                <w:rFonts w:ascii="Arial" w:hAnsi="Arial" w:cs="Arial"/>
              </w:rPr>
              <w:t>his has been resolved and an improved performance is expected next month. The target of 80% is expected to be achieved by June.</w:t>
            </w:r>
          </w:p>
        </w:tc>
      </w:tr>
    </w:tbl>
    <w:p w:rsidR="006539A8" w:rsidRPr="000C34A9" w:rsidRDefault="006539A8">
      <w:pPr>
        <w:rPr>
          <w:rFonts w:ascii="Arial" w:hAnsi="Arial" w:cs="Arial"/>
          <w:highlight w:val="yellow"/>
        </w:rPr>
      </w:pPr>
    </w:p>
    <w:tbl>
      <w:tblPr>
        <w:tblW w:w="5000" w:type="pct"/>
        <w:tblLook w:val="0000"/>
      </w:tblPr>
      <w:tblGrid>
        <w:gridCol w:w="14174"/>
      </w:tblGrid>
      <w:tr w:rsidR="00422856" w:rsidRPr="000C34A9" w:rsidTr="0066043B">
        <w:trPr>
          <w:trHeight w:val="274"/>
        </w:trPr>
        <w:tc>
          <w:tcPr>
            <w:tcW w:w="5000" w:type="pct"/>
            <w:tcBorders>
              <w:top w:val="single" w:sz="4" w:space="0" w:color="auto"/>
            </w:tcBorders>
            <w:shd w:val="clear" w:color="auto" w:fill="CCCCCC"/>
          </w:tcPr>
          <w:p w:rsidR="00422856" w:rsidRPr="000C34A9" w:rsidRDefault="003C3BAC" w:rsidP="000C34A9">
            <w:pPr>
              <w:rPr>
                <w:rFonts w:ascii="Arial" w:hAnsi="Arial" w:cs="Arial"/>
                <w:b/>
                <w:highlight w:val="yellow"/>
              </w:rPr>
            </w:pPr>
            <w:r w:rsidRPr="000C34A9">
              <w:rPr>
                <w:rFonts w:ascii="Arial" w:hAnsi="Arial" w:cs="Arial"/>
                <w:b/>
              </w:rPr>
              <w:t>S</w:t>
            </w:r>
            <w:r w:rsidR="00422856" w:rsidRPr="000C34A9">
              <w:rPr>
                <w:rFonts w:ascii="Arial" w:hAnsi="Arial" w:cs="Arial"/>
                <w:b/>
              </w:rPr>
              <w:t xml:space="preserve">urgical Services Division Performance                                              </w:t>
            </w:r>
            <w:r w:rsidR="00761F30" w:rsidRPr="000C34A9">
              <w:rPr>
                <w:rFonts w:ascii="Arial" w:hAnsi="Arial" w:cs="Arial"/>
                <w:b/>
              </w:rPr>
              <w:t xml:space="preserve">                  </w:t>
            </w:r>
            <w:r w:rsidR="00422856" w:rsidRPr="000C34A9">
              <w:rPr>
                <w:rFonts w:ascii="Arial" w:hAnsi="Arial" w:cs="Arial"/>
                <w:b/>
              </w:rPr>
              <w:t xml:space="preserve">Board Performance Update – </w:t>
            </w:r>
            <w:r w:rsidR="000C34A9" w:rsidRPr="000C34A9">
              <w:rPr>
                <w:rFonts w:ascii="Arial" w:hAnsi="Arial" w:cs="Arial"/>
                <w:b/>
              </w:rPr>
              <w:t>June</w:t>
            </w:r>
            <w:r w:rsidR="00422856" w:rsidRPr="000C34A9">
              <w:rPr>
                <w:rFonts w:ascii="Arial" w:hAnsi="Arial" w:cs="Arial"/>
                <w:b/>
              </w:rPr>
              <w:t xml:space="preserve"> 201</w:t>
            </w:r>
            <w:r w:rsidR="00FD36EA" w:rsidRPr="000C34A9">
              <w:rPr>
                <w:rFonts w:ascii="Arial" w:hAnsi="Arial" w:cs="Arial"/>
                <w:b/>
              </w:rPr>
              <w:t>9</w:t>
            </w:r>
          </w:p>
        </w:tc>
      </w:tr>
    </w:tbl>
    <w:p w:rsidR="00422856" w:rsidRPr="000C34A9" w:rsidRDefault="00422856" w:rsidP="00422856">
      <w:pPr>
        <w:rPr>
          <w:rFonts w:ascii="Arial" w:hAnsi="Arial" w:cs="Arial"/>
          <w:highlight w:val="yellow"/>
        </w:rPr>
      </w:pPr>
    </w:p>
    <w:tbl>
      <w:tblPr>
        <w:tblW w:w="1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7"/>
        <w:gridCol w:w="8172"/>
        <w:gridCol w:w="1937"/>
        <w:gridCol w:w="1603"/>
      </w:tblGrid>
      <w:tr w:rsidR="00422856" w:rsidRPr="000C34A9" w:rsidTr="0031443E">
        <w:trPr>
          <w:tblHeader/>
        </w:trPr>
        <w:tc>
          <w:tcPr>
            <w:tcW w:w="2217" w:type="dxa"/>
            <w:shd w:val="clear" w:color="auto" w:fill="auto"/>
          </w:tcPr>
          <w:p w:rsidR="00422856" w:rsidRPr="00114B88" w:rsidRDefault="00422856" w:rsidP="0066043B">
            <w:pPr>
              <w:jc w:val="center"/>
              <w:rPr>
                <w:rFonts w:ascii="Arial" w:hAnsi="Arial" w:cs="Arial"/>
                <w:b/>
              </w:rPr>
            </w:pPr>
            <w:r w:rsidRPr="00114B88">
              <w:rPr>
                <w:rFonts w:ascii="Arial" w:hAnsi="Arial" w:cs="Arial"/>
                <w:b/>
              </w:rPr>
              <w:t>ISSUE</w:t>
            </w:r>
          </w:p>
        </w:tc>
        <w:tc>
          <w:tcPr>
            <w:tcW w:w="8172" w:type="dxa"/>
            <w:shd w:val="clear" w:color="auto" w:fill="auto"/>
          </w:tcPr>
          <w:p w:rsidR="00422856" w:rsidRPr="00114B88" w:rsidRDefault="00422856" w:rsidP="0066043B">
            <w:pPr>
              <w:jc w:val="center"/>
              <w:rPr>
                <w:rFonts w:ascii="Arial" w:hAnsi="Arial" w:cs="Arial"/>
                <w:b/>
              </w:rPr>
            </w:pPr>
            <w:r w:rsidRPr="00114B88">
              <w:rPr>
                <w:rFonts w:ascii="Arial" w:hAnsi="Arial" w:cs="Arial"/>
                <w:b/>
              </w:rPr>
              <w:t>ACTION</w:t>
            </w:r>
          </w:p>
        </w:tc>
        <w:tc>
          <w:tcPr>
            <w:tcW w:w="1937" w:type="dxa"/>
            <w:shd w:val="clear" w:color="auto" w:fill="auto"/>
          </w:tcPr>
          <w:p w:rsidR="00422856" w:rsidRPr="00114B88" w:rsidRDefault="00422856" w:rsidP="0066043B">
            <w:pPr>
              <w:jc w:val="center"/>
              <w:rPr>
                <w:rFonts w:ascii="Arial" w:hAnsi="Arial" w:cs="Arial"/>
                <w:b/>
              </w:rPr>
            </w:pPr>
            <w:r w:rsidRPr="00114B88">
              <w:rPr>
                <w:rFonts w:ascii="Arial" w:hAnsi="Arial" w:cs="Arial"/>
                <w:b/>
              </w:rPr>
              <w:t>RESPONSIBLE LEAD</w:t>
            </w:r>
          </w:p>
        </w:tc>
        <w:tc>
          <w:tcPr>
            <w:tcW w:w="1603" w:type="dxa"/>
            <w:shd w:val="clear" w:color="auto" w:fill="auto"/>
          </w:tcPr>
          <w:p w:rsidR="00422856" w:rsidRPr="00114B88" w:rsidRDefault="00422856" w:rsidP="0066043B">
            <w:pPr>
              <w:jc w:val="center"/>
              <w:rPr>
                <w:rFonts w:ascii="Arial" w:hAnsi="Arial" w:cs="Arial"/>
                <w:b/>
              </w:rPr>
            </w:pPr>
            <w:r w:rsidRPr="00114B88">
              <w:rPr>
                <w:rFonts w:ascii="Arial" w:hAnsi="Arial" w:cs="Arial"/>
                <w:b/>
              </w:rPr>
              <w:t>TIMESCALE</w:t>
            </w:r>
          </w:p>
        </w:tc>
      </w:tr>
      <w:tr w:rsidR="00C40A66" w:rsidRPr="000C34A9" w:rsidTr="0031443E">
        <w:trPr>
          <w:trHeight w:val="627"/>
        </w:trPr>
        <w:tc>
          <w:tcPr>
            <w:tcW w:w="2217" w:type="dxa"/>
          </w:tcPr>
          <w:p w:rsidR="00C40A66" w:rsidRPr="000C34A9" w:rsidRDefault="00C40A66" w:rsidP="0031443E">
            <w:pPr>
              <w:spacing w:after="240"/>
              <w:rPr>
                <w:rFonts w:ascii="Arial" w:hAnsi="Arial" w:cs="Arial"/>
                <w:highlight w:val="yellow"/>
              </w:rPr>
            </w:pPr>
            <w:r w:rsidRPr="00114B88">
              <w:rPr>
                <w:rFonts w:ascii="Arial" w:hAnsi="Arial" w:cs="Arial"/>
              </w:rPr>
              <w:t>Critical Care</w:t>
            </w:r>
          </w:p>
        </w:tc>
        <w:tc>
          <w:tcPr>
            <w:tcW w:w="8172" w:type="dxa"/>
            <w:shd w:val="clear" w:color="auto" w:fill="auto"/>
          </w:tcPr>
          <w:p w:rsidR="00C73559" w:rsidRDefault="00C73559" w:rsidP="00C73559">
            <w:pPr>
              <w:spacing w:after="240"/>
              <w:rPr>
                <w:rFonts w:ascii="Arial" w:eastAsia="Arial Unicode MS" w:hAnsi="Arial" w:cs="Arial"/>
              </w:rPr>
            </w:pPr>
            <w:r w:rsidRPr="00114B88">
              <w:rPr>
                <w:rFonts w:ascii="Arial" w:eastAsia="Arial Unicode MS" w:hAnsi="Arial" w:cs="Arial"/>
              </w:rPr>
              <w:t>W</w:t>
            </w:r>
            <w:r>
              <w:rPr>
                <w:rFonts w:ascii="Arial" w:eastAsia="Arial Unicode MS" w:hAnsi="Arial" w:cs="Arial"/>
              </w:rPr>
              <w:t>ithin critical care three band two</w:t>
            </w:r>
            <w:r w:rsidRPr="00114B88">
              <w:rPr>
                <w:rFonts w:ascii="Arial" w:eastAsia="Arial Unicode MS" w:hAnsi="Arial" w:cs="Arial"/>
              </w:rPr>
              <w:t xml:space="preserve"> posts have been advertised</w:t>
            </w:r>
            <w:r w:rsidR="00970E45">
              <w:rPr>
                <w:rFonts w:ascii="Arial" w:eastAsia="Arial Unicode MS" w:hAnsi="Arial" w:cs="Arial"/>
              </w:rPr>
              <w:t>. T</w:t>
            </w:r>
            <w:r w:rsidRPr="00114B88">
              <w:rPr>
                <w:rFonts w:ascii="Arial" w:eastAsia="Arial Unicode MS" w:hAnsi="Arial" w:cs="Arial"/>
              </w:rPr>
              <w:t>hese roles will support patient flow and ensure that tasks currently undertaken by the registered nurse are set to staff with the appropriate skill range.</w:t>
            </w:r>
          </w:p>
          <w:p w:rsidR="00114B88" w:rsidRPr="00114B88" w:rsidRDefault="00C73559" w:rsidP="00C73559">
            <w:pPr>
              <w:spacing w:after="240"/>
              <w:rPr>
                <w:rFonts w:ascii="Arial" w:eastAsia="Arial Unicode MS" w:hAnsi="Arial" w:cs="Arial"/>
              </w:rPr>
            </w:pPr>
            <w:r>
              <w:rPr>
                <w:rFonts w:ascii="Arial" w:eastAsia="Arial Unicode MS" w:hAnsi="Arial" w:cs="Arial"/>
              </w:rPr>
              <w:t>During March and April there was no impact on elective cases due to bed availability or staffing within the critical care units.</w:t>
            </w:r>
          </w:p>
        </w:tc>
        <w:tc>
          <w:tcPr>
            <w:tcW w:w="1937" w:type="dxa"/>
          </w:tcPr>
          <w:p w:rsidR="00C40A66" w:rsidRPr="00114B88" w:rsidRDefault="00C40A66" w:rsidP="0031443E">
            <w:pPr>
              <w:spacing w:after="240"/>
              <w:rPr>
                <w:rFonts w:ascii="Arial" w:hAnsi="Arial" w:cs="Arial"/>
              </w:rPr>
            </w:pPr>
            <w:r w:rsidRPr="00114B88">
              <w:rPr>
                <w:rFonts w:ascii="Arial" w:hAnsi="Arial" w:cs="Arial"/>
              </w:rPr>
              <w:t>Lynn Graham</w:t>
            </w:r>
          </w:p>
          <w:p w:rsidR="00C40A66" w:rsidRPr="00114B88" w:rsidRDefault="00C40A66" w:rsidP="0031443E">
            <w:pPr>
              <w:spacing w:after="240"/>
              <w:rPr>
                <w:rFonts w:ascii="Arial" w:hAnsi="Arial" w:cs="Arial"/>
              </w:rPr>
            </w:pPr>
          </w:p>
        </w:tc>
        <w:tc>
          <w:tcPr>
            <w:tcW w:w="1603" w:type="dxa"/>
          </w:tcPr>
          <w:p w:rsidR="00C40A66" w:rsidRPr="00114B88" w:rsidRDefault="00C40A66" w:rsidP="0031443E">
            <w:pPr>
              <w:spacing w:after="240"/>
              <w:rPr>
                <w:rFonts w:ascii="Arial" w:hAnsi="Arial" w:cs="Arial"/>
              </w:rPr>
            </w:pPr>
            <w:r w:rsidRPr="00114B88">
              <w:rPr>
                <w:rFonts w:ascii="Arial" w:hAnsi="Arial" w:cs="Arial"/>
              </w:rPr>
              <w:t>Ongoing</w:t>
            </w:r>
          </w:p>
        </w:tc>
      </w:tr>
      <w:tr w:rsidR="00EA296D" w:rsidRPr="000C34A9" w:rsidTr="0031443E">
        <w:trPr>
          <w:trHeight w:val="627"/>
        </w:trPr>
        <w:tc>
          <w:tcPr>
            <w:tcW w:w="2217" w:type="dxa"/>
          </w:tcPr>
          <w:p w:rsidR="00EA296D" w:rsidRPr="000C34A9" w:rsidRDefault="00EA296D" w:rsidP="0031443E">
            <w:pPr>
              <w:spacing w:after="240"/>
              <w:rPr>
                <w:rFonts w:ascii="Arial" w:hAnsi="Arial" w:cs="Arial"/>
                <w:highlight w:val="yellow"/>
              </w:rPr>
            </w:pPr>
            <w:r w:rsidRPr="00114B88">
              <w:rPr>
                <w:rFonts w:ascii="Arial" w:hAnsi="Arial" w:cs="Arial"/>
              </w:rPr>
              <w:t>Wards</w:t>
            </w:r>
          </w:p>
        </w:tc>
        <w:tc>
          <w:tcPr>
            <w:tcW w:w="8172" w:type="dxa"/>
            <w:shd w:val="clear" w:color="auto" w:fill="auto"/>
          </w:tcPr>
          <w:p w:rsidR="00EA296D" w:rsidRPr="00114B88" w:rsidRDefault="00970E45" w:rsidP="00970E45">
            <w:pPr>
              <w:spacing w:after="240"/>
              <w:rPr>
                <w:rFonts w:ascii="Arial" w:eastAsia="Arial Unicode MS" w:hAnsi="Arial" w:cs="Arial"/>
              </w:rPr>
            </w:pPr>
            <w:r>
              <w:rPr>
                <w:rFonts w:ascii="Arial" w:eastAsia="Arial Unicode MS" w:hAnsi="Arial" w:cs="Arial"/>
              </w:rPr>
              <w:t>S</w:t>
            </w:r>
            <w:r w:rsidR="00C73559" w:rsidRPr="00114B88">
              <w:rPr>
                <w:rFonts w:ascii="Arial" w:eastAsia="Arial Unicode MS" w:hAnsi="Arial" w:cs="Arial"/>
              </w:rPr>
              <w:t xml:space="preserve">urgical bed pressures across 3 East and 3 West have remained a challenge.  The demands on the wards have triggered some opportunities around the creation of an improvement group focused on areas such as criteria led discharge and </w:t>
            </w:r>
            <w:r w:rsidR="00C73559">
              <w:rPr>
                <w:rFonts w:ascii="Arial" w:eastAsia="Arial Unicode MS" w:hAnsi="Arial" w:cs="Arial"/>
              </w:rPr>
              <w:t xml:space="preserve">changes to existing </w:t>
            </w:r>
            <w:r w:rsidR="00C73559" w:rsidRPr="00114B88">
              <w:rPr>
                <w:rFonts w:ascii="Arial" w:eastAsia="Arial Unicode MS" w:hAnsi="Arial" w:cs="Arial"/>
              </w:rPr>
              <w:t>systems to improve flow.</w:t>
            </w:r>
          </w:p>
        </w:tc>
        <w:tc>
          <w:tcPr>
            <w:tcW w:w="1937" w:type="dxa"/>
          </w:tcPr>
          <w:p w:rsidR="00EA296D" w:rsidRPr="00114B88" w:rsidRDefault="00EA296D" w:rsidP="00EA296D">
            <w:pPr>
              <w:spacing w:after="240"/>
              <w:rPr>
                <w:rFonts w:ascii="Arial" w:hAnsi="Arial" w:cs="Arial"/>
              </w:rPr>
            </w:pPr>
            <w:r w:rsidRPr="00114B88">
              <w:rPr>
                <w:rFonts w:ascii="Arial" w:hAnsi="Arial" w:cs="Arial"/>
              </w:rPr>
              <w:t>Lynn Graham</w:t>
            </w:r>
          </w:p>
          <w:p w:rsidR="00EA296D" w:rsidRPr="00114B88" w:rsidRDefault="00EA296D" w:rsidP="00EA296D">
            <w:pPr>
              <w:spacing w:after="240"/>
              <w:rPr>
                <w:rFonts w:ascii="Arial" w:hAnsi="Arial" w:cs="Arial"/>
              </w:rPr>
            </w:pPr>
          </w:p>
        </w:tc>
        <w:tc>
          <w:tcPr>
            <w:tcW w:w="1603" w:type="dxa"/>
          </w:tcPr>
          <w:p w:rsidR="00EA296D" w:rsidRPr="00114B88" w:rsidRDefault="00EA296D" w:rsidP="00EA296D">
            <w:pPr>
              <w:spacing w:after="240"/>
              <w:rPr>
                <w:rFonts w:ascii="Arial" w:hAnsi="Arial" w:cs="Arial"/>
              </w:rPr>
            </w:pPr>
            <w:r w:rsidRPr="00114B88">
              <w:rPr>
                <w:rFonts w:ascii="Arial" w:hAnsi="Arial" w:cs="Arial"/>
              </w:rPr>
              <w:t>Ongoing</w:t>
            </w:r>
          </w:p>
        </w:tc>
      </w:tr>
    </w:tbl>
    <w:p w:rsidR="00942565" w:rsidRDefault="00942565">
      <w:r>
        <w:br w:type="page"/>
      </w:r>
    </w:p>
    <w:tbl>
      <w:tblPr>
        <w:tblW w:w="1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7"/>
        <w:gridCol w:w="8172"/>
        <w:gridCol w:w="1937"/>
        <w:gridCol w:w="1603"/>
      </w:tblGrid>
      <w:tr w:rsidR="00942565" w:rsidRPr="000C34A9" w:rsidTr="00942565">
        <w:trPr>
          <w:tblHeader/>
        </w:trPr>
        <w:tc>
          <w:tcPr>
            <w:tcW w:w="2217" w:type="dxa"/>
            <w:shd w:val="clear" w:color="auto" w:fill="auto"/>
          </w:tcPr>
          <w:p w:rsidR="00942565" w:rsidRPr="00114B88" w:rsidRDefault="00942565" w:rsidP="00942565">
            <w:pPr>
              <w:jc w:val="center"/>
              <w:rPr>
                <w:rFonts w:ascii="Arial" w:hAnsi="Arial" w:cs="Arial"/>
                <w:b/>
              </w:rPr>
            </w:pPr>
            <w:r w:rsidRPr="00114B88">
              <w:rPr>
                <w:rFonts w:ascii="Arial" w:hAnsi="Arial" w:cs="Arial"/>
                <w:b/>
              </w:rPr>
              <w:lastRenderedPageBreak/>
              <w:t>ISSUE</w:t>
            </w:r>
          </w:p>
        </w:tc>
        <w:tc>
          <w:tcPr>
            <w:tcW w:w="8172" w:type="dxa"/>
            <w:shd w:val="clear" w:color="auto" w:fill="auto"/>
          </w:tcPr>
          <w:p w:rsidR="00942565" w:rsidRPr="00114B88" w:rsidRDefault="00942565" w:rsidP="00942565">
            <w:pPr>
              <w:jc w:val="center"/>
              <w:rPr>
                <w:rFonts w:ascii="Arial" w:hAnsi="Arial" w:cs="Arial"/>
                <w:b/>
              </w:rPr>
            </w:pPr>
            <w:r w:rsidRPr="00114B88">
              <w:rPr>
                <w:rFonts w:ascii="Arial" w:hAnsi="Arial" w:cs="Arial"/>
                <w:b/>
              </w:rPr>
              <w:t>ACTION</w:t>
            </w:r>
          </w:p>
        </w:tc>
        <w:tc>
          <w:tcPr>
            <w:tcW w:w="1937" w:type="dxa"/>
            <w:shd w:val="clear" w:color="auto" w:fill="auto"/>
          </w:tcPr>
          <w:p w:rsidR="00942565" w:rsidRPr="00114B88" w:rsidRDefault="00942565" w:rsidP="00942565">
            <w:pPr>
              <w:jc w:val="center"/>
              <w:rPr>
                <w:rFonts w:ascii="Arial" w:hAnsi="Arial" w:cs="Arial"/>
                <w:b/>
              </w:rPr>
            </w:pPr>
            <w:r w:rsidRPr="00114B88">
              <w:rPr>
                <w:rFonts w:ascii="Arial" w:hAnsi="Arial" w:cs="Arial"/>
                <w:b/>
              </w:rPr>
              <w:t>RESPONSIBLE LEAD</w:t>
            </w:r>
          </w:p>
        </w:tc>
        <w:tc>
          <w:tcPr>
            <w:tcW w:w="1603" w:type="dxa"/>
            <w:shd w:val="clear" w:color="auto" w:fill="auto"/>
          </w:tcPr>
          <w:p w:rsidR="00942565" w:rsidRPr="00114B88" w:rsidRDefault="00942565" w:rsidP="00942565">
            <w:pPr>
              <w:jc w:val="center"/>
              <w:rPr>
                <w:rFonts w:ascii="Arial" w:hAnsi="Arial" w:cs="Arial"/>
                <w:b/>
              </w:rPr>
            </w:pPr>
            <w:r w:rsidRPr="00114B88">
              <w:rPr>
                <w:rFonts w:ascii="Arial" w:hAnsi="Arial" w:cs="Arial"/>
                <w:b/>
              </w:rPr>
              <w:t>TIMESCALE</w:t>
            </w:r>
          </w:p>
        </w:tc>
      </w:tr>
      <w:tr w:rsidR="00EA296D" w:rsidRPr="000C34A9" w:rsidTr="0081525B">
        <w:trPr>
          <w:trHeight w:val="627"/>
        </w:trPr>
        <w:tc>
          <w:tcPr>
            <w:tcW w:w="2217" w:type="dxa"/>
          </w:tcPr>
          <w:p w:rsidR="00EA296D" w:rsidRPr="0081525B" w:rsidRDefault="00EA296D" w:rsidP="0031443E">
            <w:pPr>
              <w:spacing w:after="240"/>
              <w:rPr>
                <w:rFonts w:ascii="Arial" w:hAnsi="Arial" w:cs="Arial"/>
              </w:rPr>
            </w:pPr>
            <w:r w:rsidRPr="0081525B">
              <w:rPr>
                <w:rFonts w:ascii="Arial" w:hAnsi="Arial" w:cs="Arial"/>
              </w:rPr>
              <w:t>Cardiac Surgery</w:t>
            </w:r>
          </w:p>
        </w:tc>
        <w:tc>
          <w:tcPr>
            <w:tcW w:w="8172" w:type="dxa"/>
            <w:shd w:val="clear" w:color="auto" w:fill="auto"/>
          </w:tcPr>
          <w:p w:rsidR="00C73559" w:rsidRPr="00496FC7" w:rsidRDefault="00C73559" w:rsidP="00C73559">
            <w:pPr>
              <w:spacing w:after="240"/>
              <w:rPr>
                <w:rFonts w:ascii="Arial" w:eastAsia="Arial Unicode MS" w:hAnsi="Arial" w:cs="Arial"/>
              </w:rPr>
            </w:pPr>
            <w:r w:rsidRPr="00496FC7">
              <w:rPr>
                <w:rFonts w:ascii="Arial" w:eastAsia="Arial Unicode MS" w:hAnsi="Arial" w:cs="Arial"/>
              </w:rPr>
              <w:t>Cardiac surgery continues to remain under pressure as the demands on the service</w:t>
            </w:r>
            <w:r>
              <w:rPr>
                <w:rFonts w:ascii="Arial" w:eastAsia="Arial Unicode MS" w:hAnsi="Arial" w:cs="Arial"/>
              </w:rPr>
              <w:t xml:space="preserve"> continue</w:t>
            </w:r>
            <w:r w:rsidRPr="00496FC7">
              <w:rPr>
                <w:rFonts w:ascii="Arial" w:eastAsia="Arial Unicode MS" w:hAnsi="Arial" w:cs="Arial"/>
              </w:rPr>
              <w:t xml:space="preserve">. Referrals to the service increased during the first three months of the year, a period which coincided with the introduction of the mobile </w:t>
            </w:r>
            <w:proofErr w:type="spellStart"/>
            <w:r w:rsidRPr="00496FC7">
              <w:rPr>
                <w:rFonts w:ascii="Arial" w:eastAsia="Arial Unicode MS" w:hAnsi="Arial" w:cs="Arial"/>
              </w:rPr>
              <w:t>cath</w:t>
            </w:r>
            <w:proofErr w:type="spellEnd"/>
            <w:r w:rsidRPr="00496FC7">
              <w:rPr>
                <w:rFonts w:ascii="Arial" w:eastAsia="Arial Unicode MS" w:hAnsi="Arial" w:cs="Arial"/>
              </w:rPr>
              <w:t xml:space="preserve"> lab. </w:t>
            </w:r>
            <w:r>
              <w:rPr>
                <w:rFonts w:ascii="Arial" w:eastAsia="Arial Unicode MS" w:hAnsi="Arial" w:cs="Arial"/>
              </w:rPr>
              <w:t>As at 2 May 2019</w:t>
            </w:r>
            <w:r w:rsidR="00970E45">
              <w:rPr>
                <w:rFonts w:ascii="Arial" w:eastAsia="Arial Unicode MS" w:hAnsi="Arial" w:cs="Arial"/>
              </w:rPr>
              <w:t>,</w:t>
            </w:r>
            <w:r>
              <w:rPr>
                <w:rFonts w:ascii="Arial" w:eastAsia="Arial Unicode MS" w:hAnsi="Arial" w:cs="Arial"/>
              </w:rPr>
              <w:t xml:space="preserve"> there were 348 patients on the cardiac surgery waiting list</w:t>
            </w:r>
            <w:r w:rsidR="00ED0208">
              <w:rPr>
                <w:rFonts w:ascii="Arial" w:eastAsia="Arial Unicode MS" w:hAnsi="Arial" w:cs="Arial"/>
              </w:rPr>
              <w:t>.</w:t>
            </w:r>
            <w:r>
              <w:rPr>
                <w:rFonts w:ascii="Arial" w:eastAsia="Arial Unicode MS" w:hAnsi="Arial" w:cs="Arial"/>
              </w:rPr>
              <w:t xml:space="preserve"> </w:t>
            </w:r>
          </w:p>
          <w:p w:rsidR="00C73559" w:rsidRDefault="00C73559" w:rsidP="00C73559">
            <w:pPr>
              <w:spacing w:after="240"/>
              <w:rPr>
                <w:rFonts w:ascii="Arial" w:eastAsia="Arial Unicode MS" w:hAnsi="Arial" w:cs="Arial"/>
              </w:rPr>
            </w:pPr>
            <w:r w:rsidRPr="00496FC7">
              <w:rPr>
                <w:rFonts w:ascii="Arial" w:eastAsia="Arial Unicode MS" w:hAnsi="Arial" w:cs="Arial"/>
              </w:rPr>
              <w:t xml:space="preserve">Overall activity within 2018/19 was 7% higher than in 2017/18, with the service </w:t>
            </w:r>
            <w:r>
              <w:rPr>
                <w:rFonts w:ascii="Arial" w:eastAsia="Arial Unicode MS" w:hAnsi="Arial" w:cs="Arial"/>
              </w:rPr>
              <w:t>performing 1</w:t>
            </w:r>
            <w:r w:rsidR="00970E45">
              <w:rPr>
                <w:rFonts w:ascii="Arial" w:eastAsia="Arial Unicode MS" w:hAnsi="Arial" w:cs="Arial"/>
              </w:rPr>
              <w:t>,</w:t>
            </w:r>
            <w:r>
              <w:rPr>
                <w:rFonts w:ascii="Arial" w:eastAsia="Arial Unicode MS" w:hAnsi="Arial" w:cs="Arial"/>
              </w:rPr>
              <w:t>355</w:t>
            </w:r>
            <w:r w:rsidRPr="00496FC7">
              <w:rPr>
                <w:rFonts w:ascii="Arial" w:eastAsia="Arial Unicode MS" w:hAnsi="Arial" w:cs="Arial"/>
              </w:rPr>
              <w:t xml:space="preserve"> major cardiac cases. During April</w:t>
            </w:r>
            <w:r w:rsidR="00970E45">
              <w:rPr>
                <w:rFonts w:ascii="Arial" w:eastAsia="Arial Unicode MS" w:hAnsi="Arial" w:cs="Arial"/>
              </w:rPr>
              <w:t>,</w:t>
            </w:r>
            <w:r w:rsidRPr="00496FC7">
              <w:rPr>
                <w:rFonts w:ascii="Arial" w:eastAsia="Arial Unicode MS" w:hAnsi="Arial" w:cs="Arial"/>
              </w:rPr>
              <w:t xml:space="preserve"> over 100 cases were delivered despite being a peak holiday period.</w:t>
            </w:r>
          </w:p>
          <w:p w:rsidR="00C73559" w:rsidRDefault="00C73559" w:rsidP="00C73559">
            <w:pPr>
              <w:spacing w:after="240"/>
              <w:rPr>
                <w:rFonts w:ascii="Arial" w:eastAsia="Arial Unicode MS" w:hAnsi="Arial" w:cs="Arial"/>
              </w:rPr>
            </w:pPr>
            <w:r>
              <w:rPr>
                <w:rFonts w:ascii="Arial" w:eastAsia="Arial Unicode MS" w:hAnsi="Arial" w:cs="Arial"/>
              </w:rPr>
              <w:t>The period of sustained increased demand has created an accumulation of long waiting patients which have proved challenging to treat within the 12</w:t>
            </w:r>
            <w:r w:rsidR="00970E45">
              <w:rPr>
                <w:rFonts w:ascii="Arial" w:eastAsia="Arial Unicode MS" w:hAnsi="Arial" w:cs="Arial"/>
              </w:rPr>
              <w:t>-</w:t>
            </w:r>
            <w:r>
              <w:rPr>
                <w:rFonts w:ascii="Arial" w:eastAsia="Arial Unicode MS" w:hAnsi="Arial" w:cs="Arial"/>
              </w:rPr>
              <w:t>week Treatment Time Guarantee. In March</w:t>
            </w:r>
            <w:r w:rsidR="00970E45">
              <w:rPr>
                <w:rFonts w:ascii="Arial" w:eastAsia="Arial Unicode MS" w:hAnsi="Arial" w:cs="Arial"/>
              </w:rPr>
              <w:t>,</w:t>
            </w:r>
            <w:r>
              <w:rPr>
                <w:rFonts w:ascii="Arial" w:eastAsia="Arial Unicode MS" w:hAnsi="Arial" w:cs="Arial"/>
              </w:rPr>
              <w:t xml:space="preserve"> 20 patients were treated over the TTG and in April</w:t>
            </w:r>
            <w:r w:rsidR="00970E45">
              <w:rPr>
                <w:rFonts w:ascii="Arial" w:eastAsia="Arial Unicode MS" w:hAnsi="Arial" w:cs="Arial"/>
              </w:rPr>
              <w:t>,</w:t>
            </w:r>
            <w:r>
              <w:rPr>
                <w:rFonts w:ascii="Arial" w:eastAsia="Arial Unicode MS" w:hAnsi="Arial" w:cs="Arial"/>
              </w:rPr>
              <w:t xml:space="preserve"> 19 patients were treated over 12 weeks. The service continues to maximise opportunities where possible to recover from this position. However any impact is unlikely to be seen without recurring investment.</w:t>
            </w:r>
          </w:p>
          <w:p w:rsidR="00970E45" w:rsidRDefault="00C73559" w:rsidP="00C73559">
            <w:pPr>
              <w:spacing w:after="240"/>
              <w:rPr>
                <w:rFonts w:ascii="Arial" w:eastAsia="Arial Unicode MS" w:hAnsi="Arial" w:cs="Arial"/>
              </w:rPr>
            </w:pPr>
            <w:r w:rsidRPr="00114B88">
              <w:rPr>
                <w:rFonts w:ascii="Arial" w:eastAsia="Arial Unicode MS" w:hAnsi="Arial" w:cs="Arial"/>
              </w:rPr>
              <w:t>Anaesthetic assessment continues to be a central feature of the cardiac outpatient model, with plans to explore how this could be adopted to benefit thoracic patients. The model is dependent on availability of consultant anaesthetists however; assessment levels dropped in March and April largely due to some significant consultant absence. The pharmacy posts to further supplement the model were recruited to in March with the new service aiming to commence imminently.</w:t>
            </w:r>
          </w:p>
          <w:p w:rsidR="006135CE" w:rsidRPr="00114B88" w:rsidRDefault="00ED0208" w:rsidP="00ED0208">
            <w:pPr>
              <w:spacing w:after="240"/>
              <w:rPr>
                <w:rFonts w:ascii="Arial" w:eastAsia="Arial Unicode MS" w:hAnsi="Arial" w:cs="Arial"/>
              </w:rPr>
            </w:pPr>
            <w:r>
              <w:rPr>
                <w:rFonts w:ascii="Arial" w:eastAsia="Arial Unicode MS" w:hAnsi="Arial" w:cs="Arial"/>
              </w:rPr>
              <w:t>A lead nurse took up post in t</w:t>
            </w:r>
            <w:r w:rsidR="00C73559" w:rsidRPr="006135CE">
              <w:rPr>
                <w:rFonts w:ascii="Arial" w:eastAsia="Arial Unicode MS" w:hAnsi="Arial" w:cs="Arial"/>
              </w:rPr>
              <w:t xml:space="preserve">he </w:t>
            </w:r>
            <w:r w:rsidR="00C73559">
              <w:rPr>
                <w:rFonts w:ascii="Arial" w:eastAsia="Arial Unicode MS" w:hAnsi="Arial" w:cs="Arial"/>
              </w:rPr>
              <w:t>c</w:t>
            </w:r>
            <w:r w:rsidR="00C73559" w:rsidRPr="006135CE">
              <w:rPr>
                <w:rFonts w:ascii="Arial" w:eastAsia="Arial Unicode MS" w:hAnsi="Arial" w:cs="Arial"/>
              </w:rPr>
              <w:t xml:space="preserve">ardiac </w:t>
            </w:r>
            <w:r>
              <w:rPr>
                <w:rFonts w:ascii="Arial" w:eastAsia="Arial Unicode MS" w:hAnsi="Arial" w:cs="Arial"/>
              </w:rPr>
              <w:t>enhanced recovery after surgery</w:t>
            </w:r>
            <w:r w:rsidRPr="006135CE">
              <w:rPr>
                <w:rFonts w:ascii="Arial" w:eastAsia="Arial Unicode MS" w:hAnsi="Arial" w:cs="Arial"/>
              </w:rPr>
              <w:t xml:space="preserve"> </w:t>
            </w:r>
            <w:r>
              <w:rPr>
                <w:rFonts w:ascii="Arial" w:eastAsia="Arial Unicode MS" w:hAnsi="Arial" w:cs="Arial"/>
              </w:rPr>
              <w:t>(</w:t>
            </w:r>
            <w:r w:rsidR="00C73559" w:rsidRPr="006135CE">
              <w:rPr>
                <w:rFonts w:ascii="Arial" w:eastAsia="Arial Unicode MS" w:hAnsi="Arial" w:cs="Arial"/>
              </w:rPr>
              <w:t>ERAS</w:t>
            </w:r>
            <w:r w:rsidR="00C73559">
              <w:rPr>
                <w:rFonts w:ascii="Arial" w:eastAsia="Arial Unicode MS" w:hAnsi="Arial" w:cs="Arial"/>
              </w:rPr>
              <w:t>)</w:t>
            </w:r>
            <w:r w:rsidR="00C73559" w:rsidRPr="006135CE">
              <w:rPr>
                <w:rFonts w:ascii="Arial" w:eastAsia="Arial Unicode MS" w:hAnsi="Arial" w:cs="Arial"/>
              </w:rPr>
              <w:t xml:space="preserve"> programme in April 2019.  Priority has been given to the identification of improvement work linked to criteria led discharge and ward flow. A group focused on critical care ERAS has been created and the </w:t>
            </w:r>
            <w:r w:rsidR="00C73559" w:rsidRPr="006135CE">
              <w:rPr>
                <w:rFonts w:ascii="Arial" w:eastAsia="Arial Unicode MS" w:hAnsi="Arial" w:cs="Arial"/>
              </w:rPr>
              <w:lastRenderedPageBreak/>
              <w:t>ERAS methodology is being revamped within cardiac surgery.</w:t>
            </w:r>
          </w:p>
        </w:tc>
        <w:tc>
          <w:tcPr>
            <w:tcW w:w="1937" w:type="dxa"/>
            <w:shd w:val="clear" w:color="auto" w:fill="auto"/>
          </w:tcPr>
          <w:p w:rsidR="00EA296D" w:rsidRPr="0081525B" w:rsidRDefault="00EA296D" w:rsidP="0031443E">
            <w:pPr>
              <w:spacing w:after="240"/>
              <w:rPr>
                <w:rFonts w:ascii="Arial" w:hAnsi="Arial" w:cs="Arial"/>
              </w:rPr>
            </w:pPr>
            <w:r w:rsidRPr="0081525B">
              <w:rPr>
                <w:rFonts w:ascii="Arial" w:hAnsi="Arial" w:cs="Arial"/>
              </w:rPr>
              <w:lastRenderedPageBreak/>
              <w:t>Lynn Graham</w:t>
            </w:r>
          </w:p>
          <w:p w:rsidR="00EA296D" w:rsidRPr="0081525B" w:rsidRDefault="00EA296D" w:rsidP="0031443E">
            <w:pPr>
              <w:spacing w:after="240"/>
              <w:rPr>
                <w:rFonts w:ascii="Arial" w:hAnsi="Arial" w:cs="Arial"/>
              </w:rPr>
            </w:pPr>
          </w:p>
        </w:tc>
        <w:tc>
          <w:tcPr>
            <w:tcW w:w="1603" w:type="dxa"/>
            <w:shd w:val="clear" w:color="auto" w:fill="auto"/>
          </w:tcPr>
          <w:p w:rsidR="00EA296D" w:rsidRPr="0081525B" w:rsidRDefault="00EA296D" w:rsidP="0031443E">
            <w:pPr>
              <w:spacing w:after="240"/>
              <w:rPr>
                <w:rFonts w:ascii="Arial" w:hAnsi="Arial" w:cs="Arial"/>
              </w:rPr>
            </w:pPr>
            <w:r w:rsidRPr="0081525B">
              <w:rPr>
                <w:rFonts w:ascii="Arial" w:hAnsi="Arial" w:cs="Arial"/>
              </w:rPr>
              <w:t>Ongoing</w:t>
            </w:r>
          </w:p>
        </w:tc>
      </w:tr>
      <w:tr w:rsidR="00EA296D" w:rsidRPr="000C34A9" w:rsidTr="0031443E">
        <w:trPr>
          <w:trHeight w:val="433"/>
        </w:trPr>
        <w:tc>
          <w:tcPr>
            <w:tcW w:w="2217" w:type="dxa"/>
          </w:tcPr>
          <w:p w:rsidR="00EA296D" w:rsidRPr="00D467B9" w:rsidRDefault="00EA296D" w:rsidP="0031443E">
            <w:pPr>
              <w:spacing w:after="240"/>
              <w:rPr>
                <w:rFonts w:ascii="Arial" w:hAnsi="Arial" w:cs="Arial"/>
              </w:rPr>
            </w:pPr>
            <w:r w:rsidRPr="00D467B9">
              <w:rPr>
                <w:rFonts w:ascii="Arial" w:hAnsi="Arial" w:cs="Arial"/>
              </w:rPr>
              <w:lastRenderedPageBreak/>
              <w:t>Thoracic</w:t>
            </w:r>
          </w:p>
        </w:tc>
        <w:tc>
          <w:tcPr>
            <w:tcW w:w="8172" w:type="dxa"/>
            <w:shd w:val="clear" w:color="auto" w:fill="auto"/>
          </w:tcPr>
          <w:p w:rsidR="00C73559" w:rsidRPr="00D467B9" w:rsidRDefault="00C73559" w:rsidP="00C73559">
            <w:pPr>
              <w:spacing w:after="240"/>
              <w:rPr>
                <w:rFonts w:ascii="Arial" w:eastAsia="Arial Unicode MS" w:hAnsi="Arial" w:cs="Arial"/>
              </w:rPr>
            </w:pPr>
            <w:r w:rsidRPr="00D467B9">
              <w:rPr>
                <w:rFonts w:ascii="Arial" w:eastAsia="Arial Unicode MS" w:hAnsi="Arial" w:cs="Arial"/>
              </w:rPr>
              <w:t>The thoracic service has</w:t>
            </w:r>
            <w:r>
              <w:rPr>
                <w:rFonts w:ascii="Arial" w:eastAsia="Arial Unicode MS" w:hAnsi="Arial" w:cs="Arial"/>
              </w:rPr>
              <w:t xml:space="preserve"> now successfully treated over 9</w:t>
            </w:r>
            <w:r w:rsidRPr="00D467B9">
              <w:rPr>
                <w:rFonts w:ascii="Arial" w:eastAsia="Arial Unicode MS" w:hAnsi="Arial" w:cs="Arial"/>
              </w:rPr>
              <w:t>0 patients with a planned Robotic Assisted Thoracic (RATs) procedure. The fourth thoracic surgeon has now undergone robotic training with his first list being carried out in early May. As the expertise and number of patients build within the thoracic surgeon group, the benefits of the minimally invasive approach are beginning to be realised.</w:t>
            </w:r>
          </w:p>
          <w:p w:rsidR="00C73559" w:rsidRPr="00D467B9" w:rsidRDefault="00C73559" w:rsidP="00C73559">
            <w:pPr>
              <w:spacing w:after="240"/>
              <w:rPr>
                <w:rFonts w:ascii="Arial" w:eastAsia="Arial Unicode MS" w:hAnsi="Arial" w:cs="Arial"/>
              </w:rPr>
            </w:pPr>
            <w:r w:rsidRPr="00D467B9">
              <w:rPr>
                <w:rFonts w:ascii="Arial" w:eastAsia="Arial Unicode MS" w:hAnsi="Arial" w:cs="Arial"/>
              </w:rPr>
              <w:t>Some challenge has been experienced with decontamination arrangements for robotic instrumentatio</w:t>
            </w:r>
            <w:r>
              <w:rPr>
                <w:rFonts w:ascii="Arial" w:eastAsia="Arial Unicode MS" w:hAnsi="Arial" w:cs="Arial"/>
              </w:rPr>
              <w:t>n, currently provided through a</w:t>
            </w:r>
            <w:r w:rsidRPr="00D467B9">
              <w:rPr>
                <w:rFonts w:ascii="Arial" w:eastAsia="Arial Unicode MS" w:hAnsi="Arial" w:cs="Arial"/>
              </w:rPr>
              <w:t xml:space="preserve"> </w:t>
            </w:r>
            <w:r>
              <w:rPr>
                <w:rFonts w:ascii="Arial" w:eastAsia="Arial Unicode MS" w:hAnsi="Arial" w:cs="Arial"/>
              </w:rPr>
              <w:t>service level agreement</w:t>
            </w:r>
            <w:r w:rsidRPr="00D467B9">
              <w:rPr>
                <w:rFonts w:ascii="Arial" w:eastAsia="Arial Unicode MS" w:hAnsi="Arial" w:cs="Arial"/>
              </w:rPr>
              <w:t xml:space="preserve"> with </w:t>
            </w:r>
            <w:proofErr w:type="spellStart"/>
            <w:r w:rsidRPr="00D467B9">
              <w:rPr>
                <w:rFonts w:ascii="Arial" w:eastAsia="Arial Unicode MS" w:hAnsi="Arial" w:cs="Arial"/>
              </w:rPr>
              <w:t>Cowlairs</w:t>
            </w:r>
            <w:proofErr w:type="spellEnd"/>
            <w:r w:rsidRPr="00D467B9">
              <w:rPr>
                <w:rFonts w:ascii="Arial" w:eastAsia="Arial Unicode MS" w:hAnsi="Arial" w:cs="Arial"/>
              </w:rPr>
              <w:t>. A local resolution is being sought by the responsible managers at the same time as weekly activity is ramping up.</w:t>
            </w:r>
          </w:p>
          <w:p w:rsidR="00C73559" w:rsidRPr="00D467B9" w:rsidRDefault="00C73559" w:rsidP="00C73559">
            <w:pPr>
              <w:spacing w:after="240"/>
              <w:rPr>
                <w:rFonts w:ascii="Arial" w:eastAsia="Arial Unicode MS" w:hAnsi="Arial" w:cs="Arial"/>
              </w:rPr>
            </w:pPr>
            <w:r w:rsidRPr="00D467B9">
              <w:rPr>
                <w:rFonts w:ascii="Arial" w:eastAsia="Arial Unicode MS" w:hAnsi="Arial" w:cs="Arial"/>
              </w:rPr>
              <w:t>A visit to Oxford was undertaken in April to review their enhanced monitoring beds for thoracic patients. The visit generated learning and opportunities for ERAS and pathway re-design to be explored within this service. This has now been presented back to the thoracic group which is looking at ways to take this forward.  One such area being explored is the thoracic outpatient model to try and optimise opportunities for pre-operative assessment and patient education within this patient group.</w:t>
            </w:r>
          </w:p>
          <w:p w:rsidR="00EA296D" w:rsidRPr="00D467B9" w:rsidRDefault="00C73559" w:rsidP="00C73559">
            <w:pPr>
              <w:spacing w:after="240"/>
              <w:rPr>
                <w:rFonts w:ascii="Arial Narrow" w:eastAsia="Arial Unicode MS" w:hAnsi="Arial Narrow" w:cs="Arial"/>
              </w:rPr>
            </w:pPr>
            <w:r w:rsidRPr="00D467B9">
              <w:rPr>
                <w:rFonts w:ascii="Arial" w:eastAsia="Arial Unicode MS" w:hAnsi="Arial" w:cs="Arial"/>
              </w:rPr>
              <w:t xml:space="preserve">In March and April all patients have been treated within </w:t>
            </w:r>
            <w:r>
              <w:rPr>
                <w:rFonts w:ascii="Arial" w:eastAsia="Arial Unicode MS" w:hAnsi="Arial" w:cs="Arial"/>
              </w:rPr>
              <w:t xml:space="preserve">the </w:t>
            </w:r>
            <w:r w:rsidRPr="00D467B9">
              <w:rPr>
                <w:rFonts w:ascii="Arial" w:eastAsia="Arial Unicode MS" w:hAnsi="Arial" w:cs="Arial"/>
              </w:rPr>
              <w:t>12 weeks treatment time guarantee (non cancer patients) and all cancer patients have been treated within the 31 day pathway.</w:t>
            </w:r>
          </w:p>
        </w:tc>
        <w:tc>
          <w:tcPr>
            <w:tcW w:w="1937" w:type="dxa"/>
          </w:tcPr>
          <w:p w:rsidR="00EA296D" w:rsidRPr="00D467B9" w:rsidRDefault="00EA296D" w:rsidP="0031443E">
            <w:pPr>
              <w:spacing w:after="240"/>
              <w:rPr>
                <w:rFonts w:ascii="Arial" w:hAnsi="Arial" w:cs="Arial"/>
              </w:rPr>
            </w:pPr>
            <w:r w:rsidRPr="00D467B9">
              <w:rPr>
                <w:rFonts w:ascii="Arial" w:hAnsi="Arial" w:cs="Arial"/>
              </w:rPr>
              <w:t>Lynn Graham</w:t>
            </w:r>
          </w:p>
          <w:p w:rsidR="00EA296D" w:rsidRPr="00D467B9" w:rsidRDefault="00EA296D" w:rsidP="0031443E">
            <w:pPr>
              <w:spacing w:after="240"/>
              <w:rPr>
                <w:rFonts w:ascii="Arial" w:hAnsi="Arial" w:cs="Arial"/>
              </w:rPr>
            </w:pPr>
          </w:p>
        </w:tc>
        <w:tc>
          <w:tcPr>
            <w:tcW w:w="1603" w:type="dxa"/>
          </w:tcPr>
          <w:p w:rsidR="00EA296D" w:rsidRPr="00D467B9" w:rsidRDefault="00EA296D" w:rsidP="0031443E">
            <w:pPr>
              <w:spacing w:after="240"/>
              <w:rPr>
                <w:rFonts w:ascii="Arial" w:hAnsi="Arial" w:cs="Arial"/>
              </w:rPr>
            </w:pPr>
            <w:r w:rsidRPr="00D467B9">
              <w:rPr>
                <w:rFonts w:ascii="Arial" w:hAnsi="Arial" w:cs="Arial"/>
              </w:rPr>
              <w:t>Ongoing</w:t>
            </w:r>
          </w:p>
        </w:tc>
      </w:tr>
    </w:tbl>
    <w:p w:rsidR="00ED0208" w:rsidRDefault="00ED0208">
      <w:r>
        <w:br w:type="page"/>
      </w:r>
    </w:p>
    <w:tbl>
      <w:tblPr>
        <w:tblW w:w="1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7"/>
        <w:gridCol w:w="8172"/>
        <w:gridCol w:w="1937"/>
        <w:gridCol w:w="1603"/>
      </w:tblGrid>
      <w:tr w:rsidR="00EA296D" w:rsidRPr="000C34A9" w:rsidTr="0031443E">
        <w:trPr>
          <w:trHeight w:val="627"/>
        </w:trPr>
        <w:tc>
          <w:tcPr>
            <w:tcW w:w="2217" w:type="dxa"/>
          </w:tcPr>
          <w:p w:rsidR="00EA296D" w:rsidRPr="000C34A9" w:rsidRDefault="00EA296D" w:rsidP="0031443E">
            <w:pPr>
              <w:spacing w:after="240"/>
              <w:rPr>
                <w:rFonts w:ascii="Arial" w:hAnsi="Arial" w:cs="Arial"/>
                <w:highlight w:val="yellow"/>
              </w:rPr>
            </w:pPr>
            <w:r w:rsidRPr="00D467B9">
              <w:rPr>
                <w:rFonts w:ascii="Arial" w:hAnsi="Arial" w:cs="Arial"/>
              </w:rPr>
              <w:lastRenderedPageBreak/>
              <w:t>Orthopaedics</w:t>
            </w:r>
          </w:p>
        </w:tc>
        <w:tc>
          <w:tcPr>
            <w:tcW w:w="8172" w:type="dxa"/>
            <w:shd w:val="clear" w:color="auto" w:fill="auto"/>
          </w:tcPr>
          <w:p w:rsidR="00C73559" w:rsidRDefault="00C73559" w:rsidP="00C73559">
            <w:pPr>
              <w:tabs>
                <w:tab w:val="left" w:pos="3720"/>
              </w:tabs>
              <w:rPr>
                <w:rFonts w:ascii="Arial" w:eastAsia="Arial Unicode MS" w:hAnsi="Arial" w:cs="Arial"/>
              </w:rPr>
            </w:pPr>
            <w:r w:rsidRPr="00D467B9">
              <w:rPr>
                <w:rFonts w:ascii="Arial" w:eastAsia="Arial Unicode MS" w:hAnsi="Arial" w:cs="Arial"/>
              </w:rPr>
              <w:t xml:space="preserve">The </w:t>
            </w:r>
            <w:r>
              <w:rPr>
                <w:rFonts w:ascii="Arial" w:eastAsia="Arial Unicode MS" w:hAnsi="Arial" w:cs="Arial"/>
              </w:rPr>
              <w:t xml:space="preserve">orthopaedic </w:t>
            </w:r>
            <w:proofErr w:type="spellStart"/>
            <w:r w:rsidRPr="00D467B9">
              <w:rPr>
                <w:rFonts w:ascii="Arial" w:eastAsia="Arial Unicode MS" w:hAnsi="Arial" w:cs="Arial"/>
              </w:rPr>
              <w:t>DoSA</w:t>
            </w:r>
            <w:proofErr w:type="spellEnd"/>
            <w:r w:rsidRPr="00D467B9">
              <w:rPr>
                <w:rFonts w:ascii="Arial" w:eastAsia="Arial Unicode MS" w:hAnsi="Arial" w:cs="Arial"/>
              </w:rPr>
              <w:t xml:space="preserve"> rate for April was 65%</w:t>
            </w:r>
            <w:r>
              <w:rPr>
                <w:rFonts w:ascii="Arial" w:eastAsia="Arial Unicode MS" w:hAnsi="Arial" w:cs="Arial"/>
              </w:rPr>
              <w:t>.</w:t>
            </w:r>
            <w:r w:rsidRPr="00D467B9">
              <w:rPr>
                <w:rFonts w:ascii="Arial" w:eastAsia="Arial Unicode MS" w:hAnsi="Arial" w:cs="Arial"/>
              </w:rPr>
              <w:t xml:space="preserve"> A series of small changes to the DoSA admission process for remote and rural patients have demonstrated a positive impact on specific theatre lists. As a result</w:t>
            </w:r>
            <w:r w:rsidR="00C5430D">
              <w:rPr>
                <w:rFonts w:ascii="Arial" w:eastAsia="Arial Unicode MS" w:hAnsi="Arial" w:cs="Arial"/>
              </w:rPr>
              <w:t>,</w:t>
            </w:r>
            <w:r w:rsidRPr="00D467B9">
              <w:rPr>
                <w:rFonts w:ascii="Arial" w:eastAsia="Arial Unicode MS" w:hAnsi="Arial" w:cs="Arial"/>
              </w:rPr>
              <w:t xml:space="preserve"> </w:t>
            </w:r>
            <w:r w:rsidR="00C5430D">
              <w:rPr>
                <w:rFonts w:ascii="Arial" w:eastAsia="Arial Unicode MS" w:hAnsi="Arial" w:cs="Arial"/>
              </w:rPr>
              <w:t>five</w:t>
            </w:r>
            <w:r w:rsidRPr="00D467B9">
              <w:rPr>
                <w:rFonts w:ascii="Arial" w:eastAsia="Arial Unicode MS" w:hAnsi="Arial" w:cs="Arial"/>
              </w:rPr>
              <w:t xml:space="preserve"> patients spent a day less in hospital which was positive for them and the service. Work has now begun to develop a standardised admission process for patients from remote and rural areas.</w:t>
            </w:r>
          </w:p>
          <w:p w:rsidR="00970E45" w:rsidRPr="00D467B9" w:rsidRDefault="00970E45" w:rsidP="00C73559">
            <w:pPr>
              <w:tabs>
                <w:tab w:val="left" w:pos="3720"/>
              </w:tabs>
              <w:rPr>
                <w:rFonts w:ascii="Arial" w:eastAsia="Arial Unicode MS" w:hAnsi="Arial" w:cs="Arial"/>
              </w:rPr>
            </w:pPr>
          </w:p>
          <w:p w:rsidR="00C73559" w:rsidRDefault="00C73559" w:rsidP="00C73559">
            <w:pPr>
              <w:spacing w:after="240"/>
              <w:rPr>
                <w:rFonts w:ascii="Arial" w:eastAsia="Arial Unicode MS" w:hAnsi="Arial" w:cs="Arial"/>
              </w:rPr>
            </w:pPr>
            <w:r w:rsidRPr="00D467B9">
              <w:rPr>
                <w:rFonts w:ascii="Arial" w:eastAsia="Arial Unicode MS" w:hAnsi="Arial" w:cs="Arial"/>
              </w:rPr>
              <w:t>Positive improvement has been made towards the ambitious length of stay trajectories established at the start of 2019 and performance continues to exceed 2018 expectations. During March 32% of patients undergoing primary total hip replacement were discharged on post-operative day (</w:t>
            </w:r>
            <w:proofErr w:type="spellStart"/>
            <w:r w:rsidRPr="00D467B9">
              <w:rPr>
                <w:rFonts w:ascii="Arial" w:eastAsia="Arial Unicode MS" w:hAnsi="Arial" w:cs="Arial"/>
              </w:rPr>
              <w:t>PoD</w:t>
            </w:r>
            <w:proofErr w:type="spellEnd"/>
            <w:r w:rsidRPr="00D467B9">
              <w:rPr>
                <w:rFonts w:ascii="Arial" w:eastAsia="Arial Unicode MS" w:hAnsi="Arial" w:cs="Arial"/>
              </w:rPr>
              <w:t>) 1 and in April this was 25% with an eight month median of 23%.</w:t>
            </w:r>
          </w:p>
          <w:p w:rsidR="00C73559" w:rsidRDefault="00C73559" w:rsidP="00C73559">
            <w:pPr>
              <w:spacing w:after="240"/>
              <w:rPr>
                <w:rFonts w:ascii="Arial" w:eastAsia="Arial Unicode MS" w:hAnsi="Arial" w:cs="Arial"/>
              </w:rPr>
            </w:pPr>
            <w:r>
              <w:rPr>
                <w:rFonts w:ascii="Arial" w:eastAsia="Arial Unicode MS" w:hAnsi="Arial" w:cs="Arial"/>
              </w:rPr>
              <w:t>Additional resource,</w:t>
            </w:r>
            <w:r w:rsidRPr="00D467B9">
              <w:rPr>
                <w:rFonts w:ascii="Arial" w:eastAsia="Arial Unicode MS" w:hAnsi="Arial" w:cs="Arial"/>
              </w:rPr>
              <w:t xml:space="preserve"> for one year</w:t>
            </w:r>
            <w:r>
              <w:rPr>
                <w:rFonts w:ascii="Arial" w:eastAsia="Arial Unicode MS" w:hAnsi="Arial" w:cs="Arial"/>
              </w:rPr>
              <w:t>,</w:t>
            </w:r>
            <w:r w:rsidRPr="00D467B9">
              <w:rPr>
                <w:rFonts w:ascii="Arial" w:eastAsia="Arial Unicode MS" w:hAnsi="Arial" w:cs="Arial"/>
              </w:rPr>
              <w:t xml:space="preserve"> allocated to the ERAS orthopaedic work stream has provided capacity to re-energise the </w:t>
            </w:r>
            <w:proofErr w:type="spellStart"/>
            <w:r w:rsidRPr="00D467B9">
              <w:rPr>
                <w:rFonts w:ascii="Arial" w:eastAsia="Arial Unicode MS" w:hAnsi="Arial" w:cs="Arial"/>
              </w:rPr>
              <w:t>CALEDonian</w:t>
            </w:r>
            <w:proofErr w:type="spellEnd"/>
            <w:r w:rsidRPr="00D467B9">
              <w:rPr>
                <w:rFonts w:ascii="Arial" w:eastAsia="Arial Unicode MS" w:hAnsi="Arial" w:cs="Arial"/>
              </w:rPr>
              <w:t xml:space="preserve"> programme and revie</w:t>
            </w:r>
            <w:r>
              <w:rPr>
                <w:rFonts w:ascii="Arial" w:eastAsia="Arial Unicode MS" w:hAnsi="Arial" w:cs="Arial"/>
              </w:rPr>
              <w:t>w in</w:t>
            </w:r>
            <w:r w:rsidRPr="00D467B9">
              <w:rPr>
                <w:rFonts w:ascii="Arial" w:eastAsia="Arial Unicode MS" w:hAnsi="Arial" w:cs="Arial"/>
              </w:rPr>
              <w:t>patient flow. Work has already started on reviewing established pathways in relation to national priorities including: day of surgery admission, early mobilisation, structured post operative care, and hydration.</w:t>
            </w:r>
          </w:p>
          <w:p w:rsidR="00C73559" w:rsidRPr="007D76E6" w:rsidRDefault="00C73559" w:rsidP="00C73559">
            <w:pPr>
              <w:rPr>
                <w:rFonts w:ascii="Arial" w:eastAsia="Arial Unicode MS" w:hAnsi="Arial" w:cs="Arial"/>
              </w:rPr>
            </w:pPr>
            <w:r w:rsidRPr="007D76E6">
              <w:rPr>
                <w:rFonts w:ascii="Arial" w:eastAsia="Arial Unicode MS" w:hAnsi="Arial" w:cs="Arial"/>
              </w:rPr>
              <w:t>Two newly appointed band 4 staff, facilitated through SPG funding, have now started vetting patients in clinic. Early results indicate that 30% of patients have not progressed to nurse pre-operative assessment</w:t>
            </w:r>
            <w:r w:rsidR="00970E45">
              <w:rPr>
                <w:rFonts w:ascii="Arial" w:eastAsia="Arial Unicode MS" w:hAnsi="Arial" w:cs="Arial"/>
              </w:rPr>
              <w:t xml:space="preserve"> </w:t>
            </w:r>
            <w:r w:rsidRPr="007D76E6">
              <w:rPr>
                <w:rFonts w:ascii="Arial" w:eastAsia="Arial Unicode MS" w:hAnsi="Arial" w:cs="Arial"/>
              </w:rPr>
              <w:t>for reasons of social or medical unavailability. This means patients have not had unnecessary tests carried out and the pre-op</w:t>
            </w:r>
            <w:r>
              <w:rPr>
                <w:rFonts w:ascii="Arial" w:eastAsia="Arial Unicode MS" w:hAnsi="Arial" w:cs="Arial"/>
              </w:rPr>
              <w:t>erative</w:t>
            </w:r>
            <w:r w:rsidRPr="007D76E6">
              <w:rPr>
                <w:rFonts w:ascii="Arial" w:eastAsia="Arial Unicode MS" w:hAnsi="Arial" w:cs="Arial"/>
              </w:rPr>
              <w:t xml:space="preserve"> practitioners see fewer patients who subsequently fail pre-operative assessment. </w:t>
            </w:r>
          </w:p>
          <w:p w:rsidR="00C73559" w:rsidRDefault="00C73559" w:rsidP="00C73559">
            <w:pPr>
              <w:rPr>
                <w:rFonts w:ascii="Arial" w:eastAsia="Arial Unicode MS" w:hAnsi="Arial" w:cs="Arial"/>
              </w:rPr>
            </w:pPr>
          </w:p>
          <w:p w:rsidR="00ED0208" w:rsidRDefault="00ED0208" w:rsidP="00C73559">
            <w:pPr>
              <w:rPr>
                <w:rFonts w:ascii="Arial" w:eastAsia="Arial Unicode MS" w:hAnsi="Arial" w:cs="Arial"/>
              </w:rPr>
            </w:pPr>
          </w:p>
          <w:p w:rsidR="00ED0208" w:rsidRDefault="00ED0208" w:rsidP="00C73559">
            <w:pPr>
              <w:rPr>
                <w:rFonts w:ascii="Arial" w:eastAsia="Arial Unicode MS" w:hAnsi="Arial" w:cs="Arial"/>
              </w:rPr>
            </w:pPr>
          </w:p>
          <w:p w:rsidR="00ED0208" w:rsidRDefault="00ED0208" w:rsidP="00C73559">
            <w:pPr>
              <w:rPr>
                <w:rFonts w:ascii="Arial" w:eastAsia="Arial Unicode MS" w:hAnsi="Arial" w:cs="Arial"/>
              </w:rPr>
            </w:pPr>
          </w:p>
          <w:p w:rsidR="00ED0208" w:rsidRDefault="00ED0208" w:rsidP="00C73559">
            <w:pPr>
              <w:rPr>
                <w:rFonts w:ascii="Arial" w:eastAsia="Arial Unicode MS" w:hAnsi="Arial" w:cs="Arial"/>
              </w:rPr>
            </w:pPr>
          </w:p>
          <w:p w:rsidR="0053733B" w:rsidRDefault="00C73559" w:rsidP="001A27D8">
            <w:pPr>
              <w:rPr>
                <w:rFonts w:ascii="Arial" w:eastAsia="Arial Unicode MS" w:hAnsi="Arial" w:cs="Arial"/>
              </w:rPr>
            </w:pPr>
            <w:r w:rsidRPr="007D76E6">
              <w:rPr>
                <w:rFonts w:ascii="Arial" w:eastAsia="Arial Unicode MS" w:hAnsi="Arial" w:cs="Arial"/>
              </w:rPr>
              <w:lastRenderedPageBreak/>
              <w:t xml:space="preserve">Funding awarded by the Scottish Government has allowed two nurses to </w:t>
            </w:r>
            <w:r w:rsidR="003E59B4">
              <w:rPr>
                <w:rFonts w:ascii="Arial" w:eastAsia="Arial Unicode MS" w:hAnsi="Arial" w:cs="Arial"/>
              </w:rPr>
              <w:t>review</w:t>
            </w:r>
            <w:r w:rsidR="003E59B4" w:rsidRPr="007D76E6">
              <w:rPr>
                <w:rFonts w:ascii="Arial" w:eastAsia="Arial Unicode MS" w:hAnsi="Arial" w:cs="Arial"/>
              </w:rPr>
              <w:t xml:space="preserve"> </w:t>
            </w:r>
            <w:r w:rsidRPr="007D76E6">
              <w:rPr>
                <w:rFonts w:ascii="Arial" w:eastAsia="Arial Unicode MS" w:hAnsi="Arial" w:cs="Arial"/>
              </w:rPr>
              <w:t>orthopaedic and cardiac patients in clinic as part of the pre</w:t>
            </w:r>
            <w:r>
              <w:rPr>
                <w:rFonts w:ascii="Arial" w:eastAsia="Arial Unicode MS" w:hAnsi="Arial" w:cs="Arial"/>
              </w:rPr>
              <w:t>-</w:t>
            </w:r>
            <w:r w:rsidRPr="007D76E6">
              <w:rPr>
                <w:rFonts w:ascii="Arial" w:eastAsia="Arial Unicode MS" w:hAnsi="Arial" w:cs="Arial"/>
              </w:rPr>
              <w:t>op</w:t>
            </w:r>
            <w:r>
              <w:rPr>
                <w:rFonts w:ascii="Arial" w:eastAsia="Arial Unicode MS" w:hAnsi="Arial" w:cs="Arial"/>
              </w:rPr>
              <w:t>erative</w:t>
            </w:r>
            <w:r w:rsidR="001A27D8">
              <w:rPr>
                <w:rFonts w:ascii="Arial" w:eastAsia="Arial Unicode MS" w:hAnsi="Arial" w:cs="Arial"/>
              </w:rPr>
              <w:t xml:space="preserve"> anaemia programme. This aims to manage anaemic patients ensuring they are in an optimal condition to undergo surgery. </w:t>
            </w:r>
            <w:r w:rsidRPr="007D76E6">
              <w:rPr>
                <w:rFonts w:ascii="Arial" w:eastAsia="Arial Unicode MS" w:hAnsi="Arial" w:cs="Arial"/>
              </w:rPr>
              <w:t>To date</w:t>
            </w:r>
            <w:r w:rsidR="003E59B4">
              <w:rPr>
                <w:rFonts w:ascii="Arial" w:eastAsia="Arial Unicode MS" w:hAnsi="Arial" w:cs="Arial"/>
              </w:rPr>
              <w:t>,</w:t>
            </w:r>
            <w:r w:rsidRPr="007D76E6">
              <w:rPr>
                <w:rFonts w:ascii="Arial" w:eastAsia="Arial Unicode MS" w:hAnsi="Arial" w:cs="Arial"/>
              </w:rPr>
              <w:t xml:space="preserve"> 11 orthopaedic patients and 22 cardiac patients have</w:t>
            </w:r>
            <w:r>
              <w:rPr>
                <w:rFonts w:ascii="Arial" w:eastAsia="Arial Unicode MS" w:hAnsi="Arial" w:cs="Arial"/>
              </w:rPr>
              <w:t xml:space="preserve"> been started on oral iron and two</w:t>
            </w:r>
            <w:r w:rsidRPr="007D76E6">
              <w:rPr>
                <w:rFonts w:ascii="Arial" w:eastAsia="Arial Unicode MS" w:hAnsi="Arial" w:cs="Arial"/>
              </w:rPr>
              <w:t xml:space="preserve"> cardiac patients have been given IV iron. </w:t>
            </w:r>
          </w:p>
          <w:p w:rsidR="00942565" w:rsidRPr="007D76E6" w:rsidRDefault="00942565" w:rsidP="001A27D8">
            <w:pPr>
              <w:rPr>
                <w:rFonts w:ascii="Arial Narrow" w:hAnsi="Arial Narrow"/>
                <w:iCs/>
              </w:rPr>
            </w:pPr>
          </w:p>
        </w:tc>
        <w:tc>
          <w:tcPr>
            <w:tcW w:w="1937" w:type="dxa"/>
          </w:tcPr>
          <w:p w:rsidR="00EA296D" w:rsidRPr="00D467B9" w:rsidRDefault="00EA296D" w:rsidP="0031443E">
            <w:pPr>
              <w:spacing w:after="240"/>
              <w:rPr>
                <w:rFonts w:ascii="Arial" w:hAnsi="Arial" w:cs="Arial"/>
              </w:rPr>
            </w:pPr>
            <w:r w:rsidRPr="00D467B9">
              <w:rPr>
                <w:rFonts w:ascii="Arial" w:hAnsi="Arial" w:cs="Arial"/>
              </w:rPr>
              <w:lastRenderedPageBreak/>
              <w:t xml:space="preserve">Christine Divers </w:t>
            </w:r>
          </w:p>
          <w:p w:rsidR="00EA296D" w:rsidRPr="00D467B9" w:rsidRDefault="00EA296D" w:rsidP="0031443E">
            <w:pPr>
              <w:spacing w:after="240"/>
              <w:rPr>
                <w:rFonts w:ascii="Arial" w:hAnsi="Arial" w:cs="Arial"/>
              </w:rPr>
            </w:pPr>
          </w:p>
        </w:tc>
        <w:tc>
          <w:tcPr>
            <w:tcW w:w="1603" w:type="dxa"/>
          </w:tcPr>
          <w:p w:rsidR="00EA296D" w:rsidRPr="00D467B9" w:rsidRDefault="00EA296D" w:rsidP="0031443E">
            <w:pPr>
              <w:spacing w:after="240"/>
              <w:rPr>
                <w:rFonts w:ascii="Arial" w:hAnsi="Arial" w:cs="Arial"/>
              </w:rPr>
            </w:pPr>
            <w:r w:rsidRPr="00D467B9">
              <w:rPr>
                <w:rFonts w:ascii="Arial" w:hAnsi="Arial" w:cs="Arial"/>
              </w:rPr>
              <w:t>Ongoing</w:t>
            </w:r>
          </w:p>
          <w:p w:rsidR="00EA296D" w:rsidRPr="00D467B9" w:rsidRDefault="00EA296D" w:rsidP="0031443E">
            <w:pPr>
              <w:spacing w:after="240"/>
              <w:rPr>
                <w:rFonts w:ascii="Arial" w:hAnsi="Arial" w:cs="Arial"/>
              </w:rPr>
            </w:pPr>
          </w:p>
          <w:p w:rsidR="00EA296D" w:rsidRPr="00D467B9" w:rsidRDefault="00EA296D" w:rsidP="0031443E">
            <w:pPr>
              <w:spacing w:after="240"/>
              <w:rPr>
                <w:rFonts w:ascii="Arial" w:hAnsi="Arial" w:cs="Arial"/>
              </w:rPr>
            </w:pPr>
          </w:p>
        </w:tc>
      </w:tr>
      <w:tr w:rsidR="00EA296D" w:rsidRPr="000C34A9" w:rsidTr="0031443E">
        <w:trPr>
          <w:trHeight w:val="627"/>
        </w:trPr>
        <w:tc>
          <w:tcPr>
            <w:tcW w:w="2217" w:type="dxa"/>
          </w:tcPr>
          <w:p w:rsidR="00EA296D" w:rsidRPr="000C34A9" w:rsidRDefault="00EA296D" w:rsidP="0031443E">
            <w:pPr>
              <w:spacing w:after="240"/>
              <w:rPr>
                <w:rFonts w:ascii="Arial" w:hAnsi="Arial" w:cs="Arial"/>
                <w:highlight w:val="yellow"/>
              </w:rPr>
            </w:pPr>
            <w:r w:rsidRPr="00267BF2">
              <w:rPr>
                <w:rFonts w:ascii="Arial" w:hAnsi="Arial" w:cs="Arial"/>
              </w:rPr>
              <w:lastRenderedPageBreak/>
              <w:t>Ophthalmology</w:t>
            </w:r>
          </w:p>
        </w:tc>
        <w:tc>
          <w:tcPr>
            <w:tcW w:w="8172" w:type="dxa"/>
            <w:shd w:val="clear" w:color="auto" w:fill="auto"/>
          </w:tcPr>
          <w:p w:rsidR="00C73559" w:rsidRDefault="00C73559" w:rsidP="00C73559">
            <w:pPr>
              <w:rPr>
                <w:rFonts w:ascii="Arial" w:eastAsia="Arial Unicode MS" w:hAnsi="Arial" w:cs="Arial"/>
              </w:rPr>
            </w:pPr>
            <w:r w:rsidRPr="00267BF2">
              <w:rPr>
                <w:rFonts w:ascii="Arial" w:eastAsia="Arial Unicode MS" w:hAnsi="Arial" w:cs="Arial"/>
              </w:rPr>
              <w:t xml:space="preserve">Patients continue to be recruited from outpatients to replace </w:t>
            </w:r>
            <w:r w:rsidR="00970E45">
              <w:rPr>
                <w:rFonts w:ascii="Arial" w:eastAsia="Arial Unicode MS" w:hAnsi="Arial" w:cs="Arial"/>
              </w:rPr>
              <w:t>‘</w:t>
            </w:r>
            <w:r w:rsidRPr="00267BF2">
              <w:rPr>
                <w:rFonts w:ascii="Arial" w:eastAsia="Arial Unicode MS" w:hAnsi="Arial" w:cs="Arial"/>
              </w:rPr>
              <w:t>on the day</w:t>
            </w:r>
            <w:r w:rsidR="00970E45">
              <w:rPr>
                <w:rFonts w:ascii="Arial" w:eastAsia="Arial Unicode MS" w:hAnsi="Arial" w:cs="Arial"/>
              </w:rPr>
              <w:t>’</w:t>
            </w:r>
            <w:r w:rsidRPr="00267BF2">
              <w:rPr>
                <w:rFonts w:ascii="Arial" w:eastAsia="Arial Unicode MS" w:hAnsi="Arial" w:cs="Arial"/>
              </w:rPr>
              <w:t xml:space="preserve"> theatre cancellations. This is receiving positive patient feedback and ensuring that theatre time is maximised. </w:t>
            </w:r>
          </w:p>
          <w:p w:rsidR="00970E45" w:rsidRPr="00267BF2" w:rsidRDefault="00970E45" w:rsidP="00C73559">
            <w:pPr>
              <w:rPr>
                <w:rFonts w:ascii="Arial" w:eastAsia="Arial Unicode MS" w:hAnsi="Arial" w:cs="Arial"/>
              </w:rPr>
            </w:pPr>
          </w:p>
          <w:p w:rsidR="00C73559" w:rsidRPr="00267BF2" w:rsidRDefault="00C73559" w:rsidP="00C73559">
            <w:pPr>
              <w:rPr>
                <w:rFonts w:ascii="Arial" w:eastAsia="Arial Unicode MS" w:hAnsi="Arial" w:cs="Arial"/>
              </w:rPr>
            </w:pPr>
            <w:r w:rsidRPr="00267BF2">
              <w:rPr>
                <w:rFonts w:ascii="Arial" w:eastAsia="Arial Unicode MS" w:hAnsi="Arial" w:cs="Arial"/>
              </w:rPr>
              <w:t>The Clinical Educator has now been in post for several weeks. They have worked in clinic, theatres and with the expansion team to familia</w:t>
            </w:r>
            <w:r>
              <w:rPr>
                <w:rFonts w:ascii="Arial" w:eastAsia="Arial Unicode MS" w:hAnsi="Arial" w:cs="Arial"/>
              </w:rPr>
              <w:t xml:space="preserve">rise themselves with the role. </w:t>
            </w:r>
            <w:proofErr w:type="gramStart"/>
            <w:r w:rsidRPr="00267BF2">
              <w:rPr>
                <w:rFonts w:ascii="Arial" w:eastAsia="Arial Unicode MS" w:hAnsi="Arial" w:cs="Arial"/>
              </w:rPr>
              <w:t>Staff</w:t>
            </w:r>
            <w:r w:rsidR="008C6FF1">
              <w:rPr>
                <w:rFonts w:ascii="Arial" w:eastAsia="Arial Unicode MS" w:hAnsi="Arial" w:cs="Arial"/>
              </w:rPr>
              <w:t xml:space="preserve"> </w:t>
            </w:r>
            <w:r w:rsidRPr="00267BF2">
              <w:rPr>
                <w:rFonts w:ascii="Arial" w:eastAsia="Arial Unicode MS" w:hAnsi="Arial" w:cs="Arial"/>
              </w:rPr>
              <w:t>continue</w:t>
            </w:r>
            <w:proofErr w:type="gramEnd"/>
            <w:r w:rsidRPr="00267BF2">
              <w:rPr>
                <w:rFonts w:ascii="Arial" w:eastAsia="Arial Unicode MS" w:hAnsi="Arial" w:cs="Arial"/>
              </w:rPr>
              <w:t xml:space="preserve"> to visit theatres/clinics.</w:t>
            </w:r>
          </w:p>
          <w:p w:rsidR="00267BF2" w:rsidRDefault="00C73559" w:rsidP="00C73559">
            <w:pPr>
              <w:rPr>
                <w:rFonts w:ascii="Arial" w:eastAsia="Arial Unicode MS" w:hAnsi="Arial" w:cs="Arial"/>
              </w:rPr>
            </w:pPr>
            <w:r w:rsidRPr="00267BF2">
              <w:rPr>
                <w:rFonts w:ascii="Arial" w:eastAsia="Arial Unicode MS" w:hAnsi="Arial" w:cs="Arial"/>
              </w:rPr>
              <w:t>Input from the division continues to shape the workforce redesign in both outpatients and theatres as work progresses in the development of the new unit.</w:t>
            </w:r>
          </w:p>
          <w:p w:rsidR="00942565" w:rsidRPr="000C34A9" w:rsidRDefault="00942565" w:rsidP="00C73559">
            <w:pPr>
              <w:rPr>
                <w:rFonts w:ascii="Arial" w:hAnsi="Arial" w:cs="Arial"/>
                <w:szCs w:val="20"/>
                <w:highlight w:val="yellow"/>
              </w:rPr>
            </w:pPr>
          </w:p>
        </w:tc>
        <w:tc>
          <w:tcPr>
            <w:tcW w:w="1937" w:type="dxa"/>
          </w:tcPr>
          <w:p w:rsidR="00EA296D" w:rsidRPr="00267BF2" w:rsidRDefault="00EA296D" w:rsidP="0031443E">
            <w:pPr>
              <w:spacing w:after="240"/>
              <w:rPr>
                <w:rFonts w:ascii="Arial" w:hAnsi="Arial" w:cs="Arial"/>
              </w:rPr>
            </w:pPr>
            <w:r w:rsidRPr="00267BF2">
              <w:rPr>
                <w:rFonts w:ascii="Arial" w:hAnsi="Arial" w:cs="Arial"/>
              </w:rPr>
              <w:t>Lynn Graham</w:t>
            </w:r>
          </w:p>
          <w:p w:rsidR="00EA296D" w:rsidRPr="00267BF2" w:rsidRDefault="00EA296D" w:rsidP="0031443E">
            <w:pPr>
              <w:spacing w:after="240"/>
              <w:rPr>
                <w:rFonts w:ascii="Arial" w:hAnsi="Arial" w:cs="Arial"/>
              </w:rPr>
            </w:pPr>
          </w:p>
        </w:tc>
        <w:tc>
          <w:tcPr>
            <w:tcW w:w="1603" w:type="dxa"/>
          </w:tcPr>
          <w:p w:rsidR="00EA296D" w:rsidRPr="00267BF2" w:rsidRDefault="00EA296D" w:rsidP="0031443E">
            <w:pPr>
              <w:spacing w:after="240"/>
              <w:rPr>
                <w:rFonts w:ascii="Arial" w:hAnsi="Arial" w:cs="Arial"/>
              </w:rPr>
            </w:pPr>
            <w:r w:rsidRPr="00267BF2">
              <w:rPr>
                <w:rFonts w:ascii="Arial" w:hAnsi="Arial" w:cs="Arial"/>
              </w:rPr>
              <w:t>Ongoing</w:t>
            </w:r>
          </w:p>
          <w:p w:rsidR="00EA296D" w:rsidRPr="00267BF2" w:rsidRDefault="00EA296D" w:rsidP="0031443E">
            <w:pPr>
              <w:spacing w:after="240"/>
              <w:rPr>
                <w:rFonts w:ascii="Arial" w:hAnsi="Arial" w:cs="Arial"/>
              </w:rPr>
            </w:pPr>
          </w:p>
        </w:tc>
      </w:tr>
    </w:tbl>
    <w:p w:rsidR="00985856" w:rsidRPr="000C34A9" w:rsidRDefault="00DE4AF9" w:rsidP="0031443E">
      <w:pPr>
        <w:spacing w:after="240"/>
        <w:rPr>
          <w:rFonts w:ascii="Arial" w:hAnsi="Arial" w:cs="Arial"/>
          <w:highlight w:val="yellow"/>
        </w:rPr>
      </w:pPr>
      <w:r w:rsidRPr="000C34A9">
        <w:rPr>
          <w:rFonts w:ascii="Arial" w:hAnsi="Arial" w:cs="Arial"/>
          <w:highlight w:val="yellow"/>
        </w:rPr>
        <w:br w:type="page"/>
      </w:r>
    </w:p>
    <w:tbl>
      <w:tblPr>
        <w:tblW w:w="0" w:type="auto"/>
        <w:shd w:val="clear" w:color="auto" w:fill="CCCCCC"/>
        <w:tblLook w:val="01E0"/>
      </w:tblPr>
      <w:tblGrid>
        <w:gridCol w:w="14174"/>
      </w:tblGrid>
      <w:tr w:rsidR="00985856" w:rsidRPr="00693099" w:rsidTr="00202D2D">
        <w:tc>
          <w:tcPr>
            <w:tcW w:w="14174" w:type="dxa"/>
            <w:shd w:val="clear" w:color="auto" w:fill="D9D9D9"/>
          </w:tcPr>
          <w:p w:rsidR="00985856" w:rsidRPr="00693099" w:rsidRDefault="00985856" w:rsidP="00693099">
            <w:pPr>
              <w:rPr>
                <w:rFonts w:ascii="Arial" w:hAnsi="Arial" w:cs="Arial"/>
                <w:b/>
              </w:rPr>
            </w:pPr>
            <w:r w:rsidRPr="00693099">
              <w:rPr>
                <w:rFonts w:ascii="Arial" w:hAnsi="Arial" w:cs="Arial"/>
                <w:b/>
              </w:rPr>
              <w:lastRenderedPageBreak/>
              <w:t xml:space="preserve">Regional and National Medicine Division Performance                       </w:t>
            </w:r>
            <w:r w:rsidR="004444E7" w:rsidRPr="00693099">
              <w:rPr>
                <w:rFonts w:ascii="Arial" w:hAnsi="Arial" w:cs="Arial"/>
                <w:b/>
              </w:rPr>
              <w:t xml:space="preserve">                </w:t>
            </w:r>
            <w:r w:rsidRPr="00693099">
              <w:rPr>
                <w:rFonts w:ascii="Arial" w:hAnsi="Arial" w:cs="Arial"/>
                <w:b/>
              </w:rPr>
              <w:t xml:space="preserve">Board Performance Update – </w:t>
            </w:r>
            <w:r w:rsidR="00693099" w:rsidRPr="00693099">
              <w:rPr>
                <w:rFonts w:ascii="Arial" w:hAnsi="Arial" w:cs="Arial"/>
                <w:b/>
              </w:rPr>
              <w:t>June</w:t>
            </w:r>
            <w:r w:rsidRPr="00693099">
              <w:rPr>
                <w:rFonts w:ascii="Arial" w:hAnsi="Arial" w:cs="Arial"/>
                <w:b/>
              </w:rPr>
              <w:t xml:space="preserve"> </w:t>
            </w:r>
            <w:r w:rsidRPr="00693099">
              <w:rPr>
                <w:rFonts w:ascii="Arial" w:hAnsi="Arial" w:cs="Arial"/>
                <w:b/>
                <w:bCs/>
                <w:lang w:eastAsia="en-GB"/>
              </w:rPr>
              <w:t>201</w:t>
            </w:r>
            <w:r w:rsidR="00531B05" w:rsidRPr="00693099">
              <w:rPr>
                <w:rFonts w:ascii="Arial" w:hAnsi="Arial" w:cs="Arial"/>
                <w:b/>
                <w:bCs/>
                <w:lang w:eastAsia="en-GB"/>
              </w:rPr>
              <w:t>9</w:t>
            </w:r>
          </w:p>
        </w:tc>
      </w:tr>
    </w:tbl>
    <w:p w:rsidR="00985856" w:rsidRPr="00693099" w:rsidRDefault="00985856" w:rsidP="00985856">
      <w:pPr>
        <w:rPr>
          <w:rFonts w:ascii="Arial" w:hAnsi="Arial" w:cs="Arial"/>
        </w:rPr>
      </w:pPr>
      <w:r w:rsidRPr="00693099">
        <w:rPr>
          <w:rFonts w:ascii="Arial" w:hAnsi="Arial" w:cs="Arial"/>
        </w:rPr>
        <w:t xml:space="preserve"> </w:t>
      </w:r>
    </w:p>
    <w:tbl>
      <w:tblPr>
        <w:tblW w:w="1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8363"/>
        <w:gridCol w:w="1985"/>
        <w:gridCol w:w="1630"/>
      </w:tblGrid>
      <w:tr w:rsidR="006C12CC" w:rsidRPr="000C34A9" w:rsidTr="008200C3">
        <w:trPr>
          <w:tblHeader/>
        </w:trPr>
        <w:tc>
          <w:tcPr>
            <w:tcW w:w="1951" w:type="dxa"/>
            <w:shd w:val="clear" w:color="auto" w:fill="auto"/>
          </w:tcPr>
          <w:p w:rsidR="006C12CC" w:rsidRPr="00693099" w:rsidRDefault="006C12CC" w:rsidP="008200C3">
            <w:pPr>
              <w:tabs>
                <w:tab w:val="left" w:pos="765"/>
                <w:tab w:val="center" w:pos="2286"/>
              </w:tabs>
              <w:jc w:val="center"/>
              <w:rPr>
                <w:rFonts w:ascii="Arial" w:hAnsi="Arial" w:cs="Arial"/>
                <w:b/>
              </w:rPr>
            </w:pPr>
            <w:r w:rsidRPr="00693099">
              <w:rPr>
                <w:rFonts w:ascii="Arial" w:hAnsi="Arial" w:cs="Arial"/>
                <w:b/>
              </w:rPr>
              <w:t>ISSUE</w:t>
            </w:r>
          </w:p>
        </w:tc>
        <w:tc>
          <w:tcPr>
            <w:tcW w:w="8363" w:type="dxa"/>
            <w:shd w:val="clear" w:color="auto" w:fill="auto"/>
          </w:tcPr>
          <w:p w:rsidR="006C12CC" w:rsidRPr="00693099" w:rsidRDefault="006C12CC" w:rsidP="008200C3">
            <w:pPr>
              <w:jc w:val="center"/>
              <w:rPr>
                <w:rFonts w:ascii="Arial" w:hAnsi="Arial" w:cs="Arial"/>
                <w:b/>
              </w:rPr>
            </w:pPr>
            <w:r w:rsidRPr="00693099">
              <w:rPr>
                <w:rFonts w:ascii="Arial" w:hAnsi="Arial" w:cs="Arial"/>
                <w:b/>
              </w:rPr>
              <w:t>ACTION</w:t>
            </w:r>
          </w:p>
        </w:tc>
        <w:tc>
          <w:tcPr>
            <w:tcW w:w="1985" w:type="dxa"/>
            <w:shd w:val="clear" w:color="auto" w:fill="auto"/>
          </w:tcPr>
          <w:p w:rsidR="006C12CC" w:rsidRPr="00693099" w:rsidRDefault="006C12CC" w:rsidP="008200C3">
            <w:pPr>
              <w:jc w:val="center"/>
              <w:rPr>
                <w:rFonts w:ascii="Arial" w:hAnsi="Arial" w:cs="Arial"/>
                <w:b/>
              </w:rPr>
            </w:pPr>
            <w:r w:rsidRPr="00693099">
              <w:rPr>
                <w:rFonts w:ascii="Arial" w:hAnsi="Arial" w:cs="Arial"/>
                <w:b/>
              </w:rPr>
              <w:t>RESPONSIBLE LEAD</w:t>
            </w:r>
          </w:p>
        </w:tc>
        <w:tc>
          <w:tcPr>
            <w:tcW w:w="1630" w:type="dxa"/>
            <w:shd w:val="clear" w:color="auto" w:fill="auto"/>
          </w:tcPr>
          <w:p w:rsidR="006C12CC" w:rsidRPr="00693099" w:rsidRDefault="006C12CC" w:rsidP="008200C3">
            <w:pPr>
              <w:ind w:left="175" w:hanging="175"/>
              <w:jc w:val="center"/>
              <w:rPr>
                <w:rFonts w:ascii="Arial" w:hAnsi="Arial" w:cs="Arial"/>
                <w:b/>
              </w:rPr>
            </w:pPr>
            <w:r w:rsidRPr="00693099">
              <w:rPr>
                <w:rFonts w:ascii="Arial" w:hAnsi="Arial" w:cs="Arial"/>
                <w:b/>
              </w:rPr>
              <w:t>TIMESCALE</w:t>
            </w:r>
          </w:p>
        </w:tc>
      </w:tr>
      <w:tr w:rsidR="006C12CC" w:rsidRPr="000C34A9" w:rsidTr="008200C3">
        <w:trPr>
          <w:trHeight w:val="1092"/>
        </w:trPr>
        <w:tc>
          <w:tcPr>
            <w:tcW w:w="1951" w:type="dxa"/>
            <w:shd w:val="clear" w:color="auto" w:fill="auto"/>
          </w:tcPr>
          <w:p w:rsidR="006C12CC" w:rsidRPr="00693099" w:rsidRDefault="006C12CC" w:rsidP="008200C3">
            <w:pPr>
              <w:spacing w:after="240"/>
              <w:rPr>
                <w:rFonts w:ascii="Arial" w:hAnsi="Arial" w:cs="Arial"/>
              </w:rPr>
            </w:pPr>
            <w:r w:rsidRPr="00693099">
              <w:rPr>
                <w:rFonts w:ascii="Arial" w:hAnsi="Arial" w:cs="Arial"/>
              </w:rPr>
              <w:t>Scottish National Advanced Heart Failure Service (SNAHFS) Transplant Update</w:t>
            </w:r>
          </w:p>
        </w:tc>
        <w:tc>
          <w:tcPr>
            <w:tcW w:w="8363" w:type="dxa"/>
            <w:shd w:val="clear" w:color="auto" w:fill="auto"/>
          </w:tcPr>
          <w:p w:rsidR="006C12CC" w:rsidRDefault="00693099" w:rsidP="008200C3">
            <w:pPr>
              <w:tabs>
                <w:tab w:val="left" w:pos="360"/>
                <w:tab w:val="num" w:pos="1070"/>
              </w:tabs>
              <w:spacing w:after="240"/>
              <w:ind w:right="-77"/>
              <w:rPr>
                <w:rFonts w:ascii="Arial" w:hAnsi="Arial" w:cs="Arial"/>
              </w:rPr>
            </w:pPr>
            <w:r w:rsidRPr="00BA2FCA">
              <w:rPr>
                <w:rFonts w:ascii="Arial" w:hAnsi="Arial" w:cs="Arial"/>
              </w:rPr>
              <w:t>One</w:t>
            </w:r>
            <w:r w:rsidRPr="00693099">
              <w:rPr>
                <w:rFonts w:ascii="Arial" w:hAnsi="Arial" w:cs="Arial"/>
              </w:rPr>
              <w:t xml:space="preserve"> transplant has been carried out during 2019/20. There are 21 patients on the waiting list, two of which are urgent.</w:t>
            </w:r>
          </w:p>
          <w:p w:rsidR="00693099" w:rsidRPr="00693099" w:rsidRDefault="00693099" w:rsidP="008200C3">
            <w:pPr>
              <w:tabs>
                <w:tab w:val="left" w:pos="360"/>
                <w:tab w:val="num" w:pos="1070"/>
              </w:tabs>
              <w:spacing w:after="240"/>
              <w:ind w:right="-77"/>
              <w:rPr>
                <w:rFonts w:ascii="Arial" w:hAnsi="Arial" w:cs="Arial"/>
              </w:rPr>
            </w:pPr>
            <w:r>
              <w:rPr>
                <w:rFonts w:ascii="Arial" w:hAnsi="Arial" w:cs="Arial"/>
              </w:rPr>
              <w:t>The associate Director of Operations is an observer to the NSD (National Services Division) SNAHFS major review</w:t>
            </w:r>
            <w:r w:rsidR="00970E45">
              <w:rPr>
                <w:rFonts w:ascii="Arial" w:hAnsi="Arial" w:cs="Arial"/>
              </w:rPr>
              <w:t>,</w:t>
            </w:r>
            <w:r>
              <w:rPr>
                <w:rFonts w:ascii="Arial" w:hAnsi="Arial" w:cs="Arial"/>
              </w:rPr>
              <w:t xml:space="preserve"> which has met twice.</w:t>
            </w:r>
            <w:r w:rsidR="005A09B2">
              <w:rPr>
                <w:rFonts w:ascii="Arial" w:hAnsi="Arial" w:cs="Arial"/>
              </w:rPr>
              <w:t xml:space="preserve"> The report of the findings will be submitted to NSSC by December 2019.</w:t>
            </w:r>
          </w:p>
        </w:tc>
        <w:tc>
          <w:tcPr>
            <w:tcW w:w="1985" w:type="dxa"/>
            <w:shd w:val="clear" w:color="auto" w:fill="auto"/>
          </w:tcPr>
          <w:p w:rsidR="006C12CC" w:rsidRPr="00693099" w:rsidRDefault="006C12CC" w:rsidP="008200C3">
            <w:pPr>
              <w:spacing w:after="240"/>
              <w:rPr>
                <w:rFonts w:ascii="Arial" w:hAnsi="Arial" w:cs="Arial"/>
                <w:lang w:val="fr-FR"/>
              </w:rPr>
            </w:pPr>
            <w:r w:rsidRPr="00693099">
              <w:rPr>
                <w:rFonts w:ascii="Arial" w:hAnsi="Arial" w:cs="Arial"/>
                <w:lang w:val="fr-FR"/>
              </w:rPr>
              <w:t>Lynne Ayton</w:t>
            </w:r>
          </w:p>
          <w:p w:rsidR="006C12CC" w:rsidRPr="00693099" w:rsidRDefault="006C12CC" w:rsidP="008200C3">
            <w:pPr>
              <w:spacing w:after="240"/>
              <w:rPr>
                <w:rFonts w:ascii="Arial" w:hAnsi="Arial" w:cs="Arial"/>
                <w:lang w:val="fr-FR"/>
              </w:rPr>
            </w:pPr>
          </w:p>
          <w:p w:rsidR="006C12CC" w:rsidRPr="00693099" w:rsidRDefault="006C12CC" w:rsidP="008200C3">
            <w:pPr>
              <w:spacing w:after="240"/>
              <w:rPr>
                <w:rFonts w:ascii="Arial" w:hAnsi="Arial" w:cs="Arial"/>
                <w:lang w:val="fr-FR"/>
              </w:rPr>
            </w:pPr>
          </w:p>
        </w:tc>
        <w:tc>
          <w:tcPr>
            <w:tcW w:w="1630" w:type="dxa"/>
            <w:shd w:val="clear" w:color="auto" w:fill="auto"/>
          </w:tcPr>
          <w:p w:rsidR="006C12CC" w:rsidRPr="00693099" w:rsidRDefault="006C12CC" w:rsidP="008200C3">
            <w:pPr>
              <w:spacing w:after="240"/>
              <w:rPr>
                <w:rFonts w:ascii="Arial" w:hAnsi="Arial" w:cs="Arial"/>
              </w:rPr>
            </w:pPr>
            <w:r w:rsidRPr="00693099">
              <w:rPr>
                <w:rFonts w:ascii="Arial" w:hAnsi="Arial" w:cs="Arial"/>
              </w:rPr>
              <w:t>Ongoing</w:t>
            </w:r>
          </w:p>
          <w:p w:rsidR="006C12CC" w:rsidRPr="00693099" w:rsidRDefault="006C12CC" w:rsidP="008200C3">
            <w:pPr>
              <w:spacing w:after="240"/>
              <w:rPr>
                <w:rFonts w:ascii="Arial" w:hAnsi="Arial" w:cs="Arial"/>
              </w:rPr>
            </w:pPr>
          </w:p>
          <w:p w:rsidR="006C12CC" w:rsidRPr="00693099" w:rsidRDefault="006C12CC" w:rsidP="008200C3">
            <w:pPr>
              <w:spacing w:after="240"/>
              <w:rPr>
                <w:rFonts w:ascii="Arial" w:hAnsi="Arial" w:cs="Arial"/>
              </w:rPr>
            </w:pPr>
          </w:p>
        </w:tc>
      </w:tr>
      <w:tr w:rsidR="006C12CC" w:rsidRPr="000C34A9" w:rsidTr="008200C3">
        <w:trPr>
          <w:trHeight w:val="433"/>
        </w:trPr>
        <w:tc>
          <w:tcPr>
            <w:tcW w:w="1951" w:type="dxa"/>
          </w:tcPr>
          <w:p w:rsidR="006C12CC" w:rsidRPr="000C34A9" w:rsidRDefault="006C12CC" w:rsidP="008200C3">
            <w:pPr>
              <w:spacing w:after="240"/>
              <w:rPr>
                <w:rFonts w:ascii="Arial" w:eastAsia="Arial Unicode MS" w:hAnsi="Arial" w:cs="Arial"/>
                <w:highlight w:val="yellow"/>
              </w:rPr>
            </w:pPr>
            <w:r w:rsidRPr="00693099">
              <w:rPr>
                <w:rFonts w:ascii="Arial" w:eastAsia="Arial Unicode MS" w:hAnsi="Arial" w:cs="Arial"/>
              </w:rPr>
              <w:t>Scottish Adult Congenital Cardiac Service (SACCS)</w:t>
            </w:r>
          </w:p>
        </w:tc>
        <w:tc>
          <w:tcPr>
            <w:tcW w:w="8363" w:type="dxa"/>
          </w:tcPr>
          <w:p w:rsidR="00693099" w:rsidRPr="00693099" w:rsidRDefault="00693099" w:rsidP="008200C3">
            <w:pPr>
              <w:tabs>
                <w:tab w:val="left" w:pos="360"/>
                <w:tab w:val="num" w:pos="1070"/>
              </w:tabs>
              <w:spacing w:after="240"/>
              <w:ind w:right="-77"/>
              <w:rPr>
                <w:rFonts w:ascii="Arial" w:hAnsi="Arial" w:cs="Arial"/>
              </w:rPr>
            </w:pPr>
            <w:r w:rsidRPr="00693099">
              <w:rPr>
                <w:rFonts w:ascii="Arial" w:hAnsi="Arial" w:cs="Arial"/>
              </w:rPr>
              <w:t>Preparation for the SACCS peer review in July is well underway with regular ‘state of readiness’ meetings.</w:t>
            </w:r>
            <w:r w:rsidR="00B51424">
              <w:rPr>
                <w:rFonts w:ascii="Arial" w:hAnsi="Arial" w:cs="Arial"/>
              </w:rPr>
              <w:t xml:space="preserve"> NSD have advised that this will be followed by a major review of the service in 2020.</w:t>
            </w:r>
          </w:p>
          <w:p w:rsidR="006C12CC" w:rsidRPr="000C34A9" w:rsidRDefault="005A09B2" w:rsidP="008200C3">
            <w:pPr>
              <w:tabs>
                <w:tab w:val="left" w:pos="360"/>
                <w:tab w:val="num" w:pos="1070"/>
              </w:tabs>
              <w:spacing w:after="240"/>
              <w:ind w:right="-77"/>
              <w:rPr>
                <w:rFonts w:ascii="Arial" w:hAnsi="Arial" w:cs="Arial"/>
                <w:highlight w:val="yellow"/>
              </w:rPr>
            </w:pPr>
            <w:r w:rsidRPr="005A09B2">
              <w:rPr>
                <w:rFonts w:ascii="Arial" w:hAnsi="Arial" w:cs="Arial"/>
              </w:rPr>
              <w:t>As at 15 May 2019 there were 1700 patients</w:t>
            </w:r>
            <w:r w:rsidR="006C12CC" w:rsidRPr="005A09B2">
              <w:rPr>
                <w:rFonts w:ascii="Arial" w:hAnsi="Arial" w:cs="Arial"/>
              </w:rPr>
              <w:t xml:space="preserve"> on the return waiting list, an increase of </w:t>
            </w:r>
            <w:r w:rsidRPr="005A09B2">
              <w:rPr>
                <w:rFonts w:ascii="Arial" w:hAnsi="Arial" w:cs="Arial"/>
              </w:rPr>
              <w:t>26</w:t>
            </w:r>
            <w:r w:rsidR="006C12CC" w:rsidRPr="005A09B2">
              <w:rPr>
                <w:rFonts w:ascii="Arial" w:hAnsi="Arial" w:cs="Arial"/>
              </w:rPr>
              <w:t xml:space="preserve"> compared to </w:t>
            </w:r>
            <w:r w:rsidRPr="005A09B2">
              <w:rPr>
                <w:rFonts w:ascii="Arial" w:hAnsi="Arial" w:cs="Arial"/>
              </w:rPr>
              <w:t>April</w:t>
            </w:r>
            <w:r w:rsidR="006C12CC" w:rsidRPr="005A09B2">
              <w:rPr>
                <w:rFonts w:ascii="Arial" w:hAnsi="Arial" w:cs="Arial"/>
              </w:rPr>
              <w:t xml:space="preserve">.  </w:t>
            </w:r>
            <w:r w:rsidRPr="005A09B2">
              <w:rPr>
                <w:rFonts w:ascii="Arial" w:hAnsi="Arial" w:cs="Arial"/>
              </w:rPr>
              <w:t>571</w:t>
            </w:r>
            <w:r w:rsidR="006C12CC" w:rsidRPr="005A09B2">
              <w:rPr>
                <w:rFonts w:ascii="Arial" w:hAnsi="Arial" w:cs="Arial"/>
              </w:rPr>
              <w:t xml:space="preserve"> patients </w:t>
            </w:r>
            <w:r w:rsidRPr="005A09B2">
              <w:rPr>
                <w:rFonts w:ascii="Arial" w:hAnsi="Arial" w:cs="Arial"/>
              </w:rPr>
              <w:t>waited beyond their recall date, and of these patients 470 had no appointment date.</w:t>
            </w:r>
          </w:p>
          <w:p w:rsidR="006C12CC" w:rsidRPr="00B51424" w:rsidRDefault="006C12CC" w:rsidP="00735A6B">
            <w:pPr>
              <w:ind w:right="308"/>
              <w:jc w:val="both"/>
              <w:rPr>
                <w:rFonts w:ascii="Arial" w:eastAsia="Arial Unicode MS" w:hAnsi="Arial" w:cs="Arial"/>
              </w:rPr>
            </w:pPr>
            <w:r w:rsidRPr="005A09B2">
              <w:rPr>
                <w:rFonts w:ascii="Arial" w:hAnsi="Arial" w:cs="Arial"/>
              </w:rPr>
              <w:t xml:space="preserve">Measures have been put in place to address the shortfall but to date these are having minimal impact.  </w:t>
            </w:r>
            <w:r w:rsidR="005A09B2" w:rsidRPr="005A09B2">
              <w:rPr>
                <w:rFonts w:ascii="Arial" w:eastAsia="Arial Unicode MS" w:hAnsi="Arial" w:cs="Arial"/>
              </w:rPr>
              <w:t xml:space="preserve">Patients are </w:t>
            </w:r>
            <w:r w:rsidR="003E59B4">
              <w:rPr>
                <w:rFonts w:ascii="Arial" w:eastAsia="Arial Unicode MS" w:hAnsi="Arial" w:cs="Arial"/>
              </w:rPr>
              <w:t>able to access</w:t>
            </w:r>
            <w:r w:rsidR="005A09B2" w:rsidRPr="005A09B2">
              <w:rPr>
                <w:rFonts w:ascii="Arial" w:eastAsia="Arial Unicode MS" w:hAnsi="Arial" w:cs="Arial"/>
              </w:rPr>
              <w:t xml:space="preserve"> Specialist Nurses if their symptoms change and/or if they have concerns and these contacts </w:t>
            </w:r>
            <w:r w:rsidR="00735A6B">
              <w:rPr>
                <w:rFonts w:ascii="Arial" w:eastAsia="Arial Unicode MS" w:hAnsi="Arial" w:cs="Arial"/>
              </w:rPr>
              <w:t>will</w:t>
            </w:r>
            <w:r w:rsidR="00735A6B" w:rsidRPr="005A09B2">
              <w:rPr>
                <w:rFonts w:ascii="Arial" w:eastAsia="Arial Unicode MS" w:hAnsi="Arial" w:cs="Arial"/>
              </w:rPr>
              <w:t xml:space="preserve"> </w:t>
            </w:r>
            <w:r w:rsidR="005A09B2" w:rsidRPr="005A09B2">
              <w:rPr>
                <w:rFonts w:ascii="Arial" w:eastAsia="Arial Unicode MS" w:hAnsi="Arial" w:cs="Arial"/>
              </w:rPr>
              <w:t>expedite appointments if clinically appropriate.  Additional consultant capacity is required to address this issue, including MRI and ECHO.</w:t>
            </w:r>
            <w:r w:rsidRPr="000C34A9">
              <w:rPr>
                <w:rFonts w:eastAsia="Arial Unicode MS" w:cs="Arial"/>
                <w:sz w:val="22"/>
                <w:szCs w:val="22"/>
                <w:highlight w:val="yellow"/>
              </w:rPr>
              <w:t xml:space="preserve"> </w:t>
            </w:r>
          </w:p>
        </w:tc>
        <w:tc>
          <w:tcPr>
            <w:tcW w:w="1985" w:type="dxa"/>
          </w:tcPr>
          <w:p w:rsidR="006C12CC" w:rsidRPr="00693099" w:rsidRDefault="006C12CC" w:rsidP="008200C3">
            <w:pPr>
              <w:spacing w:after="240"/>
              <w:rPr>
                <w:rFonts w:ascii="Arial" w:hAnsi="Arial" w:cs="Arial"/>
                <w:lang w:val="fr-FR"/>
              </w:rPr>
            </w:pPr>
            <w:r w:rsidRPr="00693099">
              <w:rPr>
                <w:rFonts w:ascii="Arial" w:hAnsi="Arial" w:cs="Arial"/>
                <w:lang w:val="fr-FR"/>
              </w:rPr>
              <w:t>Lynne Ayton</w:t>
            </w:r>
          </w:p>
        </w:tc>
        <w:tc>
          <w:tcPr>
            <w:tcW w:w="1630" w:type="dxa"/>
          </w:tcPr>
          <w:p w:rsidR="006C12CC" w:rsidRPr="00693099" w:rsidRDefault="006C12CC" w:rsidP="008200C3">
            <w:pPr>
              <w:spacing w:after="240"/>
              <w:rPr>
                <w:rFonts w:ascii="Arial" w:hAnsi="Arial" w:cs="Arial"/>
              </w:rPr>
            </w:pPr>
            <w:r w:rsidRPr="00693099">
              <w:rPr>
                <w:rFonts w:ascii="Arial" w:hAnsi="Arial" w:cs="Arial"/>
              </w:rPr>
              <w:t>Ongoing</w:t>
            </w:r>
          </w:p>
        </w:tc>
      </w:tr>
    </w:tbl>
    <w:p w:rsidR="00970E45" w:rsidRDefault="00970E45">
      <w:r>
        <w:br w:type="page"/>
      </w:r>
    </w:p>
    <w:tbl>
      <w:tblPr>
        <w:tblW w:w="1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8363"/>
        <w:gridCol w:w="1985"/>
        <w:gridCol w:w="1630"/>
      </w:tblGrid>
      <w:tr w:rsidR="006C12CC" w:rsidRPr="000C34A9" w:rsidTr="008200C3">
        <w:trPr>
          <w:trHeight w:val="433"/>
        </w:trPr>
        <w:tc>
          <w:tcPr>
            <w:tcW w:w="1951" w:type="dxa"/>
          </w:tcPr>
          <w:p w:rsidR="006C12CC" w:rsidRPr="00CD2E2F" w:rsidRDefault="006C12CC" w:rsidP="008200C3">
            <w:pPr>
              <w:spacing w:after="240"/>
              <w:rPr>
                <w:rFonts w:ascii="Arial" w:eastAsia="Arial Unicode MS" w:hAnsi="Arial" w:cs="Arial"/>
              </w:rPr>
            </w:pPr>
            <w:r w:rsidRPr="00CD2E2F">
              <w:rPr>
                <w:rFonts w:ascii="Arial" w:eastAsia="Arial Unicode MS" w:hAnsi="Arial" w:cs="Arial"/>
              </w:rPr>
              <w:lastRenderedPageBreak/>
              <w:t xml:space="preserve">Interventional Cardiology </w:t>
            </w:r>
          </w:p>
        </w:tc>
        <w:tc>
          <w:tcPr>
            <w:tcW w:w="8363" w:type="dxa"/>
          </w:tcPr>
          <w:p w:rsidR="00693099" w:rsidRDefault="00693099" w:rsidP="00693099">
            <w:pPr>
              <w:jc w:val="both"/>
              <w:rPr>
                <w:rFonts w:ascii="Arial" w:eastAsia="Arial Unicode MS" w:hAnsi="Arial" w:cs="Arial"/>
                <w:szCs w:val="22"/>
              </w:rPr>
            </w:pPr>
            <w:r w:rsidRPr="00CD2E2F">
              <w:rPr>
                <w:rFonts w:ascii="Arial" w:eastAsia="Arial Unicode MS" w:hAnsi="Arial" w:cs="Arial"/>
                <w:szCs w:val="22"/>
              </w:rPr>
              <w:t xml:space="preserve">The coronary waiting list position is starting to rise again following the decommissioning of the mobile </w:t>
            </w:r>
            <w:proofErr w:type="spellStart"/>
            <w:r w:rsidR="00CD2E2F">
              <w:rPr>
                <w:rFonts w:ascii="Arial" w:eastAsia="Arial Unicode MS" w:hAnsi="Arial" w:cs="Arial"/>
                <w:szCs w:val="22"/>
              </w:rPr>
              <w:t>cath</w:t>
            </w:r>
            <w:proofErr w:type="spellEnd"/>
            <w:r w:rsidR="00CD2E2F">
              <w:rPr>
                <w:rFonts w:ascii="Arial" w:eastAsia="Arial Unicode MS" w:hAnsi="Arial" w:cs="Arial"/>
                <w:szCs w:val="22"/>
              </w:rPr>
              <w:t xml:space="preserve"> </w:t>
            </w:r>
            <w:r w:rsidRPr="00CD2E2F">
              <w:rPr>
                <w:rFonts w:ascii="Arial" w:eastAsia="Arial Unicode MS" w:hAnsi="Arial" w:cs="Arial"/>
                <w:szCs w:val="22"/>
              </w:rPr>
              <w:t>lab.</w:t>
            </w:r>
          </w:p>
          <w:p w:rsidR="00CD2E2F" w:rsidRDefault="00CD2E2F" w:rsidP="00693099">
            <w:pPr>
              <w:jc w:val="both"/>
              <w:rPr>
                <w:rFonts w:ascii="Arial" w:eastAsia="Arial Unicode MS" w:hAnsi="Arial" w:cs="Arial"/>
                <w:sz w:val="28"/>
              </w:rPr>
            </w:pPr>
          </w:p>
          <w:p w:rsidR="00693099" w:rsidRDefault="00F74CCA" w:rsidP="00693099">
            <w:pPr>
              <w:jc w:val="both"/>
              <w:rPr>
                <w:rFonts w:ascii="Arial" w:eastAsia="Arial Unicode MS" w:hAnsi="Arial" w:cs="Arial"/>
                <w:szCs w:val="22"/>
              </w:rPr>
            </w:pPr>
            <w:r w:rsidRPr="00CD2E2F">
              <w:rPr>
                <w:rFonts w:ascii="Arial" w:eastAsia="Arial Unicode MS" w:hAnsi="Arial" w:cs="Arial"/>
                <w:szCs w:val="22"/>
              </w:rPr>
              <w:t>Activity continues as planned w</w:t>
            </w:r>
            <w:r w:rsidR="00693099" w:rsidRPr="00CD2E2F">
              <w:rPr>
                <w:rFonts w:ascii="Arial" w:eastAsia="Arial Unicode MS" w:hAnsi="Arial" w:cs="Arial"/>
                <w:szCs w:val="22"/>
              </w:rPr>
              <w:t xml:space="preserve">hilst </w:t>
            </w:r>
            <w:r w:rsidRPr="00CD2E2F">
              <w:rPr>
                <w:rFonts w:ascii="Arial" w:eastAsia="Arial Unicode MS" w:hAnsi="Arial" w:cs="Arial"/>
                <w:szCs w:val="22"/>
              </w:rPr>
              <w:t>confirmation of non-</w:t>
            </w:r>
            <w:r w:rsidR="00693099" w:rsidRPr="00CD2E2F">
              <w:rPr>
                <w:rFonts w:ascii="Arial" w:eastAsia="Arial Unicode MS" w:hAnsi="Arial" w:cs="Arial"/>
                <w:szCs w:val="22"/>
              </w:rPr>
              <w:t xml:space="preserve">recurring funding </w:t>
            </w:r>
            <w:r w:rsidRPr="00CD2E2F">
              <w:rPr>
                <w:rFonts w:ascii="Arial" w:eastAsia="Arial Unicode MS" w:hAnsi="Arial" w:cs="Arial"/>
                <w:szCs w:val="22"/>
              </w:rPr>
              <w:t xml:space="preserve">to increase capacity is awaited. The </w:t>
            </w:r>
            <w:r w:rsidR="00693099" w:rsidRPr="00CD2E2F">
              <w:rPr>
                <w:rFonts w:ascii="Arial" w:eastAsia="Arial Unicode MS" w:hAnsi="Arial" w:cs="Arial"/>
                <w:szCs w:val="22"/>
              </w:rPr>
              <w:t>pl</w:t>
            </w:r>
            <w:r w:rsidRPr="00CD2E2F">
              <w:rPr>
                <w:rFonts w:ascii="Arial" w:eastAsia="Arial Unicode MS" w:hAnsi="Arial" w:cs="Arial"/>
                <w:szCs w:val="22"/>
              </w:rPr>
              <w:t xml:space="preserve">anned activity </w:t>
            </w:r>
            <w:r w:rsidR="00693099" w:rsidRPr="00CD2E2F">
              <w:rPr>
                <w:rFonts w:ascii="Arial" w:eastAsia="Arial Unicode MS" w:hAnsi="Arial" w:cs="Arial"/>
                <w:szCs w:val="22"/>
              </w:rPr>
              <w:t xml:space="preserve">will not meet demand thus waiting times will start to grow, </w:t>
            </w:r>
            <w:r w:rsidR="00CD2E2F">
              <w:rPr>
                <w:rFonts w:ascii="Arial" w:eastAsia="Arial Unicode MS" w:hAnsi="Arial" w:cs="Arial"/>
                <w:szCs w:val="22"/>
              </w:rPr>
              <w:t>with patients expected to exceed their</w:t>
            </w:r>
            <w:r w:rsidRPr="00CD2E2F">
              <w:rPr>
                <w:rFonts w:ascii="Arial" w:eastAsia="Arial Unicode MS" w:hAnsi="Arial" w:cs="Arial"/>
                <w:szCs w:val="22"/>
              </w:rPr>
              <w:t xml:space="preserve"> 12 </w:t>
            </w:r>
            <w:r w:rsidR="00FB4B58">
              <w:rPr>
                <w:rFonts w:ascii="Arial" w:eastAsia="Arial Unicode MS" w:hAnsi="Arial" w:cs="Arial"/>
                <w:szCs w:val="22"/>
              </w:rPr>
              <w:t>week TTG in June</w:t>
            </w:r>
            <w:r w:rsidR="00693099" w:rsidRPr="00CD2E2F">
              <w:rPr>
                <w:rFonts w:ascii="Arial" w:eastAsia="Arial Unicode MS" w:hAnsi="Arial" w:cs="Arial"/>
                <w:szCs w:val="22"/>
              </w:rPr>
              <w:t>.</w:t>
            </w:r>
          </w:p>
          <w:p w:rsidR="00CD2E2F" w:rsidRPr="00CD2E2F" w:rsidRDefault="00CD2E2F" w:rsidP="00693099">
            <w:pPr>
              <w:jc w:val="both"/>
              <w:rPr>
                <w:rFonts w:ascii="Arial" w:eastAsia="Arial Unicode MS" w:hAnsi="Arial" w:cs="Arial"/>
                <w:sz w:val="28"/>
              </w:rPr>
            </w:pPr>
          </w:p>
          <w:p w:rsidR="00693099" w:rsidRPr="00CD2E2F" w:rsidRDefault="00F74CCA" w:rsidP="00693099">
            <w:pPr>
              <w:jc w:val="both"/>
              <w:rPr>
                <w:rFonts w:ascii="Arial" w:eastAsia="Arial Unicode MS" w:hAnsi="Arial" w:cs="Arial"/>
                <w:sz w:val="28"/>
              </w:rPr>
            </w:pPr>
            <w:r w:rsidRPr="00CD2E2F">
              <w:rPr>
                <w:rFonts w:ascii="Arial" w:eastAsia="Arial Unicode MS" w:hAnsi="Arial" w:cs="Arial"/>
                <w:szCs w:val="22"/>
              </w:rPr>
              <w:t xml:space="preserve">The business case for the fifth </w:t>
            </w:r>
            <w:proofErr w:type="spellStart"/>
            <w:r w:rsidRPr="00CD2E2F">
              <w:rPr>
                <w:rFonts w:ascii="Arial" w:eastAsia="Arial Unicode MS" w:hAnsi="Arial" w:cs="Arial"/>
                <w:szCs w:val="22"/>
              </w:rPr>
              <w:t>cath</w:t>
            </w:r>
            <w:proofErr w:type="spellEnd"/>
            <w:r w:rsidRPr="00CD2E2F">
              <w:rPr>
                <w:rFonts w:ascii="Arial" w:eastAsia="Arial Unicode MS" w:hAnsi="Arial" w:cs="Arial"/>
                <w:szCs w:val="22"/>
              </w:rPr>
              <w:t xml:space="preserve"> lab </w:t>
            </w:r>
            <w:r w:rsidR="00693099" w:rsidRPr="00CD2E2F">
              <w:rPr>
                <w:rFonts w:ascii="Arial" w:eastAsia="Arial Unicode MS" w:hAnsi="Arial" w:cs="Arial"/>
                <w:szCs w:val="22"/>
              </w:rPr>
              <w:t xml:space="preserve">has been approved by the Project Board and will now progress through </w:t>
            </w:r>
            <w:r w:rsidR="00735A6B">
              <w:rPr>
                <w:rFonts w:ascii="Arial" w:eastAsia="Arial Unicode MS" w:hAnsi="Arial" w:cs="Arial"/>
                <w:szCs w:val="22"/>
              </w:rPr>
              <w:t>the Capital Group</w:t>
            </w:r>
            <w:r w:rsidR="00693099" w:rsidRPr="00CD2E2F">
              <w:rPr>
                <w:rFonts w:ascii="Arial" w:eastAsia="Arial Unicode MS" w:hAnsi="Arial" w:cs="Arial"/>
                <w:szCs w:val="22"/>
              </w:rPr>
              <w:t>, SMT and finally the</w:t>
            </w:r>
            <w:r w:rsidRPr="00CD2E2F">
              <w:rPr>
                <w:rFonts w:ascii="Arial" w:eastAsia="Arial Unicode MS" w:hAnsi="Arial" w:cs="Arial"/>
                <w:szCs w:val="22"/>
              </w:rPr>
              <w:t xml:space="preserve"> June</w:t>
            </w:r>
            <w:r w:rsidR="00693099" w:rsidRPr="00CD2E2F">
              <w:rPr>
                <w:rFonts w:ascii="Arial" w:eastAsia="Arial Unicode MS" w:hAnsi="Arial" w:cs="Arial"/>
                <w:szCs w:val="22"/>
              </w:rPr>
              <w:t xml:space="preserve"> Board. Whilst capital funding has been secured t</w:t>
            </w:r>
            <w:r w:rsidR="00FB4B58">
              <w:rPr>
                <w:rFonts w:ascii="Arial" w:eastAsia="Arial Unicode MS" w:hAnsi="Arial" w:cs="Arial"/>
                <w:szCs w:val="22"/>
              </w:rPr>
              <w:t>he revenue has yet to be agreed</w:t>
            </w:r>
            <w:r w:rsidR="00693099" w:rsidRPr="00CD2E2F">
              <w:rPr>
                <w:rFonts w:ascii="Arial" w:eastAsia="Arial Unicode MS" w:hAnsi="Arial" w:cs="Arial"/>
                <w:szCs w:val="22"/>
              </w:rPr>
              <w:t xml:space="preserve">. </w:t>
            </w:r>
          </w:p>
          <w:p w:rsidR="008150B6" w:rsidRPr="00CD2E2F" w:rsidRDefault="008150B6" w:rsidP="00693099">
            <w:pPr>
              <w:jc w:val="both"/>
              <w:rPr>
                <w:rFonts w:ascii="Arial" w:eastAsia="Arial Unicode MS" w:hAnsi="Arial" w:cs="Arial"/>
                <w:szCs w:val="22"/>
              </w:rPr>
            </w:pPr>
          </w:p>
          <w:p w:rsidR="008150B6" w:rsidRPr="00CD2E2F" w:rsidRDefault="008150B6" w:rsidP="00693099">
            <w:pPr>
              <w:jc w:val="both"/>
              <w:rPr>
                <w:rFonts w:ascii="Arial" w:hAnsi="Arial" w:cs="Arial"/>
              </w:rPr>
            </w:pPr>
            <w:r w:rsidRPr="00CD2E2F">
              <w:rPr>
                <w:rFonts w:ascii="Arial" w:hAnsi="Arial" w:cs="Arial"/>
              </w:rPr>
              <w:t xml:space="preserve">As previously reported significantly increasing the capacity in electrophysiology (EP) is problematic due to small staffing teams and recruitment challenges. </w:t>
            </w:r>
          </w:p>
          <w:p w:rsidR="00CD2E2F" w:rsidRPr="00CD2E2F" w:rsidRDefault="00CD2E2F" w:rsidP="00693099">
            <w:pPr>
              <w:jc w:val="both"/>
              <w:rPr>
                <w:rFonts w:ascii="Arial" w:hAnsi="Arial" w:cs="Arial"/>
              </w:rPr>
            </w:pPr>
          </w:p>
          <w:p w:rsidR="008150B6" w:rsidRDefault="008150B6" w:rsidP="00693099">
            <w:pPr>
              <w:jc w:val="both"/>
              <w:rPr>
                <w:rFonts w:ascii="Arial" w:hAnsi="Arial" w:cs="Arial"/>
              </w:rPr>
            </w:pPr>
            <w:r w:rsidRPr="00CD2E2F">
              <w:rPr>
                <w:rFonts w:ascii="Arial" w:hAnsi="Arial" w:cs="Arial"/>
              </w:rPr>
              <w:t xml:space="preserve">During Quarter Four the process of “batching” </w:t>
            </w:r>
            <w:r w:rsidR="00DE74FB" w:rsidRPr="00CD2E2F">
              <w:rPr>
                <w:rFonts w:ascii="Arial" w:hAnsi="Arial" w:cs="Arial"/>
              </w:rPr>
              <w:t xml:space="preserve">EP </w:t>
            </w:r>
            <w:r w:rsidRPr="00CD2E2F">
              <w:rPr>
                <w:rFonts w:ascii="Arial" w:hAnsi="Arial" w:cs="Arial"/>
              </w:rPr>
              <w:t xml:space="preserve">cases based on the procedure and increasing the number of simple cases on a list was initiated.  The total activity over this period was 138 procedures which is 10% higher than plan.  </w:t>
            </w:r>
            <w:r w:rsidR="00FB4B58">
              <w:rPr>
                <w:rFonts w:ascii="Arial" w:hAnsi="Arial" w:cs="Arial"/>
              </w:rPr>
              <w:t>However, r</w:t>
            </w:r>
            <w:r w:rsidRPr="00CD2E2F">
              <w:rPr>
                <w:rFonts w:ascii="Arial" w:hAnsi="Arial" w:cs="Arial"/>
              </w:rPr>
              <w:t xml:space="preserve">eferrals during this period also increased </w:t>
            </w:r>
            <w:r w:rsidR="00DE74FB" w:rsidRPr="00CD2E2F">
              <w:rPr>
                <w:rFonts w:ascii="Arial" w:hAnsi="Arial" w:cs="Arial"/>
              </w:rPr>
              <w:t xml:space="preserve">which has resulted in the </w:t>
            </w:r>
            <w:r w:rsidRPr="00CD2E2F">
              <w:rPr>
                <w:rFonts w:ascii="Arial" w:hAnsi="Arial" w:cs="Arial"/>
              </w:rPr>
              <w:t>waiting list</w:t>
            </w:r>
            <w:r w:rsidR="00DE74FB" w:rsidRPr="00CD2E2F">
              <w:rPr>
                <w:rFonts w:ascii="Arial" w:hAnsi="Arial" w:cs="Arial"/>
              </w:rPr>
              <w:t xml:space="preserve"> growing</w:t>
            </w:r>
            <w:r w:rsidRPr="00CD2E2F">
              <w:rPr>
                <w:rFonts w:ascii="Arial" w:hAnsi="Arial" w:cs="Arial"/>
              </w:rPr>
              <w:t xml:space="preserve">.  </w:t>
            </w:r>
          </w:p>
          <w:p w:rsidR="00CD2E2F" w:rsidRPr="00CD2E2F" w:rsidRDefault="00CD2E2F" w:rsidP="00693099">
            <w:pPr>
              <w:jc w:val="both"/>
              <w:rPr>
                <w:rFonts w:ascii="Arial" w:eastAsia="Arial Unicode MS" w:hAnsi="Arial" w:cs="Arial"/>
              </w:rPr>
            </w:pPr>
          </w:p>
          <w:p w:rsidR="00693099" w:rsidRPr="00CD2E2F" w:rsidRDefault="00F74CCA" w:rsidP="00693099">
            <w:pPr>
              <w:jc w:val="both"/>
              <w:rPr>
                <w:rFonts w:ascii="Arial" w:eastAsia="Arial Unicode MS" w:hAnsi="Arial" w:cs="Arial"/>
                <w:szCs w:val="22"/>
              </w:rPr>
            </w:pPr>
            <w:r w:rsidRPr="00CD2E2F">
              <w:rPr>
                <w:rFonts w:ascii="Arial" w:eastAsia="Arial Unicode MS" w:hAnsi="Arial" w:cs="Arial"/>
                <w:szCs w:val="22"/>
              </w:rPr>
              <w:t>N</w:t>
            </w:r>
            <w:r w:rsidR="00693099" w:rsidRPr="00CD2E2F">
              <w:rPr>
                <w:rFonts w:ascii="Arial" w:eastAsia="Arial Unicode MS" w:hAnsi="Arial" w:cs="Arial"/>
                <w:szCs w:val="22"/>
              </w:rPr>
              <w:t>egotiation</w:t>
            </w:r>
            <w:r w:rsidRPr="00CD2E2F">
              <w:rPr>
                <w:rFonts w:ascii="Arial" w:eastAsia="Arial Unicode MS" w:hAnsi="Arial" w:cs="Arial"/>
                <w:szCs w:val="22"/>
              </w:rPr>
              <w:t>s</w:t>
            </w:r>
            <w:r w:rsidR="00693099" w:rsidRPr="00CD2E2F">
              <w:rPr>
                <w:rFonts w:ascii="Arial" w:eastAsia="Arial Unicode MS" w:hAnsi="Arial" w:cs="Arial"/>
                <w:szCs w:val="22"/>
              </w:rPr>
              <w:t xml:space="preserve"> with the S</w:t>
            </w:r>
            <w:r w:rsidRPr="00CD2E2F">
              <w:rPr>
                <w:rFonts w:ascii="Arial" w:eastAsia="Arial Unicode MS" w:hAnsi="Arial" w:cs="Arial"/>
                <w:szCs w:val="22"/>
              </w:rPr>
              <w:t xml:space="preserve">cottish </w:t>
            </w:r>
            <w:r w:rsidR="00693099" w:rsidRPr="00CD2E2F">
              <w:rPr>
                <w:rFonts w:ascii="Arial" w:eastAsia="Arial Unicode MS" w:hAnsi="Arial" w:cs="Arial"/>
                <w:szCs w:val="22"/>
              </w:rPr>
              <w:t>G</w:t>
            </w:r>
            <w:r w:rsidRPr="00CD2E2F">
              <w:rPr>
                <w:rFonts w:ascii="Arial" w:eastAsia="Arial Unicode MS" w:hAnsi="Arial" w:cs="Arial"/>
                <w:szCs w:val="22"/>
              </w:rPr>
              <w:t>overnment have allowed planning to begin for an electrophysiology</w:t>
            </w:r>
            <w:r w:rsidR="00693099" w:rsidRPr="00CD2E2F">
              <w:rPr>
                <w:rFonts w:ascii="Arial" w:eastAsia="Arial Unicode MS" w:hAnsi="Arial" w:cs="Arial"/>
                <w:szCs w:val="22"/>
              </w:rPr>
              <w:t xml:space="preserve"> capab</w:t>
            </w:r>
            <w:r w:rsidRPr="00CD2E2F">
              <w:rPr>
                <w:rFonts w:ascii="Arial" w:eastAsia="Arial Unicode MS" w:hAnsi="Arial" w:cs="Arial"/>
                <w:szCs w:val="22"/>
              </w:rPr>
              <w:t xml:space="preserve">le, mobile </w:t>
            </w:r>
            <w:proofErr w:type="spellStart"/>
            <w:r w:rsidRPr="00CD2E2F">
              <w:rPr>
                <w:rFonts w:ascii="Arial" w:eastAsia="Arial Unicode MS" w:hAnsi="Arial" w:cs="Arial"/>
                <w:szCs w:val="22"/>
              </w:rPr>
              <w:t>cath</w:t>
            </w:r>
            <w:proofErr w:type="spellEnd"/>
            <w:r w:rsidRPr="00CD2E2F">
              <w:rPr>
                <w:rFonts w:ascii="Arial" w:eastAsia="Arial Unicode MS" w:hAnsi="Arial" w:cs="Arial"/>
                <w:szCs w:val="22"/>
              </w:rPr>
              <w:t xml:space="preserve"> lab to be on site for eight</w:t>
            </w:r>
            <w:r w:rsidR="00693099" w:rsidRPr="00CD2E2F">
              <w:rPr>
                <w:rFonts w:ascii="Arial" w:eastAsia="Arial Unicode MS" w:hAnsi="Arial" w:cs="Arial"/>
                <w:szCs w:val="22"/>
              </w:rPr>
              <w:t xml:space="preserve"> weeks in early autumn.</w:t>
            </w:r>
          </w:p>
          <w:p w:rsidR="00DA2992" w:rsidRPr="00CD2E2F" w:rsidRDefault="00DA2992" w:rsidP="00693099">
            <w:pPr>
              <w:jc w:val="both"/>
              <w:rPr>
                <w:rFonts w:ascii="Arial" w:eastAsia="Arial Unicode MS" w:hAnsi="Arial" w:cs="Arial"/>
                <w:szCs w:val="22"/>
              </w:rPr>
            </w:pPr>
          </w:p>
          <w:p w:rsidR="006C12CC" w:rsidRPr="00CD2E2F" w:rsidRDefault="00DA2992" w:rsidP="00CD2E2F">
            <w:pPr>
              <w:jc w:val="both"/>
              <w:rPr>
                <w:rFonts w:ascii="Arial" w:eastAsia="Arial Unicode MS" w:hAnsi="Arial" w:cs="Arial"/>
                <w:sz w:val="28"/>
              </w:rPr>
            </w:pPr>
            <w:r w:rsidRPr="00CD2E2F">
              <w:rPr>
                <w:rFonts w:ascii="Arial" w:eastAsia="Arial Unicode MS" w:hAnsi="Arial" w:cs="Arial"/>
                <w:szCs w:val="22"/>
              </w:rPr>
              <w:t>As at 15 May there were 74 patients on the device waiting list with five patients waiting over 12 weeks. Ad</w:t>
            </w:r>
            <w:r w:rsidR="00CD2E2F">
              <w:rPr>
                <w:rFonts w:ascii="Arial" w:eastAsia="Arial Unicode MS" w:hAnsi="Arial" w:cs="Arial"/>
                <w:szCs w:val="22"/>
              </w:rPr>
              <w:t>ditional lists have been secure</w:t>
            </w:r>
            <w:r w:rsidRPr="00CD2E2F">
              <w:rPr>
                <w:rFonts w:ascii="Arial" w:eastAsia="Arial Unicode MS" w:hAnsi="Arial" w:cs="Arial"/>
                <w:szCs w:val="22"/>
              </w:rPr>
              <w:t xml:space="preserve">d which has resulted in a reduction in the total waiting list size. </w:t>
            </w:r>
          </w:p>
        </w:tc>
        <w:tc>
          <w:tcPr>
            <w:tcW w:w="1985" w:type="dxa"/>
          </w:tcPr>
          <w:p w:rsidR="006C12CC" w:rsidRPr="00CD2E2F" w:rsidRDefault="006C12CC" w:rsidP="008200C3">
            <w:pPr>
              <w:spacing w:after="240"/>
              <w:rPr>
                <w:rFonts w:ascii="Arial" w:hAnsi="Arial" w:cs="Arial"/>
                <w:lang w:val="fr-FR"/>
              </w:rPr>
            </w:pPr>
            <w:r w:rsidRPr="00CD2E2F">
              <w:rPr>
                <w:rFonts w:ascii="Arial" w:hAnsi="Arial" w:cs="Arial"/>
                <w:lang w:val="fr-FR"/>
              </w:rPr>
              <w:t>Lynne Ayton</w:t>
            </w:r>
          </w:p>
        </w:tc>
        <w:tc>
          <w:tcPr>
            <w:tcW w:w="1630" w:type="dxa"/>
          </w:tcPr>
          <w:p w:rsidR="006C12CC" w:rsidRPr="00CD2E2F" w:rsidRDefault="006C12CC" w:rsidP="008200C3">
            <w:pPr>
              <w:spacing w:after="240"/>
              <w:rPr>
                <w:rFonts w:ascii="Arial" w:hAnsi="Arial" w:cs="Arial"/>
              </w:rPr>
            </w:pPr>
            <w:r w:rsidRPr="00CD2E2F">
              <w:rPr>
                <w:rFonts w:ascii="Arial" w:hAnsi="Arial" w:cs="Arial"/>
              </w:rPr>
              <w:t>Ongoing</w:t>
            </w:r>
          </w:p>
        </w:tc>
      </w:tr>
      <w:tr w:rsidR="006C12CC" w:rsidRPr="000C34A9" w:rsidTr="008200C3">
        <w:trPr>
          <w:trHeight w:val="433"/>
        </w:trPr>
        <w:tc>
          <w:tcPr>
            <w:tcW w:w="1951" w:type="dxa"/>
          </w:tcPr>
          <w:p w:rsidR="006C12CC" w:rsidRPr="00CD2E2F" w:rsidRDefault="006C12CC" w:rsidP="008200C3">
            <w:pPr>
              <w:spacing w:after="240"/>
              <w:rPr>
                <w:rFonts w:ascii="Arial" w:eastAsia="Arial Unicode MS" w:hAnsi="Arial" w:cs="Arial"/>
              </w:rPr>
            </w:pPr>
            <w:proofErr w:type="spellStart"/>
            <w:r w:rsidRPr="00CD2E2F">
              <w:rPr>
                <w:rFonts w:ascii="Arial" w:hAnsi="Arial" w:cs="Arial"/>
              </w:rPr>
              <w:lastRenderedPageBreak/>
              <w:t>Transcatheter</w:t>
            </w:r>
            <w:proofErr w:type="spellEnd"/>
            <w:r w:rsidRPr="00CD2E2F">
              <w:rPr>
                <w:rFonts w:ascii="Arial" w:hAnsi="Arial" w:cs="Arial"/>
              </w:rPr>
              <w:t xml:space="preserve"> aortic valve implantation</w:t>
            </w:r>
            <w:r w:rsidRPr="00CD2E2F">
              <w:rPr>
                <w:rStyle w:val="y0nh2b"/>
                <w:rFonts w:ascii="Arial" w:hAnsi="Arial" w:cs="Arial"/>
                <w:color w:val="222222"/>
              </w:rPr>
              <w:t xml:space="preserve"> (</w:t>
            </w:r>
            <w:r w:rsidRPr="00CD2E2F">
              <w:rPr>
                <w:rFonts w:ascii="Arial" w:eastAsia="Arial Unicode MS" w:hAnsi="Arial" w:cs="Arial"/>
              </w:rPr>
              <w:t>TAVI)</w:t>
            </w:r>
          </w:p>
        </w:tc>
        <w:tc>
          <w:tcPr>
            <w:tcW w:w="8363" w:type="dxa"/>
          </w:tcPr>
          <w:p w:rsidR="00DA2992" w:rsidRPr="00CD2E2F" w:rsidRDefault="00DA2992" w:rsidP="00970E45">
            <w:pPr>
              <w:rPr>
                <w:rFonts w:ascii="Arial" w:hAnsi="Arial" w:cs="Arial"/>
                <w:noProof/>
                <w:szCs w:val="22"/>
              </w:rPr>
            </w:pPr>
            <w:r w:rsidRPr="00CD2E2F">
              <w:rPr>
                <w:rFonts w:ascii="Arial" w:hAnsi="Arial" w:cs="Arial"/>
                <w:noProof/>
                <w:szCs w:val="22"/>
              </w:rPr>
              <w:t xml:space="preserve">Following the success of the first year, the service has developed a transition plan to increase activity in line with </w:t>
            </w:r>
            <w:r w:rsidR="00FB4B58">
              <w:rPr>
                <w:rFonts w:ascii="Arial" w:hAnsi="Arial" w:cs="Arial"/>
                <w:noProof/>
                <w:szCs w:val="22"/>
              </w:rPr>
              <w:t>the National Planning Board</w:t>
            </w:r>
            <w:r w:rsidRPr="00CD2E2F">
              <w:rPr>
                <w:rFonts w:ascii="Arial" w:hAnsi="Arial" w:cs="Arial"/>
                <w:noProof/>
                <w:szCs w:val="22"/>
              </w:rPr>
              <w:t xml:space="preserve"> recommendations</w:t>
            </w:r>
            <w:r w:rsidR="00FB4B58">
              <w:rPr>
                <w:rFonts w:ascii="Arial" w:hAnsi="Arial" w:cs="Arial"/>
                <w:noProof/>
                <w:szCs w:val="22"/>
              </w:rPr>
              <w:t>, which are still to be ratified by the CEOs in June</w:t>
            </w:r>
            <w:r w:rsidRPr="00CD2E2F">
              <w:rPr>
                <w:rFonts w:ascii="Arial" w:hAnsi="Arial" w:cs="Arial"/>
                <w:noProof/>
                <w:szCs w:val="22"/>
              </w:rPr>
              <w:t>.  It is anticipated that GJNH will be asked to deliver approximately 130 procedures in 2019/20 and it is fundamental that this increase does not compromise the existing service.  The key factor in ensuring there is no impact on other activity is the availability of inpatient beds, and we are working closely with surgical colleagues to ensure that beds are available. Some of the developments in the service which are likely to be implemented in Year 2 as the service evolves are:</w:t>
            </w:r>
          </w:p>
          <w:p w:rsidR="00DA2992" w:rsidRPr="00CD2E2F" w:rsidRDefault="00DA2992" w:rsidP="00DA2992">
            <w:pPr>
              <w:jc w:val="both"/>
              <w:rPr>
                <w:rFonts w:ascii="Arial" w:hAnsi="Arial" w:cs="Arial"/>
                <w:noProof/>
                <w:szCs w:val="22"/>
              </w:rPr>
            </w:pPr>
          </w:p>
          <w:p w:rsidR="00DA2992" w:rsidRPr="00CD2E2F" w:rsidRDefault="00DA2992" w:rsidP="00DA2992">
            <w:pPr>
              <w:pStyle w:val="ListParagraph"/>
              <w:numPr>
                <w:ilvl w:val="0"/>
                <w:numId w:val="4"/>
              </w:numPr>
              <w:spacing w:after="0" w:line="240" w:lineRule="auto"/>
              <w:jc w:val="both"/>
              <w:rPr>
                <w:rFonts w:ascii="Arial" w:hAnsi="Arial" w:cs="Arial"/>
                <w:noProof/>
                <w:sz w:val="24"/>
              </w:rPr>
            </w:pPr>
            <w:r w:rsidRPr="00CD2E2F">
              <w:rPr>
                <w:rFonts w:ascii="Arial" w:hAnsi="Arial" w:cs="Arial"/>
                <w:noProof/>
                <w:sz w:val="24"/>
              </w:rPr>
              <w:t>Introduction of a second valve</w:t>
            </w:r>
          </w:p>
          <w:p w:rsidR="00DA2992" w:rsidRPr="00CD2E2F" w:rsidRDefault="00DA2992" w:rsidP="00DA2992">
            <w:pPr>
              <w:pStyle w:val="ListParagraph"/>
              <w:numPr>
                <w:ilvl w:val="0"/>
                <w:numId w:val="4"/>
              </w:numPr>
              <w:spacing w:after="0" w:line="240" w:lineRule="auto"/>
              <w:jc w:val="both"/>
              <w:rPr>
                <w:rFonts w:ascii="Arial" w:hAnsi="Arial" w:cs="Arial"/>
                <w:noProof/>
                <w:sz w:val="24"/>
              </w:rPr>
            </w:pPr>
            <w:r w:rsidRPr="00CD2E2F">
              <w:rPr>
                <w:rFonts w:ascii="Arial" w:hAnsi="Arial" w:cs="Arial"/>
                <w:noProof/>
                <w:sz w:val="24"/>
              </w:rPr>
              <w:t>Review of anaesthetic protocol with a view to move towards conscious sedation for non complex patients</w:t>
            </w:r>
          </w:p>
          <w:p w:rsidR="00DA2992" w:rsidRPr="00CD2E2F" w:rsidRDefault="00DA2992" w:rsidP="00DA2992">
            <w:pPr>
              <w:pStyle w:val="ListParagraph"/>
              <w:numPr>
                <w:ilvl w:val="0"/>
                <w:numId w:val="4"/>
              </w:numPr>
              <w:spacing w:after="0" w:line="240" w:lineRule="auto"/>
              <w:jc w:val="both"/>
              <w:rPr>
                <w:rFonts w:ascii="Arial" w:hAnsi="Arial" w:cs="Arial"/>
                <w:noProof/>
                <w:sz w:val="24"/>
              </w:rPr>
            </w:pPr>
            <w:r w:rsidRPr="00CD2E2F">
              <w:rPr>
                <w:rFonts w:ascii="Arial" w:hAnsi="Arial" w:cs="Arial"/>
                <w:noProof/>
                <w:sz w:val="24"/>
              </w:rPr>
              <w:t>Review of vascular cover – moving towards on call cover for majority of lists</w:t>
            </w:r>
          </w:p>
          <w:p w:rsidR="00DA2992" w:rsidRPr="00CD2E2F" w:rsidRDefault="00DA2992" w:rsidP="00DA2992">
            <w:pPr>
              <w:pStyle w:val="ListParagraph"/>
              <w:numPr>
                <w:ilvl w:val="0"/>
                <w:numId w:val="4"/>
              </w:numPr>
              <w:spacing w:after="0" w:line="240" w:lineRule="auto"/>
              <w:jc w:val="both"/>
              <w:rPr>
                <w:rFonts w:ascii="Arial" w:hAnsi="Arial" w:cs="Arial"/>
                <w:noProof/>
                <w:sz w:val="24"/>
              </w:rPr>
            </w:pPr>
            <w:r w:rsidRPr="00CD2E2F">
              <w:rPr>
                <w:rFonts w:ascii="Arial" w:hAnsi="Arial" w:cs="Arial"/>
                <w:noProof/>
                <w:sz w:val="24"/>
              </w:rPr>
              <w:t>Increase n</w:t>
            </w:r>
            <w:r w:rsidR="00735A6B">
              <w:rPr>
                <w:rFonts w:ascii="Arial" w:hAnsi="Arial" w:cs="Arial"/>
                <w:noProof/>
                <w:sz w:val="24"/>
              </w:rPr>
              <w:t>umber</w:t>
            </w:r>
            <w:r w:rsidRPr="00CD2E2F">
              <w:rPr>
                <w:rFonts w:ascii="Arial" w:hAnsi="Arial" w:cs="Arial"/>
                <w:noProof/>
                <w:sz w:val="24"/>
              </w:rPr>
              <w:t xml:space="preserve"> of procedures </w:t>
            </w:r>
            <w:r w:rsidR="00735A6B">
              <w:rPr>
                <w:rFonts w:ascii="Arial" w:hAnsi="Arial" w:cs="Arial"/>
                <w:noProof/>
                <w:sz w:val="24"/>
              </w:rPr>
              <w:t xml:space="preserve">carried out </w:t>
            </w:r>
            <w:r w:rsidRPr="00CD2E2F">
              <w:rPr>
                <w:rFonts w:ascii="Arial" w:hAnsi="Arial" w:cs="Arial"/>
                <w:noProof/>
                <w:sz w:val="24"/>
              </w:rPr>
              <w:t>per day from 3 to 4 for non complex</w:t>
            </w:r>
          </w:p>
          <w:p w:rsidR="006C12CC" w:rsidRPr="00970E45" w:rsidRDefault="00DA2992" w:rsidP="00970E45">
            <w:pPr>
              <w:pStyle w:val="ListParagraph"/>
              <w:numPr>
                <w:ilvl w:val="0"/>
                <w:numId w:val="4"/>
              </w:numPr>
              <w:spacing w:after="0" w:line="240" w:lineRule="auto"/>
              <w:jc w:val="both"/>
              <w:rPr>
                <w:rFonts w:ascii="Arial" w:hAnsi="Arial" w:cs="Arial"/>
              </w:rPr>
            </w:pPr>
            <w:r w:rsidRPr="00CD2E2F">
              <w:rPr>
                <w:rFonts w:ascii="Arial" w:hAnsi="Arial" w:cs="Arial"/>
                <w:noProof/>
                <w:sz w:val="24"/>
              </w:rPr>
              <w:t xml:space="preserve">Admission of patients to 2C /2D instead of CCU immediately post procedure. </w:t>
            </w:r>
          </w:p>
        </w:tc>
        <w:tc>
          <w:tcPr>
            <w:tcW w:w="1985" w:type="dxa"/>
          </w:tcPr>
          <w:p w:rsidR="006C12CC" w:rsidRPr="00CD2E2F" w:rsidRDefault="006C12CC" w:rsidP="008200C3">
            <w:pPr>
              <w:spacing w:after="240"/>
              <w:rPr>
                <w:rFonts w:ascii="Arial" w:hAnsi="Arial" w:cs="Arial"/>
                <w:lang w:val="fr-FR"/>
              </w:rPr>
            </w:pPr>
            <w:r w:rsidRPr="00CD2E2F">
              <w:rPr>
                <w:rFonts w:ascii="Arial" w:hAnsi="Arial" w:cs="Arial"/>
                <w:lang w:val="fr-FR"/>
              </w:rPr>
              <w:t>Lynne Ayton</w:t>
            </w:r>
          </w:p>
        </w:tc>
        <w:tc>
          <w:tcPr>
            <w:tcW w:w="1630" w:type="dxa"/>
          </w:tcPr>
          <w:p w:rsidR="006C12CC" w:rsidRPr="00CD2E2F" w:rsidRDefault="006C12CC" w:rsidP="008200C3">
            <w:pPr>
              <w:spacing w:after="240"/>
              <w:rPr>
                <w:rFonts w:ascii="Arial" w:hAnsi="Arial" w:cs="Arial"/>
              </w:rPr>
            </w:pPr>
            <w:r w:rsidRPr="00CD2E2F">
              <w:rPr>
                <w:rFonts w:ascii="Arial" w:hAnsi="Arial" w:cs="Arial"/>
              </w:rPr>
              <w:t>Ongoing</w:t>
            </w:r>
          </w:p>
        </w:tc>
      </w:tr>
      <w:tr w:rsidR="006C12CC" w:rsidRPr="000C34A9" w:rsidTr="008200C3">
        <w:trPr>
          <w:trHeight w:val="433"/>
        </w:trPr>
        <w:tc>
          <w:tcPr>
            <w:tcW w:w="1951" w:type="dxa"/>
          </w:tcPr>
          <w:p w:rsidR="006C12CC" w:rsidRPr="000C34A9" w:rsidRDefault="006C12CC" w:rsidP="008200C3">
            <w:pPr>
              <w:spacing w:after="240"/>
              <w:rPr>
                <w:rFonts w:ascii="Arial" w:hAnsi="Arial" w:cs="Arial"/>
                <w:highlight w:val="yellow"/>
              </w:rPr>
            </w:pPr>
            <w:r w:rsidRPr="008150B6">
              <w:rPr>
                <w:rFonts w:ascii="Arial" w:hAnsi="Arial" w:cs="Arial"/>
              </w:rPr>
              <w:t>Scottish Pulmonary Vascular Unit (SPVU)</w:t>
            </w:r>
          </w:p>
        </w:tc>
        <w:tc>
          <w:tcPr>
            <w:tcW w:w="8363" w:type="dxa"/>
          </w:tcPr>
          <w:p w:rsidR="006C12CC" w:rsidRPr="008150B6" w:rsidRDefault="006C12CC" w:rsidP="008200C3">
            <w:pPr>
              <w:spacing w:after="240"/>
              <w:rPr>
                <w:rFonts w:ascii="Arial" w:hAnsi="Arial" w:cs="Arial"/>
              </w:rPr>
            </w:pPr>
            <w:r w:rsidRPr="008150B6">
              <w:rPr>
                <w:rFonts w:ascii="Arial" w:hAnsi="Arial" w:cs="Arial"/>
              </w:rPr>
              <w:t>Two outreach clinics for review patients in NHS Lothian have now taken place with positive patient feedback.</w:t>
            </w:r>
          </w:p>
          <w:p w:rsidR="006C12CC" w:rsidRPr="000C34A9" w:rsidRDefault="006C12CC" w:rsidP="008200C3">
            <w:pPr>
              <w:spacing w:after="240"/>
              <w:rPr>
                <w:rFonts w:ascii="Arial" w:hAnsi="Arial" w:cs="Arial"/>
                <w:highlight w:val="yellow"/>
              </w:rPr>
            </w:pPr>
            <w:r w:rsidRPr="008150B6">
              <w:rPr>
                <w:rFonts w:ascii="Arial" w:hAnsi="Arial" w:cs="Arial"/>
              </w:rPr>
              <w:t>The increase in outreach clinics, in conjunction with the consultant appointment has enabled the service to increase clinic capacity and improve access for patients at the sam</w:t>
            </w:r>
            <w:r w:rsidR="008150B6">
              <w:rPr>
                <w:rFonts w:ascii="Arial" w:hAnsi="Arial" w:cs="Arial"/>
              </w:rPr>
              <w:t xml:space="preserve">e time as reducing the regular Waiting </w:t>
            </w:r>
            <w:r w:rsidRPr="008150B6">
              <w:rPr>
                <w:rFonts w:ascii="Arial" w:hAnsi="Arial" w:cs="Arial"/>
              </w:rPr>
              <w:t>L</w:t>
            </w:r>
            <w:r w:rsidR="008150B6">
              <w:rPr>
                <w:rFonts w:ascii="Arial" w:hAnsi="Arial" w:cs="Arial"/>
              </w:rPr>
              <w:t xml:space="preserve">ist </w:t>
            </w:r>
            <w:r w:rsidRPr="008150B6">
              <w:rPr>
                <w:rFonts w:ascii="Arial" w:hAnsi="Arial" w:cs="Arial"/>
              </w:rPr>
              <w:t>I</w:t>
            </w:r>
            <w:r w:rsidR="008150B6">
              <w:rPr>
                <w:rFonts w:ascii="Arial" w:hAnsi="Arial" w:cs="Arial"/>
              </w:rPr>
              <w:t>nitiative</w:t>
            </w:r>
            <w:r w:rsidRPr="008150B6">
              <w:rPr>
                <w:rFonts w:ascii="Arial" w:hAnsi="Arial" w:cs="Arial"/>
              </w:rPr>
              <w:t xml:space="preserve"> clinics.  </w:t>
            </w:r>
          </w:p>
          <w:p w:rsidR="006C12CC" w:rsidRPr="000C34A9" w:rsidRDefault="006C12CC" w:rsidP="008200C3">
            <w:pPr>
              <w:spacing w:after="240"/>
              <w:rPr>
                <w:rFonts w:ascii="Arial" w:hAnsi="Arial" w:cs="Arial"/>
                <w:highlight w:val="yellow"/>
              </w:rPr>
            </w:pPr>
            <w:r w:rsidRPr="00BA2FCA">
              <w:rPr>
                <w:rFonts w:ascii="Arial" w:hAnsi="Arial" w:cs="Arial"/>
              </w:rPr>
              <w:t>The numbers of patients waiting for inpatient / diagnostic procedures have also decreased. A</w:t>
            </w:r>
            <w:r w:rsidR="00BA2FCA" w:rsidRPr="00BA2FCA">
              <w:rPr>
                <w:rFonts w:ascii="Arial" w:hAnsi="Arial" w:cs="Arial"/>
              </w:rPr>
              <w:t>s of 13 March 2019 there were 11</w:t>
            </w:r>
            <w:r w:rsidRPr="00BA2FCA">
              <w:rPr>
                <w:rFonts w:ascii="Arial" w:hAnsi="Arial" w:cs="Arial"/>
              </w:rPr>
              <w:t xml:space="preserve"> patients on the waiting list, compared to a peak of over 40 during the summer of 2018.</w:t>
            </w:r>
          </w:p>
        </w:tc>
        <w:tc>
          <w:tcPr>
            <w:tcW w:w="1985" w:type="dxa"/>
          </w:tcPr>
          <w:p w:rsidR="006C12CC" w:rsidRPr="008150B6" w:rsidRDefault="006C12CC" w:rsidP="008200C3">
            <w:pPr>
              <w:spacing w:after="240"/>
              <w:rPr>
                <w:rFonts w:ascii="Arial" w:hAnsi="Arial" w:cs="Arial"/>
                <w:lang w:val="fr-FR"/>
              </w:rPr>
            </w:pPr>
            <w:r w:rsidRPr="008150B6">
              <w:rPr>
                <w:rFonts w:ascii="Arial" w:hAnsi="Arial" w:cs="Arial"/>
                <w:lang w:val="fr-FR"/>
              </w:rPr>
              <w:t>Lynne Ayton</w:t>
            </w:r>
          </w:p>
        </w:tc>
        <w:tc>
          <w:tcPr>
            <w:tcW w:w="1630" w:type="dxa"/>
          </w:tcPr>
          <w:p w:rsidR="006C12CC" w:rsidRPr="008150B6" w:rsidRDefault="006C12CC" w:rsidP="008200C3">
            <w:pPr>
              <w:spacing w:after="240"/>
              <w:rPr>
                <w:rFonts w:ascii="Arial" w:hAnsi="Arial" w:cs="Arial"/>
              </w:rPr>
            </w:pPr>
            <w:r w:rsidRPr="008150B6">
              <w:rPr>
                <w:rFonts w:ascii="Arial" w:hAnsi="Arial" w:cs="Arial"/>
              </w:rPr>
              <w:t>Ongoing</w:t>
            </w:r>
          </w:p>
        </w:tc>
      </w:tr>
      <w:tr w:rsidR="006C12CC" w:rsidRPr="000C34A9" w:rsidTr="008200C3">
        <w:trPr>
          <w:trHeight w:val="433"/>
        </w:trPr>
        <w:tc>
          <w:tcPr>
            <w:tcW w:w="1951" w:type="dxa"/>
          </w:tcPr>
          <w:p w:rsidR="006C12CC" w:rsidRPr="00BA2FCA" w:rsidRDefault="006C12CC" w:rsidP="008200C3">
            <w:pPr>
              <w:spacing w:after="240"/>
              <w:rPr>
                <w:rFonts w:ascii="Arial" w:hAnsi="Arial" w:cs="Arial"/>
              </w:rPr>
            </w:pPr>
            <w:r w:rsidRPr="00BA2FCA">
              <w:rPr>
                <w:rFonts w:ascii="Arial" w:hAnsi="Arial" w:cs="Arial"/>
              </w:rPr>
              <w:lastRenderedPageBreak/>
              <w:t>Radiology</w:t>
            </w:r>
          </w:p>
        </w:tc>
        <w:tc>
          <w:tcPr>
            <w:tcW w:w="8363" w:type="dxa"/>
          </w:tcPr>
          <w:p w:rsidR="00F74CCA" w:rsidRPr="00BA2FCA" w:rsidRDefault="00F74CCA" w:rsidP="00F74CCA">
            <w:pPr>
              <w:rPr>
                <w:rFonts w:ascii="Arial" w:hAnsi="Arial" w:cs="Arial"/>
                <w:szCs w:val="22"/>
              </w:rPr>
            </w:pPr>
            <w:r w:rsidRPr="00BA2FCA">
              <w:rPr>
                <w:rFonts w:ascii="Arial" w:hAnsi="Arial" w:cs="Arial"/>
                <w:szCs w:val="22"/>
              </w:rPr>
              <w:t>Radiology waiting times work against full year plan remains ahead of target</w:t>
            </w:r>
            <w:r w:rsidR="00ED0208">
              <w:rPr>
                <w:rFonts w:ascii="Arial" w:hAnsi="Arial" w:cs="Arial"/>
                <w:szCs w:val="22"/>
              </w:rPr>
              <w:t>.</w:t>
            </w:r>
            <w:r w:rsidRPr="00BA2FCA">
              <w:rPr>
                <w:rFonts w:ascii="Arial" w:hAnsi="Arial" w:cs="Arial"/>
                <w:szCs w:val="22"/>
              </w:rPr>
              <w:t xml:space="preserve"> </w:t>
            </w:r>
            <w:r w:rsidR="00ED0208" w:rsidRPr="00CF6328">
              <w:rPr>
                <w:rFonts w:ascii="Arial" w:hAnsi="Arial" w:cs="Arial"/>
                <w:szCs w:val="22"/>
              </w:rPr>
              <w:t>R</w:t>
            </w:r>
            <w:r w:rsidRPr="00CF6328">
              <w:rPr>
                <w:rFonts w:ascii="Arial" w:hAnsi="Arial" w:cs="Arial"/>
                <w:szCs w:val="22"/>
              </w:rPr>
              <w:t>educed capacity within r</w:t>
            </w:r>
            <w:r w:rsidR="002C6DFF" w:rsidRPr="00CF6328">
              <w:rPr>
                <w:rFonts w:ascii="Arial" w:hAnsi="Arial" w:cs="Arial"/>
                <w:szCs w:val="22"/>
              </w:rPr>
              <w:t>adiologists reporting sessions</w:t>
            </w:r>
            <w:r w:rsidR="00ED0208" w:rsidRPr="00CF6328">
              <w:rPr>
                <w:rFonts w:ascii="Arial" w:hAnsi="Arial" w:cs="Arial"/>
                <w:szCs w:val="22"/>
              </w:rPr>
              <w:t>, as a result of a UK shortage</w:t>
            </w:r>
            <w:r w:rsidR="002C6DFF" w:rsidRPr="00CF6328">
              <w:rPr>
                <w:rFonts w:ascii="Arial" w:hAnsi="Arial" w:cs="Arial"/>
                <w:szCs w:val="22"/>
              </w:rPr>
              <w:t>, coupled with high scanning activity</w:t>
            </w:r>
            <w:r w:rsidR="00ED0208" w:rsidRPr="00CF6328">
              <w:rPr>
                <w:rFonts w:ascii="Arial" w:hAnsi="Arial" w:cs="Arial"/>
                <w:szCs w:val="22"/>
              </w:rPr>
              <w:t>,</w:t>
            </w:r>
            <w:r w:rsidRPr="00CF6328">
              <w:rPr>
                <w:rFonts w:ascii="Arial" w:hAnsi="Arial" w:cs="Arial"/>
                <w:szCs w:val="22"/>
              </w:rPr>
              <w:t xml:space="preserve"> is causing a backlog </w:t>
            </w:r>
            <w:r w:rsidR="00ED0208" w:rsidRPr="00CF6328">
              <w:rPr>
                <w:rFonts w:ascii="Arial" w:hAnsi="Arial" w:cs="Arial"/>
                <w:szCs w:val="22"/>
              </w:rPr>
              <w:t>with</w:t>
            </w:r>
            <w:r w:rsidRPr="00CF6328">
              <w:rPr>
                <w:rFonts w:ascii="Arial" w:hAnsi="Arial" w:cs="Arial"/>
                <w:szCs w:val="22"/>
              </w:rPr>
              <w:t xml:space="preserve"> reports</w:t>
            </w:r>
            <w:r w:rsidR="00ED0208" w:rsidRPr="00CF6328">
              <w:rPr>
                <w:rFonts w:ascii="Arial" w:hAnsi="Arial" w:cs="Arial"/>
                <w:szCs w:val="22"/>
              </w:rPr>
              <w:t xml:space="preserve">, however reporting on urgent scans continues to be prioritised. </w:t>
            </w:r>
            <w:r w:rsidRPr="00CF6328">
              <w:rPr>
                <w:rFonts w:ascii="Arial" w:hAnsi="Arial" w:cs="Arial"/>
                <w:szCs w:val="22"/>
              </w:rPr>
              <w:t xml:space="preserve">An intensive review will commence reporting </w:t>
            </w:r>
            <w:r w:rsidR="00ED0208" w:rsidRPr="00CF6328">
              <w:rPr>
                <w:rFonts w:ascii="Arial" w:hAnsi="Arial" w:cs="Arial"/>
                <w:szCs w:val="22"/>
              </w:rPr>
              <w:t>to</w:t>
            </w:r>
            <w:r w:rsidRPr="00CF6328">
              <w:rPr>
                <w:rFonts w:ascii="Arial" w:hAnsi="Arial" w:cs="Arial"/>
                <w:szCs w:val="22"/>
              </w:rPr>
              <w:t xml:space="preserve"> the Performance and Planning Committee in July.</w:t>
            </w:r>
          </w:p>
          <w:p w:rsidR="00F74CCA" w:rsidRPr="00BA2FCA" w:rsidRDefault="00F74CCA" w:rsidP="00F74CCA">
            <w:pPr>
              <w:rPr>
                <w:rFonts w:ascii="Arial" w:hAnsi="Arial" w:cs="Arial"/>
                <w:sz w:val="28"/>
              </w:rPr>
            </w:pPr>
          </w:p>
          <w:p w:rsidR="00B97B78" w:rsidRPr="00BA2FCA" w:rsidRDefault="006C12CC" w:rsidP="006B1567">
            <w:pPr>
              <w:spacing w:after="240"/>
              <w:rPr>
                <w:rFonts w:ascii="Arial" w:hAnsi="Arial" w:cs="Arial"/>
                <w:szCs w:val="22"/>
              </w:rPr>
            </w:pPr>
            <w:r w:rsidRPr="00BA2FCA">
              <w:rPr>
                <w:rFonts w:ascii="Arial" w:hAnsi="Arial" w:cs="Arial"/>
                <w:szCs w:val="22"/>
              </w:rPr>
              <w:t xml:space="preserve">The second CT scanner </w:t>
            </w:r>
            <w:r w:rsidR="00B97B78" w:rsidRPr="00BA2FCA">
              <w:rPr>
                <w:rFonts w:ascii="Arial" w:hAnsi="Arial" w:cs="Arial"/>
                <w:szCs w:val="22"/>
              </w:rPr>
              <w:t xml:space="preserve">was </w:t>
            </w:r>
            <w:r w:rsidRPr="00BA2FCA">
              <w:rPr>
                <w:rFonts w:ascii="Arial" w:hAnsi="Arial" w:cs="Arial"/>
                <w:szCs w:val="22"/>
              </w:rPr>
              <w:t>operation</w:t>
            </w:r>
            <w:r w:rsidR="00B97B78" w:rsidRPr="00BA2FCA">
              <w:rPr>
                <w:rFonts w:ascii="Arial" w:hAnsi="Arial" w:cs="Arial"/>
                <w:szCs w:val="22"/>
              </w:rPr>
              <w:t>al, two weeks ahead of schedule. The cardiac applications will be operational from June, providing full functionality of the new scanner.</w:t>
            </w:r>
          </w:p>
          <w:p w:rsidR="006C12CC" w:rsidRPr="00BA2FCA" w:rsidRDefault="00B97B78" w:rsidP="00B97B78">
            <w:pPr>
              <w:spacing w:after="240"/>
              <w:rPr>
                <w:rFonts w:ascii="Arial" w:hAnsi="Arial" w:cs="Arial"/>
                <w:szCs w:val="22"/>
              </w:rPr>
            </w:pPr>
            <w:r w:rsidRPr="00BA2FCA">
              <w:rPr>
                <w:rFonts w:ascii="Arial" w:hAnsi="Arial" w:cs="Arial"/>
                <w:szCs w:val="22"/>
              </w:rPr>
              <w:t xml:space="preserve">The primary MRI </w:t>
            </w:r>
            <w:r w:rsidR="006402E9">
              <w:rPr>
                <w:rFonts w:ascii="Arial" w:hAnsi="Arial" w:cs="Arial"/>
                <w:szCs w:val="22"/>
              </w:rPr>
              <w:t xml:space="preserve">scanner </w:t>
            </w:r>
            <w:r w:rsidRPr="00BA2FCA">
              <w:rPr>
                <w:rFonts w:ascii="Arial" w:hAnsi="Arial" w:cs="Arial"/>
                <w:szCs w:val="22"/>
              </w:rPr>
              <w:t>has now been replaced with the first patient scheduled to be scanned on 27 May 2019.</w:t>
            </w:r>
          </w:p>
        </w:tc>
        <w:tc>
          <w:tcPr>
            <w:tcW w:w="1985" w:type="dxa"/>
          </w:tcPr>
          <w:p w:rsidR="006C12CC" w:rsidRPr="00BA2FCA" w:rsidRDefault="006C12CC" w:rsidP="008200C3">
            <w:pPr>
              <w:spacing w:after="240"/>
              <w:rPr>
                <w:rFonts w:ascii="Arial" w:hAnsi="Arial" w:cs="Arial"/>
                <w:lang w:val="fr-FR"/>
              </w:rPr>
            </w:pPr>
            <w:r w:rsidRPr="00BA2FCA">
              <w:rPr>
                <w:rFonts w:ascii="Arial" w:hAnsi="Arial" w:cs="Arial"/>
                <w:lang w:val="fr-FR"/>
              </w:rPr>
              <w:t>Lynne Ayton</w:t>
            </w:r>
          </w:p>
        </w:tc>
        <w:tc>
          <w:tcPr>
            <w:tcW w:w="1630" w:type="dxa"/>
          </w:tcPr>
          <w:p w:rsidR="006C12CC" w:rsidRPr="00BA2FCA" w:rsidRDefault="006C12CC" w:rsidP="008200C3">
            <w:pPr>
              <w:spacing w:after="240"/>
              <w:rPr>
                <w:rFonts w:ascii="Arial" w:hAnsi="Arial" w:cs="Arial"/>
              </w:rPr>
            </w:pPr>
            <w:r w:rsidRPr="00BA2FCA">
              <w:rPr>
                <w:rFonts w:ascii="Arial" w:hAnsi="Arial" w:cs="Arial"/>
              </w:rPr>
              <w:t>Ongoing</w:t>
            </w:r>
          </w:p>
        </w:tc>
      </w:tr>
    </w:tbl>
    <w:p w:rsidR="006C12CC" w:rsidRPr="000C34A9" w:rsidRDefault="006C12CC" w:rsidP="006C12CC">
      <w:pPr>
        <w:spacing w:after="240"/>
        <w:rPr>
          <w:highlight w:val="yellow"/>
        </w:rPr>
      </w:pPr>
    </w:p>
    <w:p w:rsidR="00A324CA" w:rsidRPr="000C34A9" w:rsidRDefault="00A324CA" w:rsidP="00EF577A">
      <w:pPr>
        <w:spacing w:after="120"/>
        <w:rPr>
          <w:rFonts w:ascii="Arial" w:eastAsia="Arial Unicode MS" w:hAnsi="Arial" w:cs="Arial"/>
          <w:b/>
          <w:bCs/>
          <w:szCs w:val="22"/>
          <w:highlight w:val="yellow"/>
        </w:rPr>
      </w:pPr>
    </w:p>
    <w:p w:rsidR="00942565" w:rsidRDefault="00942565">
      <w:pPr>
        <w:rPr>
          <w:rFonts w:ascii="Arial" w:eastAsia="Arial Unicode MS" w:hAnsi="Arial" w:cs="Arial"/>
          <w:b/>
          <w:bCs/>
          <w:szCs w:val="22"/>
        </w:rPr>
      </w:pPr>
      <w:r>
        <w:rPr>
          <w:rFonts w:ascii="Arial" w:eastAsia="Arial Unicode MS" w:hAnsi="Arial" w:cs="Arial"/>
          <w:b/>
          <w:bCs/>
          <w:szCs w:val="22"/>
        </w:rPr>
        <w:br w:type="page"/>
      </w:r>
    </w:p>
    <w:p w:rsidR="00E56440" w:rsidRPr="00006567" w:rsidRDefault="00E56440" w:rsidP="00EF577A">
      <w:pPr>
        <w:spacing w:after="120"/>
        <w:rPr>
          <w:rFonts w:eastAsia="Arial Unicode MS"/>
          <w:b/>
          <w:sz w:val="22"/>
          <w:szCs w:val="22"/>
        </w:rPr>
      </w:pPr>
      <w:r w:rsidRPr="00006567">
        <w:rPr>
          <w:rFonts w:ascii="Arial" w:eastAsia="Arial Unicode MS" w:hAnsi="Arial" w:cs="Arial"/>
          <w:b/>
          <w:bCs/>
          <w:szCs w:val="22"/>
        </w:rPr>
        <w:lastRenderedPageBreak/>
        <w:t>Cardiac Surgery Inpatient Waiting List</w:t>
      </w:r>
      <w:r w:rsidRPr="00006567">
        <w:rPr>
          <w:rFonts w:eastAsia="Arial Unicode MS"/>
          <w:b/>
          <w:szCs w:val="22"/>
        </w:rPr>
        <w:t xml:space="preserve"> </w:t>
      </w:r>
    </w:p>
    <w:p w:rsidR="00604F40" w:rsidRPr="00006567" w:rsidRDefault="005F443E" w:rsidP="00AC10CD">
      <w:pPr>
        <w:ind w:right="-122"/>
        <w:rPr>
          <w:rFonts w:ascii="Arial" w:eastAsia="Arial Unicode MS" w:hAnsi="Arial" w:cs="Arial"/>
          <w:bCs/>
          <w:szCs w:val="22"/>
        </w:rPr>
      </w:pPr>
      <w:r w:rsidRPr="00006567">
        <w:rPr>
          <w:rFonts w:ascii="Arial" w:eastAsia="Arial Unicode MS" w:hAnsi="Arial" w:cs="Arial"/>
          <w:bCs/>
          <w:szCs w:val="22"/>
        </w:rPr>
        <w:t xml:space="preserve">This is a snapshot of the cardiac surgery inpatient waiting list as at </w:t>
      </w:r>
      <w:r w:rsidR="00006567">
        <w:rPr>
          <w:rFonts w:ascii="Arial" w:eastAsia="Arial Unicode MS" w:hAnsi="Arial" w:cs="Arial"/>
          <w:bCs/>
          <w:szCs w:val="22"/>
        </w:rPr>
        <w:t>2 May</w:t>
      </w:r>
      <w:r w:rsidR="00284149" w:rsidRPr="00006567">
        <w:rPr>
          <w:rFonts w:ascii="Arial" w:eastAsia="Arial Unicode MS" w:hAnsi="Arial" w:cs="Arial"/>
          <w:bCs/>
          <w:szCs w:val="22"/>
        </w:rPr>
        <w:t xml:space="preserve"> </w:t>
      </w:r>
      <w:r w:rsidR="009B0F38" w:rsidRPr="00006567">
        <w:rPr>
          <w:rFonts w:ascii="Arial" w:eastAsia="Arial Unicode MS" w:hAnsi="Arial" w:cs="Arial"/>
          <w:bCs/>
          <w:szCs w:val="22"/>
        </w:rPr>
        <w:t>201</w:t>
      </w:r>
      <w:r w:rsidR="00D661C2" w:rsidRPr="00006567">
        <w:rPr>
          <w:rFonts w:ascii="Arial" w:eastAsia="Arial Unicode MS" w:hAnsi="Arial" w:cs="Arial"/>
          <w:bCs/>
          <w:szCs w:val="22"/>
        </w:rPr>
        <w:t>9</w:t>
      </w:r>
      <w:r w:rsidR="009B0F38" w:rsidRPr="00006567">
        <w:rPr>
          <w:rFonts w:ascii="Arial" w:eastAsia="Arial Unicode MS" w:hAnsi="Arial" w:cs="Arial"/>
          <w:bCs/>
          <w:szCs w:val="22"/>
        </w:rPr>
        <w:t xml:space="preserve"> </w:t>
      </w:r>
      <w:r w:rsidRPr="00006567">
        <w:rPr>
          <w:rFonts w:ascii="Arial" w:eastAsia="Arial Unicode MS" w:hAnsi="Arial" w:cs="Arial"/>
          <w:bCs/>
          <w:szCs w:val="22"/>
        </w:rPr>
        <w:t xml:space="preserve">with a total of </w:t>
      </w:r>
      <w:r w:rsidR="00265C7F" w:rsidRPr="00006567">
        <w:rPr>
          <w:rFonts w:ascii="Arial" w:eastAsia="Arial Unicode MS" w:hAnsi="Arial" w:cs="Arial"/>
          <w:bCs/>
          <w:szCs w:val="22"/>
        </w:rPr>
        <w:t>3</w:t>
      </w:r>
      <w:r w:rsidR="00006567">
        <w:rPr>
          <w:rFonts w:ascii="Arial" w:eastAsia="Arial Unicode MS" w:hAnsi="Arial" w:cs="Arial"/>
          <w:bCs/>
          <w:szCs w:val="22"/>
        </w:rPr>
        <w:t>48</w:t>
      </w:r>
      <w:r w:rsidRPr="00006567">
        <w:rPr>
          <w:rFonts w:ascii="Arial" w:eastAsia="Arial Unicode MS" w:hAnsi="Arial" w:cs="Arial"/>
          <w:bCs/>
          <w:szCs w:val="22"/>
        </w:rPr>
        <w:t xml:space="preserve"> patients waiting for surgery</w:t>
      </w:r>
      <w:r w:rsidR="003B1E96" w:rsidRPr="00006567">
        <w:rPr>
          <w:rFonts w:ascii="Arial" w:eastAsia="Arial Unicode MS" w:hAnsi="Arial" w:cs="Arial"/>
          <w:bCs/>
          <w:szCs w:val="22"/>
        </w:rPr>
        <w:t xml:space="preserve">. </w:t>
      </w:r>
      <w:r w:rsidR="00272179" w:rsidRPr="00006567">
        <w:rPr>
          <w:rFonts w:ascii="Arial" w:eastAsia="Arial Unicode MS" w:hAnsi="Arial" w:cs="Arial"/>
          <w:bCs/>
          <w:szCs w:val="22"/>
        </w:rPr>
        <w:t>A</w:t>
      </w:r>
      <w:r w:rsidRPr="00006567">
        <w:rPr>
          <w:rFonts w:ascii="Arial" w:eastAsia="Arial Unicode MS" w:hAnsi="Arial" w:cs="Arial"/>
          <w:bCs/>
          <w:szCs w:val="22"/>
        </w:rPr>
        <w:t xml:space="preserve">pproximately </w:t>
      </w:r>
      <w:r w:rsidR="00B01AAD">
        <w:rPr>
          <w:rFonts w:ascii="Arial" w:eastAsia="Arial Unicode MS" w:hAnsi="Arial" w:cs="Arial"/>
          <w:bCs/>
          <w:szCs w:val="22"/>
        </w:rPr>
        <w:t>72</w:t>
      </w:r>
      <w:r w:rsidRPr="00006567">
        <w:rPr>
          <w:rFonts w:ascii="Arial" w:eastAsia="Arial Unicode MS" w:hAnsi="Arial" w:cs="Arial"/>
          <w:bCs/>
          <w:szCs w:val="22"/>
        </w:rPr>
        <w:t xml:space="preserve">% </w:t>
      </w:r>
      <w:r w:rsidR="00AE1423" w:rsidRPr="00006567">
        <w:rPr>
          <w:rFonts w:ascii="Arial" w:eastAsia="Arial Unicode MS" w:hAnsi="Arial" w:cs="Arial"/>
          <w:bCs/>
          <w:szCs w:val="22"/>
        </w:rPr>
        <w:t xml:space="preserve">of the total waiting </w:t>
      </w:r>
      <w:proofErr w:type="gramStart"/>
      <w:r w:rsidR="00AC10CD" w:rsidRPr="00006567">
        <w:rPr>
          <w:rFonts w:ascii="Arial" w:eastAsia="Arial Unicode MS" w:hAnsi="Arial" w:cs="Arial"/>
          <w:bCs/>
          <w:szCs w:val="22"/>
        </w:rPr>
        <w:t xml:space="preserve">list </w:t>
      </w:r>
      <w:r w:rsidR="004326EA" w:rsidRPr="00006567">
        <w:rPr>
          <w:rFonts w:ascii="Arial" w:eastAsia="Arial Unicode MS" w:hAnsi="Arial" w:cs="Arial"/>
          <w:bCs/>
          <w:szCs w:val="22"/>
        </w:rPr>
        <w:t>are</w:t>
      </w:r>
      <w:proofErr w:type="gramEnd"/>
      <w:r w:rsidR="00C56A35" w:rsidRPr="00006567">
        <w:rPr>
          <w:rFonts w:ascii="Arial" w:eastAsia="Arial Unicode MS" w:hAnsi="Arial" w:cs="Arial"/>
          <w:bCs/>
          <w:szCs w:val="22"/>
        </w:rPr>
        <w:t xml:space="preserve"> </w:t>
      </w:r>
      <w:r w:rsidR="00AE1423" w:rsidRPr="00006567">
        <w:rPr>
          <w:rFonts w:ascii="Arial" w:eastAsia="Arial Unicode MS" w:hAnsi="Arial" w:cs="Arial"/>
          <w:bCs/>
          <w:szCs w:val="22"/>
        </w:rPr>
        <w:t xml:space="preserve">patients </w:t>
      </w:r>
      <w:r w:rsidR="00C56A35" w:rsidRPr="00006567">
        <w:rPr>
          <w:rFonts w:ascii="Arial" w:eastAsia="Arial Unicode MS" w:hAnsi="Arial" w:cs="Arial"/>
          <w:bCs/>
          <w:szCs w:val="22"/>
        </w:rPr>
        <w:t xml:space="preserve">that </w:t>
      </w:r>
      <w:r w:rsidR="00AE1423" w:rsidRPr="00006567">
        <w:rPr>
          <w:rFonts w:ascii="Arial" w:eastAsia="Arial Unicode MS" w:hAnsi="Arial" w:cs="Arial"/>
          <w:bCs/>
          <w:szCs w:val="22"/>
        </w:rPr>
        <w:t xml:space="preserve">are </w:t>
      </w:r>
      <w:r w:rsidR="00C56A35" w:rsidRPr="00006567">
        <w:rPr>
          <w:rFonts w:ascii="Arial" w:eastAsia="Arial Unicode MS" w:hAnsi="Arial" w:cs="Arial"/>
          <w:bCs/>
          <w:szCs w:val="22"/>
        </w:rPr>
        <w:t xml:space="preserve">on the </w:t>
      </w:r>
      <w:r w:rsidR="00AE1423" w:rsidRPr="00006567">
        <w:rPr>
          <w:rFonts w:ascii="Arial" w:eastAsia="Arial Unicode MS" w:hAnsi="Arial" w:cs="Arial"/>
          <w:bCs/>
          <w:szCs w:val="22"/>
        </w:rPr>
        <w:t>available</w:t>
      </w:r>
      <w:r w:rsidR="00C56A35" w:rsidRPr="00006567">
        <w:rPr>
          <w:rFonts w:ascii="Arial" w:eastAsia="Arial Unicode MS" w:hAnsi="Arial" w:cs="Arial"/>
          <w:bCs/>
          <w:szCs w:val="22"/>
        </w:rPr>
        <w:t xml:space="preserve"> waiting list</w:t>
      </w:r>
      <w:r w:rsidR="00AE1423" w:rsidRPr="00006567">
        <w:rPr>
          <w:rFonts w:ascii="Arial" w:eastAsia="Arial Unicode MS" w:hAnsi="Arial" w:cs="Arial"/>
          <w:bCs/>
          <w:szCs w:val="22"/>
        </w:rPr>
        <w:t xml:space="preserve"> </w:t>
      </w:r>
      <w:r w:rsidRPr="00006567">
        <w:rPr>
          <w:rFonts w:ascii="Arial" w:eastAsia="Arial Unicode MS" w:hAnsi="Arial" w:cs="Arial"/>
          <w:bCs/>
          <w:szCs w:val="22"/>
        </w:rPr>
        <w:t>(</w:t>
      </w:r>
      <w:r w:rsidR="00265C7F" w:rsidRPr="00006567">
        <w:rPr>
          <w:rFonts w:ascii="Arial" w:eastAsia="Arial Unicode MS" w:hAnsi="Arial" w:cs="Arial"/>
          <w:bCs/>
          <w:szCs w:val="22"/>
        </w:rPr>
        <w:t>2</w:t>
      </w:r>
      <w:r w:rsidR="00006567">
        <w:rPr>
          <w:rFonts w:ascii="Arial" w:eastAsia="Arial Unicode MS" w:hAnsi="Arial" w:cs="Arial"/>
          <w:bCs/>
          <w:szCs w:val="22"/>
        </w:rPr>
        <w:t>49</w:t>
      </w:r>
      <w:r w:rsidR="00265C7F" w:rsidRPr="00006567">
        <w:rPr>
          <w:rFonts w:ascii="Arial" w:eastAsia="Arial Unicode MS" w:hAnsi="Arial" w:cs="Arial"/>
          <w:bCs/>
          <w:szCs w:val="22"/>
        </w:rPr>
        <w:t xml:space="preserve"> </w:t>
      </w:r>
      <w:r w:rsidR="00A22B52" w:rsidRPr="00006567">
        <w:rPr>
          <w:rFonts w:ascii="Arial" w:eastAsia="Arial Unicode MS" w:hAnsi="Arial" w:cs="Arial"/>
          <w:bCs/>
          <w:szCs w:val="22"/>
        </w:rPr>
        <w:t>patients)</w:t>
      </w:r>
      <w:r w:rsidR="00284149" w:rsidRPr="00006567">
        <w:rPr>
          <w:rFonts w:ascii="Arial" w:eastAsia="Arial Unicode MS" w:hAnsi="Arial" w:cs="Arial"/>
          <w:bCs/>
          <w:szCs w:val="22"/>
        </w:rPr>
        <w:t xml:space="preserve"> and</w:t>
      </w:r>
      <w:r w:rsidR="00C56A35" w:rsidRPr="00006567">
        <w:rPr>
          <w:rFonts w:ascii="Arial" w:eastAsia="Arial Unicode MS" w:hAnsi="Arial" w:cs="Arial"/>
          <w:bCs/>
          <w:szCs w:val="22"/>
        </w:rPr>
        <w:t xml:space="preserve"> </w:t>
      </w:r>
      <w:r w:rsidR="00B01AAD">
        <w:rPr>
          <w:rFonts w:ascii="Arial" w:eastAsia="Arial Unicode MS" w:hAnsi="Arial" w:cs="Arial"/>
          <w:bCs/>
          <w:szCs w:val="22"/>
        </w:rPr>
        <w:t>28</w:t>
      </w:r>
      <w:r w:rsidR="000D6590" w:rsidRPr="00006567">
        <w:rPr>
          <w:rFonts w:ascii="Arial" w:eastAsia="Arial Unicode MS" w:hAnsi="Arial" w:cs="Arial"/>
          <w:bCs/>
          <w:szCs w:val="22"/>
        </w:rPr>
        <w:t>% (</w:t>
      </w:r>
      <w:r w:rsidR="00006567">
        <w:rPr>
          <w:rFonts w:ascii="Arial" w:eastAsia="Arial Unicode MS" w:hAnsi="Arial" w:cs="Arial"/>
          <w:bCs/>
          <w:szCs w:val="22"/>
        </w:rPr>
        <w:t xml:space="preserve">99 </w:t>
      </w:r>
      <w:r w:rsidR="00AE1423" w:rsidRPr="00006567">
        <w:rPr>
          <w:rFonts w:ascii="Arial" w:eastAsia="Arial Unicode MS" w:hAnsi="Arial" w:cs="Arial"/>
          <w:bCs/>
          <w:szCs w:val="22"/>
        </w:rPr>
        <w:t>patients</w:t>
      </w:r>
      <w:r w:rsidRPr="00006567">
        <w:rPr>
          <w:rFonts w:ascii="Arial" w:eastAsia="Arial Unicode MS" w:hAnsi="Arial" w:cs="Arial"/>
          <w:bCs/>
          <w:szCs w:val="22"/>
        </w:rPr>
        <w:t xml:space="preserve">) </w:t>
      </w:r>
      <w:r w:rsidR="003B1E96" w:rsidRPr="00006567">
        <w:rPr>
          <w:rFonts w:ascii="Arial" w:eastAsia="Arial Unicode MS" w:hAnsi="Arial" w:cs="Arial"/>
          <w:bCs/>
          <w:szCs w:val="22"/>
        </w:rPr>
        <w:t>were unavailable</w:t>
      </w:r>
      <w:r w:rsidR="00284149" w:rsidRPr="00006567">
        <w:rPr>
          <w:rFonts w:ascii="Arial" w:eastAsia="Arial Unicode MS" w:hAnsi="Arial" w:cs="Arial"/>
          <w:bCs/>
          <w:szCs w:val="22"/>
        </w:rPr>
        <w:t>.</w:t>
      </w:r>
      <w:r w:rsidR="003B1E96" w:rsidRPr="00006567">
        <w:rPr>
          <w:rFonts w:ascii="Arial" w:eastAsia="Arial Unicode MS" w:hAnsi="Arial" w:cs="Arial"/>
          <w:bCs/>
          <w:szCs w:val="22"/>
        </w:rPr>
        <w:t xml:space="preserve"> </w:t>
      </w:r>
    </w:p>
    <w:p w:rsidR="00EF769C" w:rsidRPr="00006567" w:rsidRDefault="00EF769C" w:rsidP="00AC10CD">
      <w:pPr>
        <w:tabs>
          <w:tab w:val="left" w:pos="9540"/>
        </w:tabs>
        <w:ind w:right="-122"/>
        <w:rPr>
          <w:rFonts w:ascii="Arial" w:eastAsia="Arial Unicode MS" w:hAnsi="Arial" w:cs="Arial"/>
          <w:bCs/>
          <w:szCs w:val="22"/>
        </w:rPr>
      </w:pPr>
    </w:p>
    <w:p w:rsidR="00EF769C" w:rsidRPr="00006567" w:rsidRDefault="00050882" w:rsidP="00AC10CD">
      <w:pPr>
        <w:tabs>
          <w:tab w:val="left" w:pos="9540"/>
        </w:tabs>
        <w:ind w:right="254"/>
        <w:rPr>
          <w:rFonts w:ascii="Arial" w:eastAsia="Arial Unicode MS" w:hAnsi="Arial" w:cs="Arial"/>
          <w:b/>
          <w:bCs/>
          <w:szCs w:val="20"/>
        </w:rPr>
      </w:pPr>
      <w:r w:rsidRPr="00006567">
        <w:rPr>
          <w:rFonts w:ascii="Arial" w:eastAsia="Arial Unicode MS" w:hAnsi="Arial" w:cs="Arial"/>
          <w:szCs w:val="20"/>
        </w:rPr>
        <w:t xml:space="preserve">Figure 2: </w:t>
      </w:r>
      <w:r w:rsidR="00860FC3" w:rsidRPr="00006567">
        <w:rPr>
          <w:rFonts w:ascii="Arial" w:eastAsia="Arial Unicode MS" w:hAnsi="Arial" w:cs="Arial"/>
          <w:szCs w:val="20"/>
        </w:rPr>
        <w:t xml:space="preserve">As a percentage of the total waiting list, </w:t>
      </w:r>
      <w:r w:rsidR="00EF769C" w:rsidRPr="00006567">
        <w:rPr>
          <w:rFonts w:ascii="Arial" w:eastAsia="Arial Unicode MS" w:hAnsi="Arial" w:cs="Arial"/>
          <w:szCs w:val="20"/>
        </w:rPr>
        <w:t xml:space="preserve">the number </w:t>
      </w:r>
      <w:r w:rsidR="00615EA0" w:rsidRPr="00006567">
        <w:rPr>
          <w:rFonts w:ascii="Arial" w:eastAsia="Arial Unicode MS" w:hAnsi="Arial" w:cs="Arial"/>
          <w:szCs w:val="20"/>
        </w:rPr>
        <w:t xml:space="preserve">of unavailable patients </w:t>
      </w:r>
      <w:r w:rsidR="00DC770B" w:rsidRPr="00006567">
        <w:rPr>
          <w:rFonts w:ascii="Arial" w:eastAsia="Arial Unicode MS" w:hAnsi="Arial" w:cs="Arial"/>
          <w:szCs w:val="20"/>
        </w:rPr>
        <w:t xml:space="preserve">was </w:t>
      </w:r>
      <w:r w:rsidR="00B01AAD">
        <w:rPr>
          <w:rFonts w:ascii="Arial" w:eastAsia="Arial Unicode MS" w:hAnsi="Arial" w:cs="Arial"/>
          <w:szCs w:val="20"/>
        </w:rPr>
        <w:t>23</w:t>
      </w:r>
      <w:r w:rsidR="00DC770B" w:rsidRPr="00006567">
        <w:rPr>
          <w:rFonts w:ascii="Arial" w:eastAsia="Arial Unicode MS" w:hAnsi="Arial" w:cs="Arial"/>
          <w:szCs w:val="20"/>
        </w:rPr>
        <w:t xml:space="preserve">% </w:t>
      </w:r>
      <w:r w:rsidR="00EF769C" w:rsidRPr="00006567">
        <w:rPr>
          <w:rFonts w:ascii="Arial" w:eastAsia="Arial Unicode MS" w:hAnsi="Arial" w:cs="Arial"/>
          <w:szCs w:val="20"/>
        </w:rPr>
        <w:t>(</w:t>
      </w:r>
      <w:r w:rsidR="00006567">
        <w:rPr>
          <w:rFonts w:ascii="Arial" w:eastAsia="Arial Unicode MS" w:hAnsi="Arial" w:cs="Arial"/>
          <w:szCs w:val="20"/>
        </w:rPr>
        <w:t>82</w:t>
      </w:r>
      <w:r w:rsidR="004326EA" w:rsidRPr="00006567">
        <w:rPr>
          <w:rFonts w:ascii="Arial" w:eastAsia="Arial Unicode MS" w:hAnsi="Arial" w:cs="Arial"/>
          <w:szCs w:val="20"/>
        </w:rPr>
        <w:t xml:space="preserve"> patients) were for </w:t>
      </w:r>
      <w:r w:rsidR="00EF769C" w:rsidRPr="00006567">
        <w:rPr>
          <w:rFonts w:ascii="Arial" w:eastAsia="Arial Unicode MS" w:hAnsi="Arial" w:cs="Arial"/>
          <w:szCs w:val="20"/>
        </w:rPr>
        <w:t>medical</w:t>
      </w:r>
      <w:r w:rsidR="004326EA" w:rsidRPr="00006567">
        <w:rPr>
          <w:rFonts w:ascii="Arial" w:eastAsia="Arial Unicode MS" w:hAnsi="Arial" w:cs="Arial"/>
          <w:szCs w:val="20"/>
        </w:rPr>
        <w:t xml:space="preserve"> reason</w:t>
      </w:r>
      <w:r w:rsidR="00EF769C" w:rsidRPr="00006567">
        <w:rPr>
          <w:rFonts w:ascii="Arial" w:eastAsia="Arial Unicode MS" w:hAnsi="Arial" w:cs="Arial"/>
          <w:szCs w:val="20"/>
        </w:rPr>
        <w:t xml:space="preserve"> and </w:t>
      </w:r>
      <w:r w:rsidR="0091409E" w:rsidRPr="00006567">
        <w:rPr>
          <w:rFonts w:ascii="Arial" w:eastAsia="Arial Unicode MS" w:hAnsi="Arial" w:cs="Arial"/>
          <w:szCs w:val="20"/>
        </w:rPr>
        <w:t>5</w:t>
      </w:r>
      <w:r w:rsidR="004326EA" w:rsidRPr="00006567">
        <w:rPr>
          <w:rFonts w:ascii="Arial" w:eastAsia="Arial Unicode MS" w:hAnsi="Arial" w:cs="Arial"/>
          <w:szCs w:val="20"/>
        </w:rPr>
        <w:t>% (</w:t>
      </w:r>
      <w:r w:rsidR="00265C7F" w:rsidRPr="00006567">
        <w:rPr>
          <w:rFonts w:ascii="Arial" w:eastAsia="Arial Unicode MS" w:hAnsi="Arial" w:cs="Arial"/>
          <w:szCs w:val="20"/>
        </w:rPr>
        <w:t>1</w:t>
      </w:r>
      <w:r w:rsidR="00006567">
        <w:rPr>
          <w:rFonts w:ascii="Arial" w:eastAsia="Arial Unicode MS" w:hAnsi="Arial" w:cs="Arial"/>
          <w:szCs w:val="20"/>
        </w:rPr>
        <w:t>7</w:t>
      </w:r>
      <w:r w:rsidR="004326EA" w:rsidRPr="00006567">
        <w:rPr>
          <w:rFonts w:ascii="Arial" w:eastAsia="Arial Unicode MS" w:hAnsi="Arial" w:cs="Arial"/>
          <w:szCs w:val="20"/>
        </w:rPr>
        <w:t xml:space="preserve">) were </w:t>
      </w:r>
      <w:r w:rsidR="00EF769C" w:rsidRPr="00006567">
        <w:rPr>
          <w:rFonts w:ascii="Arial" w:eastAsia="Arial Unicode MS" w:hAnsi="Arial" w:cs="Arial"/>
          <w:szCs w:val="20"/>
        </w:rPr>
        <w:t>patient</w:t>
      </w:r>
      <w:r w:rsidR="004326EA" w:rsidRPr="00006567">
        <w:rPr>
          <w:rFonts w:ascii="Arial" w:eastAsia="Arial Unicode MS" w:hAnsi="Arial" w:cs="Arial"/>
          <w:szCs w:val="20"/>
        </w:rPr>
        <w:t>s</w:t>
      </w:r>
      <w:r w:rsidR="00EF769C" w:rsidRPr="00006567">
        <w:rPr>
          <w:rFonts w:ascii="Arial" w:eastAsia="Arial Unicode MS" w:hAnsi="Arial" w:cs="Arial"/>
          <w:szCs w:val="20"/>
        </w:rPr>
        <w:t xml:space="preserve"> advised</w:t>
      </w:r>
      <w:r w:rsidR="004326EA" w:rsidRPr="00006567">
        <w:rPr>
          <w:rFonts w:ascii="Arial" w:eastAsia="Arial Unicode MS" w:hAnsi="Arial" w:cs="Arial"/>
          <w:szCs w:val="20"/>
        </w:rPr>
        <w:t xml:space="preserve"> unavailability</w:t>
      </w:r>
      <w:r w:rsidR="00EF769C" w:rsidRPr="00006567">
        <w:rPr>
          <w:rFonts w:ascii="Arial" w:eastAsia="Arial Unicode MS" w:hAnsi="Arial" w:cs="Arial"/>
          <w:szCs w:val="20"/>
        </w:rPr>
        <w:t xml:space="preserve">. </w:t>
      </w:r>
    </w:p>
    <w:p w:rsidR="00811786" w:rsidRPr="00006567" w:rsidRDefault="00811786" w:rsidP="005F443E">
      <w:pPr>
        <w:tabs>
          <w:tab w:val="left" w:pos="9540"/>
        </w:tabs>
        <w:ind w:right="-122"/>
        <w:jc w:val="both"/>
        <w:rPr>
          <w:rFonts w:ascii="Arial" w:eastAsia="Arial Unicode MS" w:hAnsi="Arial" w:cs="Arial"/>
          <w:bCs/>
          <w:sz w:val="22"/>
          <w:szCs w:val="22"/>
        </w:rPr>
      </w:pPr>
    </w:p>
    <w:p w:rsidR="00170410" w:rsidRPr="00006567" w:rsidRDefault="00170410" w:rsidP="005F443E">
      <w:pPr>
        <w:tabs>
          <w:tab w:val="left" w:pos="9540"/>
        </w:tabs>
        <w:ind w:right="-122"/>
        <w:jc w:val="both"/>
        <w:rPr>
          <w:rFonts w:ascii="Arial" w:eastAsia="Arial Unicode MS"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6797"/>
      </w:tblGrid>
      <w:tr w:rsidR="00C80F88" w:rsidRPr="000C34A9" w:rsidTr="007C54D9">
        <w:tc>
          <w:tcPr>
            <w:tcW w:w="6771" w:type="dxa"/>
          </w:tcPr>
          <w:p w:rsidR="00C80F88" w:rsidRPr="00006567" w:rsidRDefault="00C80F88" w:rsidP="00055427">
            <w:pPr>
              <w:tabs>
                <w:tab w:val="left" w:pos="2696"/>
              </w:tabs>
              <w:ind w:left="-142" w:right="-122"/>
              <w:jc w:val="both"/>
              <w:rPr>
                <w:rFonts w:ascii="Arial" w:eastAsia="Arial Unicode MS" w:hAnsi="Arial" w:cs="Arial"/>
                <w:noProof/>
                <w:sz w:val="20"/>
                <w:szCs w:val="20"/>
                <w:lang w:eastAsia="en-GB"/>
              </w:rPr>
            </w:pPr>
            <w:r w:rsidRPr="00006567">
              <w:rPr>
                <w:rFonts w:ascii="Arial" w:eastAsia="Arial Unicode MS" w:hAnsi="Arial" w:cs="Arial"/>
                <w:noProof/>
                <w:sz w:val="20"/>
                <w:szCs w:val="20"/>
                <w:lang w:eastAsia="en-GB"/>
              </w:rPr>
              <w:t>Figure 1</w:t>
            </w:r>
          </w:p>
        </w:tc>
        <w:tc>
          <w:tcPr>
            <w:tcW w:w="6797" w:type="dxa"/>
          </w:tcPr>
          <w:p w:rsidR="00C80F88" w:rsidRPr="00006567" w:rsidRDefault="00C80F88" w:rsidP="00055427">
            <w:pPr>
              <w:tabs>
                <w:tab w:val="left" w:pos="9540"/>
              </w:tabs>
              <w:ind w:left="-108" w:right="-122"/>
              <w:jc w:val="both"/>
              <w:rPr>
                <w:rFonts w:ascii="Arial" w:eastAsia="Arial Unicode MS" w:hAnsi="Arial" w:cs="Arial"/>
                <w:noProof/>
                <w:sz w:val="20"/>
                <w:szCs w:val="20"/>
                <w:lang w:eastAsia="en-GB"/>
              </w:rPr>
            </w:pPr>
            <w:r w:rsidRPr="00006567">
              <w:rPr>
                <w:rFonts w:ascii="Arial" w:eastAsia="Arial Unicode MS" w:hAnsi="Arial" w:cs="Arial"/>
                <w:noProof/>
                <w:sz w:val="20"/>
                <w:szCs w:val="20"/>
                <w:lang w:eastAsia="en-GB"/>
              </w:rPr>
              <w:t>Figure 2</w:t>
            </w:r>
          </w:p>
        </w:tc>
      </w:tr>
      <w:tr w:rsidR="00811786" w:rsidRPr="000C34A9" w:rsidTr="007C54D9">
        <w:trPr>
          <w:trHeight w:val="5737"/>
        </w:trPr>
        <w:tc>
          <w:tcPr>
            <w:tcW w:w="6771" w:type="dxa"/>
          </w:tcPr>
          <w:p w:rsidR="00811786" w:rsidRPr="000C34A9" w:rsidRDefault="007A59EC" w:rsidP="00055427">
            <w:pPr>
              <w:tabs>
                <w:tab w:val="left" w:pos="2696"/>
              </w:tabs>
              <w:ind w:left="-142" w:right="-122"/>
              <w:jc w:val="both"/>
              <w:rPr>
                <w:rFonts w:ascii="Arial" w:eastAsia="Arial Unicode MS" w:hAnsi="Arial" w:cs="Arial"/>
                <w:bCs/>
                <w:sz w:val="22"/>
                <w:szCs w:val="22"/>
                <w:highlight w:val="yellow"/>
              </w:rPr>
            </w:pPr>
            <w:r>
              <w:rPr>
                <w:rFonts w:ascii="Arial Narrow" w:eastAsia="Arial Unicode MS" w:hAnsi="Arial Narrow" w:cs="Arial"/>
                <w:noProof/>
                <w:lang w:eastAsia="en-GB"/>
              </w:rPr>
              <w:drawing>
                <wp:inline distT="0" distB="0" distL="0" distR="0">
                  <wp:extent cx="4309200" cy="3677438"/>
                  <wp:effectExtent l="19050" t="0" r="0" b="0"/>
                  <wp:docPr id="13" name="Picture 13" descr="11i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iT0"/>
                          <pic:cNvPicPr>
                            <a:picLocks noChangeAspect="1" noChangeArrowheads="1"/>
                          </pic:cNvPicPr>
                        </pic:nvPicPr>
                        <pic:blipFill>
                          <a:blip r:embed="rId13" cstate="print"/>
                          <a:srcRect/>
                          <a:stretch>
                            <a:fillRect/>
                          </a:stretch>
                        </pic:blipFill>
                        <pic:spPr bwMode="auto">
                          <a:xfrm>
                            <a:off x="0" y="0"/>
                            <a:ext cx="4309200" cy="3677438"/>
                          </a:xfrm>
                          <a:prstGeom prst="rect">
                            <a:avLst/>
                          </a:prstGeom>
                          <a:noFill/>
                          <a:ln w="9525">
                            <a:noFill/>
                            <a:miter lim="800000"/>
                            <a:headEnd/>
                            <a:tailEnd/>
                          </a:ln>
                        </pic:spPr>
                      </pic:pic>
                    </a:graphicData>
                  </a:graphic>
                </wp:inline>
              </w:drawing>
            </w:r>
          </w:p>
        </w:tc>
        <w:tc>
          <w:tcPr>
            <w:tcW w:w="6797" w:type="dxa"/>
          </w:tcPr>
          <w:p w:rsidR="00811786" w:rsidRPr="000C34A9" w:rsidRDefault="007A59EC" w:rsidP="00055427">
            <w:pPr>
              <w:tabs>
                <w:tab w:val="left" w:pos="9540"/>
              </w:tabs>
              <w:ind w:left="-108" w:right="-122"/>
              <w:jc w:val="both"/>
              <w:rPr>
                <w:rFonts w:ascii="Arial" w:eastAsia="Arial Unicode MS" w:hAnsi="Arial" w:cs="Arial"/>
                <w:bCs/>
                <w:sz w:val="22"/>
                <w:szCs w:val="22"/>
                <w:highlight w:val="yellow"/>
              </w:rPr>
            </w:pPr>
            <w:r>
              <w:rPr>
                <w:rFonts w:ascii="Arial Narrow" w:eastAsia="Arial Unicode MS" w:hAnsi="Arial Narrow" w:cs="Arial"/>
                <w:noProof/>
                <w:lang w:eastAsia="en-GB"/>
              </w:rPr>
              <w:drawing>
                <wp:inline distT="0" distB="0" distL="0" distR="0">
                  <wp:extent cx="4311411" cy="3674853"/>
                  <wp:effectExtent l="19050" t="0" r="0" b="0"/>
                  <wp:docPr id="16" name="Picture 16" descr="9i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iT0"/>
                          <pic:cNvPicPr>
                            <a:picLocks noChangeAspect="1" noChangeArrowheads="1"/>
                          </pic:cNvPicPr>
                        </pic:nvPicPr>
                        <pic:blipFill>
                          <a:blip r:embed="rId14" cstate="print"/>
                          <a:srcRect/>
                          <a:stretch>
                            <a:fillRect/>
                          </a:stretch>
                        </pic:blipFill>
                        <pic:spPr bwMode="auto">
                          <a:xfrm>
                            <a:off x="0" y="0"/>
                            <a:ext cx="4309200" cy="3672968"/>
                          </a:xfrm>
                          <a:prstGeom prst="rect">
                            <a:avLst/>
                          </a:prstGeom>
                          <a:noFill/>
                          <a:ln w="9525">
                            <a:noFill/>
                            <a:miter lim="800000"/>
                            <a:headEnd/>
                            <a:tailEnd/>
                          </a:ln>
                        </pic:spPr>
                      </pic:pic>
                    </a:graphicData>
                  </a:graphic>
                </wp:inline>
              </w:drawing>
            </w:r>
          </w:p>
        </w:tc>
      </w:tr>
    </w:tbl>
    <w:p w:rsidR="000D2AD0" w:rsidRPr="003D3CFE" w:rsidRDefault="00811786" w:rsidP="00235F92">
      <w:pPr>
        <w:tabs>
          <w:tab w:val="left" w:pos="9540"/>
        </w:tabs>
        <w:ind w:right="-122"/>
        <w:jc w:val="both"/>
        <w:rPr>
          <w:rFonts w:ascii="Arial" w:eastAsia="Arial Unicode MS" w:hAnsi="Arial" w:cs="Arial"/>
          <w:b/>
        </w:rPr>
      </w:pPr>
      <w:r w:rsidRPr="003D3CFE">
        <w:rPr>
          <w:rFonts w:ascii="Arial" w:eastAsia="Arial Unicode MS" w:hAnsi="Arial" w:cs="Arial"/>
          <w:bCs/>
          <w:vanish/>
        </w:rPr>
        <w:lastRenderedPageBreak/>
        <w:cr/>
        <w:t>26h a total of 2 imentation.kforce plan tiated with the preffered model will be confirmede any barriers to the implimentation</w:t>
      </w:r>
      <w:r w:rsidR="00E56440" w:rsidRPr="003D3CFE">
        <w:rPr>
          <w:rFonts w:ascii="Arial" w:eastAsia="Arial Unicode MS" w:hAnsi="Arial" w:cs="Arial"/>
          <w:b/>
          <w:bCs/>
        </w:rPr>
        <w:t>Thoracic Surgery Inpatient Waiting List</w:t>
      </w:r>
      <w:r w:rsidR="00E56440" w:rsidRPr="003D3CFE">
        <w:rPr>
          <w:rFonts w:ascii="Arial" w:eastAsia="Arial Unicode MS" w:hAnsi="Arial" w:cs="Arial"/>
          <w:b/>
        </w:rPr>
        <w:t xml:space="preserve"> </w:t>
      </w:r>
    </w:p>
    <w:p w:rsidR="00235F92" w:rsidRPr="003D3CFE" w:rsidRDefault="00235F92" w:rsidP="00235F92">
      <w:pPr>
        <w:tabs>
          <w:tab w:val="left" w:pos="9540"/>
        </w:tabs>
        <w:ind w:right="-122"/>
        <w:jc w:val="both"/>
        <w:rPr>
          <w:rFonts w:ascii="Arial" w:eastAsia="Arial Unicode MS" w:hAnsi="Arial" w:cs="Arial"/>
          <w:b/>
        </w:rPr>
      </w:pPr>
    </w:p>
    <w:p w:rsidR="005F443E" w:rsidRPr="003D3CFE" w:rsidRDefault="005F443E" w:rsidP="005F443E">
      <w:pPr>
        <w:pStyle w:val="ListParagraph"/>
        <w:tabs>
          <w:tab w:val="left" w:pos="9540"/>
        </w:tabs>
        <w:spacing w:after="0" w:line="240" w:lineRule="auto"/>
        <w:ind w:left="0" w:right="-122"/>
        <w:jc w:val="both"/>
        <w:rPr>
          <w:rFonts w:ascii="Arial" w:eastAsia="Arial Unicode MS" w:hAnsi="Arial" w:cs="Arial"/>
          <w:bCs/>
          <w:sz w:val="24"/>
          <w:szCs w:val="24"/>
        </w:rPr>
      </w:pPr>
      <w:r w:rsidRPr="003D3CFE">
        <w:rPr>
          <w:rFonts w:ascii="Arial" w:eastAsia="Arial Unicode MS" w:hAnsi="Arial" w:cs="Arial"/>
          <w:bCs/>
          <w:sz w:val="24"/>
          <w:szCs w:val="24"/>
        </w:rPr>
        <w:t xml:space="preserve">As of </w:t>
      </w:r>
      <w:r w:rsidR="003D3CFE">
        <w:rPr>
          <w:rFonts w:ascii="Arial" w:eastAsia="Arial Unicode MS" w:hAnsi="Arial" w:cs="Arial"/>
          <w:bCs/>
          <w:sz w:val="24"/>
          <w:szCs w:val="24"/>
        </w:rPr>
        <w:t>2 May</w:t>
      </w:r>
      <w:r w:rsidR="006B4D21" w:rsidRPr="003D3CFE">
        <w:rPr>
          <w:rFonts w:ascii="Arial" w:eastAsia="Arial Unicode MS" w:hAnsi="Arial" w:cs="Arial"/>
          <w:bCs/>
        </w:rPr>
        <w:t xml:space="preserve"> 2019 </w:t>
      </w:r>
      <w:r w:rsidRPr="003D3CFE">
        <w:rPr>
          <w:rFonts w:ascii="Arial" w:eastAsia="Arial Unicode MS" w:hAnsi="Arial" w:cs="Arial"/>
          <w:bCs/>
          <w:sz w:val="24"/>
          <w:szCs w:val="24"/>
        </w:rPr>
        <w:t xml:space="preserve">there were </w:t>
      </w:r>
      <w:r w:rsidR="005362F9" w:rsidRPr="003D3CFE">
        <w:rPr>
          <w:rFonts w:ascii="Arial" w:eastAsia="Arial Unicode MS" w:hAnsi="Arial" w:cs="Arial"/>
          <w:bCs/>
          <w:sz w:val="24"/>
          <w:szCs w:val="24"/>
        </w:rPr>
        <w:t>89</w:t>
      </w:r>
      <w:r w:rsidRPr="003D3CFE">
        <w:rPr>
          <w:rFonts w:ascii="Arial" w:eastAsia="Arial Unicode MS" w:hAnsi="Arial" w:cs="Arial"/>
          <w:bCs/>
          <w:sz w:val="24"/>
          <w:szCs w:val="24"/>
        </w:rPr>
        <w:t xml:space="preserve"> patients </w:t>
      </w:r>
      <w:r w:rsidR="00170410" w:rsidRPr="003D3CFE">
        <w:rPr>
          <w:rFonts w:ascii="Arial" w:eastAsia="Arial Unicode MS" w:hAnsi="Arial" w:cs="Arial"/>
          <w:bCs/>
          <w:sz w:val="24"/>
          <w:szCs w:val="24"/>
        </w:rPr>
        <w:t>(Figure</w:t>
      </w:r>
      <w:r w:rsidR="00B838B1" w:rsidRPr="003D3CFE">
        <w:rPr>
          <w:rFonts w:ascii="Arial" w:eastAsia="Arial Unicode MS" w:hAnsi="Arial" w:cs="Arial"/>
          <w:bCs/>
          <w:sz w:val="24"/>
          <w:szCs w:val="24"/>
        </w:rPr>
        <w:t xml:space="preserve"> 4) </w:t>
      </w:r>
      <w:r w:rsidRPr="003D3CFE">
        <w:rPr>
          <w:rFonts w:ascii="Arial" w:eastAsia="Arial Unicode MS" w:hAnsi="Arial" w:cs="Arial"/>
          <w:bCs/>
          <w:sz w:val="24"/>
          <w:szCs w:val="24"/>
        </w:rPr>
        <w:t>on the Thoracic Surgery Inpatient waiting list</w:t>
      </w:r>
      <w:r w:rsidR="00170410" w:rsidRPr="003D3CFE">
        <w:rPr>
          <w:rFonts w:ascii="Arial" w:eastAsia="Arial Unicode MS" w:hAnsi="Arial" w:cs="Arial"/>
          <w:bCs/>
          <w:sz w:val="24"/>
          <w:szCs w:val="24"/>
        </w:rPr>
        <w:t>.</w:t>
      </w:r>
    </w:p>
    <w:p w:rsidR="005F443E" w:rsidRPr="003D3CFE" w:rsidRDefault="005F443E" w:rsidP="005F443E">
      <w:pPr>
        <w:pStyle w:val="ListParagraph"/>
        <w:tabs>
          <w:tab w:val="left" w:pos="9540"/>
        </w:tabs>
        <w:spacing w:after="0" w:line="240" w:lineRule="auto"/>
        <w:ind w:left="0" w:right="-122"/>
        <w:jc w:val="both"/>
        <w:rPr>
          <w:rFonts w:ascii="Arial" w:eastAsia="Arial Unicode MS" w:hAnsi="Arial" w:cs="Arial"/>
          <w:bCs/>
          <w:sz w:val="24"/>
          <w:szCs w:val="24"/>
        </w:rPr>
      </w:pPr>
    </w:p>
    <w:p w:rsidR="005F443E" w:rsidRPr="003D3CFE" w:rsidRDefault="005F443E" w:rsidP="005F443E">
      <w:pPr>
        <w:pStyle w:val="ListParagraph"/>
        <w:tabs>
          <w:tab w:val="left" w:pos="9540"/>
        </w:tabs>
        <w:spacing w:after="0" w:line="240" w:lineRule="auto"/>
        <w:ind w:left="0" w:right="-122"/>
        <w:jc w:val="both"/>
        <w:rPr>
          <w:rFonts w:ascii="Arial" w:eastAsia="Arial Unicode MS" w:hAnsi="Arial" w:cs="Arial"/>
          <w:bCs/>
          <w:sz w:val="24"/>
          <w:szCs w:val="24"/>
        </w:rPr>
      </w:pPr>
      <w:r w:rsidRPr="003D3CFE">
        <w:rPr>
          <w:rFonts w:ascii="Arial" w:eastAsia="Arial Unicode MS" w:hAnsi="Arial" w:cs="Arial"/>
          <w:bCs/>
          <w:sz w:val="24"/>
          <w:szCs w:val="24"/>
        </w:rPr>
        <w:t xml:space="preserve">The distribution of patients is </w:t>
      </w:r>
      <w:r w:rsidR="002B3763">
        <w:rPr>
          <w:rFonts w:ascii="Arial" w:eastAsia="Arial Unicode MS" w:hAnsi="Arial" w:cs="Arial"/>
          <w:bCs/>
          <w:sz w:val="24"/>
          <w:szCs w:val="24"/>
        </w:rPr>
        <w:t>7</w:t>
      </w:r>
      <w:r w:rsidR="005362F9" w:rsidRPr="003D3CFE">
        <w:rPr>
          <w:rFonts w:ascii="Arial" w:eastAsia="Arial Unicode MS" w:hAnsi="Arial" w:cs="Arial"/>
          <w:bCs/>
          <w:sz w:val="24"/>
          <w:szCs w:val="24"/>
        </w:rPr>
        <w:t>3</w:t>
      </w:r>
      <w:r w:rsidRPr="003D3CFE">
        <w:rPr>
          <w:rFonts w:ascii="Arial" w:eastAsia="Arial Unicode MS" w:hAnsi="Arial" w:cs="Arial"/>
          <w:bCs/>
          <w:sz w:val="24"/>
          <w:szCs w:val="24"/>
        </w:rPr>
        <w:t>% (</w:t>
      </w:r>
      <w:r w:rsidR="003D3CFE">
        <w:rPr>
          <w:rFonts w:ascii="Arial" w:eastAsia="Arial Unicode MS" w:hAnsi="Arial" w:cs="Arial"/>
          <w:bCs/>
          <w:sz w:val="24"/>
          <w:szCs w:val="24"/>
        </w:rPr>
        <w:t>65</w:t>
      </w:r>
      <w:r w:rsidR="00A13A86" w:rsidRPr="003D3CFE">
        <w:rPr>
          <w:rFonts w:ascii="Arial" w:eastAsia="Arial Unicode MS" w:hAnsi="Arial" w:cs="Arial"/>
          <w:bCs/>
          <w:sz w:val="24"/>
          <w:szCs w:val="24"/>
        </w:rPr>
        <w:t xml:space="preserve"> patients</w:t>
      </w:r>
      <w:r w:rsidRPr="003D3CFE">
        <w:rPr>
          <w:rFonts w:ascii="Arial" w:eastAsia="Arial Unicode MS" w:hAnsi="Arial" w:cs="Arial"/>
          <w:bCs/>
          <w:sz w:val="24"/>
          <w:szCs w:val="24"/>
        </w:rPr>
        <w:t>) on the available waiting list</w:t>
      </w:r>
      <w:r w:rsidR="00C56A35" w:rsidRPr="003D3CFE">
        <w:rPr>
          <w:rFonts w:ascii="Arial" w:eastAsia="Arial Unicode MS" w:hAnsi="Arial" w:cs="Arial"/>
          <w:bCs/>
          <w:sz w:val="24"/>
          <w:szCs w:val="24"/>
        </w:rPr>
        <w:t xml:space="preserve"> and</w:t>
      </w:r>
      <w:r w:rsidR="00A13A86" w:rsidRPr="003D3CFE">
        <w:rPr>
          <w:rFonts w:ascii="Arial" w:eastAsia="Arial Unicode MS" w:hAnsi="Arial" w:cs="Arial"/>
          <w:bCs/>
          <w:sz w:val="24"/>
          <w:szCs w:val="24"/>
        </w:rPr>
        <w:t xml:space="preserve"> </w:t>
      </w:r>
      <w:r w:rsidR="002B3763">
        <w:rPr>
          <w:rFonts w:ascii="Arial" w:eastAsia="Arial Unicode MS" w:hAnsi="Arial" w:cs="Arial"/>
          <w:bCs/>
          <w:sz w:val="24"/>
          <w:szCs w:val="24"/>
        </w:rPr>
        <w:t>2</w:t>
      </w:r>
      <w:r w:rsidR="005362F9" w:rsidRPr="003D3CFE">
        <w:rPr>
          <w:rFonts w:ascii="Arial" w:eastAsia="Arial Unicode MS" w:hAnsi="Arial" w:cs="Arial"/>
          <w:bCs/>
          <w:sz w:val="24"/>
          <w:szCs w:val="24"/>
        </w:rPr>
        <w:t>7</w:t>
      </w:r>
      <w:r w:rsidRPr="003D3CFE">
        <w:rPr>
          <w:rFonts w:ascii="Arial" w:eastAsia="Arial Unicode MS" w:hAnsi="Arial" w:cs="Arial"/>
          <w:bCs/>
          <w:sz w:val="24"/>
          <w:szCs w:val="24"/>
        </w:rPr>
        <w:t>% (</w:t>
      </w:r>
      <w:r w:rsidR="003D3CFE">
        <w:rPr>
          <w:rFonts w:ascii="Arial" w:eastAsia="Arial Unicode MS" w:hAnsi="Arial" w:cs="Arial"/>
          <w:bCs/>
          <w:sz w:val="24"/>
          <w:szCs w:val="24"/>
        </w:rPr>
        <w:t>24</w:t>
      </w:r>
      <w:r w:rsidR="00A13A86" w:rsidRPr="003D3CFE">
        <w:rPr>
          <w:rFonts w:ascii="Arial" w:eastAsia="Arial Unicode MS" w:hAnsi="Arial" w:cs="Arial"/>
          <w:bCs/>
          <w:sz w:val="24"/>
          <w:szCs w:val="24"/>
        </w:rPr>
        <w:t xml:space="preserve"> patients</w:t>
      </w:r>
      <w:r w:rsidRPr="003D3CFE">
        <w:rPr>
          <w:rFonts w:ascii="Arial" w:eastAsia="Arial Unicode MS" w:hAnsi="Arial" w:cs="Arial"/>
          <w:bCs/>
          <w:sz w:val="24"/>
          <w:szCs w:val="24"/>
        </w:rPr>
        <w:t>)</w:t>
      </w:r>
      <w:r w:rsidR="00C56A35" w:rsidRPr="003D3CFE">
        <w:rPr>
          <w:rFonts w:ascii="Arial" w:eastAsia="Arial Unicode MS" w:hAnsi="Arial" w:cs="Arial"/>
          <w:bCs/>
          <w:sz w:val="24"/>
          <w:szCs w:val="24"/>
        </w:rPr>
        <w:t xml:space="preserve"> were</w:t>
      </w:r>
      <w:r w:rsidRPr="003D3CFE">
        <w:rPr>
          <w:rFonts w:ascii="Arial" w:eastAsia="Arial Unicode MS" w:hAnsi="Arial" w:cs="Arial"/>
          <w:bCs/>
          <w:sz w:val="24"/>
          <w:szCs w:val="24"/>
        </w:rPr>
        <w:t xml:space="preserve"> on the unavailable list</w:t>
      </w:r>
      <w:r w:rsidR="00170410" w:rsidRPr="003D3CFE">
        <w:rPr>
          <w:rFonts w:ascii="Arial" w:eastAsia="Arial Unicode MS" w:hAnsi="Arial" w:cs="Arial"/>
          <w:bCs/>
          <w:sz w:val="24"/>
          <w:szCs w:val="24"/>
        </w:rPr>
        <w:t>.</w:t>
      </w:r>
      <w:r w:rsidR="00B838B1" w:rsidRPr="003D3CFE">
        <w:rPr>
          <w:rFonts w:ascii="Arial" w:eastAsia="Arial Unicode MS" w:hAnsi="Arial" w:cs="Arial"/>
          <w:bCs/>
          <w:sz w:val="24"/>
          <w:szCs w:val="24"/>
        </w:rPr>
        <w:t xml:space="preserve"> </w:t>
      </w:r>
    </w:p>
    <w:p w:rsidR="00E56440" w:rsidRPr="003D3CFE" w:rsidRDefault="00E56440" w:rsidP="00E56440">
      <w:pPr>
        <w:pStyle w:val="ListParagraph"/>
        <w:tabs>
          <w:tab w:val="left" w:pos="9540"/>
        </w:tabs>
        <w:spacing w:after="0" w:line="240" w:lineRule="auto"/>
        <w:ind w:left="0" w:right="-122"/>
        <w:jc w:val="both"/>
        <w:rPr>
          <w:rFonts w:ascii="Arial" w:eastAsia="Arial Unicode MS" w:hAnsi="Arial" w:cs="Arial"/>
          <w:bCs/>
          <w:sz w:val="24"/>
          <w:szCs w:val="24"/>
        </w:rPr>
      </w:pPr>
    </w:p>
    <w:p w:rsidR="00235F92" w:rsidRPr="003D3CFE" w:rsidRDefault="00050882" w:rsidP="00E56440">
      <w:pPr>
        <w:pStyle w:val="ListParagraph"/>
        <w:tabs>
          <w:tab w:val="left" w:pos="9540"/>
        </w:tabs>
        <w:spacing w:after="0" w:line="240" w:lineRule="auto"/>
        <w:ind w:left="0" w:right="-122"/>
        <w:jc w:val="both"/>
        <w:rPr>
          <w:rFonts w:ascii="Arial" w:eastAsia="Arial Unicode MS" w:hAnsi="Arial" w:cs="Arial"/>
          <w:bCs/>
          <w:sz w:val="24"/>
          <w:szCs w:val="24"/>
        </w:rPr>
      </w:pPr>
      <w:r w:rsidRPr="003D3CFE">
        <w:rPr>
          <w:rFonts w:ascii="Arial" w:eastAsia="Arial Unicode MS" w:hAnsi="Arial" w:cs="Arial"/>
          <w:bCs/>
          <w:sz w:val="24"/>
          <w:szCs w:val="24"/>
        </w:rPr>
        <w:t xml:space="preserve">Figure 5: </w:t>
      </w:r>
      <w:r w:rsidR="00E56440" w:rsidRPr="003D3CFE">
        <w:rPr>
          <w:rFonts w:ascii="Arial" w:eastAsia="Arial Unicode MS" w:hAnsi="Arial" w:cs="Arial"/>
          <w:bCs/>
          <w:sz w:val="24"/>
          <w:szCs w:val="24"/>
        </w:rPr>
        <w:t xml:space="preserve">As a percentage of the total waiting list </w:t>
      </w:r>
      <w:r w:rsidR="00D367E0" w:rsidRPr="003D3CFE">
        <w:rPr>
          <w:rFonts w:ascii="Arial" w:eastAsia="Arial Unicode MS" w:hAnsi="Arial" w:cs="Arial"/>
          <w:bCs/>
          <w:sz w:val="24"/>
          <w:szCs w:val="24"/>
        </w:rPr>
        <w:t xml:space="preserve">there </w:t>
      </w:r>
      <w:r w:rsidR="00ED24A1" w:rsidRPr="003D3CFE">
        <w:rPr>
          <w:rFonts w:ascii="Arial" w:eastAsia="Arial Unicode MS" w:hAnsi="Arial" w:cs="Arial"/>
          <w:bCs/>
          <w:sz w:val="24"/>
          <w:szCs w:val="24"/>
        </w:rPr>
        <w:t xml:space="preserve">were </w:t>
      </w:r>
      <w:r w:rsidR="002B3763">
        <w:rPr>
          <w:rFonts w:ascii="Arial" w:eastAsia="Arial Unicode MS" w:hAnsi="Arial" w:cs="Arial"/>
          <w:bCs/>
          <w:sz w:val="24"/>
          <w:szCs w:val="24"/>
        </w:rPr>
        <w:t>8</w:t>
      </w:r>
      <w:r w:rsidR="00140E1D" w:rsidRPr="003D3CFE">
        <w:rPr>
          <w:rFonts w:ascii="Arial" w:eastAsia="Arial Unicode MS" w:hAnsi="Arial" w:cs="Arial"/>
          <w:bCs/>
          <w:sz w:val="24"/>
          <w:szCs w:val="24"/>
        </w:rPr>
        <w:t xml:space="preserve"> patients (</w:t>
      </w:r>
      <w:r w:rsidR="002B3763">
        <w:rPr>
          <w:rFonts w:ascii="Arial" w:eastAsia="Arial Unicode MS" w:hAnsi="Arial" w:cs="Arial"/>
          <w:bCs/>
          <w:sz w:val="24"/>
          <w:szCs w:val="24"/>
        </w:rPr>
        <w:t>9</w:t>
      </w:r>
      <w:r w:rsidR="00140E1D" w:rsidRPr="003D3CFE">
        <w:rPr>
          <w:rFonts w:ascii="Arial" w:eastAsia="Arial Unicode MS" w:hAnsi="Arial" w:cs="Arial"/>
          <w:bCs/>
          <w:sz w:val="24"/>
          <w:szCs w:val="24"/>
        </w:rPr>
        <w:t>%)</w:t>
      </w:r>
      <w:r w:rsidR="00170410" w:rsidRPr="003D3CFE">
        <w:rPr>
          <w:rFonts w:ascii="Arial" w:eastAsia="Arial Unicode MS" w:hAnsi="Arial" w:cs="Arial"/>
          <w:bCs/>
          <w:sz w:val="24"/>
          <w:szCs w:val="24"/>
        </w:rPr>
        <w:t xml:space="preserve"> </w:t>
      </w:r>
      <w:r w:rsidR="00E56440" w:rsidRPr="003D3CFE">
        <w:rPr>
          <w:rFonts w:ascii="Arial" w:eastAsia="Arial Unicode MS" w:hAnsi="Arial" w:cs="Arial"/>
          <w:bCs/>
          <w:sz w:val="24"/>
          <w:szCs w:val="24"/>
        </w:rPr>
        <w:t xml:space="preserve">medically unavailable </w:t>
      </w:r>
      <w:r w:rsidR="00D367E0" w:rsidRPr="003D3CFE">
        <w:rPr>
          <w:rFonts w:ascii="Arial" w:eastAsia="Arial Unicode MS" w:hAnsi="Arial" w:cs="Arial"/>
          <w:bCs/>
          <w:sz w:val="24"/>
          <w:szCs w:val="24"/>
        </w:rPr>
        <w:t xml:space="preserve">patients </w:t>
      </w:r>
      <w:r w:rsidR="00E56440" w:rsidRPr="003D3CFE">
        <w:rPr>
          <w:rFonts w:ascii="Arial" w:eastAsia="Arial Unicode MS" w:hAnsi="Arial" w:cs="Arial"/>
          <w:bCs/>
          <w:sz w:val="24"/>
          <w:szCs w:val="24"/>
        </w:rPr>
        <w:t xml:space="preserve">and </w:t>
      </w:r>
      <w:r w:rsidR="007E0418" w:rsidRPr="003D3CFE">
        <w:rPr>
          <w:rFonts w:ascii="Arial" w:eastAsia="Arial Unicode MS" w:hAnsi="Arial" w:cs="Arial"/>
          <w:bCs/>
          <w:sz w:val="24"/>
          <w:szCs w:val="24"/>
        </w:rPr>
        <w:t>1</w:t>
      </w:r>
      <w:r w:rsidR="002B3763">
        <w:rPr>
          <w:rFonts w:ascii="Arial" w:eastAsia="Arial Unicode MS" w:hAnsi="Arial" w:cs="Arial"/>
          <w:bCs/>
          <w:sz w:val="24"/>
          <w:szCs w:val="24"/>
        </w:rPr>
        <w:t>6</w:t>
      </w:r>
      <w:r w:rsidR="00E56440" w:rsidRPr="003D3CFE">
        <w:rPr>
          <w:rFonts w:ascii="Arial" w:eastAsia="Arial Unicode MS" w:hAnsi="Arial" w:cs="Arial"/>
          <w:bCs/>
          <w:sz w:val="24"/>
          <w:szCs w:val="24"/>
        </w:rPr>
        <w:t xml:space="preserve"> patient</w:t>
      </w:r>
      <w:r w:rsidR="00C54207" w:rsidRPr="003D3CFE">
        <w:rPr>
          <w:rFonts w:ascii="Arial" w:eastAsia="Arial Unicode MS" w:hAnsi="Arial" w:cs="Arial"/>
          <w:bCs/>
          <w:sz w:val="24"/>
          <w:szCs w:val="24"/>
        </w:rPr>
        <w:t>s</w:t>
      </w:r>
      <w:r w:rsidR="00ED24A1" w:rsidRPr="003D3CFE">
        <w:rPr>
          <w:rFonts w:ascii="Arial" w:eastAsia="Arial Unicode MS" w:hAnsi="Arial" w:cs="Arial"/>
          <w:bCs/>
          <w:sz w:val="24"/>
          <w:szCs w:val="24"/>
        </w:rPr>
        <w:t xml:space="preserve"> (</w:t>
      </w:r>
      <w:r w:rsidR="007E0418" w:rsidRPr="003D3CFE">
        <w:rPr>
          <w:rFonts w:ascii="Arial" w:eastAsia="Arial Unicode MS" w:hAnsi="Arial" w:cs="Arial"/>
          <w:bCs/>
          <w:sz w:val="24"/>
          <w:szCs w:val="24"/>
        </w:rPr>
        <w:t>1</w:t>
      </w:r>
      <w:r w:rsidR="002B3763">
        <w:rPr>
          <w:rFonts w:ascii="Arial" w:eastAsia="Arial Unicode MS" w:hAnsi="Arial" w:cs="Arial"/>
          <w:bCs/>
          <w:sz w:val="24"/>
          <w:szCs w:val="24"/>
        </w:rPr>
        <w:t>8</w:t>
      </w:r>
      <w:r w:rsidR="00ED24A1" w:rsidRPr="003D3CFE">
        <w:rPr>
          <w:rFonts w:ascii="Arial" w:eastAsia="Arial Unicode MS" w:hAnsi="Arial" w:cs="Arial"/>
          <w:bCs/>
          <w:sz w:val="24"/>
          <w:szCs w:val="24"/>
        </w:rPr>
        <w:t>%)</w:t>
      </w:r>
      <w:r w:rsidR="00E56440" w:rsidRPr="003D3CFE">
        <w:rPr>
          <w:rFonts w:ascii="Arial" w:eastAsia="Arial Unicode MS" w:hAnsi="Arial" w:cs="Arial"/>
          <w:bCs/>
          <w:sz w:val="24"/>
          <w:szCs w:val="24"/>
        </w:rPr>
        <w:t xml:space="preserve"> advised </w:t>
      </w:r>
      <w:r w:rsidR="00ED24A1" w:rsidRPr="003D3CFE">
        <w:rPr>
          <w:rFonts w:ascii="Arial" w:eastAsia="Arial Unicode MS" w:hAnsi="Arial" w:cs="Arial"/>
          <w:bCs/>
          <w:sz w:val="24"/>
          <w:szCs w:val="24"/>
        </w:rPr>
        <w:t xml:space="preserve">that they were </w:t>
      </w:r>
      <w:r w:rsidR="00E56440" w:rsidRPr="003D3CFE">
        <w:rPr>
          <w:rFonts w:ascii="Arial" w:eastAsia="Arial Unicode MS" w:hAnsi="Arial" w:cs="Arial"/>
          <w:bCs/>
          <w:sz w:val="24"/>
          <w:szCs w:val="24"/>
        </w:rPr>
        <w:t>unavailab</w:t>
      </w:r>
      <w:r w:rsidR="002F6F39" w:rsidRPr="003D3CFE">
        <w:rPr>
          <w:rFonts w:ascii="Arial" w:eastAsia="Arial Unicode MS" w:hAnsi="Arial" w:cs="Arial"/>
          <w:bCs/>
          <w:sz w:val="24"/>
          <w:szCs w:val="24"/>
        </w:rPr>
        <w:t>l</w:t>
      </w:r>
      <w:r w:rsidR="00ED24A1" w:rsidRPr="003D3CFE">
        <w:rPr>
          <w:rFonts w:ascii="Arial" w:eastAsia="Arial Unicode MS" w:hAnsi="Arial" w:cs="Arial"/>
          <w:bCs/>
          <w:sz w:val="24"/>
          <w:szCs w:val="24"/>
        </w:rPr>
        <w:t>e</w:t>
      </w:r>
      <w:r w:rsidR="00E56440" w:rsidRPr="003D3CFE">
        <w:rPr>
          <w:rFonts w:ascii="Arial" w:eastAsia="Arial Unicode MS" w:hAnsi="Arial" w:cs="Arial"/>
          <w:bCs/>
          <w:sz w:val="24"/>
          <w:szCs w:val="24"/>
        </w:rPr>
        <w:t>.</w:t>
      </w:r>
      <w:r w:rsidR="0067239F" w:rsidRPr="003D3CFE">
        <w:rPr>
          <w:rFonts w:ascii="Arial" w:eastAsia="Arial Unicode MS" w:hAnsi="Arial" w:cs="Arial"/>
          <w:bCs/>
          <w:sz w:val="24"/>
          <w:szCs w:val="24"/>
        </w:rPr>
        <w:t xml:space="preserve">  </w:t>
      </w:r>
    </w:p>
    <w:p w:rsidR="00AA763B" w:rsidRPr="000C34A9" w:rsidRDefault="00AA763B" w:rsidP="00E56440">
      <w:pPr>
        <w:pStyle w:val="ListParagraph"/>
        <w:tabs>
          <w:tab w:val="left" w:pos="9540"/>
        </w:tabs>
        <w:spacing w:after="0" w:line="240" w:lineRule="auto"/>
        <w:ind w:left="0" w:right="-122"/>
        <w:jc w:val="both"/>
        <w:rPr>
          <w:rFonts w:ascii="Arial" w:eastAsia="Arial Unicode MS" w:hAnsi="Arial" w:cs="Arial"/>
          <w:bCs/>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6520"/>
      </w:tblGrid>
      <w:tr w:rsidR="00C80F88" w:rsidRPr="000C34A9" w:rsidTr="007C54D9">
        <w:tc>
          <w:tcPr>
            <w:tcW w:w="6771" w:type="dxa"/>
          </w:tcPr>
          <w:p w:rsidR="00C80F88" w:rsidRPr="003D3CFE" w:rsidRDefault="00C80F88" w:rsidP="00055427">
            <w:pPr>
              <w:pStyle w:val="ListParagraph"/>
              <w:tabs>
                <w:tab w:val="left" w:pos="9540"/>
              </w:tabs>
              <w:spacing w:after="0" w:line="240" w:lineRule="auto"/>
              <w:ind w:left="-142" w:right="-122"/>
              <w:jc w:val="both"/>
              <w:rPr>
                <w:rFonts w:ascii="Arial" w:eastAsia="Arial Unicode MS" w:hAnsi="Arial" w:cs="Arial"/>
                <w:noProof/>
                <w:sz w:val="20"/>
                <w:szCs w:val="20"/>
                <w:lang w:eastAsia="en-GB"/>
              </w:rPr>
            </w:pPr>
            <w:r w:rsidRPr="003D3CFE">
              <w:rPr>
                <w:rFonts w:ascii="Arial" w:eastAsia="Arial Unicode MS" w:hAnsi="Arial" w:cs="Arial"/>
                <w:noProof/>
                <w:sz w:val="20"/>
                <w:szCs w:val="20"/>
                <w:lang w:eastAsia="en-GB"/>
              </w:rPr>
              <w:t xml:space="preserve">Figure </w:t>
            </w:r>
            <w:r w:rsidR="00A13A86" w:rsidRPr="003D3CFE">
              <w:rPr>
                <w:rFonts w:ascii="Arial" w:eastAsia="Arial Unicode MS" w:hAnsi="Arial" w:cs="Arial"/>
                <w:noProof/>
                <w:sz w:val="20"/>
                <w:szCs w:val="20"/>
                <w:lang w:eastAsia="en-GB"/>
              </w:rPr>
              <w:t>4</w:t>
            </w:r>
          </w:p>
        </w:tc>
        <w:tc>
          <w:tcPr>
            <w:tcW w:w="6520" w:type="dxa"/>
          </w:tcPr>
          <w:p w:rsidR="00C80F88" w:rsidRPr="003D3CFE" w:rsidRDefault="00C80F88" w:rsidP="00055427">
            <w:pPr>
              <w:pStyle w:val="ListParagraph"/>
              <w:tabs>
                <w:tab w:val="left" w:pos="9540"/>
              </w:tabs>
              <w:spacing w:after="0" w:line="240" w:lineRule="auto"/>
              <w:ind w:left="-108" w:right="-122"/>
              <w:jc w:val="both"/>
              <w:rPr>
                <w:rFonts w:ascii="Arial" w:eastAsia="Arial Unicode MS" w:hAnsi="Arial" w:cs="Arial"/>
                <w:noProof/>
                <w:sz w:val="20"/>
                <w:szCs w:val="20"/>
                <w:lang w:eastAsia="en-GB"/>
              </w:rPr>
            </w:pPr>
            <w:r w:rsidRPr="003D3CFE">
              <w:rPr>
                <w:rFonts w:ascii="Arial" w:eastAsia="Arial Unicode MS" w:hAnsi="Arial" w:cs="Arial"/>
                <w:noProof/>
                <w:sz w:val="20"/>
                <w:szCs w:val="20"/>
                <w:lang w:eastAsia="en-GB"/>
              </w:rPr>
              <w:t xml:space="preserve">Figure </w:t>
            </w:r>
            <w:r w:rsidR="00A13A86" w:rsidRPr="003D3CFE">
              <w:rPr>
                <w:rFonts w:ascii="Arial" w:eastAsia="Arial Unicode MS" w:hAnsi="Arial" w:cs="Arial"/>
                <w:noProof/>
                <w:sz w:val="20"/>
                <w:szCs w:val="20"/>
                <w:lang w:eastAsia="en-GB"/>
              </w:rPr>
              <w:t>5</w:t>
            </w:r>
          </w:p>
        </w:tc>
      </w:tr>
      <w:tr w:rsidR="00235F92" w:rsidRPr="000C34A9" w:rsidTr="007C54D9">
        <w:trPr>
          <w:trHeight w:val="5550"/>
        </w:trPr>
        <w:tc>
          <w:tcPr>
            <w:tcW w:w="6771" w:type="dxa"/>
          </w:tcPr>
          <w:p w:rsidR="00235F92" w:rsidRPr="000C34A9" w:rsidRDefault="00EB5E2E" w:rsidP="00055427">
            <w:pPr>
              <w:pStyle w:val="ListParagraph"/>
              <w:tabs>
                <w:tab w:val="left" w:pos="9540"/>
              </w:tabs>
              <w:spacing w:after="0" w:line="240" w:lineRule="auto"/>
              <w:ind w:left="-142" w:right="-122"/>
              <w:jc w:val="both"/>
              <w:rPr>
                <w:rFonts w:ascii="Arial" w:eastAsia="Arial Unicode MS" w:hAnsi="Arial" w:cs="Arial"/>
                <w:bCs/>
                <w:highlight w:val="yellow"/>
              </w:rPr>
            </w:pPr>
            <w:r>
              <w:rPr>
                <w:rFonts w:eastAsia="Arial Unicode MS"/>
                <w:noProof/>
                <w:lang w:eastAsia="en-GB"/>
              </w:rPr>
              <w:drawing>
                <wp:inline distT="0" distB="0" distL="0" distR="0">
                  <wp:extent cx="4157980" cy="360553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4157980" cy="3605530"/>
                          </a:xfrm>
                          <a:prstGeom prst="rect">
                            <a:avLst/>
                          </a:prstGeom>
                          <a:noFill/>
                          <a:ln w="9525">
                            <a:noFill/>
                            <a:miter lim="800000"/>
                            <a:headEnd/>
                            <a:tailEnd/>
                          </a:ln>
                        </pic:spPr>
                      </pic:pic>
                    </a:graphicData>
                  </a:graphic>
                </wp:inline>
              </w:drawing>
            </w:r>
          </w:p>
        </w:tc>
        <w:tc>
          <w:tcPr>
            <w:tcW w:w="6520" w:type="dxa"/>
          </w:tcPr>
          <w:p w:rsidR="00235F92" w:rsidRPr="000C34A9" w:rsidRDefault="00EB5E2E" w:rsidP="00055427">
            <w:pPr>
              <w:pStyle w:val="ListParagraph"/>
              <w:tabs>
                <w:tab w:val="left" w:pos="9540"/>
              </w:tabs>
              <w:spacing w:after="0" w:line="240" w:lineRule="auto"/>
              <w:ind w:left="-108" w:right="-122"/>
              <w:jc w:val="both"/>
              <w:rPr>
                <w:rFonts w:ascii="Arial" w:eastAsia="Arial Unicode MS" w:hAnsi="Arial" w:cs="Arial"/>
                <w:bCs/>
                <w:highlight w:val="yellow"/>
              </w:rPr>
            </w:pPr>
            <w:r>
              <w:rPr>
                <w:rFonts w:ascii="Arial Narrow" w:eastAsia="Arial Unicode MS" w:hAnsi="Arial Narrow"/>
                <w:noProof/>
                <w:lang w:eastAsia="en-GB"/>
              </w:rPr>
              <w:drawing>
                <wp:inline distT="0" distB="0" distL="0" distR="0">
                  <wp:extent cx="4302784" cy="3623095"/>
                  <wp:effectExtent l="19050" t="0" r="2516" b="0"/>
                  <wp:docPr id="28" name="Picture 2" descr="9i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iT0"/>
                          <pic:cNvPicPr>
                            <a:picLocks noChangeAspect="1" noChangeArrowheads="1"/>
                          </pic:cNvPicPr>
                        </pic:nvPicPr>
                        <pic:blipFill>
                          <a:blip r:embed="rId16" cstate="print"/>
                          <a:srcRect/>
                          <a:stretch>
                            <a:fillRect/>
                          </a:stretch>
                        </pic:blipFill>
                        <pic:spPr bwMode="auto">
                          <a:xfrm>
                            <a:off x="0" y="0"/>
                            <a:ext cx="4312843" cy="3631565"/>
                          </a:xfrm>
                          <a:prstGeom prst="rect">
                            <a:avLst/>
                          </a:prstGeom>
                          <a:noFill/>
                          <a:ln w="9525">
                            <a:noFill/>
                            <a:miter lim="800000"/>
                            <a:headEnd/>
                            <a:tailEnd/>
                          </a:ln>
                        </pic:spPr>
                      </pic:pic>
                    </a:graphicData>
                  </a:graphic>
                </wp:inline>
              </w:drawing>
            </w:r>
          </w:p>
        </w:tc>
      </w:tr>
    </w:tbl>
    <w:p w:rsidR="00942565" w:rsidRDefault="00942565" w:rsidP="00EF577A">
      <w:pPr>
        <w:tabs>
          <w:tab w:val="left" w:pos="7560"/>
        </w:tabs>
        <w:spacing w:after="120"/>
        <w:ind w:right="-122"/>
        <w:rPr>
          <w:rFonts w:ascii="Arial" w:eastAsia="Arial Unicode MS" w:hAnsi="Arial" w:cs="Arial"/>
          <w:b/>
          <w:szCs w:val="22"/>
        </w:rPr>
      </w:pPr>
    </w:p>
    <w:p w:rsidR="00E56440" w:rsidRPr="006F2343" w:rsidRDefault="00E56440" w:rsidP="00EF577A">
      <w:pPr>
        <w:tabs>
          <w:tab w:val="left" w:pos="7560"/>
        </w:tabs>
        <w:spacing w:after="120"/>
        <w:ind w:right="-122"/>
        <w:rPr>
          <w:rFonts w:ascii="Arial" w:eastAsia="Arial Unicode MS" w:hAnsi="Arial" w:cs="Arial"/>
          <w:b/>
          <w:szCs w:val="22"/>
        </w:rPr>
      </w:pPr>
      <w:r w:rsidRPr="006F2343">
        <w:rPr>
          <w:rFonts w:ascii="Arial" w:eastAsia="Arial Unicode MS" w:hAnsi="Arial" w:cs="Arial"/>
          <w:b/>
          <w:szCs w:val="22"/>
        </w:rPr>
        <w:lastRenderedPageBreak/>
        <w:t>Cardiology</w:t>
      </w:r>
      <w:r w:rsidRPr="006F2343">
        <w:rPr>
          <w:rFonts w:ascii="Arial" w:eastAsia="Arial Unicode MS" w:hAnsi="Arial" w:cs="Arial"/>
          <w:b/>
          <w:bCs/>
          <w:szCs w:val="22"/>
        </w:rPr>
        <w:t xml:space="preserve"> </w:t>
      </w:r>
      <w:r w:rsidRPr="006F2343">
        <w:rPr>
          <w:rFonts w:ascii="Arial" w:eastAsia="Arial Unicode MS" w:hAnsi="Arial" w:cs="Arial"/>
          <w:b/>
          <w:szCs w:val="22"/>
        </w:rPr>
        <w:t xml:space="preserve">Inpatient Waiting List </w:t>
      </w:r>
    </w:p>
    <w:p w:rsidR="00A13A86" w:rsidRPr="006F2343" w:rsidRDefault="00050882" w:rsidP="009621F6">
      <w:pPr>
        <w:tabs>
          <w:tab w:val="left" w:pos="0"/>
        </w:tabs>
        <w:rPr>
          <w:rFonts w:ascii="Arial" w:eastAsia="Arial Unicode MS" w:hAnsi="Arial" w:cs="Arial"/>
          <w:szCs w:val="22"/>
        </w:rPr>
      </w:pPr>
      <w:r w:rsidRPr="006F2343">
        <w:rPr>
          <w:rFonts w:ascii="Arial" w:eastAsia="Arial Unicode MS" w:hAnsi="Arial" w:cs="Arial"/>
          <w:szCs w:val="22"/>
        </w:rPr>
        <w:t>Figure 6</w:t>
      </w:r>
      <w:r w:rsidR="00E56440" w:rsidRPr="006F2343">
        <w:rPr>
          <w:rFonts w:ascii="Arial" w:eastAsia="Arial Unicode MS" w:hAnsi="Arial" w:cs="Arial"/>
          <w:szCs w:val="22"/>
        </w:rPr>
        <w:t xml:space="preserve"> illustrates the number of cardiology patients on the waiting list </w:t>
      </w:r>
      <w:r w:rsidR="00D75895" w:rsidRPr="006F2343">
        <w:rPr>
          <w:rFonts w:ascii="Arial" w:eastAsia="Arial Unicode MS" w:hAnsi="Arial" w:cs="Arial"/>
          <w:szCs w:val="22"/>
        </w:rPr>
        <w:t>during</w:t>
      </w:r>
      <w:r w:rsidR="006138D0" w:rsidRPr="006F2343">
        <w:rPr>
          <w:rFonts w:ascii="Arial" w:eastAsia="Arial Unicode MS" w:hAnsi="Arial" w:cs="Arial"/>
          <w:szCs w:val="22"/>
        </w:rPr>
        <w:t xml:space="preserve"> </w:t>
      </w:r>
      <w:r w:rsidR="004F0CD6" w:rsidRPr="006F2343">
        <w:rPr>
          <w:rFonts w:ascii="Arial" w:eastAsia="Arial Unicode MS" w:hAnsi="Arial" w:cs="Arial"/>
          <w:szCs w:val="22"/>
        </w:rPr>
        <w:t>the last 26 weeks.</w:t>
      </w:r>
      <w:r w:rsidR="009621F6" w:rsidRPr="006F2343">
        <w:rPr>
          <w:rFonts w:ascii="Arial" w:eastAsia="Arial Unicode MS" w:hAnsi="Arial" w:cs="Arial"/>
          <w:szCs w:val="22"/>
        </w:rPr>
        <w:t xml:space="preserve"> </w:t>
      </w:r>
      <w:r w:rsidR="001A7CEC" w:rsidRPr="006F2343">
        <w:rPr>
          <w:rFonts w:ascii="Arial" w:eastAsia="Arial Unicode MS" w:hAnsi="Arial" w:cs="Arial"/>
          <w:szCs w:val="22"/>
        </w:rPr>
        <w:t>O</w:t>
      </w:r>
      <w:r w:rsidR="00E56440" w:rsidRPr="006F2343">
        <w:rPr>
          <w:rFonts w:ascii="Arial" w:eastAsia="Arial Unicode MS" w:hAnsi="Arial" w:cs="Arial"/>
          <w:szCs w:val="22"/>
        </w:rPr>
        <w:t>n</w:t>
      </w:r>
      <w:r w:rsidR="00EF769C" w:rsidRPr="006F2343">
        <w:rPr>
          <w:rFonts w:ascii="Arial" w:eastAsia="Arial Unicode MS" w:hAnsi="Arial" w:cs="Arial"/>
          <w:szCs w:val="22"/>
        </w:rPr>
        <w:t xml:space="preserve"> </w:t>
      </w:r>
      <w:r w:rsidR="006F2343">
        <w:rPr>
          <w:rFonts w:ascii="Arial" w:eastAsia="Arial Unicode MS" w:hAnsi="Arial" w:cs="Arial"/>
          <w:szCs w:val="22"/>
        </w:rPr>
        <w:t>23 May</w:t>
      </w:r>
      <w:r w:rsidR="006B4D21" w:rsidRPr="006F2343">
        <w:rPr>
          <w:rFonts w:ascii="Arial" w:eastAsia="Arial Unicode MS" w:hAnsi="Arial" w:cs="Arial"/>
          <w:bCs/>
          <w:szCs w:val="22"/>
        </w:rPr>
        <w:t xml:space="preserve"> 2019 </w:t>
      </w:r>
      <w:r w:rsidR="00E56440" w:rsidRPr="006F2343">
        <w:rPr>
          <w:rFonts w:ascii="Arial" w:eastAsia="Arial Unicode MS" w:hAnsi="Arial" w:cs="Arial"/>
          <w:szCs w:val="22"/>
        </w:rPr>
        <w:t xml:space="preserve">a total of </w:t>
      </w:r>
      <w:r w:rsidR="006F2343">
        <w:rPr>
          <w:rFonts w:ascii="Arial" w:eastAsia="Arial Unicode MS" w:hAnsi="Arial" w:cs="Arial"/>
          <w:szCs w:val="22"/>
        </w:rPr>
        <w:t>993</w:t>
      </w:r>
      <w:r w:rsidR="003442DD" w:rsidRPr="006F2343">
        <w:rPr>
          <w:rFonts w:ascii="Arial" w:eastAsia="Arial Unicode MS" w:hAnsi="Arial" w:cs="Arial"/>
          <w:szCs w:val="22"/>
        </w:rPr>
        <w:t xml:space="preserve"> </w:t>
      </w:r>
      <w:r w:rsidR="00A91CDC" w:rsidRPr="006F2343">
        <w:rPr>
          <w:rFonts w:ascii="Arial" w:eastAsia="Arial Unicode MS" w:hAnsi="Arial" w:cs="Arial"/>
          <w:szCs w:val="22"/>
        </w:rPr>
        <w:t>p</w:t>
      </w:r>
      <w:r w:rsidR="00E56440" w:rsidRPr="006F2343">
        <w:rPr>
          <w:rFonts w:ascii="Arial" w:eastAsia="Arial Unicode MS" w:hAnsi="Arial" w:cs="Arial"/>
          <w:szCs w:val="22"/>
        </w:rPr>
        <w:t xml:space="preserve">atients were on the cardiology waiting list with around </w:t>
      </w:r>
      <w:r w:rsidR="00605799" w:rsidRPr="006F2343">
        <w:rPr>
          <w:rFonts w:ascii="Arial" w:eastAsia="Arial Unicode MS" w:hAnsi="Arial" w:cs="Arial"/>
          <w:szCs w:val="22"/>
        </w:rPr>
        <w:t>9</w:t>
      </w:r>
      <w:r w:rsidR="006F2343">
        <w:rPr>
          <w:rFonts w:ascii="Arial" w:eastAsia="Arial Unicode MS" w:hAnsi="Arial" w:cs="Arial"/>
          <w:szCs w:val="22"/>
        </w:rPr>
        <w:t>7</w:t>
      </w:r>
      <w:r w:rsidR="00501B8E" w:rsidRPr="006F2343">
        <w:rPr>
          <w:rFonts w:ascii="Arial" w:eastAsia="Arial Unicode MS" w:hAnsi="Arial" w:cs="Arial"/>
          <w:szCs w:val="22"/>
        </w:rPr>
        <w:t>%</w:t>
      </w:r>
      <w:r w:rsidR="00E56440" w:rsidRPr="006F2343">
        <w:rPr>
          <w:rFonts w:ascii="Arial" w:eastAsia="Arial Unicode MS" w:hAnsi="Arial" w:cs="Arial"/>
          <w:szCs w:val="22"/>
        </w:rPr>
        <w:t xml:space="preserve"> (</w:t>
      </w:r>
      <w:r w:rsidR="006F2343">
        <w:rPr>
          <w:rFonts w:ascii="Arial" w:eastAsia="Arial Unicode MS" w:hAnsi="Arial" w:cs="Arial"/>
          <w:szCs w:val="22"/>
        </w:rPr>
        <w:t>965</w:t>
      </w:r>
      <w:r w:rsidR="00E56440" w:rsidRPr="006F2343">
        <w:rPr>
          <w:rFonts w:ascii="Arial" w:eastAsia="Arial Unicode MS" w:hAnsi="Arial" w:cs="Arial"/>
          <w:szCs w:val="22"/>
        </w:rPr>
        <w:t>) patients on the available list</w:t>
      </w:r>
      <w:r w:rsidR="00E80039" w:rsidRPr="006F2343">
        <w:rPr>
          <w:rFonts w:ascii="Arial" w:eastAsia="Arial Unicode MS" w:hAnsi="Arial" w:cs="Arial"/>
          <w:szCs w:val="22"/>
        </w:rPr>
        <w:t>.</w:t>
      </w:r>
      <w:r w:rsidR="001A7CEC" w:rsidRPr="006F2343">
        <w:rPr>
          <w:rFonts w:ascii="Arial" w:eastAsia="Arial Unicode MS" w:hAnsi="Arial" w:cs="Arial"/>
          <w:szCs w:val="22"/>
        </w:rPr>
        <w:t xml:space="preserve"> In addition to this,</w:t>
      </w:r>
      <w:r w:rsidR="00E56440" w:rsidRPr="006F2343">
        <w:rPr>
          <w:rFonts w:ascii="Arial" w:eastAsia="Arial Unicode MS" w:hAnsi="Arial" w:cs="Arial"/>
          <w:szCs w:val="22"/>
        </w:rPr>
        <w:t xml:space="preserve"> </w:t>
      </w:r>
      <w:r w:rsidR="006F2343">
        <w:rPr>
          <w:rFonts w:ascii="Arial" w:eastAsia="Arial Unicode MS" w:hAnsi="Arial" w:cs="Arial"/>
          <w:szCs w:val="22"/>
        </w:rPr>
        <w:t>3</w:t>
      </w:r>
      <w:r w:rsidR="00E56440" w:rsidRPr="006F2343">
        <w:rPr>
          <w:rFonts w:ascii="Arial" w:eastAsia="Arial Unicode MS" w:hAnsi="Arial" w:cs="Arial"/>
          <w:szCs w:val="22"/>
        </w:rPr>
        <w:t>% (</w:t>
      </w:r>
      <w:r w:rsidR="006F2343">
        <w:rPr>
          <w:rFonts w:ascii="Arial" w:eastAsia="Arial Unicode MS" w:hAnsi="Arial" w:cs="Arial"/>
          <w:szCs w:val="22"/>
        </w:rPr>
        <w:t>28</w:t>
      </w:r>
      <w:r w:rsidR="00E56440" w:rsidRPr="006F2343">
        <w:rPr>
          <w:rFonts w:ascii="Arial" w:eastAsia="Arial Unicode MS" w:hAnsi="Arial" w:cs="Arial"/>
          <w:szCs w:val="22"/>
        </w:rPr>
        <w:t>)</w:t>
      </w:r>
      <w:r w:rsidR="00E80039" w:rsidRPr="006F2343">
        <w:rPr>
          <w:rFonts w:ascii="Arial" w:eastAsia="Arial Unicode MS" w:hAnsi="Arial" w:cs="Arial"/>
          <w:szCs w:val="22"/>
        </w:rPr>
        <w:t xml:space="preserve"> of patients were</w:t>
      </w:r>
      <w:r w:rsidR="00E56440" w:rsidRPr="006F2343">
        <w:rPr>
          <w:rFonts w:ascii="Arial" w:eastAsia="Arial Unicode MS" w:hAnsi="Arial" w:cs="Arial"/>
          <w:szCs w:val="22"/>
        </w:rPr>
        <w:t xml:space="preserve"> unavailable.</w:t>
      </w:r>
      <w:r w:rsidR="00E80039" w:rsidRPr="006F2343">
        <w:rPr>
          <w:rFonts w:ascii="Arial" w:eastAsia="Arial Unicode MS" w:hAnsi="Arial" w:cs="Arial"/>
          <w:szCs w:val="22"/>
        </w:rPr>
        <w:t xml:space="preserve"> </w:t>
      </w:r>
      <w:r w:rsidR="00C85B2C" w:rsidRPr="006F2343">
        <w:rPr>
          <w:rFonts w:ascii="Arial" w:eastAsia="Arial Unicode MS" w:hAnsi="Arial" w:cs="Arial"/>
          <w:szCs w:val="22"/>
        </w:rPr>
        <w:t xml:space="preserve">The </w:t>
      </w:r>
      <w:r w:rsidR="00E80039" w:rsidRPr="006F2343">
        <w:rPr>
          <w:rFonts w:ascii="Arial" w:eastAsia="Arial Unicode MS" w:hAnsi="Arial" w:cs="Arial"/>
          <w:szCs w:val="22"/>
        </w:rPr>
        <w:t>number of people on</w:t>
      </w:r>
      <w:r w:rsidR="00E56440" w:rsidRPr="006F2343">
        <w:rPr>
          <w:rFonts w:ascii="Arial" w:eastAsia="Arial Unicode MS" w:hAnsi="Arial" w:cs="Arial"/>
          <w:szCs w:val="22"/>
        </w:rPr>
        <w:t xml:space="preserve"> </w:t>
      </w:r>
      <w:r w:rsidR="001A7CEC" w:rsidRPr="006F2343">
        <w:rPr>
          <w:rFonts w:ascii="Arial" w:eastAsia="Arial Unicode MS" w:hAnsi="Arial" w:cs="Arial"/>
          <w:szCs w:val="22"/>
        </w:rPr>
        <w:t xml:space="preserve">the cardiology inpatient waiting list has </w:t>
      </w:r>
      <w:r w:rsidR="006A5438">
        <w:rPr>
          <w:rFonts w:ascii="Arial" w:eastAsia="Arial Unicode MS" w:hAnsi="Arial" w:cs="Arial"/>
          <w:szCs w:val="22"/>
        </w:rPr>
        <w:t>increased</w:t>
      </w:r>
      <w:r w:rsidR="001A7CEC" w:rsidRPr="006F2343">
        <w:rPr>
          <w:rFonts w:ascii="Arial" w:eastAsia="Arial Unicode MS" w:hAnsi="Arial" w:cs="Arial"/>
          <w:szCs w:val="22"/>
        </w:rPr>
        <w:t xml:space="preserve"> by </w:t>
      </w:r>
      <w:r w:rsidR="006A5438">
        <w:rPr>
          <w:rFonts w:ascii="Arial" w:eastAsia="Arial Unicode MS" w:hAnsi="Arial" w:cs="Arial"/>
          <w:szCs w:val="22"/>
        </w:rPr>
        <w:t>11</w:t>
      </w:r>
      <w:r w:rsidR="001A7CEC" w:rsidRPr="006F2343">
        <w:rPr>
          <w:rFonts w:ascii="Arial" w:eastAsia="Arial Unicode MS" w:hAnsi="Arial" w:cs="Arial"/>
          <w:szCs w:val="22"/>
        </w:rPr>
        <w:t>% on the previous reporting period</w:t>
      </w:r>
      <w:r w:rsidR="00C057D8" w:rsidRPr="006F2343">
        <w:rPr>
          <w:rFonts w:ascii="Arial" w:eastAsia="Arial Unicode MS" w:hAnsi="Arial" w:cs="Arial"/>
          <w:szCs w:val="22"/>
        </w:rPr>
        <w:t xml:space="preserve"> (</w:t>
      </w:r>
      <w:r w:rsidR="006A5438">
        <w:rPr>
          <w:rFonts w:ascii="Arial" w:eastAsia="Arial Unicode MS" w:hAnsi="Arial" w:cs="Arial"/>
          <w:szCs w:val="22"/>
        </w:rPr>
        <w:t>up f</w:t>
      </w:r>
      <w:r w:rsidR="00F3145F" w:rsidRPr="006F2343">
        <w:rPr>
          <w:rFonts w:ascii="Arial" w:eastAsia="Arial Unicode MS" w:hAnsi="Arial" w:cs="Arial"/>
          <w:szCs w:val="22"/>
        </w:rPr>
        <w:t>rom</w:t>
      </w:r>
      <w:r w:rsidR="00C057D8" w:rsidRPr="006F2343">
        <w:rPr>
          <w:rFonts w:ascii="Arial" w:eastAsia="Arial Unicode MS" w:hAnsi="Arial" w:cs="Arial"/>
          <w:szCs w:val="22"/>
        </w:rPr>
        <w:t xml:space="preserve"> </w:t>
      </w:r>
      <w:r w:rsidR="006A5438">
        <w:rPr>
          <w:rFonts w:ascii="Arial" w:eastAsia="Arial Unicode MS" w:hAnsi="Arial" w:cs="Arial"/>
          <w:szCs w:val="22"/>
        </w:rPr>
        <w:t>891</w:t>
      </w:r>
      <w:r w:rsidR="00C057D8" w:rsidRPr="006F2343">
        <w:rPr>
          <w:rFonts w:ascii="Arial" w:eastAsia="Arial Unicode MS" w:hAnsi="Arial" w:cs="Arial"/>
          <w:szCs w:val="22"/>
        </w:rPr>
        <w:t xml:space="preserve"> patients)</w:t>
      </w:r>
      <w:r w:rsidR="001A7CEC" w:rsidRPr="006F2343">
        <w:rPr>
          <w:rFonts w:ascii="Arial" w:eastAsia="Arial Unicode MS" w:hAnsi="Arial" w:cs="Arial"/>
          <w:szCs w:val="22"/>
        </w:rPr>
        <w:t>.</w:t>
      </w:r>
    </w:p>
    <w:p w:rsidR="001A7CEC" w:rsidRPr="006F2343" w:rsidRDefault="001A7CEC" w:rsidP="00E56440">
      <w:pPr>
        <w:tabs>
          <w:tab w:val="left" w:pos="10440"/>
        </w:tabs>
        <w:ind w:right="-122"/>
        <w:jc w:val="both"/>
        <w:rPr>
          <w:rFonts w:ascii="Arial" w:eastAsia="Arial Unicode MS" w:hAnsi="Arial" w:cs="Arial"/>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A13A86" w:rsidRPr="000C34A9" w:rsidTr="00055427">
        <w:tc>
          <w:tcPr>
            <w:tcW w:w="10065" w:type="dxa"/>
          </w:tcPr>
          <w:p w:rsidR="00A13A86" w:rsidRPr="006F2343" w:rsidRDefault="00A13A86" w:rsidP="00055427">
            <w:pPr>
              <w:tabs>
                <w:tab w:val="left" w:pos="10440"/>
              </w:tabs>
              <w:ind w:right="-122"/>
              <w:rPr>
                <w:rFonts w:ascii="Arial" w:hAnsi="Arial" w:cs="Arial"/>
                <w:noProof/>
                <w:sz w:val="22"/>
                <w:szCs w:val="22"/>
                <w:lang w:eastAsia="en-GB"/>
              </w:rPr>
            </w:pPr>
            <w:r w:rsidRPr="006F2343">
              <w:rPr>
                <w:rFonts w:ascii="Arial" w:hAnsi="Arial" w:cs="Arial"/>
                <w:noProof/>
                <w:sz w:val="22"/>
                <w:szCs w:val="22"/>
                <w:lang w:eastAsia="en-GB"/>
              </w:rPr>
              <w:t xml:space="preserve">Figure </w:t>
            </w:r>
            <w:r w:rsidR="00272179" w:rsidRPr="006F2343">
              <w:rPr>
                <w:rFonts w:ascii="Arial" w:hAnsi="Arial" w:cs="Arial"/>
                <w:noProof/>
                <w:sz w:val="22"/>
                <w:szCs w:val="22"/>
                <w:lang w:eastAsia="en-GB"/>
              </w:rPr>
              <w:t>6</w:t>
            </w:r>
          </w:p>
        </w:tc>
      </w:tr>
      <w:tr w:rsidR="00A13A86" w:rsidRPr="000C34A9" w:rsidTr="00055427">
        <w:tc>
          <w:tcPr>
            <w:tcW w:w="10065" w:type="dxa"/>
          </w:tcPr>
          <w:p w:rsidR="00A13A86" w:rsidRPr="000C34A9" w:rsidRDefault="00130D89" w:rsidP="00055427">
            <w:pPr>
              <w:tabs>
                <w:tab w:val="left" w:pos="10440"/>
              </w:tabs>
              <w:ind w:left="-108" w:right="-122"/>
              <w:jc w:val="center"/>
              <w:rPr>
                <w:rFonts w:ascii="Arial" w:hAnsi="Arial" w:cs="Arial"/>
                <w:color w:val="FF0000"/>
                <w:sz w:val="22"/>
                <w:szCs w:val="22"/>
                <w:highlight w:val="yellow"/>
              </w:rPr>
            </w:pPr>
            <w:r>
              <w:rPr>
                <w:rFonts w:ascii="Arial" w:hAnsi="Arial" w:cs="Arial"/>
                <w:noProof/>
                <w:color w:val="FF0000"/>
                <w:sz w:val="22"/>
                <w:szCs w:val="22"/>
                <w:lang w:eastAsia="en-GB"/>
              </w:rPr>
              <w:drawing>
                <wp:inline distT="0" distB="0" distL="0" distR="0">
                  <wp:extent cx="5510482" cy="3871702"/>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5512435" cy="3873074"/>
                          </a:xfrm>
                          <a:prstGeom prst="rect">
                            <a:avLst/>
                          </a:prstGeom>
                          <a:noFill/>
                          <a:ln w="9525">
                            <a:noFill/>
                            <a:miter lim="800000"/>
                            <a:headEnd/>
                            <a:tailEnd/>
                          </a:ln>
                        </pic:spPr>
                      </pic:pic>
                    </a:graphicData>
                  </a:graphic>
                </wp:inline>
              </w:drawing>
            </w:r>
          </w:p>
        </w:tc>
      </w:tr>
    </w:tbl>
    <w:p w:rsidR="00742320" w:rsidRPr="000C34A9" w:rsidRDefault="00742320" w:rsidP="00AC10CD">
      <w:pPr>
        <w:spacing w:after="120"/>
        <w:rPr>
          <w:rFonts w:ascii="Arial" w:eastAsia="Arial Unicode MS" w:hAnsi="Arial" w:cs="Arial"/>
          <w:b/>
          <w:sz w:val="22"/>
          <w:szCs w:val="22"/>
          <w:highlight w:val="yellow"/>
        </w:rPr>
      </w:pPr>
    </w:p>
    <w:sectPr w:rsidR="00742320" w:rsidRPr="000C34A9" w:rsidSect="00956539">
      <w:footerReference w:type="default" r:id="rId18"/>
      <w:pgSz w:w="16838" w:h="11906" w:orient="landscape"/>
      <w:pgMar w:top="1440" w:right="1440" w:bottom="1440" w:left="1440" w:header="709" w:footer="4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208" w:rsidRDefault="00ED0208">
      <w:r>
        <w:separator/>
      </w:r>
    </w:p>
  </w:endnote>
  <w:endnote w:type="continuationSeparator" w:id="0">
    <w:p w:rsidR="00ED0208" w:rsidRDefault="00ED0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208" w:rsidRDefault="003D68FA" w:rsidP="006475A5">
    <w:pPr>
      <w:pStyle w:val="Footer"/>
      <w:framePr w:wrap="around" w:vAnchor="text" w:hAnchor="margin" w:xAlign="right" w:y="1"/>
      <w:rPr>
        <w:rStyle w:val="PageNumber"/>
      </w:rPr>
    </w:pPr>
    <w:r>
      <w:rPr>
        <w:rStyle w:val="PageNumber"/>
      </w:rPr>
      <w:fldChar w:fldCharType="begin"/>
    </w:r>
    <w:r w:rsidR="00ED0208">
      <w:rPr>
        <w:rStyle w:val="PageNumber"/>
      </w:rPr>
      <w:instrText xml:space="preserve">PAGE  </w:instrText>
    </w:r>
    <w:r>
      <w:rPr>
        <w:rStyle w:val="PageNumber"/>
      </w:rPr>
      <w:fldChar w:fldCharType="end"/>
    </w:r>
  </w:p>
  <w:p w:rsidR="00ED0208" w:rsidRDefault="00ED0208" w:rsidP="006475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208" w:rsidRPr="003223B6" w:rsidRDefault="00ED0208" w:rsidP="006475A5">
    <w:pPr>
      <w:pStyle w:val="Footer"/>
      <w:pBdr>
        <w:top w:val="single" w:sz="4" w:space="1" w:color="000000"/>
      </w:pBdr>
      <w:tabs>
        <w:tab w:val="left" w:pos="180"/>
        <w:tab w:val="center" w:pos="6810"/>
        <w:tab w:val="right" w:pos="13620"/>
      </w:tabs>
      <w:ind w:right="360"/>
      <w:rPr>
        <w:sz w:val="16"/>
        <w:szCs w:val="16"/>
      </w:rPr>
    </w:pPr>
    <w:r>
      <w:rPr>
        <w:rStyle w:val="PageNumber"/>
      </w:rPr>
      <w:tab/>
    </w:r>
    <w:r w:rsidRPr="003223B6">
      <w:rPr>
        <w:rStyle w:val="PageNumber"/>
        <w:sz w:val="16"/>
        <w:szCs w:val="16"/>
      </w:rPr>
      <w:t xml:space="preserve">Board Members Performance Report </w:t>
    </w:r>
    <w:r w:rsidRPr="003223B6">
      <w:rPr>
        <w:rStyle w:val="PageNumber"/>
        <w:sz w:val="16"/>
        <w:szCs w:val="16"/>
      </w:rPr>
      <w:tab/>
    </w:r>
    <w:r w:rsidRPr="003223B6">
      <w:rPr>
        <w:rStyle w:val="PageNumber"/>
        <w:sz w:val="16"/>
        <w:szCs w:val="16"/>
      </w:rPr>
      <w:tab/>
    </w:r>
    <w:r w:rsidR="003D68FA" w:rsidRPr="003223B6">
      <w:rPr>
        <w:rStyle w:val="PageNumber"/>
        <w:sz w:val="16"/>
        <w:szCs w:val="16"/>
      </w:rPr>
      <w:fldChar w:fldCharType="begin"/>
    </w:r>
    <w:r w:rsidRPr="003223B6">
      <w:rPr>
        <w:rStyle w:val="PageNumber"/>
        <w:sz w:val="16"/>
        <w:szCs w:val="16"/>
      </w:rPr>
      <w:instrText xml:space="preserve"> PAGE </w:instrText>
    </w:r>
    <w:r w:rsidR="003D68FA" w:rsidRPr="003223B6">
      <w:rPr>
        <w:rStyle w:val="PageNumber"/>
        <w:sz w:val="16"/>
        <w:szCs w:val="16"/>
      </w:rPr>
      <w:fldChar w:fldCharType="separate"/>
    </w:r>
    <w:r>
      <w:rPr>
        <w:rStyle w:val="PageNumber"/>
        <w:noProof/>
        <w:sz w:val="16"/>
        <w:szCs w:val="16"/>
      </w:rPr>
      <w:t>2</w:t>
    </w:r>
    <w:r w:rsidR="003D68FA" w:rsidRPr="003223B6">
      <w:rPr>
        <w:rStyle w:val="PageNumber"/>
        <w:sz w:val="16"/>
        <w:szCs w:val="16"/>
      </w:rPr>
      <w:fldChar w:fldCharType="end"/>
    </w:r>
    <w:r w:rsidRPr="003223B6">
      <w:rPr>
        <w:rStyle w:val="PageNumber"/>
        <w:sz w:val="16"/>
        <w:szCs w:val="16"/>
      </w:rPr>
      <w:tab/>
    </w:r>
    <w:r>
      <w:rPr>
        <w:rStyle w:val="PageNumber"/>
        <w:sz w:val="16"/>
        <w:szCs w:val="16"/>
      </w:rPr>
      <w:t>December 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208" w:rsidRPr="00513DB0" w:rsidRDefault="00ED0208" w:rsidP="00942565">
    <w:pPr>
      <w:jc w:val="center"/>
      <w:rPr>
        <w:rFonts w:ascii="Arial" w:hAnsi="Arial" w:cs="Arial"/>
        <w:sz w:val="20"/>
        <w:szCs w:val="20"/>
      </w:rPr>
    </w:pPr>
    <w:r>
      <w:rPr>
        <w:rStyle w:val="PageNumber"/>
        <w:rFonts w:ascii="Arial" w:hAnsi="Arial" w:cs="Arial"/>
      </w:rPr>
      <w:t>_______________________________________________________________________</w:t>
    </w:r>
    <w:r>
      <w:rPr>
        <w:rStyle w:val="PageNumber"/>
        <w:rFonts w:ascii="Arial" w:hAnsi="Arial" w:cs="Arial"/>
      </w:rPr>
      <w:br/>
    </w:r>
    <w:r>
      <w:rPr>
        <w:rStyle w:val="PageNumber"/>
        <w:rFonts w:ascii="Arial" w:hAnsi="Arial" w:cs="Arial"/>
      </w:rPr>
      <w:br/>
    </w:r>
    <w:r w:rsidR="003D68FA" w:rsidRPr="00513DB0">
      <w:rPr>
        <w:rStyle w:val="PageNumber"/>
        <w:rFonts w:ascii="Arial" w:hAnsi="Arial" w:cs="Arial"/>
      </w:rPr>
      <w:fldChar w:fldCharType="begin"/>
    </w:r>
    <w:r w:rsidRPr="00513DB0">
      <w:rPr>
        <w:rStyle w:val="PageNumber"/>
        <w:rFonts w:ascii="Arial" w:hAnsi="Arial" w:cs="Arial"/>
      </w:rPr>
      <w:instrText xml:space="preserve"> PAGE </w:instrText>
    </w:r>
    <w:r w:rsidR="003D68FA" w:rsidRPr="00513DB0">
      <w:rPr>
        <w:rStyle w:val="PageNumber"/>
        <w:rFonts w:ascii="Arial" w:hAnsi="Arial" w:cs="Arial"/>
      </w:rPr>
      <w:fldChar w:fldCharType="separate"/>
    </w:r>
    <w:r w:rsidR="00783CD8">
      <w:rPr>
        <w:rStyle w:val="PageNumber"/>
        <w:rFonts w:ascii="Arial" w:hAnsi="Arial" w:cs="Arial"/>
        <w:noProof/>
      </w:rPr>
      <w:t>1</w:t>
    </w:r>
    <w:r w:rsidR="003D68FA" w:rsidRPr="00513DB0">
      <w:rPr>
        <w:rStyle w:val="PageNumber"/>
        <w:rFonts w:ascii="Arial" w:hAnsi="Arial" w:cs="Arial"/>
      </w:rPr>
      <w:fldChar w:fldCharType="end"/>
    </w:r>
  </w:p>
  <w:p w:rsidR="00ED0208" w:rsidRDefault="00ED0208" w:rsidP="00942565">
    <w:pPr>
      <w:ind w:right="184"/>
      <w:jc w:val="center"/>
      <w:rPr>
        <w:rFonts w:ascii="Arial" w:hAnsi="Arial" w:cs="Arial"/>
        <w:sz w:val="20"/>
        <w:szCs w:val="20"/>
      </w:rPr>
    </w:pPr>
  </w:p>
  <w:p w:rsidR="00ED0208" w:rsidRDefault="00ED0208" w:rsidP="0031252B">
    <w:pPr>
      <w:pStyle w:val="Title"/>
      <w:ind w:right="184"/>
      <w:outlineLvl w:val="0"/>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208" w:rsidRPr="00513DB0" w:rsidRDefault="00ED0208" w:rsidP="00C24B4E">
    <w:pPr>
      <w:jc w:val="center"/>
      <w:rPr>
        <w:rFonts w:ascii="Arial" w:hAnsi="Arial" w:cs="Arial"/>
        <w:sz w:val="20"/>
        <w:szCs w:val="20"/>
      </w:rPr>
    </w:pPr>
    <w:r>
      <w:rPr>
        <w:rStyle w:val="PageNumber"/>
        <w:rFonts w:ascii="Arial" w:hAnsi="Arial" w:cs="Arial"/>
      </w:rPr>
      <w:t>________________________________________________________________________________________________________</w:t>
    </w:r>
    <w:r>
      <w:rPr>
        <w:rStyle w:val="PageNumber"/>
        <w:rFonts w:ascii="Arial" w:hAnsi="Arial" w:cs="Arial"/>
      </w:rPr>
      <w:br/>
    </w:r>
    <w:r>
      <w:rPr>
        <w:rStyle w:val="PageNumber"/>
        <w:rFonts w:ascii="Arial" w:hAnsi="Arial" w:cs="Arial"/>
      </w:rPr>
      <w:br/>
    </w:r>
    <w:r w:rsidR="003D68FA" w:rsidRPr="00513DB0">
      <w:rPr>
        <w:rStyle w:val="PageNumber"/>
        <w:rFonts w:ascii="Arial" w:hAnsi="Arial" w:cs="Arial"/>
      </w:rPr>
      <w:fldChar w:fldCharType="begin"/>
    </w:r>
    <w:r w:rsidRPr="00513DB0">
      <w:rPr>
        <w:rStyle w:val="PageNumber"/>
        <w:rFonts w:ascii="Arial" w:hAnsi="Arial" w:cs="Arial"/>
      </w:rPr>
      <w:instrText xml:space="preserve"> PAGE </w:instrText>
    </w:r>
    <w:r w:rsidR="003D68FA" w:rsidRPr="00513DB0">
      <w:rPr>
        <w:rStyle w:val="PageNumber"/>
        <w:rFonts w:ascii="Arial" w:hAnsi="Arial" w:cs="Arial"/>
      </w:rPr>
      <w:fldChar w:fldCharType="separate"/>
    </w:r>
    <w:r w:rsidR="0094137A">
      <w:rPr>
        <w:rStyle w:val="PageNumber"/>
        <w:rFonts w:ascii="Arial" w:hAnsi="Arial" w:cs="Arial"/>
        <w:noProof/>
      </w:rPr>
      <w:t>19</w:t>
    </w:r>
    <w:r w:rsidR="003D68FA" w:rsidRPr="00513DB0">
      <w:rPr>
        <w:rStyle w:val="PageNumber"/>
        <w:rFonts w:ascii="Arial" w:hAnsi="Arial" w:cs="Arial"/>
      </w:rPr>
      <w:fldChar w:fldCharType="end"/>
    </w:r>
  </w:p>
  <w:p w:rsidR="00ED0208" w:rsidRDefault="00ED0208" w:rsidP="00C24B4E">
    <w:pPr>
      <w:ind w:right="184"/>
      <w:jc w:val="center"/>
      <w:rPr>
        <w:rFonts w:ascii="Arial" w:hAnsi="Arial" w:cs="Arial"/>
        <w:sz w:val="20"/>
        <w:szCs w:val="20"/>
      </w:rPr>
    </w:pPr>
  </w:p>
  <w:p w:rsidR="00ED0208" w:rsidRPr="008F5DB5" w:rsidRDefault="00ED0208" w:rsidP="00942565">
    <w:pPr>
      <w:pStyle w:val="Title"/>
      <w:ind w:right="184"/>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208" w:rsidRDefault="00ED0208">
      <w:r>
        <w:separator/>
      </w:r>
    </w:p>
  </w:footnote>
  <w:footnote w:type="continuationSeparator" w:id="0">
    <w:p w:rsidR="00ED0208" w:rsidRDefault="00ED0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208" w:rsidRPr="0031252B" w:rsidRDefault="00ED0208" w:rsidP="00942565">
    <w:pPr>
      <w:pStyle w:val="Header"/>
      <w:jc w:val="right"/>
      <w:rPr>
        <w:rFonts w:ascii="Arial" w:hAnsi="Arial" w:cs="Arial"/>
        <w:b/>
        <w:color w:val="0070C0"/>
        <w:sz w:val="28"/>
        <w:szCs w:val="28"/>
      </w:rPr>
    </w:pPr>
    <w:r w:rsidRPr="0031252B">
      <w:rPr>
        <w:rFonts w:ascii="Arial" w:hAnsi="Arial" w:cs="Arial"/>
        <w:b/>
        <w:color w:val="0070C0"/>
        <w:sz w:val="28"/>
        <w:szCs w:val="28"/>
      </w:rPr>
      <w:t>Item 7.3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6B9B"/>
    <w:multiLevelType w:val="hybridMultilevel"/>
    <w:tmpl w:val="9A1ED71A"/>
    <w:lvl w:ilvl="0" w:tplc="F0022788">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nsid w:val="61B4035F"/>
    <w:multiLevelType w:val="hybridMultilevel"/>
    <w:tmpl w:val="20B41944"/>
    <w:lvl w:ilvl="0" w:tplc="D5C207B0">
      <w:start w:val="1"/>
      <w:numFmt w:val="decimal"/>
      <w:lvlText w:val="%1"/>
      <w:lvlJc w:val="left"/>
      <w:pPr>
        <w:tabs>
          <w:tab w:val="num" w:pos="1080"/>
        </w:tabs>
        <w:ind w:left="1080" w:hanging="720"/>
      </w:pPr>
      <w:rPr>
        <w:rFonts w:hint="default"/>
      </w:rPr>
    </w:lvl>
    <w:lvl w:ilvl="1" w:tplc="7EB44FFC">
      <w:start w:val="1"/>
      <w:numFmt w:val="bullet"/>
      <w:lvlText w:val=""/>
      <w:lvlJc w:val="left"/>
      <w:pPr>
        <w:tabs>
          <w:tab w:val="num" w:pos="796"/>
        </w:tabs>
        <w:ind w:left="1080" w:firstLine="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6D1632D0"/>
    <w:multiLevelType w:val="hybridMultilevel"/>
    <w:tmpl w:val="17EE44E0"/>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703F7295"/>
    <w:multiLevelType w:val="hybridMultilevel"/>
    <w:tmpl w:val="24842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72CD7059"/>
    <w:multiLevelType w:val="hybridMultilevel"/>
    <w:tmpl w:val="967210C2"/>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
  </w:num>
  <w:num w:numId="2">
    <w:abstractNumId w:val="0"/>
  </w:num>
  <w:num w:numId="3">
    <w:abstractNumId w:val="2"/>
  </w:num>
  <w:num w:numId="4">
    <w:abstractNumId w:val="4"/>
  </w:num>
  <w:num w:numId="5">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rsids>
    <w:rsidRoot w:val="00A2577B"/>
    <w:rsid w:val="00002FBB"/>
    <w:rsid w:val="00006567"/>
    <w:rsid w:val="00006824"/>
    <w:rsid w:val="000071F6"/>
    <w:rsid w:val="0001031A"/>
    <w:rsid w:val="000111E0"/>
    <w:rsid w:val="0001238C"/>
    <w:rsid w:val="0001429D"/>
    <w:rsid w:val="0001688B"/>
    <w:rsid w:val="00017AFC"/>
    <w:rsid w:val="00020844"/>
    <w:rsid w:val="00021313"/>
    <w:rsid w:val="00021B44"/>
    <w:rsid w:val="00021D0F"/>
    <w:rsid w:val="0002289D"/>
    <w:rsid w:val="00023F82"/>
    <w:rsid w:val="00030BA6"/>
    <w:rsid w:val="000319BB"/>
    <w:rsid w:val="00031FAD"/>
    <w:rsid w:val="00032FF9"/>
    <w:rsid w:val="000360D7"/>
    <w:rsid w:val="000378C2"/>
    <w:rsid w:val="00037AB7"/>
    <w:rsid w:val="000400C9"/>
    <w:rsid w:val="0004073D"/>
    <w:rsid w:val="000407AF"/>
    <w:rsid w:val="000409B9"/>
    <w:rsid w:val="00040EF1"/>
    <w:rsid w:val="000416D1"/>
    <w:rsid w:val="000417B9"/>
    <w:rsid w:val="00042075"/>
    <w:rsid w:val="0004224A"/>
    <w:rsid w:val="00042F52"/>
    <w:rsid w:val="00044CE1"/>
    <w:rsid w:val="00047538"/>
    <w:rsid w:val="00050882"/>
    <w:rsid w:val="00051402"/>
    <w:rsid w:val="00051812"/>
    <w:rsid w:val="00055237"/>
    <w:rsid w:val="00055427"/>
    <w:rsid w:val="000601F3"/>
    <w:rsid w:val="00060633"/>
    <w:rsid w:val="00061FF1"/>
    <w:rsid w:val="00065239"/>
    <w:rsid w:val="00066480"/>
    <w:rsid w:val="00070DE1"/>
    <w:rsid w:val="000715F8"/>
    <w:rsid w:val="0007286B"/>
    <w:rsid w:val="00072EC5"/>
    <w:rsid w:val="00073824"/>
    <w:rsid w:val="00073A26"/>
    <w:rsid w:val="00075041"/>
    <w:rsid w:val="00075AAA"/>
    <w:rsid w:val="00076410"/>
    <w:rsid w:val="00081567"/>
    <w:rsid w:val="00081E90"/>
    <w:rsid w:val="0008388A"/>
    <w:rsid w:val="00084044"/>
    <w:rsid w:val="00084952"/>
    <w:rsid w:val="00085757"/>
    <w:rsid w:val="000874ED"/>
    <w:rsid w:val="00087E81"/>
    <w:rsid w:val="00087F97"/>
    <w:rsid w:val="000902FA"/>
    <w:rsid w:val="000915A3"/>
    <w:rsid w:val="00091F48"/>
    <w:rsid w:val="00092EA9"/>
    <w:rsid w:val="00093532"/>
    <w:rsid w:val="0009482C"/>
    <w:rsid w:val="0009609E"/>
    <w:rsid w:val="000963F1"/>
    <w:rsid w:val="000965B0"/>
    <w:rsid w:val="000975F3"/>
    <w:rsid w:val="00097EAE"/>
    <w:rsid w:val="000A0443"/>
    <w:rsid w:val="000A4C75"/>
    <w:rsid w:val="000A5803"/>
    <w:rsid w:val="000A7198"/>
    <w:rsid w:val="000B0A8F"/>
    <w:rsid w:val="000B1397"/>
    <w:rsid w:val="000B2771"/>
    <w:rsid w:val="000B2F35"/>
    <w:rsid w:val="000B46B2"/>
    <w:rsid w:val="000B4973"/>
    <w:rsid w:val="000B5779"/>
    <w:rsid w:val="000B5923"/>
    <w:rsid w:val="000B5D41"/>
    <w:rsid w:val="000B5E05"/>
    <w:rsid w:val="000B5ECE"/>
    <w:rsid w:val="000B6161"/>
    <w:rsid w:val="000B63E5"/>
    <w:rsid w:val="000B7014"/>
    <w:rsid w:val="000B7F9C"/>
    <w:rsid w:val="000C0231"/>
    <w:rsid w:val="000C1ABD"/>
    <w:rsid w:val="000C2740"/>
    <w:rsid w:val="000C34A9"/>
    <w:rsid w:val="000C3809"/>
    <w:rsid w:val="000C4AD3"/>
    <w:rsid w:val="000C53A6"/>
    <w:rsid w:val="000C5C16"/>
    <w:rsid w:val="000C70A2"/>
    <w:rsid w:val="000C7A02"/>
    <w:rsid w:val="000D172A"/>
    <w:rsid w:val="000D2AD0"/>
    <w:rsid w:val="000D2BAC"/>
    <w:rsid w:val="000D2FF0"/>
    <w:rsid w:val="000D3A8F"/>
    <w:rsid w:val="000D5A30"/>
    <w:rsid w:val="000D6590"/>
    <w:rsid w:val="000D6D7C"/>
    <w:rsid w:val="000D73D9"/>
    <w:rsid w:val="000E097D"/>
    <w:rsid w:val="000E0DFE"/>
    <w:rsid w:val="000E0E29"/>
    <w:rsid w:val="000E1D41"/>
    <w:rsid w:val="000E2C3D"/>
    <w:rsid w:val="000E34FA"/>
    <w:rsid w:val="000E42AF"/>
    <w:rsid w:val="000E5D15"/>
    <w:rsid w:val="000E635C"/>
    <w:rsid w:val="000E6C0E"/>
    <w:rsid w:val="000F0ADD"/>
    <w:rsid w:val="000F25C1"/>
    <w:rsid w:val="000F2A35"/>
    <w:rsid w:val="000F3261"/>
    <w:rsid w:val="000F32AE"/>
    <w:rsid w:val="000F384A"/>
    <w:rsid w:val="000F3E90"/>
    <w:rsid w:val="000F44E1"/>
    <w:rsid w:val="000F47D3"/>
    <w:rsid w:val="000F5FD1"/>
    <w:rsid w:val="00101B88"/>
    <w:rsid w:val="0010262A"/>
    <w:rsid w:val="00102A4A"/>
    <w:rsid w:val="00104367"/>
    <w:rsid w:val="00104AB5"/>
    <w:rsid w:val="001051A6"/>
    <w:rsid w:val="0010584D"/>
    <w:rsid w:val="00106FBF"/>
    <w:rsid w:val="00110CCF"/>
    <w:rsid w:val="001138B2"/>
    <w:rsid w:val="00114724"/>
    <w:rsid w:val="00114B88"/>
    <w:rsid w:val="00115F6F"/>
    <w:rsid w:val="00115F97"/>
    <w:rsid w:val="001175E5"/>
    <w:rsid w:val="001213EF"/>
    <w:rsid w:val="001222A7"/>
    <w:rsid w:val="001222C2"/>
    <w:rsid w:val="001246A7"/>
    <w:rsid w:val="0012600B"/>
    <w:rsid w:val="00130D89"/>
    <w:rsid w:val="0013378D"/>
    <w:rsid w:val="00137780"/>
    <w:rsid w:val="00137D39"/>
    <w:rsid w:val="00140866"/>
    <w:rsid w:val="00140E1D"/>
    <w:rsid w:val="001419B8"/>
    <w:rsid w:val="001434C6"/>
    <w:rsid w:val="0014614C"/>
    <w:rsid w:val="00146BFF"/>
    <w:rsid w:val="00147735"/>
    <w:rsid w:val="00147BA0"/>
    <w:rsid w:val="0015017D"/>
    <w:rsid w:val="00151A1F"/>
    <w:rsid w:val="00152103"/>
    <w:rsid w:val="00153DD2"/>
    <w:rsid w:val="001543AA"/>
    <w:rsid w:val="00154B6A"/>
    <w:rsid w:val="00155AE1"/>
    <w:rsid w:val="00155FA8"/>
    <w:rsid w:val="00156864"/>
    <w:rsid w:val="00157495"/>
    <w:rsid w:val="00157B53"/>
    <w:rsid w:val="0016010C"/>
    <w:rsid w:val="00160AD6"/>
    <w:rsid w:val="00163169"/>
    <w:rsid w:val="001632AB"/>
    <w:rsid w:val="00163B2D"/>
    <w:rsid w:val="001640B0"/>
    <w:rsid w:val="0016508B"/>
    <w:rsid w:val="001655DD"/>
    <w:rsid w:val="00165EE3"/>
    <w:rsid w:val="00167469"/>
    <w:rsid w:val="00170410"/>
    <w:rsid w:val="001707EF"/>
    <w:rsid w:val="0017132D"/>
    <w:rsid w:val="00171C85"/>
    <w:rsid w:val="001723C0"/>
    <w:rsid w:val="00173E00"/>
    <w:rsid w:val="00174719"/>
    <w:rsid w:val="0017569B"/>
    <w:rsid w:val="00176BEA"/>
    <w:rsid w:val="00176E07"/>
    <w:rsid w:val="001820F7"/>
    <w:rsid w:val="001823A8"/>
    <w:rsid w:val="00182C79"/>
    <w:rsid w:val="0019108E"/>
    <w:rsid w:val="0019484E"/>
    <w:rsid w:val="00195111"/>
    <w:rsid w:val="001964A2"/>
    <w:rsid w:val="00196504"/>
    <w:rsid w:val="00197CBC"/>
    <w:rsid w:val="00197E91"/>
    <w:rsid w:val="001A1471"/>
    <w:rsid w:val="001A27D8"/>
    <w:rsid w:val="001A2B65"/>
    <w:rsid w:val="001A3177"/>
    <w:rsid w:val="001A351B"/>
    <w:rsid w:val="001A3BD8"/>
    <w:rsid w:val="001A5477"/>
    <w:rsid w:val="001A67EF"/>
    <w:rsid w:val="001A74F2"/>
    <w:rsid w:val="001A7CEC"/>
    <w:rsid w:val="001B050C"/>
    <w:rsid w:val="001B18E9"/>
    <w:rsid w:val="001B3167"/>
    <w:rsid w:val="001B32BC"/>
    <w:rsid w:val="001B3A49"/>
    <w:rsid w:val="001B3CCE"/>
    <w:rsid w:val="001B45EC"/>
    <w:rsid w:val="001B4AB4"/>
    <w:rsid w:val="001B70A8"/>
    <w:rsid w:val="001B729F"/>
    <w:rsid w:val="001C0844"/>
    <w:rsid w:val="001C211D"/>
    <w:rsid w:val="001C2208"/>
    <w:rsid w:val="001C28A9"/>
    <w:rsid w:val="001C28CB"/>
    <w:rsid w:val="001C2B46"/>
    <w:rsid w:val="001C403D"/>
    <w:rsid w:val="001C4FDA"/>
    <w:rsid w:val="001C5519"/>
    <w:rsid w:val="001C578C"/>
    <w:rsid w:val="001D119F"/>
    <w:rsid w:val="001D1372"/>
    <w:rsid w:val="001D1C57"/>
    <w:rsid w:val="001D35F6"/>
    <w:rsid w:val="001D3969"/>
    <w:rsid w:val="001D5120"/>
    <w:rsid w:val="001D56F3"/>
    <w:rsid w:val="001D63A8"/>
    <w:rsid w:val="001D6C83"/>
    <w:rsid w:val="001D7CD0"/>
    <w:rsid w:val="001D7EE8"/>
    <w:rsid w:val="001E03D1"/>
    <w:rsid w:val="001E159D"/>
    <w:rsid w:val="001E2A5A"/>
    <w:rsid w:val="001E4377"/>
    <w:rsid w:val="001E4CC2"/>
    <w:rsid w:val="001E53AF"/>
    <w:rsid w:val="001E5587"/>
    <w:rsid w:val="001E66B9"/>
    <w:rsid w:val="001E6DB2"/>
    <w:rsid w:val="001E7C84"/>
    <w:rsid w:val="001F2498"/>
    <w:rsid w:val="001F2796"/>
    <w:rsid w:val="001F3E95"/>
    <w:rsid w:val="001F444C"/>
    <w:rsid w:val="001F4803"/>
    <w:rsid w:val="001F6260"/>
    <w:rsid w:val="001F6603"/>
    <w:rsid w:val="001F7928"/>
    <w:rsid w:val="00200335"/>
    <w:rsid w:val="00200DFA"/>
    <w:rsid w:val="0020146D"/>
    <w:rsid w:val="00201AEC"/>
    <w:rsid w:val="00201F0D"/>
    <w:rsid w:val="00201F6A"/>
    <w:rsid w:val="002024A7"/>
    <w:rsid w:val="00202D2D"/>
    <w:rsid w:val="00204906"/>
    <w:rsid w:val="00204FCC"/>
    <w:rsid w:val="00207605"/>
    <w:rsid w:val="00207E03"/>
    <w:rsid w:val="002101E4"/>
    <w:rsid w:val="0021095A"/>
    <w:rsid w:val="00210F5D"/>
    <w:rsid w:val="002116BE"/>
    <w:rsid w:val="002129D6"/>
    <w:rsid w:val="002146B5"/>
    <w:rsid w:val="0021471C"/>
    <w:rsid w:val="00216798"/>
    <w:rsid w:val="002171B5"/>
    <w:rsid w:val="00217B6D"/>
    <w:rsid w:val="00217BA4"/>
    <w:rsid w:val="00220DDF"/>
    <w:rsid w:val="00220FE8"/>
    <w:rsid w:val="00221C99"/>
    <w:rsid w:val="00221F9E"/>
    <w:rsid w:val="00222247"/>
    <w:rsid w:val="00222F06"/>
    <w:rsid w:val="00225EBE"/>
    <w:rsid w:val="00226523"/>
    <w:rsid w:val="00230ED0"/>
    <w:rsid w:val="00233154"/>
    <w:rsid w:val="00233208"/>
    <w:rsid w:val="00234167"/>
    <w:rsid w:val="00234AFD"/>
    <w:rsid w:val="00235F92"/>
    <w:rsid w:val="00236B17"/>
    <w:rsid w:val="00236E64"/>
    <w:rsid w:val="00237269"/>
    <w:rsid w:val="0024092F"/>
    <w:rsid w:val="002428BB"/>
    <w:rsid w:val="00242C4E"/>
    <w:rsid w:val="00243AB1"/>
    <w:rsid w:val="00245A1E"/>
    <w:rsid w:val="00245DA0"/>
    <w:rsid w:val="002479BE"/>
    <w:rsid w:val="00247D5E"/>
    <w:rsid w:val="00247EC9"/>
    <w:rsid w:val="00251753"/>
    <w:rsid w:val="00252305"/>
    <w:rsid w:val="002524F5"/>
    <w:rsid w:val="00252EAF"/>
    <w:rsid w:val="00252EC0"/>
    <w:rsid w:val="00253B0F"/>
    <w:rsid w:val="00254B45"/>
    <w:rsid w:val="00255046"/>
    <w:rsid w:val="00255D0D"/>
    <w:rsid w:val="002566BA"/>
    <w:rsid w:val="002576B2"/>
    <w:rsid w:val="00261E63"/>
    <w:rsid w:val="00262DF0"/>
    <w:rsid w:val="00264FBF"/>
    <w:rsid w:val="00265892"/>
    <w:rsid w:val="00265C7F"/>
    <w:rsid w:val="00266729"/>
    <w:rsid w:val="0026703F"/>
    <w:rsid w:val="00267BF2"/>
    <w:rsid w:val="00272179"/>
    <w:rsid w:val="00274374"/>
    <w:rsid w:val="00275C26"/>
    <w:rsid w:val="00276C1F"/>
    <w:rsid w:val="002778BF"/>
    <w:rsid w:val="00277B6A"/>
    <w:rsid w:val="00281962"/>
    <w:rsid w:val="00282063"/>
    <w:rsid w:val="00283347"/>
    <w:rsid w:val="00283BDA"/>
    <w:rsid w:val="002840F5"/>
    <w:rsid w:val="00284149"/>
    <w:rsid w:val="00284476"/>
    <w:rsid w:val="00285187"/>
    <w:rsid w:val="00285891"/>
    <w:rsid w:val="00285F42"/>
    <w:rsid w:val="002861A4"/>
    <w:rsid w:val="00286E53"/>
    <w:rsid w:val="00287405"/>
    <w:rsid w:val="00290182"/>
    <w:rsid w:val="0029042A"/>
    <w:rsid w:val="00290CE3"/>
    <w:rsid w:val="00291085"/>
    <w:rsid w:val="00292679"/>
    <w:rsid w:val="002935CF"/>
    <w:rsid w:val="0029434F"/>
    <w:rsid w:val="00294823"/>
    <w:rsid w:val="00295012"/>
    <w:rsid w:val="00295184"/>
    <w:rsid w:val="00296B52"/>
    <w:rsid w:val="00297459"/>
    <w:rsid w:val="002A027D"/>
    <w:rsid w:val="002A1276"/>
    <w:rsid w:val="002A21CB"/>
    <w:rsid w:val="002A22D1"/>
    <w:rsid w:val="002A3613"/>
    <w:rsid w:val="002A3DE1"/>
    <w:rsid w:val="002A42DD"/>
    <w:rsid w:val="002A476D"/>
    <w:rsid w:val="002A4F22"/>
    <w:rsid w:val="002A5267"/>
    <w:rsid w:val="002A6EC8"/>
    <w:rsid w:val="002A72FC"/>
    <w:rsid w:val="002A7E5B"/>
    <w:rsid w:val="002B0B5A"/>
    <w:rsid w:val="002B3763"/>
    <w:rsid w:val="002B4949"/>
    <w:rsid w:val="002B5C38"/>
    <w:rsid w:val="002B7B68"/>
    <w:rsid w:val="002C01A6"/>
    <w:rsid w:val="002C05AF"/>
    <w:rsid w:val="002C05D5"/>
    <w:rsid w:val="002C1917"/>
    <w:rsid w:val="002C348E"/>
    <w:rsid w:val="002C399E"/>
    <w:rsid w:val="002C3B90"/>
    <w:rsid w:val="002C40D5"/>
    <w:rsid w:val="002C438B"/>
    <w:rsid w:val="002C4EC5"/>
    <w:rsid w:val="002C51D3"/>
    <w:rsid w:val="002C6DFF"/>
    <w:rsid w:val="002C73C1"/>
    <w:rsid w:val="002D0C58"/>
    <w:rsid w:val="002D0DD1"/>
    <w:rsid w:val="002D1131"/>
    <w:rsid w:val="002D2034"/>
    <w:rsid w:val="002D38C1"/>
    <w:rsid w:val="002D3AF3"/>
    <w:rsid w:val="002D42EF"/>
    <w:rsid w:val="002D49AC"/>
    <w:rsid w:val="002D5553"/>
    <w:rsid w:val="002D73BC"/>
    <w:rsid w:val="002D7FAE"/>
    <w:rsid w:val="002E3EA8"/>
    <w:rsid w:val="002E45F7"/>
    <w:rsid w:val="002E4B95"/>
    <w:rsid w:val="002E4D06"/>
    <w:rsid w:val="002E65D3"/>
    <w:rsid w:val="002E6F80"/>
    <w:rsid w:val="002E7658"/>
    <w:rsid w:val="002F0A04"/>
    <w:rsid w:val="002F19D1"/>
    <w:rsid w:val="002F27FA"/>
    <w:rsid w:val="002F28B6"/>
    <w:rsid w:val="002F311B"/>
    <w:rsid w:val="002F4907"/>
    <w:rsid w:val="002F5249"/>
    <w:rsid w:val="002F6F39"/>
    <w:rsid w:val="00300709"/>
    <w:rsid w:val="00300A60"/>
    <w:rsid w:val="0030157F"/>
    <w:rsid w:val="003020CF"/>
    <w:rsid w:val="00302500"/>
    <w:rsid w:val="00302609"/>
    <w:rsid w:val="003037A1"/>
    <w:rsid w:val="00303A3C"/>
    <w:rsid w:val="00303D42"/>
    <w:rsid w:val="00303F11"/>
    <w:rsid w:val="00304B81"/>
    <w:rsid w:val="003055D3"/>
    <w:rsid w:val="003057A7"/>
    <w:rsid w:val="003064B7"/>
    <w:rsid w:val="00307388"/>
    <w:rsid w:val="00307756"/>
    <w:rsid w:val="00307860"/>
    <w:rsid w:val="00307CCF"/>
    <w:rsid w:val="00310B6E"/>
    <w:rsid w:val="0031252B"/>
    <w:rsid w:val="0031443E"/>
    <w:rsid w:val="00314A14"/>
    <w:rsid w:val="003163E2"/>
    <w:rsid w:val="00316615"/>
    <w:rsid w:val="0032012B"/>
    <w:rsid w:val="003203A1"/>
    <w:rsid w:val="003239BC"/>
    <w:rsid w:val="00323C99"/>
    <w:rsid w:val="00324B85"/>
    <w:rsid w:val="00324DB5"/>
    <w:rsid w:val="00331B70"/>
    <w:rsid w:val="00332AEA"/>
    <w:rsid w:val="0033360F"/>
    <w:rsid w:val="00333FA4"/>
    <w:rsid w:val="003347AA"/>
    <w:rsid w:val="00335D7F"/>
    <w:rsid w:val="0033640D"/>
    <w:rsid w:val="00337972"/>
    <w:rsid w:val="00337ED6"/>
    <w:rsid w:val="003409EC"/>
    <w:rsid w:val="003414E0"/>
    <w:rsid w:val="00341751"/>
    <w:rsid w:val="0034220D"/>
    <w:rsid w:val="00342A5D"/>
    <w:rsid w:val="00343D1B"/>
    <w:rsid w:val="00343E8E"/>
    <w:rsid w:val="003442DD"/>
    <w:rsid w:val="003450C6"/>
    <w:rsid w:val="00345214"/>
    <w:rsid w:val="00345461"/>
    <w:rsid w:val="00345549"/>
    <w:rsid w:val="00346045"/>
    <w:rsid w:val="00346380"/>
    <w:rsid w:val="00350B96"/>
    <w:rsid w:val="00352159"/>
    <w:rsid w:val="003531CD"/>
    <w:rsid w:val="003531FE"/>
    <w:rsid w:val="00354B0C"/>
    <w:rsid w:val="00354CB8"/>
    <w:rsid w:val="003551FF"/>
    <w:rsid w:val="00355220"/>
    <w:rsid w:val="00355423"/>
    <w:rsid w:val="003569A6"/>
    <w:rsid w:val="00356C7F"/>
    <w:rsid w:val="00361D4F"/>
    <w:rsid w:val="003626A6"/>
    <w:rsid w:val="003655A3"/>
    <w:rsid w:val="00365D2D"/>
    <w:rsid w:val="00367A2D"/>
    <w:rsid w:val="0037155A"/>
    <w:rsid w:val="00372C6F"/>
    <w:rsid w:val="00372F46"/>
    <w:rsid w:val="00373078"/>
    <w:rsid w:val="00375B1F"/>
    <w:rsid w:val="00383081"/>
    <w:rsid w:val="003830F7"/>
    <w:rsid w:val="00383FA6"/>
    <w:rsid w:val="00384295"/>
    <w:rsid w:val="00384FC9"/>
    <w:rsid w:val="0038502F"/>
    <w:rsid w:val="0038547B"/>
    <w:rsid w:val="00385FA0"/>
    <w:rsid w:val="00386D3B"/>
    <w:rsid w:val="003878E5"/>
    <w:rsid w:val="003911B4"/>
    <w:rsid w:val="00392CE6"/>
    <w:rsid w:val="00395734"/>
    <w:rsid w:val="003957EE"/>
    <w:rsid w:val="00395DCD"/>
    <w:rsid w:val="003961C0"/>
    <w:rsid w:val="003963DB"/>
    <w:rsid w:val="003A0778"/>
    <w:rsid w:val="003A0878"/>
    <w:rsid w:val="003A08A4"/>
    <w:rsid w:val="003A0910"/>
    <w:rsid w:val="003A13F2"/>
    <w:rsid w:val="003A1FED"/>
    <w:rsid w:val="003A224D"/>
    <w:rsid w:val="003A23A5"/>
    <w:rsid w:val="003A25A1"/>
    <w:rsid w:val="003A2DD8"/>
    <w:rsid w:val="003A3A2E"/>
    <w:rsid w:val="003A5A82"/>
    <w:rsid w:val="003A7276"/>
    <w:rsid w:val="003A7E1E"/>
    <w:rsid w:val="003A7F84"/>
    <w:rsid w:val="003B06B4"/>
    <w:rsid w:val="003B10AD"/>
    <w:rsid w:val="003B1403"/>
    <w:rsid w:val="003B1775"/>
    <w:rsid w:val="003B1E96"/>
    <w:rsid w:val="003B1F25"/>
    <w:rsid w:val="003B255B"/>
    <w:rsid w:val="003B2FC4"/>
    <w:rsid w:val="003B39F5"/>
    <w:rsid w:val="003B6F5D"/>
    <w:rsid w:val="003C01D1"/>
    <w:rsid w:val="003C2DF0"/>
    <w:rsid w:val="003C3BAC"/>
    <w:rsid w:val="003C3F96"/>
    <w:rsid w:val="003C418E"/>
    <w:rsid w:val="003C4509"/>
    <w:rsid w:val="003C510F"/>
    <w:rsid w:val="003C6286"/>
    <w:rsid w:val="003D05F5"/>
    <w:rsid w:val="003D1372"/>
    <w:rsid w:val="003D1889"/>
    <w:rsid w:val="003D2E93"/>
    <w:rsid w:val="003D3CFE"/>
    <w:rsid w:val="003D4575"/>
    <w:rsid w:val="003D495D"/>
    <w:rsid w:val="003D5401"/>
    <w:rsid w:val="003D6112"/>
    <w:rsid w:val="003D64D9"/>
    <w:rsid w:val="003D68FA"/>
    <w:rsid w:val="003D7CBB"/>
    <w:rsid w:val="003D7EB8"/>
    <w:rsid w:val="003E0953"/>
    <w:rsid w:val="003E0B50"/>
    <w:rsid w:val="003E0FD8"/>
    <w:rsid w:val="003E244B"/>
    <w:rsid w:val="003E24B0"/>
    <w:rsid w:val="003E31ED"/>
    <w:rsid w:val="003E423D"/>
    <w:rsid w:val="003E4BE1"/>
    <w:rsid w:val="003E59B4"/>
    <w:rsid w:val="003E5D32"/>
    <w:rsid w:val="003E637F"/>
    <w:rsid w:val="003E69FA"/>
    <w:rsid w:val="003F19CA"/>
    <w:rsid w:val="003F2C68"/>
    <w:rsid w:val="003F3D33"/>
    <w:rsid w:val="003F4696"/>
    <w:rsid w:val="003F4C89"/>
    <w:rsid w:val="003F68F5"/>
    <w:rsid w:val="003F6DD5"/>
    <w:rsid w:val="00401D04"/>
    <w:rsid w:val="00403363"/>
    <w:rsid w:val="004036BE"/>
    <w:rsid w:val="00404596"/>
    <w:rsid w:val="00406C36"/>
    <w:rsid w:val="00406FC0"/>
    <w:rsid w:val="00407B2E"/>
    <w:rsid w:val="004107ED"/>
    <w:rsid w:val="00414B9B"/>
    <w:rsid w:val="004162ED"/>
    <w:rsid w:val="00420255"/>
    <w:rsid w:val="004221F1"/>
    <w:rsid w:val="00422856"/>
    <w:rsid w:val="00423EBF"/>
    <w:rsid w:val="004240C5"/>
    <w:rsid w:val="00424359"/>
    <w:rsid w:val="00425F49"/>
    <w:rsid w:val="004300F2"/>
    <w:rsid w:val="004302AB"/>
    <w:rsid w:val="0043088F"/>
    <w:rsid w:val="00432370"/>
    <w:rsid w:val="004326EA"/>
    <w:rsid w:val="0043453A"/>
    <w:rsid w:val="00434DAD"/>
    <w:rsid w:val="00434DF5"/>
    <w:rsid w:val="004413CD"/>
    <w:rsid w:val="00441413"/>
    <w:rsid w:val="004418DE"/>
    <w:rsid w:val="00443204"/>
    <w:rsid w:val="004444E7"/>
    <w:rsid w:val="00447691"/>
    <w:rsid w:val="00451166"/>
    <w:rsid w:val="004512CE"/>
    <w:rsid w:val="00451EAE"/>
    <w:rsid w:val="0045219F"/>
    <w:rsid w:val="004575C8"/>
    <w:rsid w:val="004578D1"/>
    <w:rsid w:val="004605F9"/>
    <w:rsid w:val="00463DD4"/>
    <w:rsid w:val="00463EA8"/>
    <w:rsid w:val="00464351"/>
    <w:rsid w:val="00464ED6"/>
    <w:rsid w:val="00464FDD"/>
    <w:rsid w:val="00465C78"/>
    <w:rsid w:val="004671E8"/>
    <w:rsid w:val="0046727D"/>
    <w:rsid w:val="00467958"/>
    <w:rsid w:val="00467C2A"/>
    <w:rsid w:val="00471937"/>
    <w:rsid w:val="00472894"/>
    <w:rsid w:val="00473BFE"/>
    <w:rsid w:val="00475B2F"/>
    <w:rsid w:val="00475B84"/>
    <w:rsid w:val="004771EF"/>
    <w:rsid w:val="00480D1F"/>
    <w:rsid w:val="00481D2C"/>
    <w:rsid w:val="004821BD"/>
    <w:rsid w:val="00482742"/>
    <w:rsid w:val="004838ED"/>
    <w:rsid w:val="0048501C"/>
    <w:rsid w:val="004910A0"/>
    <w:rsid w:val="00491B72"/>
    <w:rsid w:val="00493C28"/>
    <w:rsid w:val="004946FA"/>
    <w:rsid w:val="004954E2"/>
    <w:rsid w:val="004965E3"/>
    <w:rsid w:val="00496FC7"/>
    <w:rsid w:val="00497245"/>
    <w:rsid w:val="00497C88"/>
    <w:rsid w:val="004A0ADC"/>
    <w:rsid w:val="004A1815"/>
    <w:rsid w:val="004A288A"/>
    <w:rsid w:val="004A31FB"/>
    <w:rsid w:val="004A3264"/>
    <w:rsid w:val="004A34F5"/>
    <w:rsid w:val="004A4108"/>
    <w:rsid w:val="004A43B8"/>
    <w:rsid w:val="004A4AB5"/>
    <w:rsid w:val="004A4E11"/>
    <w:rsid w:val="004B2706"/>
    <w:rsid w:val="004B4B36"/>
    <w:rsid w:val="004B78A2"/>
    <w:rsid w:val="004B7C21"/>
    <w:rsid w:val="004B7E5D"/>
    <w:rsid w:val="004C0A9C"/>
    <w:rsid w:val="004C2889"/>
    <w:rsid w:val="004C2DDD"/>
    <w:rsid w:val="004C380F"/>
    <w:rsid w:val="004C45C7"/>
    <w:rsid w:val="004C4D1C"/>
    <w:rsid w:val="004C6C44"/>
    <w:rsid w:val="004C6FC8"/>
    <w:rsid w:val="004D160C"/>
    <w:rsid w:val="004D1D17"/>
    <w:rsid w:val="004D2A5F"/>
    <w:rsid w:val="004D34B6"/>
    <w:rsid w:val="004D5738"/>
    <w:rsid w:val="004D5B0A"/>
    <w:rsid w:val="004D64CB"/>
    <w:rsid w:val="004D7883"/>
    <w:rsid w:val="004D79EA"/>
    <w:rsid w:val="004E1FBA"/>
    <w:rsid w:val="004E235E"/>
    <w:rsid w:val="004E471A"/>
    <w:rsid w:val="004E4AEB"/>
    <w:rsid w:val="004E5F66"/>
    <w:rsid w:val="004E6380"/>
    <w:rsid w:val="004E72E6"/>
    <w:rsid w:val="004F022C"/>
    <w:rsid w:val="004F0CD6"/>
    <w:rsid w:val="004F1066"/>
    <w:rsid w:val="004F1F2E"/>
    <w:rsid w:val="004F2A5F"/>
    <w:rsid w:val="004F2D3A"/>
    <w:rsid w:val="004F2F71"/>
    <w:rsid w:val="004F2FA7"/>
    <w:rsid w:val="004F5667"/>
    <w:rsid w:val="004F6675"/>
    <w:rsid w:val="004F75D2"/>
    <w:rsid w:val="004F776A"/>
    <w:rsid w:val="005000D1"/>
    <w:rsid w:val="00501B8E"/>
    <w:rsid w:val="00502125"/>
    <w:rsid w:val="005028E8"/>
    <w:rsid w:val="005045A5"/>
    <w:rsid w:val="005073DA"/>
    <w:rsid w:val="00507A4E"/>
    <w:rsid w:val="00511AA2"/>
    <w:rsid w:val="0051254C"/>
    <w:rsid w:val="00512B2C"/>
    <w:rsid w:val="00513DB0"/>
    <w:rsid w:val="00514744"/>
    <w:rsid w:val="00517C81"/>
    <w:rsid w:val="005200B9"/>
    <w:rsid w:val="0052066A"/>
    <w:rsid w:val="00521267"/>
    <w:rsid w:val="00521CC3"/>
    <w:rsid w:val="00521F7E"/>
    <w:rsid w:val="00522003"/>
    <w:rsid w:val="00522E32"/>
    <w:rsid w:val="005233EF"/>
    <w:rsid w:val="00523527"/>
    <w:rsid w:val="00524586"/>
    <w:rsid w:val="00525239"/>
    <w:rsid w:val="00526332"/>
    <w:rsid w:val="00526532"/>
    <w:rsid w:val="005269B4"/>
    <w:rsid w:val="00527F7E"/>
    <w:rsid w:val="0053022B"/>
    <w:rsid w:val="0053065B"/>
    <w:rsid w:val="00531B05"/>
    <w:rsid w:val="005362F9"/>
    <w:rsid w:val="0053733B"/>
    <w:rsid w:val="00537B7E"/>
    <w:rsid w:val="00537FF1"/>
    <w:rsid w:val="00541662"/>
    <w:rsid w:val="00542597"/>
    <w:rsid w:val="005431C9"/>
    <w:rsid w:val="00543886"/>
    <w:rsid w:val="00544493"/>
    <w:rsid w:val="005471EF"/>
    <w:rsid w:val="00547649"/>
    <w:rsid w:val="0055159E"/>
    <w:rsid w:val="00551CC9"/>
    <w:rsid w:val="0055242F"/>
    <w:rsid w:val="005553D1"/>
    <w:rsid w:val="00555611"/>
    <w:rsid w:val="00555D53"/>
    <w:rsid w:val="00555F07"/>
    <w:rsid w:val="005560DC"/>
    <w:rsid w:val="005568A5"/>
    <w:rsid w:val="00557254"/>
    <w:rsid w:val="00557CE3"/>
    <w:rsid w:val="005611BD"/>
    <w:rsid w:val="00561441"/>
    <w:rsid w:val="0056260C"/>
    <w:rsid w:val="0056272F"/>
    <w:rsid w:val="00562F67"/>
    <w:rsid w:val="00563524"/>
    <w:rsid w:val="00564146"/>
    <w:rsid w:val="00564B0B"/>
    <w:rsid w:val="00565087"/>
    <w:rsid w:val="00566393"/>
    <w:rsid w:val="0056705E"/>
    <w:rsid w:val="00567211"/>
    <w:rsid w:val="00567584"/>
    <w:rsid w:val="00567D59"/>
    <w:rsid w:val="00571588"/>
    <w:rsid w:val="00572C58"/>
    <w:rsid w:val="00574B70"/>
    <w:rsid w:val="005761C1"/>
    <w:rsid w:val="005770A7"/>
    <w:rsid w:val="00577386"/>
    <w:rsid w:val="00581997"/>
    <w:rsid w:val="005828A4"/>
    <w:rsid w:val="00582F16"/>
    <w:rsid w:val="00583521"/>
    <w:rsid w:val="00584189"/>
    <w:rsid w:val="00584D47"/>
    <w:rsid w:val="00584EF5"/>
    <w:rsid w:val="00585C73"/>
    <w:rsid w:val="005865EF"/>
    <w:rsid w:val="00586B22"/>
    <w:rsid w:val="00586F63"/>
    <w:rsid w:val="005871BB"/>
    <w:rsid w:val="005907EB"/>
    <w:rsid w:val="00592258"/>
    <w:rsid w:val="00594432"/>
    <w:rsid w:val="0059487F"/>
    <w:rsid w:val="00594BA7"/>
    <w:rsid w:val="00596745"/>
    <w:rsid w:val="005971B1"/>
    <w:rsid w:val="0059775C"/>
    <w:rsid w:val="00597D39"/>
    <w:rsid w:val="005A09B2"/>
    <w:rsid w:val="005A0B01"/>
    <w:rsid w:val="005A0B5F"/>
    <w:rsid w:val="005A1F84"/>
    <w:rsid w:val="005A30DC"/>
    <w:rsid w:val="005A3DFE"/>
    <w:rsid w:val="005A4494"/>
    <w:rsid w:val="005A50F7"/>
    <w:rsid w:val="005A7432"/>
    <w:rsid w:val="005B09A1"/>
    <w:rsid w:val="005B101E"/>
    <w:rsid w:val="005B1073"/>
    <w:rsid w:val="005B2228"/>
    <w:rsid w:val="005B252C"/>
    <w:rsid w:val="005B3701"/>
    <w:rsid w:val="005B42C1"/>
    <w:rsid w:val="005B4B64"/>
    <w:rsid w:val="005B567B"/>
    <w:rsid w:val="005B70F1"/>
    <w:rsid w:val="005C0CC3"/>
    <w:rsid w:val="005C22DD"/>
    <w:rsid w:val="005C2F10"/>
    <w:rsid w:val="005C4449"/>
    <w:rsid w:val="005C4A8D"/>
    <w:rsid w:val="005C4EE0"/>
    <w:rsid w:val="005C6C14"/>
    <w:rsid w:val="005D00DE"/>
    <w:rsid w:val="005D0117"/>
    <w:rsid w:val="005D1700"/>
    <w:rsid w:val="005D1888"/>
    <w:rsid w:val="005D396C"/>
    <w:rsid w:val="005D3A9C"/>
    <w:rsid w:val="005D484B"/>
    <w:rsid w:val="005D6106"/>
    <w:rsid w:val="005D708E"/>
    <w:rsid w:val="005E0E6D"/>
    <w:rsid w:val="005E1113"/>
    <w:rsid w:val="005E1D2E"/>
    <w:rsid w:val="005E2D1E"/>
    <w:rsid w:val="005E34C9"/>
    <w:rsid w:val="005E4485"/>
    <w:rsid w:val="005E50A9"/>
    <w:rsid w:val="005E57E8"/>
    <w:rsid w:val="005E78BF"/>
    <w:rsid w:val="005F02B7"/>
    <w:rsid w:val="005F0A80"/>
    <w:rsid w:val="005F1D79"/>
    <w:rsid w:val="005F302B"/>
    <w:rsid w:val="005F3D38"/>
    <w:rsid w:val="005F4285"/>
    <w:rsid w:val="005F443E"/>
    <w:rsid w:val="005F4DE7"/>
    <w:rsid w:val="005F5023"/>
    <w:rsid w:val="00600216"/>
    <w:rsid w:val="00600355"/>
    <w:rsid w:val="006007D7"/>
    <w:rsid w:val="00600C12"/>
    <w:rsid w:val="00602298"/>
    <w:rsid w:val="006022AC"/>
    <w:rsid w:val="0060393C"/>
    <w:rsid w:val="00604F40"/>
    <w:rsid w:val="00605613"/>
    <w:rsid w:val="00605799"/>
    <w:rsid w:val="0060634D"/>
    <w:rsid w:val="006063D4"/>
    <w:rsid w:val="006064D0"/>
    <w:rsid w:val="00606D34"/>
    <w:rsid w:val="006108C6"/>
    <w:rsid w:val="00611601"/>
    <w:rsid w:val="0061286B"/>
    <w:rsid w:val="00612B49"/>
    <w:rsid w:val="006135CD"/>
    <w:rsid w:val="006135CE"/>
    <w:rsid w:val="006138D0"/>
    <w:rsid w:val="00615EA0"/>
    <w:rsid w:val="00616AEE"/>
    <w:rsid w:val="00620E54"/>
    <w:rsid w:val="0062344E"/>
    <w:rsid w:val="00624F31"/>
    <w:rsid w:val="0063055B"/>
    <w:rsid w:val="00630CCB"/>
    <w:rsid w:val="00631E96"/>
    <w:rsid w:val="0063333D"/>
    <w:rsid w:val="0063384A"/>
    <w:rsid w:val="00633B89"/>
    <w:rsid w:val="0063462B"/>
    <w:rsid w:val="006349E6"/>
    <w:rsid w:val="00634FA8"/>
    <w:rsid w:val="00635BB6"/>
    <w:rsid w:val="00636970"/>
    <w:rsid w:val="00636FB2"/>
    <w:rsid w:val="0063712C"/>
    <w:rsid w:val="00637430"/>
    <w:rsid w:val="00640042"/>
    <w:rsid w:val="006402E9"/>
    <w:rsid w:val="0064096A"/>
    <w:rsid w:val="0064132E"/>
    <w:rsid w:val="0064153E"/>
    <w:rsid w:val="006449BB"/>
    <w:rsid w:val="006459CF"/>
    <w:rsid w:val="00645B24"/>
    <w:rsid w:val="006475A5"/>
    <w:rsid w:val="006512A8"/>
    <w:rsid w:val="00651BEA"/>
    <w:rsid w:val="0065230C"/>
    <w:rsid w:val="006539A8"/>
    <w:rsid w:val="00653CE2"/>
    <w:rsid w:val="0065427E"/>
    <w:rsid w:val="006563A8"/>
    <w:rsid w:val="0066043B"/>
    <w:rsid w:val="0066161C"/>
    <w:rsid w:val="00661E03"/>
    <w:rsid w:val="00661EF1"/>
    <w:rsid w:val="006623B1"/>
    <w:rsid w:val="00663A44"/>
    <w:rsid w:val="00663EA5"/>
    <w:rsid w:val="00665717"/>
    <w:rsid w:val="00665869"/>
    <w:rsid w:val="0066665D"/>
    <w:rsid w:val="00666C34"/>
    <w:rsid w:val="006722E5"/>
    <w:rsid w:val="0067239F"/>
    <w:rsid w:val="00672642"/>
    <w:rsid w:val="006727A0"/>
    <w:rsid w:val="00672B12"/>
    <w:rsid w:val="00673E07"/>
    <w:rsid w:val="00674962"/>
    <w:rsid w:val="006761B1"/>
    <w:rsid w:val="00676F21"/>
    <w:rsid w:val="00677613"/>
    <w:rsid w:val="006801F2"/>
    <w:rsid w:val="00680B17"/>
    <w:rsid w:val="006811B9"/>
    <w:rsid w:val="00683799"/>
    <w:rsid w:val="00683859"/>
    <w:rsid w:val="0068478E"/>
    <w:rsid w:val="00684A6A"/>
    <w:rsid w:val="00685D8B"/>
    <w:rsid w:val="006867CD"/>
    <w:rsid w:val="006906D2"/>
    <w:rsid w:val="00690C9E"/>
    <w:rsid w:val="0069139B"/>
    <w:rsid w:val="006918AD"/>
    <w:rsid w:val="00691D13"/>
    <w:rsid w:val="00692157"/>
    <w:rsid w:val="00692158"/>
    <w:rsid w:val="00693099"/>
    <w:rsid w:val="00694A77"/>
    <w:rsid w:val="00695A2A"/>
    <w:rsid w:val="00696F70"/>
    <w:rsid w:val="00697B2B"/>
    <w:rsid w:val="006A0486"/>
    <w:rsid w:val="006A0719"/>
    <w:rsid w:val="006A096E"/>
    <w:rsid w:val="006A12EF"/>
    <w:rsid w:val="006A1357"/>
    <w:rsid w:val="006A1C19"/>
    <w:rsid w:val="006A29E6"/>
    <w:rsid w:val="006A3C49"/>
    <w:rsid w:val="006A3E58"/>
    <w:rsid w:val="006A4F3A"/>
    <w:rsid w:val="006A52FF"/>
    <w:rsid w:val="006A5438"/>
    <w:rsid w:val="006A5930"/>
    <w:rsid w:val="006A6413"/>
    <w:rsid w:val="006A6B05"/>
    <w:rsid w:val="006A73B3"/>
    <w:rsid w:val="006B015F"/>
    <w:rsid w:val="006B09FF"/>
    <w:rsid w:val="006B1567"/>
    <w:rsid w:val="006B22A9"/>
    <w:rsid w:val="006B4D21"/>
    <w:rsid w:val="006B5443"/>
    <w:rsid w:val="006B5E52"/>
    <w:rsid w:val="006B6D49"/>
    <w:rsid w:val="006B7036"/>
    <w:rsid w:val="006B7316"/>
    <w:rsid w:val="006B754F"/>
    <w:rsid w:val="006C093E"/>
    <w:rsid w:val="006C12CC"/>
    <w:rsid w:val="006C2377"/>
    <w:rsid w:val="006C2689"/>
    <w:rsid w:val="006C3272"/>
    <w:rsid w:val="006C36F6"/>
    <w:rsid w:val="006C5B67"/>
    <w:rsid w:val="006C63FD"/>
    <w:rsid w:val="006D02AA"/>
    <w:rsid w:val="006D0CB6"/>
    <w:rsid w:val="006D0E17"/>
    <w:rsid w:val="006D0F3E"/>
    <w:rsid w:val="006D11BF"/>
    <w:rsid w:val="006D137B"/>
    <w:rsid w:val="006D1DAA"/>
    <w:rsid w:val="006D263F"/>
    <w:rsid w:val="006D34E5"/>
    <w:rsid w:val="006D6D6A"/>
    <w:rsid w:val="006D6F99"/>
    <w:rsid w:val="006D76DD"/>
    <w:rsid w:val="006E1C30"/>
    <w:rsid w:val="006E7163"/>
    <w:rsid w:val="006E7190"/>
    <w:rsid w:val="006F10E1"/>
    <w:rsid w:val="006F2343"/>
    <w:rsid w:val="006F321D"/>
    <w:rsid w:val="006F4BFF"/>
    <w:rsid w:val="006F5A1B"/>
    <w:rsid w:val="006F5B0B"/>
    <w:rsid w:val="006F5F7F"/>
    <w:rsid w:val="006F6E33"/>
    <w:rsid w:val="006F74CA"/>
    <w:rsid w:val="006F76BC"/>
    <w:rsid w:val="006F782B"/>
    <w:rsid w:val="007001B9"/>
    <w:rsid w:val="00700302"/>
    <w:rsid w:val="0070112E"/>
    <w:rsid w:val="007020FC"/>
    <w:rsid w:val="00702A26"/>
    <w:rsid w:val="00702E00"/>
    <w:rsid w:val="007036A2"/>
    <w:rsid w:val="00703CC5"/>
    <w:rsid w:val="00706303"/>
    <w:rsid w:val="007073F0"/>
    <w:rsid w:val="00710FE4"/>
    <w:rsid w:val="00711735"/>
    <w:rsid w:val="00711E7A"/>
    <w:rsid w:val="00712320"/>
    <w:rsid w:val="0071263A"/>
    <w:rsid w:val="00712E55"/>
    <w:rsid w:val="00714353"/>
    <w:rsid w:val="007147CD"/>
    <w:rsid w:val="00714E75"/>
    <w:rsid w:val="007206E9"/>
    <w:rsid w:val="0072165E"/>
    <w:rsid w:val="00721B06"/>
    <w:rsid w:val="00722F83"/>
    <w:rsid w:val="00723D08"/>
    <w:rsid w:val="00725CD2"/>
    <w:rsid w:val="007320E5"/>
    <w:rsid w:val="00732DC9"/>
    <w:rsid w:val="00733DE9"/>
    <w:rsid w:val="00734AC0"/>
    <w:rsid w:val="00735A6B"/>
    <w:rsid w:val="0073793F"/>
    <w:rsid w:val="00737FCE"/>
    <w:rsid w:val="00740BA2"/>
    <w:rsid w:val="00740D30"/>
    <w:rsid w:val="00740F8B"/>
    <w:rsid w:val="00742320"/>
    <w:rsid w:val="00742D6B"/>
    <w:rsid w:val="0074349B"/>
    <w:rsid w:val="007437D9"/>
    <w:rsid w:val="007439CE"/>
    <w:rsid w:val="00743EDA"/>
    <w:rsid w:val="00745180"/>
    <w:rsid w:val="00745C13"/>
    <w:rsid w:val="00745C42"/>
    <w:rsid w:val="00746750"/>
    <w:rsid w:val="00747DC3"/>
    <w:rsid w:val="00750AF7"/>
    <w:rsid w:val="00751A66"/>
    <w:rsid w:val="00752AE0"/>
    <w:rsid w:val="007560E5"/>
    <w:rsid w:val="007571EC"/>
    <w:rsid w:val="00760A51"/>
    <w:rsid w:val="00761F30"/>
    <w:rsid w:val="00762518"/>
    <w:rsid w:val="00763201"/>
    <w:rsid w:val="00763FCD"/>
    <w:rsid w:val="00764A85"/>
    <w:rsid w:val="00764ABA"/>
    <w:rsid w:val="00766D14"/>
    <w:rsid w:val="00767171"/>
    <w:rsid w:val="00767709"/>
    <w:rsid w:val="00767898"/>
    <w:rsid w:val="0077039F"/>
    <w:rsid w:val="007726F7"/>
    <w:rsid w:val="00772732"/>
    <w:rsid w:val="00772774"/>
    <w:rsid w:val="00772C71"/>
    <w:rsid w:val="00773E12"/>
    <w:rsid w:val="00775F07"/>
    <w:rsid w:val="00777661"/>
    <w:rsid w:val="00777D4A"/>
    <w:rsid w:val="00780EA0"/>
    <w:rsid w:val="007810EB"/>
    <w:rsid w:val="00781536"/>
    <w:rsid w:val="007819B9"/>
    <w:rsid w:val="00783220"/>
    <w:rsid w:val="00783CD8"/>
    <w:rsid w:val="00786F2A"/>
    <w:rsid w:val="00787BA9"/>
    <w:rsid w:val="007906AA"/>
    <w:rsid w:val="007913B0"/>
    <w:rsid w:val="007919CD"/>
    <w:rsid w:val="00791EB3"/>
    <w:rsid w:val="00791FB7"/>
    <w:rsid w:val="00792767"/>
    <w:rsid w:val="00793096"/>
    <w:rsid w:val="00793225"/>
    <w:rsid w:val="007948CE"/>
    <w:rsid w:val="007949B6"/>
    <w:rsid w:val="00795798"/>
    <w:rsid w:val="00795DD4"/>
    <w:rsid w:val="00797076"/>
    <w:rsid w:val="007976DB"/>
    <w:rsid w:val="007A2F3E"/>
    <w:rsid w:val="007A4EC7"/>
    <w:rsid w:val="007A5305"/>
    <w:rsid w:val="007A57E0"/>
    <w:rsid w:val="007A59EC"/>
    <w:rsid w:val="007A5D51"/>
    <w:rsid w:val="007A667D"/>
    <w:rsid w:val="007A6F14"/>
    <w:rsid w:val="007A764C"/>
    <w:rsid w:val="007A790F"/>
    <w:rsid w:val="007B07EA"/>
    <w:rsid w:val="007B1160"/>
    <w:rsid w:val="007B125A"/>
    <w:rsid w:val="007B2066"/>
    <w:rsid w:val="007B2596"/>
    <w:rsid w:val="007B2662"/>
    <w:rsid w:val="007B33AF"/>
    <w:rsid w:val="007B351A"/>
    <w:rsid w:val="007B3A70"/>
    <w:rsid w:val="007B3C54"/>
    <w:rsid w:val="007B5F01"/>
    <w:rsid w:val="007C02CF"/>
    <w:rsid w:val="007C1582"/>
    <w:rsid w:val="007C4296"/>
    <w:rsid w:val="007C54D9"/>
    <w:rsid w:val="007C71FA"/>
    <w:rsid w:val="007D00AC"/>
    <w:rsid w:val="007D3447"/>
    <w:rsid w:val="007D41EE"/>
    <w:rsid w:val="007D4533"/>
    <w:rsid w:val="007D4E7B"/>
    <w:rsid w:val="007D76E6"/>
    <w:rsid w:val="007E0418"/>
    <w:rsid w:val="007E16ED"/>
    <w:rsid w:val="007E19A9"/>
    <w:rsid w:val="007E24A4"/>
    <w:rsid w:val="007E3FA3"/>
    <w:rsid w:val="007E5DB3"/>
    <w:rsid w:val="007E5FD4"/>
    <w:rsid w:val="007E6B99"/>
    <w:rsid w:val="007E7D99"/>
    <w:rsid w:val="007F09BB"/>
    <w:rsid w:val="007F148A"/>
    <w:rsid w:val="007F2229"/>
    <w:rsid w:val="007F227D"/>
    <w:rsid w:val="007F4B12"/>
    <w:rsid w:val="00800569"/>
    <w:rsid w:val="008022E7"/>
    <w:rsid w:val="00802751"/>
    <w:rsid w:val="00805693"/>
    <w:rsid w:val="008056E9"/>
    <w:rsid w:val="00805B64"/>
    <w:rsid w:val="008066A9"/>
    <w:rsid w:val="00807F5D"/>
    <w:rsid w:val="00811786"/>
    <w:rsid w:val="00811852"/>
    <w:rsid w:val="00811BBB"/>
    <w:rsid w:val="00811F3A"/>
    <w:rsid w:val="008124BB"/>
    <w:rsid w:val="00814953"/>
    <w:rsid w:val="008150B6"/>
    <w:rsid w:val="0081525B"/>
    <w:rsid w:val="00815350"/>
    <w:rsid w:val="00816816"/>
    <w:rsid w:val="0081722F"/>
    <w:rsid w:val="008200C3"/>
    <w:rsid w:val="00820334"/>
    <w:rsid w:val="0082121E"/>
    <w:rsid w:val="00821253"/>
    <w:rsid w:val="00822062"/>
    <w:rsid w:val="008223F4"/>
    <w:rsid w:val="00822450"/>
    <w:rsid w:val="008224E3"/>
    <w:rsid w:val="008225A1"/>
    <w:rsid w:val="0082262D"/>
    <w:rsid w:val="008245DD"/>
    <w:rsid w:val="0082469D"/>
    <w:rsid w:val="0082476A"/>
    <w:rsid w:val="00826A62"/>
    <w:rsid w:val="00827A1F"/>
    <w:rsid w:val="00830755"/>
    <w:rsid w:val="00830813"/>
    <w:rsid w:val="00830CC8"/>
    <w:rsid w:val="00831DC4"/>
    <w:rsid w:val="00832223"/>
    <w:rsid w:val="00832BA2"/>
    <w:rsid w:val="00833EA0"/>
    <w:rsid w:val="00834BE4"/>
    <w:rsid w:val="00835CB8"/>
    <w:rsid w:val="00836AD2"/>
    <w:rsid w:val="008401A8"/>
    <w:rsid w:val="00840352"/>
    <w:rsid w:val="0084056E"/>
    <w:rsid w:val="00841AA1"/>
    <w:rsid w:val="00844E0E"/>
    <w:rsid w:val="00850C0A"/>
    <w:rsid w:val="0085267C"/>
    <w:rsid w:val="0085274D"/>
    <w:rsid w:val="0085291C"/>
    <w:rsid w:val="0085293A"/>
    <w:rsid w:val="008530BA"/>
    <w:rsid w:val="00853641"/>
    <w:rsid w:val="00854AB5"/>
    <w:rsid w:val="00856192"/>
    <w:rsid w:val="00857273"/>
    <w:rsid w:val="00860FC3"/>
    <w:rsid w:val="0086145D"/>
    <w:rsid w:val="0086221E"/>
    <w:rsid w:val="00864872"/>
    <w:rsid w:val="00865D09"/>
    <w:rsid w:val="008666E8"/>
    <w:rsid w:val="00867939"/>
    <w:rsid w:val="00867B18"/>
    <w:rsid w:val="00867E5F"/>
    <w:rsid w:val="00867F18"/>
    <w:rsid w:val="00870749"/>
    <w:rsid w:val="00871B0F"/>
    <w:rsid w:val="00872152"/>
    <w:rsid w:val="008722E1"/>
    <w:rsid w:val="00872E8C"/>
    <w:rsid w:val="00873410"/>
    <w:rsid w:val="00873B9E"/>
    <w:rsid w:val="00874FFB"/>
    <w:rsid w:val="008755A2"/>
    <w:rsid w:val="008761EC"/>
    <w:rsid w:val="008769F7"/>
    <w:rsid w:val="00877B07"/>
    <w:rsid w:val="0088105C"/>
    <w:rsid w:val="00881362"/>
    <w:rsid w:val="008823C3"/>
    <w:rsid w:val="008824E8"/>
    <w:rsid w:val="00883C08"/>
    <w:rsid w:val="00883EE0"/>
    <w:rsid w:val="0088516B"/>
    <w:rsid w:val="0088582C"/>
    <w:rsid w:val="00885A7F"/>
    <w:rsid w:val="00885CA1"/>
    <w:rsid w:val="00885F11"/>
    <w:rsid w:val="00886A27"/>
    <w:rsid w:val="00886BB3"/>
    <w:rsid w:val="00887B61"/>
    <w:rsid w:val="00887CA8"/>
    <w:rsid w:val="008901AD"/>
    <w:rsid w:val="00890925"/>
    <w:rsid w:val="00891AC2"/>
    <w:rsid w:val="00891BFE"/>
    <w:rsid w:val="00892AB3"/>
    <w:rsid w:val="0089369E"/>
    <w:rsid w:val="00893C56"/>
    <w:rsid w:val="00893D2D"/>
    <w:rsid w:val="00893F4B"/>
    <w:rsid w:val="00894111"/>
    <w:rsid w:val="00894441"/>
    <w:rsid w:val="00894604"/>
    <w:rsid w:val="00894ED5"/>
    <w:rsid w:val="008969FB"/>
    <w:rsid w:val="00896AA7"/>
    <w:rsid w:val="00896E7B"/>
    <w:rsid w:val="00897453"/>
    <w:rsid w:val="008A0543"/>
    <w:rsid w:val="008A0B05"/>
    <w:rsid w:val="008A131A"/>
    <w:rsid w:val="008A27DF"/>
    <w:rsid w:val="008A3520"/>
    <w:rsid w:val="008A3A1B"/>
    <w:rsid w:val="008A3F6F"/>
    <w:rsid w:val="008A43E1"/>
    <w:rsid w:val="008A4DD1"/>
    <w:rsid w:val="008B0B2D"/>
    <w:rsid w:val="008B163A"/>
    <w:rsid w:val="008B2F13"/>
    <w:rsid w:val="008B3435"/>
    <w:rsid w:val="008B3C10"/>
    <w:rsid w:val="008B41AB"/>
    <w:rsid w:val="008B50E6"/>
    <w:rsid w:val="008B62AB"/>
    <w:rsid w:val="008B70EE"/>
    <w:rsid w:val="008B75F7"/>
    <w:rsid w:val="008C10C7"/>
    <w:rsid w:val="008C243C"/>
    <w:rsid w:val="008C26A2"/>
    <w:rsid w:val="008C2ADF"/>
    <w:rsid w:val="008C3E68"/>
    <w:rsid w:val="008C3F29"/>
    <w:rsid w:val="008C4142"/>
    <w:rsid w:val="008C5343"/>
    <w:rsid w:val="008C651A"/>
    <w:rsid w:val="008C6FF1"/>
    <w:rsid w:val="008D092B"/>
    <w:rsid w:val="008D0A46"/>
    <w:rsid w:val="008D1352"/>
    <w:rsid w:val="008D221D"/>
    <w:rsid w:val="008D30EB"/>
    <w:rsid w:val="008D32A3"/>
    <w:rsid w:val="008D3C76"/>
    <w:rsid w:val="008E1E4B"/>
    <w:rsid w:val="008E2A35"/>
    <w:rsid w:val="008E4A10"/>
    <w:rsid w:val="008E4F7A"/>
    <w:rsid w:val="008E5055"/>
    <w:rsid w:val="008E50DE"/>
    <w:rsid w:val="008E67EB"/>
    <w:rsid w:val="008E724A"/>
    <w:rsid w:val="008F0161"/>
    <w:rsid w:val="008F0397"/>
    <w:rsid w:val="008F0BFE"/>
    <w:rsid w:val="008F348B"/>
    <w:rsid w:val="008F44AB"/>
    <w:rsid w:val="008F50BE"/>
    <w:rsid w:val="008F5509"/>
    <w:rsid w:val="008F7119"/>
    <w:rsid w:val="008F79D0"/>
    <w:rsid w:val="00900B1C"/>
    <w:rsid w:val="00902BBB"/>
    <w:rsid w:val="00902C05"/>
    <w:rsid w:val="009045EF"/>
    <w:rsid w:val="009104B9"/>
    <w:rsid w:val="009133C7"/>
    <w:rsid w:val="00913A6E"/>
    <w:rsid w:val="0091409E"/>
    <w:rsid w:val="00914EF7"/>
    <w:rsid w:val="00915FAB"/>
    <w:rsid w:val="00916A39"/>
    <w:rsid w:val="009201DB"/>
    <w:rsid w:val="00920C20"/>
    <w:rsid w:val="00921F73"/>
    <w:rsid w:val="00922DDF"/>
    <w:rsid w:val="00924D0A"/>
    <w:rsid w:val="009250F2"/>
    <w:rsid w:val="00925F3D"/>
    <w:rsid w:val="00926370"/>
    <w:rsid w:val="00927435"/>
    <w:rsid w:val="00927C9A"/>
    <w:rsid w:val="00930022"/>
    <w:rsid w:val="0093036F"/>
    <w:rsid w:val="009316CE"/>
    <w:rsid w:val="00933352"/>
    <w:rsid w:val="009344B3"/>
    <w:rsid w:val="0093486D"/>
    <w:rsid w:val="00934F23"/>
    <w:rsid w:val="0093580E"/>
    <w:rsid w:val="009365BB"/>
    <w:rsid w:val="00936D60"/>
    <w:rsid w:val="0093700B"/>
    <w:rsid w:val="009378E6"/>
    <w:rsid w:val="0094094C"/>
    <w:rsid w:val="0094137A"/>
    <w:rsid w:val="00941C6C"/>
    <w:rsid w:val="00941CA9"/>
    <w:rsid w:val="009422E6"/>
    <w:rsid w:val="00942565"/>
    <w:rsid w:val="00943BB4"/>
    <w:rsid w:val="009455C4"/>
    <w:rsid w:val="0094572B"/>
    <w:rsid w:val="00947D23"/>
    <w:rsid w:val="009509FA"/>
    <w:rsid w:val="00950F30"/>
    <w:rsid w:val="0095109B"/>
    <w:rsid w:val="00951915"/>
    <w:rsid w:val="00951B9B"/>
    <w:rsid w:val="00952732"/>
    <w:rsid w:val="009529BD"/>
    <w:rsid w:val="00954EF3"/>
    <w:rsid w:val="00955014"/>
    <w:rsid w:val="00956539"/>
    <w:rsid w:val="00957BF9"/>
    <w:rsid w:val="009613F4"/>
    <w:rsid w:val="009621F6"/>
    <w:rsid w:val="0096267E"/>
    <w:rsid w:val="0096299E"/>
    <w:rsid w:val="0096449E"/>
    <w:rsid w:val="0096485A"/>
    <w:rsid w:val="00964D34"/>
    <w:rsid w:val="00970D45"/>
    <w:rsid w:val="00970E45"/>
    <w:rsid w:val="00972061"/>
    <w:rsid w:val="009732AA"/>
    <w:rsid w:val="0097517E"/>
    <w:rsid w:val="00976307"/>
    <w:rsid w:val="009766E9"/>
    <w:rsid w:val="00976BFA"/>
    <w:rsid w:val="00977F0C"/>
    <w:rsid w:val="0098033F"/>
    <w:rsid w:val="009814E1"/>
    <w:rsid w:val="00983DE5"/>
    <w:rsid w:val="00984428"/>
    <w:rsid w:val="00985856"/>
    <w:rsid w:val="00986FA4"/>
    <w:rsid w:val="00987186"/>
    <w:rsid w:val="009875EA"/>
    <w:rsid w:val="009902FD"/>
    <w:rsid w:val="00990BB1"/>
    <w:rsid w:val="009918D0"/>
    <w:rsid w:val="00991E58"/>
    <w:rsid w:val="0099278E"/>
    <w:rsid w:val="0099281F"/>
    <w:rsid w:val="009959EA"/>
    <w:rsid w:val="00997166"/>
    <w:rsid w:val="00997D82"/>
    <w:rsid w:val="009A16E8"/>
    <w:rsid w:val="009A1D94"/>
    <w:rsid w:val="009A2073"/>
    <w:rsid w:val="009A331A"/>
    <w:rsid w:val="009A559A"/>
    <w:rsid w:val="009A5805"/>
    <w:rsid w:val="009A5A8D"/>
    <w:rsid w:val="009A6CF4"/>
    <w:rsid w:val="009B0F38"/>
    <w:rsid w:val="009B0F49"/>
    <w:rsid w:val="009B1133"/>
    <w:rsid w:val="009B1223"/>
    <w:rsid w:val="009B481D"/>
    <w:rsid w:val="009B7353"/>
    <w:rsid w:val="009B7F29"/>
    <w:rsid w:val="009C1898"/>
    <w:rsid w:val="009C2054"/>
    <w:rsid w:val="009C23D8"/>
    <w:rsid w:val="009C77E2"/>
    <w:rsid w:val="009D12FC"/>
    <w:rsid w:val="009D3972"/>
    <w:rsid w:val="009D4C9A"/>
    <w:rsid w:val="009D4FF7"/>
    <w:rsid w:val="009D543E"/>
    <w:rsid w:val="009E0459"/>
    <w:rsid w:val="009E045D"/>
    <w:rsid w:val="009E0BF4"/>
    <w:rsid w:val="009E0C11"/>
    <w:rsid w:val="009E2D6A"/>
    <w:rsid w:val="009E4129"/>
    <w:rsid w:val="009E4449"/>
    <w:rsid w:val="009E5414"/>
    <w:rsid w:val="009E5CF3"/>
    <w:rsid w:val="009E6A39"/>
    <w:rsid w:val="009E6EC5"/>
    <w:rsid w:val="009E6FD1"/>
    <w:rsid w:val="009E7DAA"/>
    <w:rsid w:val="009F03B0"/>
    <w:rsid w:val="009F055F"/>
    <w:rsid w:val="009F11BA"/>
    <w:rsid w:val="009F2170"/>
    <w:rsid w:val="009F22D6"/>
    <w:rsid w:val="009F4435"/>
    <w:rsid w:val="009F7343"/>
    <w:rsid w:val="00A0180E"/>
    <w:rsid w:val="00A01A9E"/>
    <w:rsid w:val="00A02325"/>
    <w:rsid w:val="00A0250E"/>
    <w:rsid w:val="00A054C9"/>
    <w:rsid w:val="00A05750"/>
    <w:rsid w:val="00A05E51"/>
    <w:rsid w:val="00A1005F"/>
    <w:rsid w:val="00A10078"/>
    <w:rsid w:val="00A12F7A"/>
    <w:rsid w:val="00A13A86"/>
    <w:rsid w:val="00A13B97"/>
    <w:rsid w:val="00A17AB5"/>
    <w:rsid w:val="00A21A97"/>
    <w:rsid w:val="00A22066"/>
    <w:rsid w:val="00A220F9"/>
    <w:rsid w:val="00A22B52"/>
    <w:rsid w:val="00A23803"/>
    <w:rsid w:val="00A239F4"/>
    <w:rsid w:val="00A2577B"/>
    <w:rsid w:val="00A27AE6"/>
    <w:rsid w:val="00A3064F"/>
    <w:rsid w:val="00A3082D"/>
    <w:rsid w:val="00A30E39"/>
    <w:rsid w:val="00A3124D"/>
    <w:rsid w:val="00A324CA"/>
    <w:rsid w:val="00A336A1"/>
    <w:rsid w:val="00A36F5D"/>
    <w:rsid w:val="00A40A9B"/>
    <w:rsid w:val="00A40ECD"/>
    <w:rsid w:val="00A444A2"/>
    <w:rsid w:val="00A45CC9"/>
    <w:rsid w:val="00A462FF"/>
    <w:rsid w:val="00A46668"/>
    <w:rsid w:val="00A46F94"/>
    <w:rsid w:val="00A47DD6"/>
    <w:rsid w:val="00A503FB"/>
    <w:rsid w:val="00A51169"/>
    <w:rsid w:val="00A516AF"/>
    <w:rsid w:val="00A51AC8"/>
    <w:rsid w:val="00A521A0"/>
    <w:rsid w:val="00A53536"/>
    <w:rsid w:val="00A55033"/>
    <w:rsid w:val="00A56458"/>
    <w:rsid w:val="00A61D18"/>
    <w:rsid w:val="00A63E3B"/>
    <w:rsid w:val="00A646F5"/>
    <w:rsid w:val="00A6540F"/>
    <w:rsid w:val="00A66103"/>
    <w:rsid w:val="00A66D30"/>
    <w:rsid w:val="00A66ED6"/>
    <w:rsid w:val="00A708E5"/>
    <w:rsid w:val="00A70FFB"/>
    <w:rsid w:val="00A72F38"/>
    <w:rsid w:val="00A73120"/>
    <w:rsid w:val="00A732EE"/>
    <w:rsid w:val="00A74392"/>
    <w:rsid w:val="00A7506B"/>
    <w:rsid w:val="00A75572"/>
    <w:rsid w:val="00A755C6"/>
    <w:rsid w:val="00A76F0F"/>
    <w:rsid w:val="00A8020D"/>
    <w:rsid w:val="00A8163B"/>
    <w:rsid w:val="00A816EF"/>
    <w:rsid w:val="00A81B83"/>
    <w:rsid w:val="00A81D95"/>
    <w:rsid w:val="00A82474"/>
    <w:rsid w:val="00A82899"/>
    <w:rsid w:val="00A83F18"/>
    <w:rsid w:val="00A84889"/>
    <w:rsid w:val="00A84A8A"/>
    <w:rsid w:val="00A8609D"/>
    <w:rsid w:val="00A8705D"/>
    <w:rsid w:val="00A90AAB"/>
    <w:rsid w:val="00A911F2"/>
    <w:rsid w:val="00A91CDC"/>
    <w:rsid w:val="00A95114"/>
    <w:rsid w:val="00A96341"/>
    <w:rsid w:val="00A96679"/>
    <w:rsid w:val="00AA0868"/>
    <w:rsid w:val="00AA225C"/>
    <w:rsid w:val="00AA2824"/>
    <w:rsid w:val="00AA2E85"/>
    <w:rsid w:val="00AA3DBE"/>
    <w:rsid w:val="00AA49A6"/>
    <w:rsid w:val="00AA5101"/>
    <w:rsid w:val="00AA545B"/>
    <w:rsid w:val="00AA763B"/>
    <w:rsid w:val="00AB08A4"/>
    <w:rsid w:val="00AB1548"/>
    <w:rsid w:val="00AB1918"/>
    <w:rsid w:val="00AB2452"/>
    <w:rsid w:val="00AB2AF8"/>
    <w:rsid w:val="00AB2B06"/>
    <w:rsid w:val="00AB32CE"/>
    <w:rsid w:val="00AB3656"/>
    <w:rsid w:val="00AB505A"/>
    <w:rsid w:val="00AB59D2"/>
    <w:rsid w:val="00AB6229"/>
    <w:rsid w:val="00AB7814"/>
    <w:rsid w:val="00AC02C2"/>
    <w:rsid w:val="00AC10CD"/>
    <w:rsid w:val="00AC10E0"/>
    <w:rsid w:val="00AC1BC2"/>
    <w:rsid w:val="00AC2820"/>
    <w:rsid w:val="00AC6427"/>
    <w:rsid w:val="00AC65C1"/>
    <w:rsid w:val="00AC6CC0"/>
    <w:rsid w:val="00AC71F7"/>
    <w:rsid w:val="00AC7C98"/>
    <w:rsid w:val="00AC7D6F"/>
    <w:rsid w:val="00AD2253"/>
    <w:rsid w:val="00AD3684"/>
    <w:rsid w:val="00AD43C3"/>
    <w:rsid w:val="00AD5686"/>
    <w:rsid w:val="00AD6594"/>
    <w:rsid w:val="00AD6FE1"/>
    <w:rsid w:val="00AE04FD"/>
    <w:rsid w:val="00AE0531"/>
    <w:rsid w:val="00AE1375"/>
    <w:rsid w:val="00AE1423"/>
    <w:rsid w:val="00AE1876"/>
    <w:rsid w:val="00AE2022"/>
    <w:rsid w:val="00AE23FB"/>
    <w:rsid w:val="00AE26B6"/>
    <w:rsid w:val="00AE2903"/>
    <w:rsid w:val="00AE2D14"/>
    <w:rsid w:val="00AE2F7A"/>
    <w:rsid w:val="00AE36CC"/>
    <w:rsid w:val="00AE4310"/>
    <w:rsid w:val="00AE5657"/>
    <w:rsid w:val="00AE667B"/>
    <w:rsid w:val="00AE6A64"/>
    <w:rsid w:val="00AE7242"/>
    <w:rsid w:val="00AE74EE"/>
    <w:rsid w:val="00AF0904"/>
    <w:rsid w:val="00AF15C4"/>
    <w:rsid w:val="00AF1E8D"/>
    <w:rsid w:val="00AF51AE"/>
    <w:rsid w:val="00AF51B7"/>
    <w:rsid w:val="00AF56BB"/>
    <w:rsid w:val="00AF598E"/>
    <w:rsid w:val="00AF69AC"/>
    <w:rsid w:val="00AF6CB6"/>
    <w:rsid w:val="00AF6F03"/>
    <w:rsid w:val="00AF7953"/>
    <w:rsid w:val="00B00054"/>
    <w:rsid w:val="00B019F1"/>
    <w:rsid w:val="00B01AAD"/>
    <w:rsid w:val="00B02486"/>
    <w:rsid w:val="00B0330C"/>
    <w:rsid w:val="00B0363B"/>
    <w:rsid w:val="00B03865"/>
    <w:rsid w:val="00B0592F"/>
    <w:rsid w:val="00B0604B"/>
    <w:rsid w:val="00B06AC0"/>
    <w:rsid w:val="00B11A77"/>
    <w:rsid w:val="00B13C73"/>
    <w:rsid w:val="00B157B6"/>
    <w:rsid w:val="00B2085D"/>
    <w:rsid w:val="00B2174F"/>
    <w:rsid w:val="00B229F5"/>
    <w:rsid w:val="00B22B4C"/>
    <w:rsid w:val="00B22DBB"/>
    <w:rsid w:val="00B239A0"/>
    <w:rsid w:val="00B23E22"/>
    <w:rsid w:val="00B24928"/>
    <w:rsid w:val="00B27701"/>
    <w:rsid w:val="00B27749"/>
    <w:rsid w:val="00B30E5E"/>
    <w:rsid w:val="00B31142"/>
    <w:rsid w:val="00B3115C"/>
    <w:rsid w:val="00B3206F"/>
    <w:rsid w:val="00B32601"/>
    <w:rsid w:val="00B33308"/>
    <w:rsid w:val="00B33FEB"/>
    <w:rsid w:val="00B34E13"/>
    <w:rsid w:val="00B36410"/>
    <w:rsid w:val="00B365C5"/>
    <w:rsid w:val="00B369CD"/>
    <w:rsid w:val="00B37BF1"/>
    <w:rsid w:val="00B400E8"/>
    <w:rsid w:val="00B40113"/>
    <w:rsid w:val="00B4053A"/>
    <w:rsid w:val="00B40B4A"/>
    <w:rsid w:val="00B410AE"/>
    <w:rsid w:val="00B41362"/>
    <w:rsid w:val="00B41C7D"/>
    <w:rsid w:val="00B41C99"/>
    <w:rsid w:val="00B42D99"/>
    <w:rsid w:val="00B43E3B"/>
    <w:rsid w:val="00B44644"/>
    <w:rsid w:val="00B4530A"/>
    <w:rsid w:val="00B4541D"/>
    <w:rsid w:val="00B46853"/>
    <w:rsid w:val="00B46B80"/>
    <w:rsid w:val="00B47534"/>
    <w:rsid w:val="00B50D77"/>
    <w:rsid w:val="00B51424"/>
    <w:rsid w:val="00B52514"/>
    <w:rsid w:val="00B52E05"/>
    <w:rsid w:val="00B53E99"/>
    <w:rsid w:val="00B54B26"/>
    <w:rsid w:val="00B55E44"/>
    <w:rsid w:val="00B570B5"/>
    <w:rsid w:val="00B60E52"/>
    <w:rsid w:val="00B6178B"/>
    <w:rsid w:val="00B6213A"/>
    <w:rsid w:val="00B63210"/>
    <w:rsid w:val="00B6344E"/>
    <w:rsid w:val="00B638E3"/>
    <w:rsid w:val="00B67FFC"/>
    <w:rsid w:val="00B711BE"/>
    <w:rsid w:val="00B713C5"/>
    <w:rsid w:val="00B71C88"/>
    <w:rsid w:val="00B73198"/>
    <w:rsid w:val="00B73785"/>
    <w:rsid w:val="00B7632E"/>
    <w:rsid w:val="00B76B2B"/>
    <w:rsid w:val="00B76B76"/>
    <w:rsid w:val="00B76E8B"/>
    <w:rsid w:val="00B8003D"/>
    <w:rsid w:val="00B801F0"/>
    <w:rsid w:val="00B80400"/>
    <w:rsid w:val="00B81113"/>
    <w:rsid w:val="00B81B4F"/>
    <w:rsid w:val="00B81BA2"/>
    <w:rsid w:val="00B82309"/>
    <w:rsid w:val="00B82D47"/>
    <w:rsid w:val="00B83301"/>
    <w:rsid w:val="00B838B1"/>
    <w:rsid w:val="00B84401"/>
    <w:rsid w:val="00B84C55"/>
    <w:rsid w:val="00B85123"/>
    <w:rsid w:val="00B8597C"/>
    <w:rsid w:val="00B8649A"/>
    <w:rsid w:val="00B87837"/>
    <w:rsid w:val="00B87DAC"/>
    <w:rsid w:val="00B90968"/>
    <w:rsid w:val="00B92174"/>
    <w:rsid w:val="00B9221B"/>
    <w:rsid w:val="00B954A4"/>
    <w:rsid w:val="00B95819"/>
    <w:rsid w:val="00B95A9C"/>
    <w:rsid w:val="00B97B78"/>
    <w:rsid w:val="00BA04C1"/>
    <w:rsid w:val="00BA098B"/>
    <w:rsid w:val="00BA1C33"/>
    <w:rsid w:val="00BA2264"/>
    <w:rsid w:val="00BA2D27"/>
    <w:rsid w:val="00BA2FCA"/>
    <w:rsid w:val="00BA32F4"/>
    <w:rsid w:val="00BA39C7"/>
    <w:rsid w:val="00BA53B2"/>
    <w:rsid w:val="00BA5D83"/>
    <w:rsid w:val="00BA5DC4"/>
    <w:rsid w:val="00BA65F9"/>
    <w:rsid w:val="00BA6DC7"/>
    <w:rsid w:val="00BA7352"/>
    <w:rsid w:val="00BA772D"/>
    <w:rsid w:val="00BB16DE"/>
    <w:rsid w:val="00BB303C"/>
    <w:rsid w:val="00BB3BD5"/>
    <w:rsid w:val="00BB3FF2"/>
    <w:rsid w:val="00BB4E46"/>
    <w:rsid w:val="00BB6368"/>
    <w:rsid w:val="00BB672C"/>
    <w:rsid w:val="00BB7C55"/>
    <w:rsid w:val="00BC011C"/>
    <w:rsid w:val="00BC13D8"/>
    <w:rsid w:val="00BC1893"/>
    <w:rsid w:val="00BC457E"/>
    <w:rsid w:val="00BC7DFB"/>
    <w:rsid w:val="00BD00EC"/>
    <w:rsid w:val="00BD0203"/>
    <w:rsid w:val="00BD248D"/>
    <w:rsid w:val="00BD4AAF"/>
    <w:rsid w:val="00BD683D"/>
    <w:rsid w:val="00BD6A2D"/>
    <w:rsid w:val="00BD78F7"/>
    <w:rsid w:val="00BE02C7"/>
    <w:rsid w:val="00BE126C"/>
    <w:rsid w:val="00BE13E5"/>
    <w:rsid w:val="00BE279F"/>
    <w:rsid w:val="00BE4133"/>
    <w:rsid w:val="00BE4C17"/>
    <w:rsid w:val="00BE5565"/>
    <w:rsid w:val="00BE5C7F"/>
    <w:rsid w:val="00BF0BFD"/>
    <w:rsid w:val="00BF12E7"/>
    <w:rsid w:val="00BF1A20"/>
    <w:rsid w:val="00BF3884"/>
    <w:rsid w:val="00BF5C17"/>
    <w:rsid w:val="00BF5D71"/>
    <w:rsid w:val="00BF5F43"/>
    <w:rsid w:val="00BF77CD"/>
    <w:rsid w:val="00BF7CB6"/>
    <w:rsid w:val="00C0017D"/>
    <w:rsid w:val="00C01ECF"/>
    <w:rsid w:val="00C02623"/>
    <w:rsid w:val="00C0302A"/>
    <w:rsid w:val="00C03E43"/>
    <w:rsid w:val="00C03EF2"/>
    <w:rsid w:val="00C046F5"/>
    <w:rsid w:val="00C05354"/>
    <w:rsid w:val="00C057D8"/>
    <w:rsid w:val="00C065C5"/>
    <w:rsid w:val="00C06BBE"/>
    <w:rsid w:val="00C1065F"/>
    <w:rsid w:val="00C11B0E"/>
    <w:rsid w:val="00C12E66"/>
    <w:rsid w:val="00C13D9D"/>
    <w:rsid w:val="00C16978"/>
    <w:rsid w:val="00C170C1"/>
    <w:rsid w:val="00C20266"/>
    <w:rsid w:val="00C20AE6"/>
    <w:rsid w:val="00C2147A"/>
    <w:rsid w:val="00C21990"/>
    <w:rsid w:val="00C223CE"/>
    <w:rsid w:val="00C2418C"/>
    <w:rsid w:val="00C24502"/>
    <w:rsid w:val="00C24B4E"/>
    <w:rsid w:val="00C250A5"/>
    <w:rsid w:val="00C26A9C"/>
    <w:rsid w:val="00C2712E"/>
    <w:rsid w:val="00C313AB"/>
    <w:rsid w:val="00C3187E"/>
    <w:rsid w:val="00C33314"/>
    <w:rsid w:val="00C34C57"/>
    <w:rsid w:val="00C353F9"/>
    <w:rsid w:val="00C36974"/>
    <w:rsid w:val="00C37CF9"/>
    <w:rsid w:val="00C40A66"/>
    <w:rsid w:val="00C42EEB"/>
    <w:rsid w:val="00C44E32"/>
    <w:rsid w:val="00C46E74"/>
    <w:rsid w:val="00C47077"/>
    <w:rsid w:val="00C47078"/>
    <w:rsid w:val="00C5059D"/>
    <w:rsid w:val="00C50BEF"/>
    <w:rsid w:val="00C50D69"/>
    <w:rsid w:val="00C521CA"/>
    <w:rsid w:val="00C53C07"/>
    <w:rsid w:val="00C54207"/>
    <w:rsid w:val="00C5430D"/>
    <w:rsid w:val="00C54512"/>
    <w:rsid w:val="00C56A35"/>
    <w:rsid w:val="00C56EBC"/>
    <w:rsid w:val="00C57580"/>
    <w:rsid w:val="00C6095F"/>
    <w:rsid w:val="00C6113F"/>
    <w:rsid w:val="00C62667"/>
    <w:rsid w:val="00C645C9"/>
    <w:rsid w:val="00C64F3E"/>
    <w:rsid w:val="00C65AD3"/>
    <w:rsid w:val="00C6615E"/>
    <w:rsid w:val="00C6687B"/>
    <w:rsid w:val="00C71713"/>
    <w:rsid w:val="00C726CE"/>
    <w:rsid w:val="00C73559"/>
    <w:rsid w:val="00C75CED"/>
    <w:rsid w:val="00C766AA"/>
    <w:rsid w:val="00C766E1"/>
    <w:rsid w:val="00C76BC8"/>
    <w:rsid w:val="00C77062"/>
    <w:rsid w:val="00C77EC0"/>
    <w:rsid w:val="00C80E10"/>
    <w:rsid w:val="00C80F88"/>
    <w:rsid w:val="00C826FF"/>
    <w:rsid w:val="00C829C8"/>
    <w:rsid w:val="00C834CD"/>
    <w:rsid w:val="00C8584A"/>
    <w:rsid w:val="00C85B0C"/>
    <w:rsid w:val="00C85B2C"/>
    <w:rsid w:val="00C90C5D"/>
    <w:rsid w:val="00C91008"/>
    <w:rsid w:val="00C91D45"/>
    <w:rsid w:val="00C943F1"/>
    <w:rsid w:val="00C9455B"/>
    <w:rsid w:val="00C9489C"/>
    <w:rsid w:val="00C9497B"/>
    <w:rsid w:val="00C94B55"/>
    <w:rsid w:val="00C956E2"/>
    <w:rsid w:val="00C95FD8"/>
    <w:rsid w:val="00C96377"/>
    <w:rsid w:val="00C97DB0"/>
    <w:rsid w:val="00CA06F6"/>
    <w:rsid w:val="00CA090C"/>
    <w:rsid w:val="00CA10AD"/>
    <w:rsid w:val="00CA1320"/>
    <w:rsid w:val="00CA1650"/>
    <w:rsid w:val="00CA1735"/>
    <w:rsid w:val="00CA1F87"/>
    <w:rsid w:val="00CA36A8"/>
    <w:rsid w:val="00CA393E"/>
    <w:rsid w:val="00CA3987"/>
    <w:rsid w:val="00CA3C62"/>
    <w:rsid w:val="00CA3FAE"/>
    <w:rsid w:val="00CA6376"/>
    <w:rsid w:val="00CA6F98"/>
    <w:rsid w:val="00CA7FB8"/>
    <w:rsid w:val="00CA7FCA"/>
    <w:rsid w:val="00CB0002"/>
    <w:rsid w:val="00CB17FD"/>
    <w:rsid w:val="00CB1A90"/>
    <w:rsid w:val="00CB2CA2"/>
    <w:rsid w:val="00CB2F64"/>
    <w:rsid w:val="00CB592D"/>
    <w:rsid w:val="00CB5D1A"/>
    <w:rsid w:val="00CB6769"/>
    <w:rsid w:val="00CB6D91"/>
    <w:rsid w:val="00CB70AA"/>
    <w:rsid w:val="00CB7B1D"/>
    <w:rsid w:val="00CC0B4D"/>
    <w:rsid w:val="00CC10D2"/>
    <w:rsid w:val="00CC1DF1"/>
    <w:rsid w:val="00CC2315"/>
    <w:rsid w:val="00CC29F7"/>
    <w:rsid w:val="00CC2F76"/>
    <w:rsid w:val="00CC38A5"/>
    <w:rsid w:val="00CC68FB"/>
    <w:rsid w:val="00CD0BB7"/>
    <w:rsid w:val="00CD2189"/>
    <w:rsid w:val="00CD2E2F"/>
    <w:rsid w:val="00CD3E4F"/>
    <w:rsid w:val="00CD3F11"/>
    <w:rsid w:val="00CD4448"/>
    <w:rsid w:val="00CE2F25"/>
    <w:rsid w:val="00CE4B72"/>
    <w:rsid w:val="00CE52BE"/>
    <w:rsid w:val="00CE5497"/>
    <w:rsid w:val="00CE782D"/>
    <w:rsid w:val="00CF0332"/>
    <w:rsid w:val="00CF2846"/>
    <w:rsid w:val="00CF2B2D"/>
    <w:rsid w:val="00CF2D74"/>
    <w:rsid w:val="00CF3A95"/>
    <w:rsid w:val="00CF3F8F"/>
    <w:rsid w:val="00CF5608"/>
    <w:rsid w:val="00CF6328"/>
    <w:rsid w:val="00CF6786"/>
    <w:rsid w:val="00CF7108"/>
    <w:rsid w:val="00D01277"/>
    <w:rsid w:val="00D03AE3"/>
    <w:rsid w:val="00D051B4"/>
    <w:rsid w:val="00D06627"/>
    <w:rsid w:val="00D06B52"/>
    <w:rsid w:val="00D13916"/>
    <w:rsid w:val="00D156D4"/>
    <w:rsid w:val="00D161E8"/>
    <w:rsid w:val="00D16419"/>
    <w:rsid w:val="00D1646D"/>
    <w:rsid w:val="00D171F0"/>
    <w:rsid w:val="00D212B2"/>
    <w:rsid w:val="00D21E86"/>
    <w:rsid w:val="00D21F72"/>
    <w:rsid w:val="00D22538"/>
    <w:rsid w:val="00D229DC"/>
    <w:rsid w:val="00D2347F"/>
    <w:rsid w:val="00D24519"/>
    <w:rsid w:val="00D24544"/>
    <w:rsid w:val="00D25A90"/>
    <w:rsid w:val="00D2647A"/>
    <w:rsid w:val="00D27475"/>
    <w:rsid w:val="00D2760F"/>
    <w:rsid w:val="00D308FB"/>
    <w:rsid w:val="00D31D4A"/>
    <w:rsid w:val="00D325F8"/>
    <w:rsid w:val="00D35CD7"/>
    <w:rsid w:val="00D367E0"/>
    <w:rsid w:val="00D40ADD"/>
    <w:rsid w:val="00D42167"/>
    <w:rsid w:val="00D42E93"/>
    <w:rsid w:val="00D4444A"/>
    <w:rsid w:val="00D467B9"/>
    <w:rsid w:val="00D471F3"/>
    <w:rsid w:val="00D509C7"/>
    <w:rsid w:val="00D50CFB"/>
    <w:rsid w:val="00D52BD7"/>
    <w:rsid w:val="00D52C69"/>
    <w:rsid w:val="00D53B8C"/>
    <w:rsid w:val="00D54331"/>
    <w:rsid w:val="00D54694"/>
    <w:rsid w:val="00D54A16"/>
    <w:rsid w:val="00D554D6"/>
    <w:rsid w:val="00D55C7F"/>
    <w:rsid w:val="00D56F11"/>
    <w:rsid w:val="00D57950"/>
    <w:rsid w:val="00D63796"/>
    <w:rsid w:val="00D63C8C"/>
    <w:rsid w:val="00D64CCA"/>
    <w:rsid w:val="00D661C2"/>
    <w:rsid w:val="00D6676F"/>
    <w:rsid w:val="00D709A6"/>
    <w:rsid w:val="00D712B4"/>
    <w:rsid w:val="00D71473"/>
    <w:rsid w:val="00D71522"/>
    <w:rsid w:val="00D73117"/>
    <w:rsid w:val="00D7355F"/>
    <w:rsid w:val="00D74644"/>
    <w:rsid w:val="00D75895"/>
    <w:rsid w:val="00D75972"/>
    <w:rsid w:val="00D760AA"/>
    <w:rsid w:val="00D802CD"/>
    <w:rsid w:val="00D80ADB"/>
    <w:rsid w:val="00D84C16"/>
    <w:rsid w:val="00D85090"/>
    <w:rsid w:val="00D870CC"/>
    <w:rsid w:val="00D879D4"/>
    <w:rsid w:val="00D9114C"/>
    <w:rsid w:val="00D92AA6"/>
    <w:rsid w:val="00D92AF6"/>
    <w:rsid w:val="00D94446"/>
    <w:rsid w:val="00D94FB8"/>
    <w:rsid w:val="00D955F3"/>
    <w:rsid w:val="00D96FEA"/>
    <w:rsid w:val="00D97632"/>
    <w:rsid w:val="00DA0B1E"/>
    <w:rsid w:val="00DA0EF1"/>
    <w:rsid w:val="00DA0FC9"/>
    <w:rsid w:val="00DA2992"/>
    <w:rsid w:val="00DA32C3"/>
    <w:rsid w:val="00DA3B56"/>
    <w:rsid w:val="00DA6080"/>
    <w:rsid w:val="00DA6370"/>
    <w:rsid w:val="00DA7440"/>
    <w:rsid w:val="00DB02B3"/>
    <w:rsid w:val="00DB12CE"/>
    <w:rsid w:val="00DB3B06"/>
    <w:rsid w:val="00DB41D2"/>
    <w:rsid w:val="00DB53A5"/>
    <w:rsid w:val="00DB5A0C"/>
    <w:rsid w:val="00DB6327"/>
    <w:rsid w:val="00DB7E61"/>
    <w:rsid w:val="00DC16B6"/>
    <w:rsid w:val="00DC19B0"/>
    <w:rsid w:val="00DC1B9E"/>
    <w:rsid w:val="00DC286E"/>
    <w:rsid w:val="00DC3543"/>
    <w:rsid w:val="00DC3CF2"/>
    <w:rsid w:val="00DC52CC"/>
    <w:rsid w:val="00DC52EC"/>
    <w:rsid w:val="00DC60FF"/>
    <w:rsid w:val="00DC6588"/>
    <w:rsid w:val="00DC7326"/>
    <w:rsid w:val="00DC770B"/>
    <w:rsid w:val="00DC7765"/>
    <w:rsid w:val="00DD0C3D"/>
    <w:rsid w:val="00DD1367"/>
    <w:rsid w:val="00DD1D6C"/>
    <w:rsid w:val="00DD21F6"/>
    <w:rsid w:val="00DD24C2"/>
    <w:rsid w:val="00DD2B59"/>
    <w:rsid w:val="00DD3794"/>
    <w:rsid w:val="00DD5825"/>
    <w:rsid w:val="00DD70A0"/>
    <w:rsid w:val="00DE0214"/>
    <w:rsid w:val="00DE164E"/>
    <w:rsid w:val="00DE18C3"/>
    <w:rsid w:val="00DE1C5C"/>
    <w:rsid w:val="00DE1CAA"/>
    <w:rsid w:val="00DE436F"/>
    <w:rsid w:val="00DE4AF9"/>
    <w:rsid w:val="00DE5902"/>
    <w:rsid w:val="00DE6663"/>
    <w:rsid w:val="00DE6859"/>
    <w:rsid w:val="00DE6D3A"/>
    <w:rsid w:val="00DE74FB"/>
    <w:rsid w:val="00DE7548"/>
    <w:rsid w:val="00DF07CB"/>
    <w:rsid w:val="00DF21BE"/>
    <w:rsid w:val="00DF27B8"/>
    <w:rsid w:val="00DF2D03"/>
    <w:rsid w:val="00DF3263"/>
    <w:rsid w:val="00DF440E"/>
    <w:rsid w:val="00DF5AC2"/>
    <w:rsid w:val="00DF5CCD"/>
    <w:rsid w:val="00DF5F79"/>
    <w:rsid w:val="00E026F0"/>
    <w:rsid w:val="00E033FC"/>
    <w:rsid w:val="00E03805"/>
    <w:rsid w:val="00E07D2E"/>
    <w:rsid w:val="00E1174D"/>
    <w:rsid w:val="00E11A37"/>
    <w:rsid w:val="00E153A4"/>
    <w:rsid w:val="00E15AB8"/>
    <w:rsid w:val="00E20925"/>
    <w:rsid w:val="00E21D3C"/>
    <w:rsid w:val="00E22632"/>
    <w:rsid w:val="00E226CE"/>
    <w:rsid w:val="00E2303F"/>
    <w:rsid w:val="00E237D8"/>
    <w:rsid w:val="00E24BFC"/>
    <w:rsid w:val="00E24DEB"/>
    <w:rsid w:val="00E262ED"/>
    <w:rsid w:val="00E27DB0"/>
    <w:rsid w:val="00E30C90"/>
    <w:rsid w:val="00E32916"/>
    <w:rsid w:val="00E33E79"/>
    <w:rsid w:val="00E354DA"/>
    <w:rsid w:val="00E35522"/>
    <w:rsid w:val="00E35E4B"/>
    <w:rsid w:val="00E36C13"/>
    <w:rsid w:val="00E36D6D"/>
    <w:rsid w:val="00E370CF"/>
    <w:rsid w:val="00E370DF"/>
    <w:rsid w:val="00E375CA"/>
    <w:rsid w:val="00E413F7"/>
    <w:rsid w:val="00E41658"/>
    <w:rsid w:val="00E417EC"/>
    <w:rsid w:val="00E4188E"/>
    <w:rsid w:val="00E41928"/>
    <w:rsid w:val="00E41B0C"/>
    <w:rsid w:val="00E42170"/>
    <w:rsid w:val="00E423C9"/>
    <w:rsid w:val="00E433E6"/>
    <w:rsid w:val="00E43C71"/>
    <w:rsid w:val="00E45D29"/>
    <w:rsid w:val="00E465CC"/>
    <w:rsid w:val="00E47FCB"/>
    <w:rsid w:val="00E508FF"/>
    <w:rsid w:val="00E50F6D"/>
    <w:rsid w:val="00E52873"/>
    <w:rsid w:val="00E52938"/>
    <w:rsid w:val="00E559CD"/>
    <w:rsid w:val="00E56440"/>
    <w:rsid w:val="00E5702B"/>
    <w:rsid w:val="00E61F9F"/>
    <w:rsid w:val="00E62CE7"/>
    <w:rsid w:val="00E62EBA"/>
    <w:rsid w:val="00E6334F"/>
    <w:rsid w:val="00E641FB"/>
    <w:rsid w:val="00E6537B"/>
    <w:rsid w:val="00E6725A"/>
    <w:rsid w:val="00E67AAF"/>
    <w:rsid w:val="00E70F38"/>
    <w:rsid w:val="00E715DB"/>
    <w:rsid w:val="00E715DE"/>
    <w:rsid w:val="00E715F3"/>
    <w:rsid w:val="00E71F36"/>
    <w:rsid w:val="00E72729"/>
    <w:rsid w:val="00E7341D"/>
    <w:rsid w:val="00E73850"/>
    <w:rsid w:val="00E73DDF"/>
    <w:rsid w:val="00E73FB0"/>
    <w:rsid w:val="00E7495E"/>
    <w:rsid w:val="00E75959"/>
    <w:rsid w:val="00E765D7"/>
    <w:rsid w:val="00E76CB9"/>
    <w:rsid w:val="00E76E54"/>
    <w:rsid w:val="00E77C35"/>
    <w:rsid w:val="00E80039"/>
    <w:rsid w:val="00E81CB6"/>
    <w:rsid w:val="00E838DF"/>
    <w:rsid w:val="00E83930"/>
    <w:rsid w:val="00E83B52"/>
    <w:rsid w:val="00E8540E"/>
    <w:rsid w:val="00E857A5"/>
    <w:rsid w:val="00E91A34"/>
    <w:rsid w:val="00E91EE7"/>
    <w:rsid w:val="00E92057"/>
    <w:rsid w:val="00E92795"/>
    <w:rsid w:val="00E94ADA"/>
    <w:rsid w:val="00E95856"/>
    <w:rsid w:val="00E97FC5"/>
    <w:rsid w:val="00EA0AA6"/>
    <w:rsid w:val="00EA12C2"/>
    <w:rsid w:val="00EA1922"/>
    <w:rsid w:val="00EA296D"/>
    <w:rsid w:val="00EA2A88"/>
    <w:rsid w:val="00EA4869"/>
    <w:rsid w:val="00EA623A"/>
    <w:rsid w:val="00EA630D"/>
    <w:rsid w:val="00EA6543"/>
    <w:rsid w:val="00EA7D3A"/>
    <w:rsid w:val="00EB0565"/>
    <w:rsid w:val="00EB127A"/>
    <w:rsid w:val="00EB16BB"/>
    <w:rsid w:val="00EB3487"/>
    <w:rsid w:val="00EB39FA"/>
    <w:rsid w:val="00EB3DB2"/>
    <w:rsid w:val="00EB409B"/>
    <w:rsid w:val="00EB40FF"/>
    <w:rsid w:val="00EB470F"/>
    <w:rsid w:val="00EB49F5"/>
    <w:rsid w:val="00EB5E2E"/>
    <w:rsid w:val="00EB7C07"/>
    <w:rsid w:val="00EC0ECB"/>
    <w:rsid w:val="00EC1613"/>
    <w:rsid w:val="00EC1D1C"/>
    <w:rsid w:val="00EC4798"/>
    <w:rsid w:val="00EC518E"/>
    <w:rsid w:val="00EC57AB"/>
    <w:rsid w:val="00EC67FE"/>
    <w:rsid w:val="00EC7EA2"/>
    <w:rsid w:val="00ED0208"/>
    <w:rsid w:val="00ED0FF9"/>
    <w:rsid w:val="00ED24A1"/>
    <w:rsid w:val="00ED24B1"/>
    <w:rsid w:val="00ED26A3"/>
    <w:rsid w:val="00ED5E5D"/>
    <w:rsid w:val="00ED68E2"/>
    <w:rsid w:val="00ED70B1"/>
    <w:rsid w:val="00EE12FE"/>
    <w:rsid w:val="00EE21E7"/>
    <w:rsid w:val="00EE2F15"/>
    <w:rsid w:val="00EE3182"/>
    <w:rsid w:val="00EE6186"/>
    <w:rsid w:val="00EF1B76"/>
    <w:rsid w:val="00EF20A6"/>
    <w:rsid w:val="00EF5693"/>
    <w:rsid w:val="00EF577A"/>
    <w:rsid w:val="00EF5DB2"/>
    <w:rsid w:val="00EF69B7"/>
    <w:rsid w:val="00EF769C"/>
    <w:rsid w:val="00EF7E94"/>
    <w:rsid w:val="00F0117C"/>
    <w:rsid w:val="00F019E6"/>
    <w:rsid w:val="00F01F59"/>
    <w:rsid w:val="00F067CE"/>
    <w:rsid w:val="00F10218"/>
    <w:rsid w:val="00F105B6"/>
    <w:rsid w:val="00F12826"/>
    <w:rsid w:val="00F15583"/>
    <w:rsid w:val="00F15974"/>
    <w:rsid w:val="00F16876"/>
    <w:rsid w:val="00F16D39"/>
    <w:rsid w:val="00F17142"/>
    <w:rsid w:val="00F17641"/>
    <w:rsid w:val="00F21022"/>
    <w:rsid w:val="00F2238A"/>
    <w:rsid w:val="00F23565"/>
    <w:rsid w:val="00F2553D"/>
    <w:rsid w:val="00F2666A"/>
    <w:rsid w:val="00F26CAF"/>
    <w:rsid w:val="00F3145F"/>
    <w:rsid w:val="00F315BC"/>
    <w:rsid w:val="00F3480F"/>
    <w:rsid w:val="00F34E4F"/>
    <w:rsid w:val="00F34FEA"/>
    <w:rsid w:val="00F35136"/>
    <w:rsid w:val="00F36121"/>
    <w:rsid w:val="00F40110"/>
    <w:rsid w:val="00F41C9F"/>
    <w:rsid w:val="00F41FA5"/>
    <w:rsid w:val="00F42938"/>
    <w:rsid w:val="00F46762"/>
    <w:rsid w:val="00F47528"/>
    <w:rsid w:val="00F4790A"/>
    <w:rsid w:val="00F50605"/>
    <w:rsid w:val="00F50CCF"/>
    <w:rsid w:val="00F50D1C"/>
    <w:rsid w:val="00F52354"/>
    <w:rsid w:val="00F527C4"/>
    <w:rsid w:val="00F52FF7"/>
    <w:rsid w:val="00F557CE"/>
    <w:rsid w:val="00F614CC"/>
    <w:rsid w:val="00F61C1D"/>
    <w:rsid w:val="00F62089"/>
    <w:rsid w:val="00F6253C"/>
    <w:rsid w:val="00F638AF"/>
    <w:rsid w:val="00F63CDE"/>
    <w:rsid w:val="00F63F63"/>
    <w:rsid w:val="00F645D2"/>
    <w:rsid w:val="00F64696"/>
    <w:rsid w:val="00F6569A"/>
    <w:rsid w:val="00F6575E"/>
    <w:rsid w:val="00F65917"/>
    <w:rsid w:val="00F65A75"/>
    <w:rsid w:val="00F65B9C"/>
    <w:rsid w:val="00F65FDC"/>
    <w:rsid w:val="00F6630D"/>
    <w:rsid w:val="00F66642"/>
    <w:rsid w:val="00F66A4B"/>
    <w:rsid w:val="00F66A75"/>
    <w:rsid w:val="00F677AF"/>
    <w:rsid w:val="00F67C7C"/>
    <w:rsid w:val="00F67E81"/>
    <w:rsid w:val="00F67F2C"/>
    <w:rsid w:val="00F70FEE"/>
    <w:rsid w:val="00F71510"/>
    <w:rsid w:val="00F71D26"/>
    <w:rsid w:val="00F71EDE"/>
    <w:rsid w:val="00F71EF9"/>
    <w:rsid w:val="00F72FB8"/>
    <w:rsid w:val="00F73924"/>
    <w:rsid w:val="00F739AA"/>
    <w:rsid w:val="00F73AFC"/>
    <w:rsid w:val="00F74CCA"/>
    <w:rsid w:val="00F76860"/>
    <w:rsid w:val="00F769E8"/>
    <w:rsid w:val="00F76B2B"/>
    <w:rsid w:val="00F77FB2"/>
    <w:rsid w:val="00F80F03"/>
    <w:rsid w:val="00F816FB"/>
    <w:rsid w:val="00F82932"/>
    <w:rsid w:val="00F8638A"/>
    <w:rsid w:val="00F874D1"/>
    <w:rsid w:val="00F87E21"/>
    <w:rsid w:val="00F90931"/>
    <w:rsid w:val="00F925EA"/>
    <w:rsid w:val="00F9314F"/>
    <w:rsid w:val="00F94A1A"/>
    <w:rsid w:val="00F94A3A"/>
    <w:rsid w:val="00F950F6"/>
    <w:rsid w:val="00F96732"/>
    <w:rsid w:val="00FA0450"/>
    <w:rsid w:val="00FA13AD"/>
    <w:rsid w:val="00FA145A"/>
    <w:rsid w:val="00FA2EAC"/>
    <w:rsid w:val="00FA339C"/>
    <w:rsid w:val="00FA387F"/>
    <w:rsid w:val="00FA4B59"/>
    <w:rsid w:val="00FA586A"/>
    <w:rsid w:val="00FA6548"/>
    <w:rsid w:val="00FB0C0D"/>
    <w:rsid w:val="00FB0CD1"/>
    <w:rsid w:val="00FB1067"/>
    <w:rsid w:val="00FB4B58"/>
    <w:rsid w:val="00FB55F7"/>
    <w:rsid w:val="00FB5888"/>
    <w:rsid w:val="00FB5E97"/>
    <w:rsid w:val="00FB6C0A"/>
    <w:rsid w:val="00FB6D25"/>
    <w:rsid w:val="00FB6DEA"/>
    <w:rsid w:val="00FB6ED8"/>
    <w:rsid w:val="00FB7B5E"/>
    <w:rsid w:val="00FB7B99"/>
    <w:rsid w:val="00FC1693"/>
    <w:rsid w:val="00FC240C"/>
    <w:rsid w:val="00FC41F1"/>
    <w:rsid w:val="00FC6736"/>
    <w:rsid w:val="00FC79F0"/>
    <w:rsid w:val="00FD059A"/>
    <w:rsid w:val="00FD0EC4"/>
    <w:rsid w:val="00FD1338"/>
    <w:rsid w:val="00FD22F9"/>
    <w:rsid w:val="00FD3300"/>
    <w:rsid w:val="00FD36EA"/>
    <w:rsid w:val="00FD3A5A"/>
    <w:rsid w:val="00FD52E9"/>
    <w:rsid w:val="00FD5828"/>
    <w:rsid w:val="00FD5E76"/>
    <w:rsid w:val="00FD6992"/>
    <w:rsid w:val="00FD7AEA"/>
    <w:rsid w:val="00FE1948"/>
    <w:rsid w:val="00FE1F3D"/>
    <w:rsid w:val="00FE354F"/>
    <w:rsid w:val="00FE3BC6"/>
    <w:rsid w:val="00FE4E0A"/>
    <w:rsid w:val="00FE5BB8"/>
    <w:rsid w:val="00FE6B91"/>
    <w:rsid w:val="00FE74CB"/>
    <w:rsid w:val="00FF0881"/>
    <w:rsid w:val="00FF08C5"/>
    <w:rsid w:val="00FF16F9"/>
    <w:rsid w:val="00FF3E49"/>
    <w:rsid w:val="00FF4C43"/>
    <w:rsid w:val="00FF4FAE"/>
    <w:rsid w:val="00FF63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link w:val="Title"/>
    <w:rsid w:val="00526532"/>
    <w:rPr>
      <w:b/>
      <w:sz w:val="22"/>
      <w:lang w:eastAsia="en-US"/>
    </w:rPr>
  </w:style>
  <w:style w:type="character" w:customStyle="1" w:styleId="FooterChar">
    <w:name w:val="Footer Char"/>
    <w:link w:val="Footer"/>
    <w:uiPriority w:val="99"/>
    <w:locked/>
    <w:rsid w:val="00E56440"/>
    <w:rPr>
      <w:sz w:val="24"/>
      <w:szCs w:val="24"/>
      <w:lang w:eastAsia="en-US"/>
    </w:rPr>
  </w:style>
  <w:style w:type="paragraph" w:styleId="ListParagraph">
    <w:name w:val="List Paragraph"/>
    <w:basedOn w:val="Normal"/>
    <w:uiPriority w:val="34"/>
    <w:qFormat/>
    <w:rsid w:val="00E56440"/>
    <w:pPr>
      <w:spacing w:after="200" w:line="276" w:lineRule="auto"/>
      <w:ind w:left="720"/>
      <w:contextualSpacing/>
    </w:pPr>
    <w:rPr>
      <w:rFonts w:ascii="Calibri" w:hAnsi="Calibri"/>
      <w:sz w:val="22"/>
      <w:szCs w:val="22"/>
    </w:rPr>
  </w:style>
  <w:style w:type="character" w:styleId="CommentReference">
    <w:name w:val="annotation reference"/>
    <w:rsid w:val="0097517E"/>
    <w:rPr>
      <w:sz w:val="16"/>
      <w:szCs w:val="16"/>
    </w:rPr>
  </w:style>
  <w:style w:type="paragraph" w:styleId="CommentText">
    <w:name w:val="annotation text"/>
    <w:basedOn w:val="Normal"/>
    <w:link w:val="CommentTextChar"/>
    <w:rsid w:val="0097517E"/>
    <w:rPr>
      <w:sz w:val="20"/>
      <w:szCs w:val="20"/>
    </w:rPr>
  </w:style>
  <w:style w:type="character" w:customStyle="1" w:styleId="CommentTextChar">
    <w:name w:val="Comment Text Char"/>
    <w:link w:val="CommentText"/>
    <w:rsid w:val="0097517E"/>
    <w:rPr>
      <w:lang w:eastAsia="en-US"/>
    </w:rPr>
  </w:style>
  <w:style w:type="paragraph" w:styleId="CommentSubject">
    <w:name w:val="annotation subject"/>
    <w:basedOn w:val="CommentText"/>
    <w:next w:val="CommentText"/>
    <w:link w:val="CommentSubjectChar"/>
    <w:rsid w:val="0097517E"/>
    <w:rPr>
      <w:b/>
      <w:bCs/>
    </w:rPr>
  </w:style>
  <w:style w:type="character" w:customStyle="1" w:styleId="CommentSubjectChar">
    <w:name w:val="Comment Subject Char"/>
    <w:link w:val="CommentSubject"/>
    <w:rsid w:val="0097517E"/>
    <w:rPr>
      <w:b/>
      <w:bCs/>
      <w:lang w:eastAsia="en-US"/>
    </w:rPr>
  </w:style>
  <w:style w:type="paragraph" w:styleId="BalloonText">
    <w:name w:val="Balloon Text"/>
    <w:basedOn w:val="Normal"/>
    <w:link w:val="BalloonTextChar"/>
    <w:rsid w:val="0097517E"/>
    <w:rPr>
      <w:rFonts w:ascii="Tahoma" w:hAnsi="Tahoma"/>
      <w:sz w:val="16"/>
      <w:szCs w:val="16"/>
    </w:rPr>
  </w:style>
  <w:style w:type="character" w:customStyle="1" w:styleId="BalloonTextChar">
    <w:name w:val="Balloon Text Char"/>
    <w:link w:val="BalloonText"/>
    <w:rsid w:val="0097517E"/>
    <w:rPr>
      <w:rFonts w:ascii="Tahoma" w:hAnsi="Tahoma" w:cs="Tahoma"/>
      <w:sz w:val="16"/>
      <w:szCs w:val="16"/>
      <w:lang w:eastAsia="en-US"/>
    </w:rPr>
  </w:style>
  <w:style w:type="table" w:styleId="TableGrid">
    <w:name w:val="Table Grid"/>
    <w:basedOn w:val="TableNormal"/>
    <w:uiPriority w:val="59"/>
    <w:rsid w:val="006E7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97D3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sz w:val="24"/>
      <w:szCs w:val="24"/>
      <w:u w:color="000000"/>
    </w:rPr>
  </w:style>
  <w:style w:type="character" w:customStyle="1" w:styleId="st1">
    <w:name w:val="st1"/>
    <w:basedOn w:val="DefaultParagraphFont"/>
    <w:rsid w:val="00A27AE6"/>
  </w:style>
  <w:style w:type="character" w:styleId="Emphasis">
    <w:name w:val="Emphasis"/>
    <w:uiPriority w:val="20"/>
    <w:qFormat/>
    <w:rsid w:val="00702E00"/>
    <w:rPr>
      <w:i/>
      <w:iCs/>
    </w:rPr>
  </w:style>
  <w:style w:type="character" w:customStyle="1" w:styleId="apple-converted-space">
    <w:name w:val="apple-converted-space"/>
    <w:basedOn w:val="DefaultParagraphFont"/>
    <w:rsid w:val="00920C20"/>
  </w:style>
  <w:style w:type="character" w:styleId="Hyperlink">
    <w:name w:val="Hyperlink"/>
    <w:uiPriority w:val="99"/>
    <w:unhideWhenUsed/>
    <w:rsid w:val="00AC02C2"/>
    <w:rPr>
      <w:color w:val="0000FF"/>
      <w:u w:val="single"/>
    </w:rPr>
  </w:style>
  <w:style w:type="character" w:customStyle="1" w:styleId="Heading1Char">
    <w:name w:val="Heading 1 Char"/>
    <w:basedOn w:val="DefaultParagraphFont"/>
    <w:link w:val="Heading1"/>
    <w:uiPriority w:val="99"/>
    <w:locked/>
    <w:rsid w:val="00594BA7"/>
    <w:rPr>
      <w:b/>
      <w:bCs/>
      <w:sz w:val="32"/>
      <w:szCs w:val="32"/>
      <w:lang w:eastAsia="en-US"/>
    </w:rPr>
  </w:style>
  <w:style w:type="character" w:customStyle="1" w:styleId="y0nh2b">
    <w:name w:val="y0nh2b"/>
    <w:basedOn w:val="DefaultParagraphFont"/>
    <w:rsid w:val="00F41FA5"/>
  </w:style>
</w:styles>
</file>

<file path=word/webSettings.xml><?xml version="1.0" encoding="utf-8"?>
<w:webSettings xmlns:r="http://schemas.openxmlformats.org/officeDocument/2006/relationships" xmlns:w="http://schemas.openxmlformats.org/wordprocessingml/2006/main">
  <w:divs>
    <w:div w:id="6949215">
      <w:bodyDiv w:val="1"/>
      <w:marLeft w:val="0"/>
      <w:marRight w:val="0"/>
      <w:marTop w:val="0"/>
      <w:marBottom w:val="0"/>
      <w:divBdr>
        <w:top w:val="none" w:sz="0" w:space="0" w:color="auto"/>
        <w:left w:val="none" w:sz="0" w:space="0" w:color="auto"/>
        <w:bottom w:val="none" w:sz="0" w:space="0" w:color="auto"/>
        <w:right w:val="none" w:sz="0" w:space="0" w:color="auto"/>
      </w:divBdr>
    </w:div>
    <w:div w:id="199585723">
      <w:bodyDiv w:val="1"/>
      <w:marLeft w:val="0"/>
      <w:marRight w:val="0"/>
      <w:marTop w:val="0"/>
      <w:marBottom w:val="0"/>
      <w:divBdr>
        <w:top w:val="none" w:sz="0" w:space="0" w:color="auto"/>
        <w:left w:val="none" w:sz="0" w:space="0" w:color="auto"/>
        <w:bottom w:val="none" w:sz="0" w:space="0" w:color="auto"/>
        <w:right w:val="none" w:sz="0" w:space="0" w:color="auto"/>
      </w:divBdr>
    </w:div>
    <w:div w:id="261841130">
      <w:bodyDiv w:val="1"/>
      <w:marLeft w:val="0"/>
      <w:marRight w:val="0"/>
      <w:marTop w:val="0"/>
      <w:marBottom w:val="0"/>
      <w:divBdr>
        <w:top w:val="none" w:sz="0" w:space="0" w:color="auto"/>
        <w:left w:val="none" w:sz="0" w:space="0" w:color="auto"/>
        <w:bottom w:val="none" w:sz="0" w:space="0" w:color="auto"/>
        <w:right w:val="none" w:sz="0" w:space="0" w:color="auto"/>
      </w:divBdr>
    </w:div>
    <w:div w:id="280766245">
      <w:bodyDiv w:val="1"/>
      <w:marLeft w:val="0"/>
      <w:marRight w:val="0"/>
      <w:marTop w:val="0"/>
      <w:marBottom w:val="0"/>
      <w:divBdr>
        <w:top w:val="none" w:sz="0" w:space="0" w:color="auto"/>
        <w:left w:val="none" w:sz="0" w:space="0" w:color="auto"/>
        <w:bottom w:val="none" w:sz="0" w:space="0" w:color="auto"/>
        <w:right w:val="none" w:sz="0" w:space="0" w:color="auto"/>
      </w:divBdr>
    </w:div>
    <w:div w:id="353774076">
      <w:bodyDiv w:val="1"/>
      <w:marLeft w:val="0"/>
      <w:marRight w:val="0"/>
      <w:marTop w:val="0"/>
      <w:marBottom w:val="0"/>
      <w:divBdr>
        <w:top w:val="none" w:sz="0" w:space="0" w:color="auto"/>
        <w:left w:val="none" w:sz="0" w:space="0" w:color="auto"/>
        <w:bottom w:val="none" w:sz="0" w:space="0" w:color="auto"/>
        <w:right w:val="none" w:sz="0" w:space="0" w:color="auto"/>
      </w:divBdr>
    </w:div>
    <w:div w:id="498152359">
      <w:bodyDiv w:val="1"/>
      <w:marLeft w:val="0"/>
      <w:marRight w:val="0"/>
      <w:marTop w:val="0"/>
      <w:marBottom w:val="0"/>
      <w:divBdr>
        <w:top w:val="none" w:sz="0" w:space="0" w:color="auto"/>
        <w:left w:val="none" w:sz="0" w:space="0" w:color="auto"/>
        <w:bottom w:val="none" w:sz="0" w:space="0" w:color="auto"/>
        <w:right w:val="none" w:sz="0" w:space="0" w:color="auto"/>
      </w:divBdr>
    </w:div>
    <w:div w:id="581912606">
      <w:bodyDiv w:val="1"/>
      <w:marLeft w:val="0"/>
      <w:marRight w:val="0"/>
      <w:marTop w:val="0"/>
      <w:marBottom w:val="0"/>
      <w:divBdr>
        <w:top w:val="none" w:sz="0" w:space="0" w:color="auto"/>
        <w:left w:val="none" w:sz="0" w:space="0" w:color="auto"/>
        <w:bottom w:val="none" w:sz="0" w:space="0" w:color="auto"/>
        <w:right w:val="none" w:sz="0" w:space="0" w:color="auto"/>
      </w:divBdr>
    </w:div>
    <w:div w:id="598028307">
      <w:bodyDiv w:val="1"/>
      <w:marLeft w:val="0"/>
      <w:marRight w:val="0"/>
      <w:marTop w:val="0"/>
      <w:marBottom w:val="0"/>
      <w:divBdr>
        <w:top w:val="none" w:sz="0" w:space="0" w:color="auto"/>
        <w:left w:val="none" w:sz="0" w:space="0" w:color="auto"/>
        <w:bottom w:val="none" w:sz="0" w:space="0" w:color="auto"/>
        <w:right w:val="none" w:sz="0" w:space="0" w:color="auto"/>
      </w:divBdr>
    </w:div>
    <w:div w:id="901524519">
      <w:bodyDiv w:val="1"/>
      <w:marLeft w:val="0"/>
      <w:marRight w:val="0"/>
      <w:marTop w:val="0"/>
      <w:marBottom w:val="0"/>
      <w:divBdr>
        <w:top w:val="none" w:sz="0" w:space="0" w:color="auto"/>
        <w:left w:val="none" w:sz="0" w:space="0" w:color="auto"/>
        <w:bottom w:val="none" w:sz="0" w:space="0" w:color="auto"/>
        <w:right w:val="none" w:sz="0" w:space="0" w:color="auto"/>
      </w:divBdr>
    </w:div>
    <w:div w:id="1057821975">
      <w:bodyDiv w:val="1"/>
      <w:marLeft w:val="0"/>
      <w:marRight w:val="0"/>
      <w:marTop w:val="0"/>
      <w:marBottom w:val="0"/>
      <w:divBdr>
        <w:top w:val="none" w:sz="0" w:space="0" w:color="auto"/>
        <w:left w:val="none" w:sz="0" w:space="0" w:color="auto"/>
        <w:bottom w:val="none" w:sz="0" w:space="0" w:color="auto"/>
        <w:right w:val="none" w:sz="0" w:space="0" w:color="auto"/>
      </w:divBdr>
    </w:div>
    <w:div w:id="1098674413">
      <w:bodyDiv w:val="1"/>
      <w:marLeft w:val="0"/>
      <w:marRight w:val="0"/>
      <w:marTop w:val="0"/>
      <w:marBottom w:val="0"/>
      <w:divBdr>
        <w:top w:val="none" w:sz="0" w:space="0" w:color="auto"/>
        <w:left w:val="none" w:sz="0" w:space="0" w:color="auto"/>
        <w:bottom w:val="none" w:sz="0" w:space="0" w:color="auto"/>
        <w:right w:val="none" w:sz="0" w:space="0" w:color="auto"/>
      </w:divBdr>
    </w:div>
    <w:div w:id="1332294070">
      <w:bodyDiv w:val="1"/>
      <w:marLeft w:val="0"/>
      <w:marRight w:val="0"/>
      <w:marTop w:val="0"/>
      <w:marBottom w:val="0"/>
      <w:divBdr>
        <w:top w:val="none" w:sz="0" w:space="0" w:color="auto"/>
        <w:left w:val="none" w:sz="0" w:space="0" w:color="auto"/>
        <w:bottom w:val="none" w:sz="0" w:space="0" w:color="auto"/>
        <w:right w:val="none" w:sz="0" w:space="0" w:color="auto"/>
      </w:divBdr>
    </w:div>
    <w:div w:id="1426926858">
      <w:bodyDiv w:val="1"/>
      <w:marLeft w:val="0"/>
      <w:marRight w:val="0"/>
      <w:marTop w:val="0"/>
      <w:marBottom w:val="0"/>
      <w:divBdr>
        <w:top w:val="none" w:sz="0" w:space="0" w:color="auto"/>
        <w:left w:val="none" w:sz="0" w:space="0" w:color="auto"/>
        <w:bottom w:val="none" w:sz="0" w:space="0" w:color="auto"/>
        <w:right w:val="none" w:sz="0" w:space="0" w:color="auto"/>
      </w:divBdr>
    </w:div>
    <w:div w:id="1428695937">
      <w:bodyDiv w:val="1"/>
      <w:marLeft w:val="0"/>
      <w:marRight w:val="0"/>
      <w:marTop w:val="0"/>
      <w:marBottom w:val="0"/>
      <w:divBdr>
        <w:top w:val="none" w:sz="0" w:space="0" w:color="auto"/>
        <w:left w:val="none" w:sz="0" w:space="0" w:color="auto"/>
        <w:bottom w:val="none" w:sz="0" w:space="0" w:color="auto"/>
        <w:right w:val="none" w:sz="0" w:space="0" w:color="auto"/>
      </w:divBdr>
    </w:div>
    <w:div w:id="1502890382">
      <w:bodyDiv w:val="1"/>
      <w:marLeft w:val="0"/>
      <w:marRight w:val="0"/>
      <w:marTop w:val="0"/>
      <w:marBottom w:val="0"/>
      <w:divBdr>
        <w:top w:val="none" w:sz="0" w:space="0" w:color="auto"/>
        <w:left w:val="none" w:sz="0" w:space="0" w:color="auto"/>
        <w:bottom w:val="none" w:sz="0" w:space="0" w:color="auto"/>
        <w:right w:val="none" w:sz="0" w:space="0" w:color="auto"/>
      </w:divBdr>
    </w:div>
    <w:div w:id="1574702787">
      <w:bodyDiv w:val="1"/>
      <w:marLeft w:val="0"/>
      <w:marRight w:val="0"/>
      <w:marTop w:val="0"/>
      <w:marBottom w:val="0"/>
      <w:divBdr>
        <w:top w:val="none" w:sz="0" w:space="0" w:color="auto"/>
        <w:left w:val="none" w:sz="0" w:space="0" w:color="auto"/>
        <w:bottom w:val="none" w:sz="0" w:space="0" w:color="auto"/>
        <w:right w:val="none" w:sz="0" w:space="0" w:color="auto"/>
      </w:divBdr>
    </w:div>
    <w:div w:id="1706247847">
      <w:bodyDiv w:val="1"/>
      <w:marLeft w:val="0"/>
      <w:marRight w:val="0"/>
      <w:marTop w:val="0"/>
      <w:marBottom w:val="0"/>
      <w:divBdr>
        <w:top w:val="none" w:sz="0" w:space="0" w:color="auto"/>
        <w:left w:val="none" w:sz="0" w:space="0" w:color="auto"/>
        <w:bottom w:val="none" w:sz="0" w:space="0" w:color="auto"/>
        <w:right w:val="none" w:sz="0" w:space="0" w:color="auto"/>
      </w:divBdr>
      <w:divsChild>
        <w:div w:id="1830049053">
          <w:marLeft w:val="0"/>
          <w:marRight w:val="0"/>
          <w:marTop w:val="0"/>
          <w:marBottom w:val="0"/>
          <w:divBdr>
            <w:top w:val="none" w:sz="0" w:space="0" w:color="auto"/>
            <w:left w:val="none" w:sz="0" w:space="0" w:color="auto"/>
            <w:bottom w:val="none" w:sz="0" w:space="0" w:color="auto"/>
            <w:right w:val="none" w:sz="0" w:space="0" w:color="auto"/>
          </w:divBdr>
          <w:divsChild>
            <w:div w:id="1507863928">
              <w:marLeft w:val="0"/>
              <w:marRight w:val="0"/>
              <w:marTop w:val="0"/>
              <w:marBottom w:val="0"/>
              <w:divBdr>
                <w:top w:val="none" w:sz="0" w:space="0" w:color="auto"/>
                <w:left w:val="none" w:sz="0" w:space="0" w:color="auto"/>
                <w:bottom w:val="none" w:sz="0" w:space="0" w:color="auto"/>
                <w:right w:val="none" w:sz="0" w:space="0" w:color="auto"/>
              </w:divBdr>
              <w:divsChild>
                <w:div w:id="384183602">
                  <w:marLeft w:val="0"/>
                  <w:marRight w:val="0"/>
                  <w:marTop w:val="0"/>
                  <w:marBottom w:val="0"/>
                  <w:divBdr>
                    <w:top w:val="none" w:sz="0" w:space="0" w:color="auto"/>
                    <w:left w:val="none" w:sz="0" w:space="0" w:color="auto"/>
                    <w:bottom w:val="none" w:sz="0" w:space="0" w:color="auto"/>
                    <w:right w:val="none" w:sz="0" w:space="0" w:color="auto"/>
                  </w:divBdr>
                  <w:divsChild>
                    <w:div w:id="1189636821">
                      <w:marLeft w:val="0"/>
                      <w:marRight w:val="0"/>
                      <w:marTop w:val="0"/>
                      <w:marBottom w:val="0"/>
                      <w:divBdr>
                        <w:top w:val="none" w:sz="0" w:space="0" w:color="auto"/>
                        <w:left w:val="none" w:sz="0" w:space="0" w:color="auto"/>
                        <w:bottom w:val="none" w:sz="0" w:space="0" w:color="auto"/>
                        <w:right w:val="none" w:sz="0" w:space="0" w:color="auto"/>
                      </w:divBdr>
                      <w:divsChild>
                        <w:div w:id="1700427052">
                          <w:marLeft w:val="0"/>
                          <w:marRight w:val="0"/>
                          <w:marTop w:val="0"/>
                          <w:marBottom w:val="0"/>
                          <w:divBdr>
                            <w:top w:val="none" w:sz="0" w:space="0" w:color="auto"/>
                            <w:left w:val="none" w:sz="0" w:space="0" w:color="auto"/>
                            <w:bottom w:val="none" w:sz="0" w:space="0" w:color="auto"/>
                            <w:right w:val="none" w:sz="0" w:space="0" w:color="auto"/>
                          </w:divBdr>
                          <w:divsChild>
                            <w:div w:id="17474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200381">
      <w:bodyDiv w:val="1"/>
      <w:marLeft w:val="0"/>
      <w:marRight w:val="0"/>
      <w:marTop w:val="0"/>
      <w:marBottom w:val="0"/>
      <w:divBdr>
        <w:top w:val="none" w:sz="0" w:space="0" w:color="auto"/>
        <w:left w:val="none" w:sz="0" w:space="0" w:color="auto"/>
        <w:bottom w:val="none" w:sz="0" w:space="0" w:color="auto"/>
        <w:right w:val="none" w:sz="0" w:space="0" w:color="auto"/>
      </w:divBdr>
    </w:div>
    <w:div w:id="1862930510">
      <w:bodyDiv w:val="1"/>
      <w:marLeft w:val="0"/>
      <w:marRight w:val="0"/>
      <w:marTop w:val="0"/>
      <w:marBottom w:val="0"/>
      <w:divBdr>
        <w:top w:val="none" w:sz="0" w:space="0" w:color="auto"/>
        <w:left w:val="none" w:sz="0" w:space="0" w:color="auto"/>
        <w:bottom w:val="none" w:sz="0" w:space="0" w:color="auto"/>
        <w:right w:val="none" w:sz="0" w:space="0" w:color="auto"/>
      </w:divBdr>
    </w:div>
    <w:div w:id="1894585512">
      <w:bodyDiv w:val="1"/>
      <w:marLeft w:val="0"/>
      <w:marRight w:val="0"/>
      <w:marTop w:val="0"/>
      <w:marBottom w:val="0"/>
      <w:divBdr>
        <w:top w:val="none" w:sz="0" w:space="0" w:color="auto"/>
        <w:left w:val="none" w:sz="0" w:space="0" w:color="auto"/>
        <w:bottom w:val="none" w:sz="0" w:space="0" w:color="auto"/>
        <w:right w:val="none" w:sz="0" w:space="0" w:color="auto"/>
      </w:divBdr>
      <w:divsChild>
        <w:div w:id="988676806">
          <w:marLeft w:val="0"/>
          <w:marRight w:val="0"/>
          <w:marTop w:val="0"/>
          <w:marBottom w:val="0"/>
          <w:divBdr>
            <w:top w:val="none" w:sz="0" w:space="0" w:color="auto"/>
            <w:left w:val="none" w:sz="0" w:space="0" w:color="auto"/>
            <w:bottom w:val="none" w:sz="0" w:space="0" w:color="auto"/>
            <w:right w:val="none" w:sz="0" w:space="0" w:color="auto"/>
          </w:divBdr>
          <w:divsChild>
            <w:div w:id="869873596">
              <w:marLeft w:val="0"/>
              <w:marRight w:val="0"/>
              <w:marTop w:val="0"/>
              <w:marBottom w:val="0"/>
              <w:divBdr>
                <w:top w:val="none" w:sz="0" w:space="0" w:color="auto"/>
                <w:left w:val="none" w:sz="0" w:space="0" w:color="auto"/>
                <w:bottom w:val="none" w:sz="0" w:space="0" w:color="auto"/>
                <w:right w:val="none" w:sz="0" w:space="0" w:color="auto"/>
              </w:divBdr>
              <w:divsChild>
                <w:div w:id="1855266376">
                  <w:marLeft w:val="0"/>
                  <w:marRight w:val="0"/>
                  <w:marTop w:val="0"/>
                  <w:marBottom w:val="0"/>
                  <w:divBdr>
                    <w:top w:val="none" w:sz="0" w:space="0" w:color="auto"/>
                    <w:left w:val="none" w:sz="0" w:space="0" w:color="auto"/>
                    <w:bottom w:val="none" w:sz="0" w:space="0" w:color="auto"/>
                    <w:right w:val="none" w:sz="0" w:space="0" w:color="auto"/>
                  </w:divBdr>
                  <w:divsChild>
                    <w:div w:id="1510098695">
                      <w:marLeft w:val="0"/>
                      <w:marRight w:val="0"/>
                      <w:marTop w:val="0"/>
                      <w:marBottom w:val="0"/>
                      <w:divBdr>
                        <w:top w:val="none" w:sz="0" w:space="0" w:color="auto"/>
                        <w:left w:val="none" w:sz="0" w:space="0" w:color="auto"/>
                        <w:bottom w:val="none" w:sz="0" w:space="0" w:color="auto"/>
                        <w:right w:val="none" w:sz="0" w:space="0" w:color="auto"/>
                      </w:divBdr>
                      <w:divsChild>
                        <w:div w:id="1997416600">
                          <w:marLeft w:val="0"/>
                          <w:marRight w:val="0"/>
                          <w:marTop w:val="0"/>
                          <w:marBottom w:val="0"/>
                          <w:divBdr>
                            <w:top w:val="none" w:sz="0" w:space="0" w:color="auto"/>
                            <w:left w:val="none" w:sz="0" w:space="0" w:color="auto"/>
                            <w:bottom w:val="none" w:sz="0" w:space="0" w:color="auto"/>
                            <w:right w:val="none" w:sz="0" w:space="0" w:color="auto"/>
                          </w:divBdr>
                          <w:divsChild>
                            <w:div w:id="13287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567651">
      <w:bodyDiv w:val="1"/>
      <w:marLeft w:val="0"/>
      <w:marRight w:val="0"/>
      <w:marTop w:val="0"/>
      <w:marBottom w:val="0"/>
      <w:divBdr>
        <w:top w:val="none" w:sz="0" w:space="0" w:color="auto"/>
        <w:left w:val="none" w:sz="0" w:space="0" w:color="auto"/>
        <w:bottom w:val="none" w:sz="0" w:space="0" w:color="auto"/>
        <w:right w:val="none" w:sz="0" w:space="0" w:color="auto"/>
      </w:divBdr>
    </w:div>
    <w:div w:id="2133815649">
      <w:bodyDiv w:val="1"/>
      <w:marLeft w:val="0"/>
      <w:marRight w:val="0"/>
      <w:marTop w:val="0"/>
      <w:marBottom w:val="0"/>
      <w:divBdr>
        <w:top w:val="none" w:sz="0" w:space="0" w:color="auto"/>
        <w:left w:val="none" w:sz="0" w:space="0" w:color="auto"/>
        <w:bottom w:val="none" w:sz="0" w:space="0" w:color="auto"/>
        <w:right w:val="none" w:sz="0" w:space="0" w:color="auto"/>
      </w:divBdr>
    </w:div>
    <w:div w:id="213706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DA8AC-190A-4356-9F3C-12A4A2A1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19</Pages>
  <Words>3719</Words>
  <Characters>21200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24870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McGuinnessC1</cp:lastModifiedBy>
  <cp:revision>10</cp:revision>
  <cp:lastPrinted>2019-06-13T14:24:00Z</cp:lastPrinted>
  <dcterms:created xsi:type="dcterms:W3CDTF">2019-06-05T10:18:00Z</dcterms:created>
  <dcterms:modified xsi:type="dcterms:W3CDTF">2019-06-13T15:30:00Z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722783700</vt:i4>
  </property>
</Properties>
</file>