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7"/>
        <w:gridCol w:w="4814"/>
        <w:gridCol w:w="1985"/>
      </w:tblGrid>
      <w:tr w:rsidR="0073139D" w:rsidRPr="00600C20" w:rsidTr="007D047D">
        <w:trPr>
          <w:trHeight w:val="557"/>
        </w:trPr>
        <w:tc>
          <w:tcPr>
            <w:tcW w:w="2557" w:type="dxa"/>
          </w:tcPr>
          <w:p w:rsidR="0073139D" w:rsidRPr="00600C20" w:rsidRDefault="004B7A8D" w:rsidP="007D047D">
            <w:pPr>
              <w:pStyle w:val="Heading1"/>
              <w:spacing w:before="60" w:after="60"/>
              <w:ind w:right="183"/>
              <w:contextualSpacing/>
              <w:rPr>
                <w:rFonts w:ascii="Arial" w:hAnsi="Arial" w:cs="Arial"/>
                <w:sz w:val="24"/>
                <w:szCs w:val="24"/>
              </w:rPr>
            </w:pPr>
            <w:r>
              <w:rPr>
                <w:rFonts w:ascii="Arial" w:hAnsi="Arial" w:cs="Arial"/>
                <w:sz w:val="24"/>
                <w:szCs w:val="24"/>
              </w:rPr>
              <w:t>Board</w:t>
            </w:r>
            <w:r w:rsidRPr="00600C20">
              <w:rPr>
                <w:rFonts w:ascii="Arial" w:hAnsi="Arial" w:cs="Arial"/>
                <w:sz w:val="24"/>
                <w:szCs w:val="24"/>
              </w:rPr>
              <w:t xml:space="preserve"> Meeting</w:t>
            </w:r>
            <w:r w:rsidR="0073139D" w:rsidRPr="00600C20">
              <w:rPr>
                <w:rFonts w:ascii="Arial" w:hAnsi="Arial" w:cs="Arial"/>
                <w:sz w:val="24"/>
                <w:szCs w:val="24"/>
              </w:rPr>
              <w:t>:</w:t>
            </w:r>
          </w:p>
        </w:tc>
        <w:tc>
          <w:tcPr>
            <w:tcW w:w="4814" w:type="dxa"/>
          </w:tcPr>
          <w:p w:rsidR="0073139D" w:rsidRPr="00943669" w:rsidRDefault="00943669" w:rsidP="00214E22">
            <w:pPr>
              <w:pStyle w:val="Heading1"/>
              <w:spacing w:before="60" w:after="60"/>
              <w:ind w:right="183"/>
              <w:contextualSpacing/>
              <w:rPr>
                <w:rFonts w:ascii="Arial" w:hAnsi="Arial" w:cs="Arial"/>
                <w:b w:val="0"/>
                <w:sz w:val="24"/>
                <w:szCs w:val="24"/>
              </w:rPr>
            </w:pPr>
            <w:r w:rsidRPr="00943669">
              <w:rPr>
                <w:rFonts w:ascii="Arial" w:hAnsi="Arial" w:cs="Arial"/>
                <w:b w:val="0"/>
                <w:sz w:val="24"/>
                <w:szCs w:val="24"/>
              </w:rPr>
              <w:t>20</w:t>
            </w:r>
            <w:r w:rsidR="0073139D" w:rsidRPr="00943669">
              <w:rPr>
                <w:rFonts w:ascii="Arial" w:hAnsi="Arial" w:cs="Arial"/>
                <w:b w:val="0"/>
                <w:sz w:val="24"/>
                <w:szCs w:val="24"/>
              </w:rPr>
              <w:t xml:space="preserve"> </w:t>
            </w:r>
            <w:r w:rsidR="00214E22" w:rsidRPr="00943669">
              <w:rPr>
                <w:rFonts w:ascii="Arial" w:hAnsi="Arial" w:cs="Arial"/>
                <w:b w:val="0"/>
                <w:sz w:val="24"/>
                <w:szCs w:val="24"/>
              </w:rPr>
              <w:t>June 2019</w:t>
            </w:r>
          </w:p>
        </w:tc>
        <w:tc>
          <w:tcPr>
            <w:tcW w:w="1985" w:type="dxa"/>
            <w:vMerge w:val="restart"/>
          </w:tcPr>
          <w:p w:rsidR="0073139D" w:rsidRPr="00600C20" w:rsidRDefault="00EA433A" w:rsidP="00A81632">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23315" cy="468630"/>
                  <wp:effectExtent l="19050" t="0" r="635" b="0"/>
                  <wp:docPr id="1"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7" cstate="print"/>
                          <a:stretch>
                            <a:fillRect/>
                          </a:stretch>
                        </pic:blipFill>
                        <pic:spPr>
                          <a:xfrm>
                            <a:off x="0" y="0"/>
                            <a:ext cx="1123315" cy="468630"/>
                          </a:xfrm>
                          <a:prstGeom prst="rect">
                            <a:avLst/>
                          </a:prstGeom>
                        </pic:spPr>
                      </pic:pic>
                    </a:graphicData>
                  </a:graphic>
                </wp:inline>
              </w:drawing>
            </w:r>
          </w:p>
        </w:tc>
      </w:tr>
      <w:tr w:rsidR="0073139D" w:rsidRPr="00600C20" w:rsidTr="007D047D">
        <w:trPr>
          <w:trHeight w:val="1091"/>
        </w:trPr>
        <w:tc>
          <w:tcPr>
            <w:tcW w:w="2557" w:type="dxa"/>
          </w:tcPr>
          <w:p w:rsidR="0073139D" w:rsidRPr="00600C20" w:rsidRDefault="0073139D" w:rsidP="007D047D">
            <w:pPr>
              <w:pStyle w:val="Heading1"/>
              <w:spacing w:before="60" w:after="60"/>
              <w:ind w:right="183"/>
              <w:contextualSpacing/>
              <w:rPr>
                <w:rFonts w:ascii="Arial" w:hAnsi="Arial" w:cs="Arial"/>
                <w:sz w:val="24"/>
                <w:szCs w:val="24"/>
              </w:rPr>
            </w:pPr>
            <w:r w:rsidRPr="00600C20">
              <w:rPr>
                <w:rFonts w:ascii="Arial" w:hAnsi="Arial" w:cs="Arial"/>
                <w:bCs w:val="0"/>
                <w:sz w:val="24"/>
                <w:szCs w:val="24"/>
              </w:rPr>
              <w:t>Subject:</w:t>
            </w:r>
          </w:p>
        </w:tc>
        <w:tc>
          <w:tcPr>
            <w:tcW w:w="4814" w:type="dxa"/>
          </w:tcPr>
          <w:p w:rsidR="00E806AF" w:rsidRPr="00943669" w:rsidRDefault="00943669" w:rsidP="00943669">
            <w:pPr>
              <w:pStyle w:val="Heading1"/>
              <w:spacing w:before="60" w:after="60"/>
              <w:ind w:right="183"/>
              <w:contextualSpacing/>
              <w:rPr>
                <w:rFonts w:ascii="Arial" w:hAnsi="Arial" w:cs="Arial"/>
                <w:b w:val="0"/>
                <w:sz w:val="24"/>
                <w:szCs w:val="24"/>
              </w:rPr>
            </w:pPr>
            <w:r w:rsidRPr="00943669">
              <w:rPr>
                <w:rFonts w:ascii="Arial" w:hAnsi="Arial" w:cs="Arial"/>
                <w:b w:val="0"/>
                <w:iCs/>
                <w:sz w:val="24"/>
                <w:szCs w:val="24"/>
              </w:rPr>
              <w:t>Central Sterile Processing Department (</w:t>
            </w:r>
            <w:r w:rsidR="00A81632" w:rsidRPr="00943669">
              <w:rPr>
                <w:rFonts w:ascii="Arial" w:hAnsi="Arial" w:cs="Arial"/>
                <w:b w:val="0"/>
                <w:sz w:val="24"/>
                <w:szCs w:val="24"/>
              </w:rPr>
              <w:t>CSPD</w:t>
            </w:r>
            <w:r w:rsidRPr="00943669">
              <w:rPr>
                <w:rFonts w:ascii="Arial" w:hAnsi="Arial" w:cs="Arial"/>
                <w:b w:val="0"/>
                <w:sz w:val="24"/>
                <w:szCs w:val="24"/>
              </w:rPr>
              <w:t>)</w:t>
            </w:r>
            <w:r w:rsidR="00A81632" w:rsidRPr="00943669">
              <w:rPr>
                <w:rFonts w:ascii="Arial" w:hAnsi="Arial" w:cs="Arial"/>
                <w:b w:val="0"/>
                <w:sz w:val="24"/>
                <w:szCs w:val="24"/>
              </w:rPr>
              <w:t xml:space="preserve"> Business Case </w:t>
            </w:r>
          </w:p>
        </w:tc>
        <w:tc>
          <w:tcPr>
            <w:tcW w:w="1985" w:type="dxa"/>
            <w:vMerge/>
          </w:tcPr>
          <w:p w:rsidR="0073139D" w:rsidRPr="00600C20" w:rsidRDefault="0073139D" w:rsidP="007D047D">
            <w:pPr>
              <w:pStyle w:val="Heading1"/>
              <w:spacing w:before="60" w:after="60"/>
              <w:ind w:right="183"/>
              <w:contextualSpacing/>
              <w:rPr>
                <w:rFonts w:ascii="Arial" w:hAnsi="Arial" w:cs="Arial"/>
                <w:noProof/>
                <w:sz w:val="24"/>
                <w:szCs w:val="24"/>
                <w:lang w:eastAsia="en-GB"/>
              </w:rPr>
            </w:pPr>
          </w:p>
        </w:tc>
      </w:tr>
      <w:tr w:rsidR="0073139D" w:rsidRPr="00600C20" w:rsidTr="007D047D">
        <w:trPr>
          <w:trHeight w:val="499"/>
        </w:trPr>
        <w:tc>
          <w:tcPr>
            <w:tcW w:w="2557" w:type="dxa"/>
          </w:tcPr>
          <w:p w:rsidR="0073139D" w:rsidRPr="00600C20" w:rsidRDefault="0073139D" w:rsidP="007D047D">
            <w:pPr>
              <w:pStyle w:val="Heading1"/>
              <w:spacing w:before="60" w:after="60"/>
              <w:ind w:right="183"/>
              <w:contextualSpacing/>
              <w:rPr>
                <w:rFonts w:ascii="Arial" w:hAnsi="Arial" w:cs="Arial"/>
                <w:sz w:val="24"/>
                <w:szCs w:val="24"/>
              </w:rPr>
            </w:pPr>
            <w:r w:rsidRPr="00600C20">
              <w:rPr>
                <w:rFonts w:ascii="Arial" w:hAnsi="Arial" w:cs="Arial"/>
                <w:bCs w:val="0"/>
                <w:sz w:val="24"/>
                <w:szCs w:val="24"/>
              </w:rPr>
              <w:t>Recommendation:</w:t>
            </w:r>
            <w:r w:rsidRPr="00600C20">
              <w:rPr>
                <w:rFonts w:ascii="Arial" w:hAnsi="Arial" w:cs="Arial"/>
                <w:bCs w:val="0"/>
                <w:sz w:val="24"/>
                <w:szCs w:val="24"/>
              </w:rPr>
              <w:tab/>
            </w:r>
          </w:p>
        </w:tc>
        <w:tc>
          <w:tcPr>
            <w:tcW w:w="6799" w:type="dxa"/>
            <w:gridSpan w:val="2"/>
          </w:tcPr>
          <w:p w:rsidR="0073139D" w:rsidRPr="00600C20" w:rsidRDefault="0073139D" w:rsidP="007D047D">
            <w:pPr>
              <w:pStyle w:val="Heading1"/>
              <w:spacing w:before="60" w:after="60"/>
              <w:ind w:right="183"/>
              <w:contextualSpacing/>
              <w:rPr>
                <w:rFonts w:ascii="Arial" w:hAnsi="Arial" w:cs="Arial"/>
                <w:b w:val="0"/>
                <w:sz w:val="24"/>
                <w:szCs w:val="24"/>
              </w:rPr>
            </w:pPr>
            <w:r w:rsidRPr="00600C20">
              <w:rPr>
                <w:rFonts w:ascii="Arial" w:hAnsi="Arial" w:cs="Arial"/>
                <w:b w:val="0"/>
                <w:sz w:val="24"/>
                <w:szCs w:val="24"/>
              </w:rPr>
              <w:t>Board members are asked to</w:t>
            </w:r>
            <w:r w:rsidR="00943669">
              <w:rPr>
                <w:rFonts w:ascii="Arial" w:hAnsi="Arial" w:cs="Arial"/>
                <w:b w:val="0"/>
                <w:sz w:val="24"/>
                <w:szCs w:val="24"/>
              </w:rPr>
              <w:t>:</w:t>
            </w:r>
            <w:r w:rsidRPr="00600C20">
              <w:rPr>
                <w:rFonts w:ascii="Arial" w:hAnsi="Arial" w:cs="Arial"/>
                <w:b w:val="0"/>
                <w:sz w:val="24"/>
                <w:szCs w:val="24"/>
              </w:rPr>
              <w:t xml:space="preserve"> </w:t>
            </w:r>
          </w:p>
          <w:p w:rsidR="007D047D" w:rsidRPr="00600C20" w:rsidRDefault="007D047D" w:rsidP="007D047D">
            <w:pPr>
              <w:rPr>
                <w:rFonts w:ascii="Arial" w:hAnsi="Arial" w:cs="Arial"/>
              </w:rPr>
            </w:pPr>
          </w:p>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BC609A" w:rsidRPr="00600C20" w:rsidTr="008969D1">
              <w:tc>
                <w:tcPr>
                  <w:tcW w:w="5694" w:type="dxa"/>
                </w:tcPr>
                <w:p w:rsidR="00BC609A" w:rsidRPr="00600C20" w:rsidRDefault="00BC609A" w:rsidP="008969D1">
                  <w:pPr>
                    <w:pStyle w:val="Heading1"/>
                    <w:spacing w:before="120" w:after="60"/>
                    <w:ind w:right="181"/>
                    <w:contextualSpacing/>
                    <w:rPr>
                      <w:rFonts w:ascii="Arial" w:hAnsi="Arial" w:cs="Arial"/>
                      <w:b w:val="0"/>
                      <w:sz w:val="24"/>
                      <w:szCs w:val="24"/>
                    </w:rPr>
                  </w:pPr>
                  <w:r w:rsidRPr="00600C20">
                    <w:rPr>
                      <w:rFonts w:ascii="Arial" w:hAnsi="Arial" w:cs="Arial"/>
                      <w:b w:val="0"/>
                      <w:sz w:val="24"/>
                      <w:szCs w:val="24"/>
                    </w:rPr>
                    <w:t>Discuss and Note</w:t>
                  </w:r>
                </w:p>
              </w:tc>
              <w:tc>
                <w:tcPr>
                  <w:tcW w:w="850" w:type="dxa"/>
                </w:tcPr>
                <w:p w:rsidR="00BC609A" w:rsidRPr="00600C20" w:rsidRDefault="00BC609A" w:rsidP="00E806AF">
                  <w:pPr>
                    <w:spacing w:before="120" w:after="60"/>
                    <w:contextualSpacing/>
                    <w:rPr>
                      <w:rFonts w:ascii="Arial" w:hAnsi="Arial" w:cs="Arial"/>
                    </w:rPr>
                  </w:pPr>
                </w:p>
              </w:tc>
            </w:tr>
            <w:tr w:rsidR="00BC609A" w:rsidRPr="00600C20" w:rsidTr="008969D1">
              <w:tc>
                <w:tcPr>
                  <w:tcW w:w="5694" w:type="dxa"/>
                </w:tcPr>
                <w:p w:rsidR="00BC609A" w:rsidRPr="00600C20" w:rsidRDefault="00BC609A" w:rsidP="00E806AF">
                  <w:pPr>
                    <w:pStyle w:val="Heading1"/>
                    <w:spacing w:before="120" w:after="60"/>
                    <w:ind w:right="183"/>
                    <w:contextualSpacing/>
                    <w:rPr>
                      <w:rFonts w:ascii="Arial" w:hAnsi="Arial" w:cs="Arial"/>
                      <w:b w:val="0"/>
                      <w:sz w:val="24"/>
                      <w:szCs w:val="24"/>
                    </w:rPr>
                  </w:pPr>
                  <w:r w:rsidRPr="00600C20">
                    <w:rPr>
                      <w:rFonts w:ascii="Arial" w:hAnsi="Arial" w:cs="Arial"/>
                      <w:b w:val="0"/>
                      <w:sz w:val="24"/>
                      <w:szCs w:val="24"/>
                    </w:rPr>
                    <w:t>Discuss and Approve</w:t>
                  </w:r>
                </w:p>
              </w:tc>
              <w:tc>
                <w:tcPr>
                  <w:tcW w:w="850" w:type="dxa"/>
                </w:tcPr>
                <w:p w:rsidR="00BC609A" w:rsidRPr="00600C20" w:rsidRDefault="00A81632" w:rsidP="00E806AF">
                  <w:pPr>
                    <w:spacing w:before="120" w:after="60"/>
                    <w:contextualSpacing/>
                    <w:rPr>
                      <w:rFonts w:ascii="Arial" w:hAnsi="Arial" w:cs="Arial"/>
                    </w:rPr>
                  </w:pPr>
                  <w:r w:rsidRPr="00600C20">
                    <w:rPr>
                      <w:rFonts w:ascii="Arial" w:hAnsi="Arial" w:cs="Arial"/>
                    </w:rPr>
                    <w:t>X</w:t>
                  </w:r>
                </w:p>
              </w:tc>
            </w:tr>
            <w:tr w:rsidR="00BC609A" w:rsidRPr="00600C20" w:rsidTr="008969D1">
              <w:tc>
                <w:tcPr>
                  <w:tcW w:w="5694" w:type="dxa"/>
                </w:tcPr>
                <w:p w:rsidR="00BC609A" w:rsidRPr="00600C20" w:rsidRDefault="00BC609A" w:rsidP="00E806AF">
                  <w:pPr>
                    <w:pStyle w:val="Heading1"/>
                    <w:spacing w:before="120" w:after="60"/>
                    <w:ind w:right="183"/>
                    <w:contextualSpacing/>
                    <w:rPr>
                      <w:rFonts w:ascii="Arial" w:hAnsi="Arial" w:cs="Arial"/>
                      <w:b w:val="0"/>
                      <w:sz w:val="24"/>
                      <w:szCs w:val="24"/>
                    </w:rPr>
                  </w:pPr>
                  <w:r w:rsidRPr="00600C20">
                    <w:rPr>
                      <w:rFonts w:ascii="Arial" w:hAnsi="Arial" w:cs="Arial"/>
                      <w:b w:val="0"/>
                      <w:sz w:val="24"/>
                      <w:szCs w:val="24"/>
                    </w:rPr>
                    <w:t>Note for Information only</w:t>
                  </w:r>
                </w:p>
              </w:tc>
              <w:tc>
                <w:tcPr>
                  <w:tcW w:w="850" w:type="dxa"/>
                </w:tcPr>
                <w:p w:rsidR="00BC609A" w:rsidRPr="00600C20" w:rsidRDefault="00BC609A" w:rsidP="00E806AF">
                  <w:pPr>
                    <w:spacing w:before="120" w:after="60"/>
                    <w:contextualSpacing/>
                    <w:rPr>
                      <w:rFonts w:ascii="Arial" w:hAnsi="Arial" w:cs="Arial"/>
                    </w:rPr>
                  </w:pPr>
                </w:p>
              </w:tc>
            </w:tr>
          </w:tbl>
          <w:p w:rsidR="007D047D" w:rsidRPr="00600C20" w:rsidRDefault="007D047D" w:rsidP="007D047D">
            <w:pPr>
              <w:spacing w:before="60" w:after="60"/>
              <w:contextualSpacing/>
              <w:rPr>
                <w:rFonts w:ascii="Arial" w:hAnsi="Arial" w:cs="Arial"/>
              </w:rPr>
            </w:pPr>
          </w:p>
        </w:tc>
      </w:tr>
      <w:tr w:rsidR="007D047D" w:rsidRPr="00600C20" w:rsidTr="00BC609A">
        <w:trPr>
          <w:trHeight w:val="499"/>
        </w:trPr>
        <w:tc>
          <w:tcPr>
            <w:tcW w:w="9356" w:type="dxa"/>
            <w:gridSpan w:val="3"/>
          </w:tcPr>
          <w:p w:rsidR="007D047D" w:rsidRPr="00600C20" w:rsidRDefault="007D047D" w:rsidP="007D047D">
            <w:pPr>
              <w:rPr>
                <w:rFonts w:ascii="Arial" w:hAnsi="Arial" w:cs="Arial"/>
              </w:rPr>
            </w:pPr>
          </w:p>
        </w:tc>
      </w:tr>
      <w:tr w:rsidR="00BC609A" w:rsidRPr="00600C20" w:rsidTr="00BC609A">
        <w:trPr>
          <w:trHeight w:val="499"/>
        </w:trPr>
        <w:tc>
          <w:tcPr>
            <w:tcW w:w="9356" w:type="dxa"/>
            <w:gridSpan w:val="3"/>
            <w:tcBorders>
              <w:bottom w:val="single" w:sz="4" w:space="0" w:color="auto"/>
            </w:tcBorders>
          </w:tcPr>
          <w:p w:rsidR="00BC609A" w:rsidRPr="00600C20" w:rsidRDefault="00BC609A" w:rsidP="007D047D">
            <w:pPr>
              <w:spacing w:before="60" w:after="60"/>
              <w:rPr>
                <w:rFonts w:ascii="Arial" w:hAnsi="Arial" w:cs="Arial"/>
                <w:b/>
              </w:rPr>
            </w:pPr>
          </w:p>
        </w:tc>
      </w:tr>
    </w:tbl>
    <w:p w:rsidR="0073139D" w:rsidRPr="00600C20" w:rsidRDefault="0073139D">
      <w:pPr>
        <w:rPr>
          <w:rFonts w:ascii="Arial" w:hAnsi="Arial" w:cs="Arial"/>
        </w:rPr>
      </w:pPr>
    </w:p>
    <w:p w:rsidR="00CA2F0E" w:rsidRPr="00943669" w:rsidRDefault="00CA2F0E" w:rsidP="00943669">
      <w:pPr>
        <w:pStyle w:val="Heading2"/>
        <w:numPr>
          <w:ilvl w:val="0"/>
          <w:numId w:val="19"/>
        </w:numPr>
        <w:spacing w:before="0" w:after="0"/>
        <w:ind w:right="183"/>
        <w:rPr>
          <w:i w:val="0"/>
          <w:sz w:val="24"/>
          <w:szCs w:val="24"/>
        </w:rPr>
      </w:pPr>
      <w:r w:rsidRPr="00943669">
        <w:rPr>
          <w:i w:val="0"/>
          <w:sz w:val="24"/>
          <w:szCs w:val="24"/>
        </w:rPr>
        <w:t>Background</w:t>
      </w:r>
    </w:p>
    <w:p w:rsidR="00CA2F0E" w:rsidRPr="00943669" w:rsidRDefault="00CA2F0E" w:rsidP="00943669">
      <w:pPr>
        <w:ind w:right="183"/>
        <w:rPr>
          <w:rFonts w:ascii="Arial" w:hAnsi="Arial" w:cs="Arial"/>
        </w:rPr>
      </w:pPr>
      <w:r w:rsidRPr="00943669">
        <w:rPr>
          <w:rFonts w:ascii="Arial" w:hAnsi="Arial" w:cs="Arial"/>
          <w:b/>
          <w:bCs/>
        </w:rPr>
        <w:tab/>
      </w:r>
    </w:p>
    <w:p w:rsidR="00FF78C1" w:rsidRPr="00943669" w:rsidRDefault="00CF6F78" w:rsidP="00943669">
      <w:pPr>
        <w:ind w:left="720"/>
        <w:rPr>
          <w:rFonts w:ascii="Arial" w:hAnsi="Arial" w:cs="Arial"/>
          <w:iCs/>
        </w:rPr>
      </w:pPr>
      <w:r w:rsidRPr="00943669">
        <w:rPr>
          <w:rFonts w:ascii="Arial" w:hAnsi="Arial" w:cs="Arial"/>
          <w:lang w:eastAsia="en-GB"/>
        </w:rPr>
        <w:t>T</w:t>
      </w:r>
      <w:r w:rsidR="006259A2" w:rsidRPr="00943669">
        <w:rPr>
          <w:rFonts w:ascii="Arial" w:hAnsi="Arial" w:cs="Arial"/>
          <w:lang w:eastAsia="en-GB"/>
        </w:rPr>
        <w:t xml:space="preserve">he purpose of this paper </w:t>
      </w:r>
      <w:r w:rsidRPr="00943669">
        <w:rPr>
          <w:rFonts w:ascii="Arial" w:hAnsi="Arial" w:cs="Arial"/>
          <w:lang w:eastAsia="en-GB"/>
        </w:rPr>
        <w:t xml:space="preserve">is </w:t>
      </w:r>
      <w:r w:rsidR="006259A2" w:rsidRPr="00943669">
        <w:rPr>
          <w:rFonts w:ascii="Arial" w:hAnsi="Arial" w:cs="Arial"/>
          <w:iCs/>
        </w:rPr>
        <w:t xml:space="preserve">to seek approval for the </w:t>
      </w:r>
      <w:r w:rsidR="00943669">
        <w:rPr>
          <w:rFonts w:ascii="Arial" w:hAnsi="Arial" w:cs="Arial"/>
          <w:iCs/>
        </w:rPr>
        <w:t>Central Sterile Processing Department (</w:t>
      </w:r>
      <w:r w:rsidRPr="00943669">
        <w:rPr>
          <w:rFonts w:ascii="Arial" w:hAnsi="Arial" w:cs="Arial"/>
          <w:iCs/>
        </w:rPr>
        <w:t>CSPD</w:t>
      </w:r>
      <w:r w:rsidR="00943669">
        <w:rPr>
          <w:rFonts w:ascii="Arial" w:hAnsi="Arial" w:cs="Arial"/>
          <w:iCs/>
        </w:rPr>
        <w:t>)</w:t>
      </w:r>
      <w:r w:rsidRPr="00943669">
        <w:rPr>
          <w:rFonts w:ascii="Arial" w:hAnsi="Arial" w:cs="Arial"/>
          <w:iCs/>
        </w:rPr>
        <w:t xml:space="preserve"> Business </w:t>
      </w:r>
      <w:r w:rsidR="006259A2" w:rsidRPr="00943669">
        <w:rPr>
          <w:rFonts w:ascii="Arial" w:hAnsi="Arial" w:cs="Arial"/>
          <w:iCs/>
        </w:rPr>
        <w:t>Case, giving</w:t>
      </w:r>
      <w:r w:rsidRPr="00943669">
        <w:rPr>
          <w:rFonts w:ascii="Arial" w:hAnsi="Arial" w:cs="Arial"/>
          <w:iCs/>
        </w:rPr>
        <w:t xml:space="preserve"> assurance </w:t>
      </w:r>
      <w:r w:rsidR="006259A2" w:rsidRPr="00943669">
        <w:rPr>
          <w:rFonts w:ascii="Arial" w:hAnsi="Arial" w:cs="Arial"/>
          <w:iCs/>
        </w:rPr>
        <w:t xml:space="preserve">that the case for </w:t>
      </w:r>
      <w:r w:rsidR="00B973E1" w:rsidRPr="00943669">
        <w:rPr>
          <w:rFonts w:ascii="Arial" w:hAnsi="Arial" w:cs="Arial"/>
          <w:iCs/>
        </w:rPr>
        <w:t xml:space="preserve">re providing this service </w:t>
      </w:r>
      <w:r w:rsidR="006259A2" w:rsidRPr="00943669">
        <w:rPr>
          <w:rFonts w:ascii="Arial" w:hAnsi="Arial" w:cs="Arial"/>
          <w:iCs/>
        </w:rPr>
        <w:t xml:space="preserve">has </w:t>
      </w:r>
      <w:r w:rsidR="00B973E1" w:rsidRPr="00943669">
        <w:rPr>
          <w:rFonts w:ascii="Arial" w:hAnsi="Arial" w:cs="Arial"/>
          <w:iCs/>
        </w:rPr>
        <w:t xml:space="preserve">fully </w:t>
      </w:r>
      <w:r w:rsidR="006259A2" w:rsidRPr="00943669">
        <w:rPr>
          <w:rFonts w:ascii="Arial" w:hAnsi="Arial" w:cs="Arial"/>
          <w:iCs/>
        </w:rPr>
        <w:t xml:space="preserve">considered </w:t>
      </w:r>
      <w:r w:rsidR="00DD565E" w:rsidRPr="00943669">
        <w:rPr>
          <w:rFonts w:ascii="Arial" w:hAnsi="Arial" w:cs="Arial"/>
          <w:iCs/>
        </w:rPr>
        <w:t>a range of</w:t>
      </w:r>
      <w:r w:rsidR="00B973E1" w:rsidRPr="00943669">
        <w:rPr>
          <w:rFonts w:ascii="Arial" w:hAnsi="Arial" w:cs="Arial"/>
          <w:iCs/>
        </w:rPr>
        <w:t xml:space="preserve"> options for service delivery </w:t>
      </w:r>
      <w:r w:rsidRPr="00943669">
        <w:rPr>
          <w:rFonts w:ascii="Arial" w:hAnsi="Arial" w:cs="Arial"/>
          <w:iCs/>
        </w:rPr>
        <w:t>p</w:t>
      </w:r>
      <w:r w:rsidR="00214E22" w:rsidRPr="00943669">
        <w:rPr>
          <w:rFonts w:ascii="Arial" w:hAnsi="Arial" w:cs="Arial"/>
          <w:iCs/>
        </w:rPr>
        <w:t>rior to finalising design plans for Phase 2.</w:t>
      </w:r>
    </w:p>
    <w:p w:rsidR="00FF78C1" w:rsidRPr="00943669" w:rsidRDefault="00FF78C1" w:rsidP="00943669">
      <w:pPr>
        <w:ind w:left="720"/>
        <w:rPr>
          <w:rFonts w:ascii="Arial" w:hAnsi="Arial" w:cs="Arial"/>
          <w:iCs/>
        </w:rPr>
      </w:pPr>
    </w:p>
    <w:p w:rsidR="00FF78C1" w:rsidRDefault="00FF78C1" w:rsidP="00943669">
      <w:pPr>
        <w:ind w:left="720"/>
        <w:rPr>
          <w:rFonts w:ascii="Arial" w:hAnsi="Arial" w:cs="Arial"/>
          <w:color w:val="000000"/>
        </w:rPr>
      </w:pPr>
      <w:r w:rsidRPr="00943669">
        <w:rPr>
          <w:rFonts w:ascii="Arial" w:hAnsi="Arial" w:cs="Arial"/>
        </w:rPr>
        <w:t>In preparation for the forthcoming expansions</w:t>
      </w:r>
      <w:r w:rsidR="00943669">
        <w:rPr>
          <w:rFonts w:ascii="Arial" w:hAnsi="Arial" w:cs="Arial"/>
        </w:rPr>
        <w:t>,</w:t>
      </w:r>
      <w:r w:rsidRPr="00943669">
        <w:rPr>
          <w:rFonts w:ascii="Arial" w:hAnsi="Arial" w:cs="Arial"/>
        </w:rPr>
        <w:t xml:space="preserve"> a full review has been undertaken of our current Sterile Services facility and changes identified to create a sustainable CSPD service for </w:t>
      </w:r>
      <w:r w:rsidR="009E6C45" w:rsidRPr="00943669">
        <w:rPr>
          <w:rFonts w:ascii="Arial" w:hAnsi="Arial" w:cs="Arial"/>
        </w:rPr>
        <w:t>the future</w:t>
      </w:r>
      <w:r w:rsidRPr="00943669">
        <w:rPr>
          <w:rFonts w:ascii="Arial" w:hAnsi="Arial" w:cs="Arial"/>
        </w:rPr>
        <w:t>.</w:t>
      </w:r>
      <w:r w:rsidRPr="00943669">
        <w:rPr>
          <w:rFonts w:ascii="Arial" w:hAnsi="Arial" w:cs="Arial"/>
          <w:color w:val="000000"/>
        </w:rPr>
        <w:t xml:space="preserve"> </w:t>
      </w:r>
    </w:p>
    <w:p w:rsidR="00943669" w:rsidRPr="00943669" w:rsidRDefault="00943669" w:rsidP="00943669">
      <w:pPr>
        <w:ind w:left="720"/>
        <w:rPr>
          <w:rFonts w:ascii="Arial" w:hAnsi="Arial" w:cs="Arial"/>
          <w:color w:val="000000"/>
        </w:rPr>
      </w:pPr>
    </w:p>
    <w:p w:rsidR="00CF6F78" w:rsidRPr="00943669" w:rsidRDefault="009E6C45" w:rsidP="00943669">
      <w:pPr>
        <w:ind w:left="720"/>
        <w:rPr>
          <w:rFonts w:ascii="Arial" w:hAnsi="Arial" w:cs="Arial"/>
        </w:rPr>
      </w:pPr>
      <w:r w:rsidRPr="00943669">
        <w:rPr>
          <w:rFonts w:ascii="Arial" w:hAnsi="Arial" w:cs="Arial"/>
        </w:rPr>
        <w:t>The Business C</w:t>
      </w:r>
      <w:r w:rsidR="00CF6F78" w:rsidRPr="00943669">
        <w:rPr>
          <w:rFonts w:ascii="Arial" w:hAnsi="Arial" w:cs="Arial"/>
        </w:rPr>
        <w:t xml:space="preserve">ase takes account of the information presented in the Strategy approved at SMT in November </w:t>
      </w:r>
      <w:r w:rsidR="00313439" w:rsidRPr="00943669">
        <w:rPr>
          <w:rFonts w:ascii="Arial" w:hAnsi="Arial" w:cs="Arial"/>
        </w:rPr>
        <w:t>2018</w:t>
      </w:r>
      <w:r w:rsidR="00943669">
        <w:rPr>
          <w:rFonts w:ascii="Arial" w:hAnsi="Arial" w:cs="Arial"/>
        </w:rPr>
        <w:t>, which</w:t>
      </w:r>
      <w:r w:rsidR="00FF78C1" w:rsidRPr="00943669">
        <w:rPr>
          <w:rFonts w:ascii="Arial" w:hAnsi="Arial" w:cs="Arial"/>
        </w:rPr>
        <w:t xml:space="preserve"> concluded that the existing footprint and resource would not meet the future decontamination activity requirements up to 2035 and that </w:t>
      </w:r>
      <w:r w:rsidR="00214E22" w:rsidRPr="00943669">
        <w:rPr>
          <w:rFonts w:ascii="Arial" w:hAnsi="Arial" w:cs="Arial"/>
        </w:rPr>
        <w:t>operation</w:t>
      </w:r>
      <w:r w:rsidRPr="00943669">
        <w:rPr>
          <w:rFonts w:ascii="Arial" w:hAnsi="Arial" w:cs="Arial"/>
        </w:rPr>
        <w:t>al</w:t>
      </w:r>
      <w:r w:rsidR="00214E22" w:rsidRPr="00943669">
        <w:rPr>
          <w:rFonts w:ascii="Arial" w:hAnsi="Arial" w:cs="Arial"/>
        </w:rPr>
        <w:t xml:space="preserve"> </w:t>
      </w:r>
      <w:r w:rsidR="00FF78C1" w:rsidRPr="00943669">
        <w:rPr>
          <w:rFonts w:ascii="Arial" w:hAnsi="Arial" w:cs="Arial"/>
        </w:rPr>
        <w:t>service challenges are anticipated before 2023.</w:t>
      </w:r>
    </w:p>
    <w:p w:rsidR="00FF78C1" w:rsidRPr="00943669" w:rsidRDefault="00FF78C1" w:rsidP="00943669">
      <w:pPr>
        <w:ind w:left="720"/>
        <w:rPr>
          <w:rFonts w:ascii="Arial" w:hAnsi="Arial" w:cs="Arial"/>
          <w:color w:val="000000"/>
        </w:rPr>
      </w:pPr>
    </w:p>
    <w:p w:rsidR="006259A2" w:rsidRPr="00943669" w:rsidRDefault="00FF78C1" w:rsidP="00943669">
      <w:pPr>
        <w:ind w:left="720"/>
        <w:rPr>
          <w:rFonts w:ascii="Arial" w:hAnsi="Arial" w:cs="Arial"/>
          <w:color w:val="000000"/>
        </w:rPr>
      </w:pPr>
      <w:r w:rsidRPr="00943669">
        <w:rPr>
          <w:rFonts w:ascii="Arial" w:hAnsi="Arial" w:cs="Arial"/>
          <w:color w:val="000000"/>
        </w:rPr>
        <w:t>There is evidence</w:t>
      </w:r>
      <w:r w:rsidR="006259A2" w:rsidRPr="00943669">
        <w:rPr>
          <w:rFonts w:ascii="Arial" w:hAnsi="Arial" w:cs="Arial"/>
          <w:color w:val="000000"/>
        </w:rPr>
        <w:t xml:space="preserve"> that the current service is constrained, the equipment is more than 12 years old, and the current estate has notable operational capacity challenges in both decontamination and packing.</w:t>
      </w:r>
    </w:p>
    <w:p w:rsidR="006259A2" w:rsidRPr="00943669" w:rsidRDefault="006259A2" w:rsidP="00943669">
      <w:pPr>
        <w:rPr>
          <w:rFonts w:ascii="Arial" w:hAnsi="Arial" w:cs="Arial"/>
          <w:color w:val="000000"/>
        </w:rPr>
      </w:pPr>
    </w:p>
    <w:p w:rsidR="00CA2F0E" w:rsidRPr="00943669" w:rsidRDefault="00214E22" w:rsidP="00943669">
      <w:pPr>
        <w:pStyle w:val="Heading2"/>
        <w:numPr>
          <w:ilvl w:val="0"/>
          <w:numId w:val="19"/>
        </w:numPr>
        <w:spacing w:before="0" w:after="0"/>
        <w:ind w:right="183"/>
        <w:rPr>
          <w:i w:val="0"/>
          <w:sz w:val="24"/>
          <w:szCs w:val="24"/>
        </w:rPr>
      </w:pPr>
      <w:r w:rsidRPr="00943669">
        <w:rPr>
          <w:i w:val="0"/>
          <w:sz w:val="24"/>
          <w:szCs w:val="24"/>
        </w:rPr>
        <w:t>Proposal</w:t>
      </w:r>
    </w:p>
    <w:p w:rsidR="00061AB0" w:rsidRPr="00943669" w:rsidRDefault="00061AB0" w:rsidP="00943669">
      <w:pPr>
        <w:ind w:right="183"/>
        <w:rPr>
          <w:rFonts w:ascii="Arial" w:hAnsi="Arial" w:cs="Arial"/>
          <w:b/>
          <w:bCs/>
        </w:rPr>
      </w:pPr>
    </w:p>
    <w:p w:rsidR="00061AB0" w:rsidRDefault="00061AB0" w:rsidP="00943669">
      <w:pPr>
        <w:pStyle w:val="StandardParagraph"/>
        <w:spacing w:after="0" w:line="240" w:lineRule="auto"/>
        <w:ind w:left="720" w:right="0"/>
        <w:rPr>
          <w:rFonts w:cs="Arial"/>
          <w:szCs w:val="24"/>
        </w:rPr>
      </w:pPr>
      <w:r w:rsidRPr="00943669">
        <w:rPr>
          <w:rFonts w:cs="Arial"/>
          <w:szCs w:val="24"/>
        </w:rPr>
        <w:t>In response to the impact the projected increase in activity will have on CSPD, the Business Case focuses on the following needs for change to build a robust and sustainable long term facility:</w:t>
      </w:r>
    </w:p>
    <w:p w:rsidR="00943669" w:rsidRPr="00943669" w:rsidRDefault="00943669" w:rsidP="00943669">
      <w:pPr>
        <w:pStyle w:val="StandardParagraph"/>
        <w:spacing w:after="0" w:line="240" w:lineRule="auto"/>
        <w:ind w:left="720" w:right="0"/>
        <w:rPr>
          <w:rFonts w:cs="Arial"/>
          <w:szCs w:val="24"/>
        </w:rPr>
      </w:pPr>
    </w:p>
    <w:p w:rsidR="00061AB0" w:rsidRPr="00943669" w:rsidRDefault="00061AB0" w:rsidP="00943669">
      <w:pPr>
        <w:pStyle w:val="StandardParagraph"/>
        <w:numPr>
          <w:ilvl w:val="0"/>
          <w:numId w:val="12"/>
        </w:numPr>
        <w:tabs>
          <w:tab w:val="clear" w:pos="360"/>
          <w:tab w:val="clear" w:pos="720"/>
          <w:tab w:val="num" w:pos="1080"/>
        </w:tabs>
        <w:spacing w:after="0" w:line="240" w:lineRule="auto"/>
        <w:ind w:left="1080" w:right="0"/>
        <w:rPr>
          <w:rFonts w:cs="Arial"/>
          <w:szCs w:val="24"/>
        </w:rPr>
      </w:pPr>
      <w:r w:rsidRPr="00943669">
        <w:rPr>
          <w:rFonts w:cs="Arial"/>
          <w:b/>
          <w:color w:val="943634"/>
          <w:szCs w:val="24"/>
        </w:rPr>
        <w:t>Estates</w:t>
      </w:r>
      <w:r w:rsidRPr="00943669">
        <w:rPr>
          <w:rFonts w:cs="Arial"/>
          <w:szCs w:val="24"/>
        </w:rPr>
        <w:t xml:space="preserve"> </w:t>
      </w:r>
      <w:r w:rsidRPr="00943669">
        <w:rPr>
          <w:rFonts w:cs="Arial"/>
          <w:b/>
          <w:color w:val="943634"/>
          <w:szCs w:val="24"/>
        </w:rPr>
        <w:t>footprint</w:t>
      </w:r>
      <w:r w:rsidRPr="00943669">
        <w:rPr>
          <w:rFonts w:cs="Arial"/>
          <w:szCs w:val="24"/>
        </w:rPr>
        <w:t xml:space="preserve"> – enhancing existing working environment to enable appropriate capacity, improved ergonomics, workflow and staff morale</w:t>
      </w:r>
    </w:p>
    <w:p w:rsidR="00061AB0" w:rsidRPr="00943669" w:rsidRDefault="00061AB0" w:rsidP="00943669">
      <w:pPr>
        <w:pStyle w:val="StandardParagraph"/>
        <w:numPr>
          <w:ilvl w:val="0"/>
          <w:numId w:val="12"/>
        </w:numPr>
        <w:tabs>
          <w:tab w:val="clear" w:pos="360"/>
          <w:tab w:val="clear" w:pos="720"/>
          <w:tab w:val="num" w:pos="1080"/>
        </w:tabs>
        <w:spacing w:after="0" w:line="240" w:lineRule="auto"/>
        <w:ind w:left="1080" w:right="0"/>
        <w:rPr>
          <w:rFonts w:cs="Arial"/>
          <w:szCs w:val="24"/>
        </w:rPr>
      </w:pPr>
      <w:r w:rsidRPr="00943669">
        <w:rPr>
          <w:rFonts w:cs="Arial"/>
          <w:b/>
          <w:color w:val="943634"/>
          <w:szCs w:val="24"/>
        </w:rPr>
        <w:t>Equipment</w:t>
      </w:r>
      <w:r w:rsidRPr="00943669">
        <w:rPr>
          <w:rFonts w:cs="Arial"/>
          <w:szCs w:val="24"/>
        </w:rPr>
        <w:t xml:space="preserve"> – a clear replacement programme capable of delivering efficient working</w:t>
      </w:r>
    </w:p>
    <w:p w:rsidR="00061AB0" w:rsidRPr="00943669" w:rsidRDefault="00061AB0" w:rsidP="00943669">
      <w:pPr>
        <w:pStyle w:val="StandardParagraph"/>
        <w:numPr>
          <w:ilvl w:val="0"/>
          <w:numId w:val="12"/>
        </w:numPr>
        <w:tabs>
          <w:tab w:val="clear" w:pos="360"/>
          <w:tab w:val="clear" w:pos="720"/>
          <w:tab w:val="num" w:pos="1080"/>
        </w:tabs>
        <w:spacing w:after="0" w:line="240" w:lineRule="auto"/>
        <w:ind w:left="1080" w:right="0"/>
        <w:rPr>
          <w:rFonts w:cs="Arial"/>
          <w:szCs w:val="24"/>
        </w:rPr>
      </w:pPr>
      <w:r w:rsidRPr="00943669">
        <w:rPr>
          <w:rFonts w:cs="Arial"/>
          <w:b/>
          <w:color w:val="943634"/>
          <w:szCs w:val="24"/>
        </w:rPr>
        <w:lastRenderedPageBreak/>
        <w:t>Effective Workforce model</w:t>
      </w:r>
      <w:r w:rsidRPr="00943669">
        <w:rPr>
          <w:rFonts w:cs="Arial"/>
          <w:szCs w:val="24"/>
        </w:rPr>
        <w:t xml:space="preserve"> – staffing structures, shift patterns and training programmes, including development opportunities</w:t>
      </w:r>
    </w:p>
    <w:p w:rsidR="00480254" w:rsidRPr="00943669" w:rsidRDefault="00480254" w:rsidP="00943669">
      <w:pPr>
        <w:ind w:left="720" w:right="183"/>
        <w:rPr>
          <w:rFonts w:ascii="Arial" w:hAnsi="Arial" w:cs="Arial"/>
          <w:b/>
          <w:bCs/>
        </w:rPr>
      </w:pPr>
    </w:p>
    <w:p w:rsidR="00480254" w:rsidRPr="00943669" w:rsidRDefault="00214E22" w:rsidP="00943669">
      <w:pPr>
        <w:ind w:left="720"/>
        <w:contextualSpacing/>
        <w:rPr>
          <w:rFonts w:ascii="Arial" w:hAnsi="Arial" w:cs="Arial"/>
        </w:rPr>
      </w:pPr>
      <w:r w:rsidRPr="00943669">
        <w:rPr>
          <w:rFonts w:ascii="Arial" w:hAnsi="Arial" w:cs="Arial"/>
        </w:rPr>
        <w:t>The proposal is to develop a</w:t>
      </w:r>
      <w:r w:rsidR="00480254" w:rsidRPr="00943669">
        <w:rPr>
          <w:rFonts w:ascii="Arial" w:hAnsi="Arial" w:cs="Arial"/>
        </w:rPr>
        <w:t xml:space="preserve"> production area fit for future purpose in line with Scottish Health Protection Network (SHPN) 13 guidance</w:t>
      </w:r>
      <w:r w:rsidRPr="00943669">
        <w:rPr>
          <w:rFonts w:ascii="Arial" w:hAnsi="Arial" w:cs="Arial"/>
        </w:rPr>
        <w:t xml:space="preserve"> </w:t>
      </w:r>
      <w:r w:rsidR="00480254" w:rsidRPr="00943669">
        <w:rPr>
          <w:rFonts w:ascii="Arial" w:hAnsi="Arial" w:cs="Arial"/>
        </w:rPr>
        <w:t>as part of the Phase 2 Expansion Programme.</w:t>
      </w:r>
    </w:p>
    <w:p w:rsidR="00335D3B" w:rsidRPr="00943669" w:rsidRDefault="00335D3B" w:rsidP="00943669">
      <w:pPr>
        <w:ind w:left="720"/>
        <w:contextualSpacing/>
        <w:rPr>
          <w:rFonts w:ascii="Arial" w:hAnsi="Arial" w:cs="Arial"/>
        </w:rPr>
      </w:pPr>
    </w:p>
    <w:p w:rsidR="00480254" w:rsidRPr="00943669" w:rsidRDefault="00480254" w:rsidP="00943669">
      <w:pPr>
        <w:autoSpaceDE w:val="0"/>
        <w:autoSpaceDN w:val="0"/>
        <w:adjustRightInd w:val="0"/>
        <w:ind w:left="720"/>
        <w:contextualSpacing/>
        <w:rPr>
          <w:rFonts w:ascii="Arial" w:hAnsi="Arial" w:cs="Arial"/>
        </w:rPr>
      </w:pPr>
      <w:r w:rsidRPr="00943669">
        <w:rPr>
          <w:rFonts w:ascii="Arial" w:hAnsi="Arial" w:cs="Arial"/>
        </w:rPr>
        <w:t xml:space="preserve">An equipment replacement programme with a range of options identified and associated cost </w:t>
      </w:r>
      <w:r w:rsidR="00943669">
        <w:rPr>
          <w:rFonts w:ascii="Arial" w:hAnsi="Arial" w:cs="Arial"/>
        </w:rPr>
        <w:t>is</w:t>
      </w:r>
      <w:r w:rsidR="00BE1C1A">
        <w:rPr>
          <w:rFonts w:ascii="Arial" w:hAnsi="Arial" w:cs="Arial"/>
        </w:rPr>
        <w:t xml:space="preserve"> </w:t>
      </w:r>
      <w:r w:rsidRPr="00943669">
        <w:rPr>
          <w:rFonts w:ascii="Arial" w:hAnsi="Arial" w:cs="Arial"/>
        </w:rPr>
        <w:t>presented in section 2.6 and recommendation is to procure in 2021</w:t>
      </w:r>
      <w:r w:rsidR="00BE1C1A">
        <w:rPr>
          <w:rFonts w:ascii="Arial" w:hAnsi="Arial" w:cs="Arial"/>
        </w:rPr>
        <w:t>:</w:t>
      </w:r>
      <w:r w:rsidRPr="00943669">
        <w:rPr>
          <w:rFonts w:ascii="Arial" w:hAnsi="Arial" w:cs="Arial"/>
        </w:rPr>
        <w:t xml:space="preserve"> </w:t>
      </w:r>
      <w:r w:rsidR="00BE1C1A">
        <w:rPr>
          <w:rFonts w:ascii="Arial" w:hAnsi="Arial" w:cs="Arial"/>
        </w:rPr>
        <w:t>four</w:t>
      </w:r>
      <w:r w:rsidRPr="00943669">
        <w:rPr>
          <w:rFonts w:ascii="Arial" w:hAnsi="Arial" w:cs="Arial"/>
        </w:rPr>
        <w:t xml:space="preserve"> double chamber washers, </w:t>
      </w:r>
      <w:r w:rsidR="00BE1C1A">
        <w:rPr>
          <w:rFonts w:ascii="Arial" w:hAnsi="Arial" w:cs="Arial"/>
        </w:rPr>
        <w:t>four</w:t>
      </w:r>
      <w:r w:rsidR="00BE1C1A" w:rsidRPr="00943669">
        <w:rPr>
          <w:rFonts w:ascii="Arial" w:hAnsi="Arial" w:cs="Arial"/>
        </w:rPr>
        <w:t xml:space="preserve"> </w:t>
      </w:r>
      <w:r w:rsidRPr="00943669">
        <w:rPr>
          <w:rFonts w:ascii="Arial" w:hAnsi="Arial" w:cs="Arial"/>
        </w:rPr>
        <w:t xml:space="preserve">sterilisers, </w:t>
      </w:r>
      <w:r w:rsidR="00BE1C1A">
        <w:rPr>
          <w:rFonts w:ascii="Arial" w:hAnsi="Arial" w:cs="Arial"/>
        </w:rPr>
        <w:t>two</w:t>
      </w:r>
      <w:r w:rsidRPr="00943669">
        <w:rPr>
          <w:rFonts w:ascii="Arial" w:hAnsi="Arial" w:cs="Arial"/>
        </w:rPr>
        <w:t xml:space="preserve"> low temp</w:t>
      </w:r>
      <w:r w:rsidR="00BE1C1A">
        <w:rPr>
          <w:rFonts w:ascii="Arial" w:hAnsi="Arial" w:cs="Arial"/>
        </w:rPr>
        <w:t>erature</w:t>
      </w:r>
      <w:r w:rsidRPr="00943669">
        <w:rPr>
          <w:rFonts w:ascii="Arial" w:hAnsi="Arial" w:cs="Arial"/>
        </w:rPr>
        <w:t xml:space="preserve"> hydrogen peroxide sterilisers (for robotics), </w:t>
      </w:r>
      <w:r w:rsidR="00BE1C1A">
        <w:rPr>
          <w:rFonts w:ascii="Arial" w:hAnsi="Arial" w:cs="Arial"/>
        </w:rPr>
        <w:t>two</w:t>
      </w:r>
      <w:r w:rsidRPr="00943669">
        <w:rPr>
          <w:rFonts w:ascii="Arial" w:hAnsi="Arial" w:cs="Arial"/>
        </w:rPr>
        <w:t xml:space="preserve"> cart washers, </w:t>
      </w:r>
      <w:r w:rsidR="00BE1C1A">
        <w:rPr>
          <w:rFonts w:ascii="Arial" w:hAnsi="Arial" w:cs="Arial"/>
        </w:rPr>
        <w:t>three</w:t>
      </w:r>
      <w:r w:rsidRPr="00943669">
        <w:rPr>
          <w:rFonts w:ascii="Arial" w:hAnsi="Arial" w:cs="Arial"/>
        </w:rPr>
        <w:t xml:space="preserve"> ultrasonic washers and plant maintenance</w:t>
      </w:r>
      <w:r w:rsidR="00BE1C1A">
        <w:rPr>
          <w:rFonts w:ascii="Arial" w:hAnsi="Arial" w:cs="Arial"/>
        </w:rPr>
        <w:t xml:space="preserve"> </w:t>
      </w:r>
      <w:r w:rsidRPr="00943669">
        <w:rPr>
          <w:rFonts w:ascii="Arial" w:hAnsi="Arial" w:cs="Arial"/>
        </w:rPr>
        <w:t xml:space="preserve">equipment. </w:t>
      </w:r>
    </w:p>
    <w:p w:rsidR="00335D3B" w:rsidRPr="00943669" w:rsidRDefault="00335D3B" w:rsidP="00943669">
      <w:pPr>
        <w:autoSpaceDE w:val="0"/>
        <w:autoSpaceDN w:val="0"/>
        <w:adjustRightInd w:val="0"/>
        <w:ind w:left="720"/>
        <w:contextualSpacing/>
        <w:rPr>
          <w:rFonts w:ascii="Arial" w:hAnsi="Arial" w:cs="Arial"/>
        </w:rPr>
      </w:pPr>
    </w:p>
    <w:p w:rsidR="00751C78" w:rsidRDefault="00480254" w:rsidP="00943669">
      <w:pPr>
        <w:autoSpaceDE w:val="0"/>
        <w:autoSpaceDN w:val="0"/>
        <w:adjustRightInd w:val="0"/>
        <w:ind w:left="720"/>
        <w:contextualSpacing/>
        <w:rPr>
          <w:rFonts w:ascii="Arial" w:hAnsi="Arial" w:cs="Arial"/>
        </w:rPr>
      </w:pPr>
      <w:r w:rsidRPr="00943669">
        <w:rPr>
          <w:rFonts w:ascii="Arial" w:hAnsi="Arial" w:cs="Arial"/>
        </w:rPr>
        <w:t>The workforce model developed assumes space allocation of 1</w:t>
      </w:r>
      <w:r w:rsidR="00BE1C1A">
        <w:rPr>
          <w:rFonts w:ascii="Arial" w:hAnsi="Arial" w:cs="Arial"/>
        </w:rPr>
        <w:t>,</w:t>
      </w:r>
      <w:r w:rsidRPr="00943669">
        <w:rPr>
          <w:rFonts w:ascii="Arial" w:hAnsi="Arial" w:cs="Arial"/>
        </w:rPr>
        <w:t>291</w:t>
      </w:r>
      <w:r w:rsidR="00BE1C1A">
        <w:rPr>
          <w:rFonts w:ascii="Arial" w:hAnsi="Arial" w:cs="Arial"/>
        </w:rPr>
        <w:t xml:space="preserve"> square metres </w:t>
      </w:r>
      <w:r w:rsidRPr="00943669">
        <w:rPr>
          <w:rFonts w:ascii="Arial" w:hAnsi="Arial" w:cs="Arial"/>
        </w:rPr>
        <w:t>with a separate area for Endoscopy decontamination. The estates footprint and equipment replacement programme will influence the final workforce proposal and associated shift patterns required in line with the activity demand.</w:t>
      </w:r>
    </w:p>
    <w:p w:rsidR="00BE1C1A" w:rsidRPr="00943669" w:rsidRDefault="00BE1C1A" w:rsidP="00943669">
      <w:pPr>
        <w:autoSpaceDE w:val="0"/>
        <w:autoSpaceDN w:val="0"/>
        <w:adjustRightInd w:val="0"/>
        <w:ind w:left="720"/>
        <w:contextualSpacing/>
        <w:rPr>
          <w:rFonts w:ascii="Arial" w:hAnsi="Arial" w:cs="Arial"/>
        </w:rPr>
      </w:pPr>
    </w:p>
    <w:p w:rsidR="00CA2F0E" w:rsidRPr="00BE1C1A" w:rsidRDefault="00CA2F0E" w:rsidP="00943669">
      <w:pPr>
        <w:pStyle w:val="Heading2"/>
        <w:numPr>
          <w:ilvl w:val="0"/>
          <w:numId w:val="19"/>
        </w:numPr>
        <w:spacing w:before="0" w:after="0"/>
        <w:ind w:right="183"/>
        <w:rPr>
          <w:i w:val="0"/>
          <w:sz w:val="24"/>
          <w:szCs w:val="24"/>
        </w:rPr>
      </w:pPr>
      <w:r w:rsidRPr="00BE1C1A">
        <w:rPr>
          <w:i w:val="0"/>
          <w:sz w:val="24"/>
          <w:szCs w:val="24"/>
        </w:rPr>
        <w:t>Option appraisal/risk assessment</w:t>
      </w:r>
    </w:p>
    <w:p w:rsidR="00731CCA" w:rsidRPr="00943669" w:rsidRDefault="00731CCA" w:rsidP="00943669">
      <w:pPr>
        <w:pStyle w:val="BoldNormal"/>
        <w:spacing w:line="240" w:lineRule="auto"/>
        <w:rPr>
          <w:b w:val="0"/>
          <w:sz w:val="24"/>
          <w:szCs w:val="24"/>
        </w:rPr>
      </w:pPr>
    </w:p>
    <w:p w:rsidR="00BE1C1A" w:rsidRDefault="00FF78C1" w:rsidP="00943669">
      <w:pPr>
        <w:pStyle w:val="BoldNormal"/>
        <w:spacing w:line="240" w:lineRule="auto"/>
        <w:ind w:left="720"/>
        <w:rPr>
          <w:b w:val="0"/>
          <w:sz w:val="24"/>
          <w:szCs w:val="24"/>
        </w:rPr>
      </w:pPr>
      <w:r w:rsidRPr="00943669">
        <w:rPr>
          <w:b w:val="0"/>
          <w:sz w:val="24"/>
          <w:szCs w:val="24"/>
        </w:rPr>
        <w:t xml:space="preserve">The Options Framework explored during the development of the strategy </w:t>
      </w:r>
      <w:r w:rsidR="00335D3B" w:rsidRPr="00943669">
        <w:rPr>
          <w:b w:val="0"/>
          <w:sz w:val="24"/>
          <w:szCs w:val="24"/>
        </w:rPr>
        <w:t xml:space="preserve">looked at </w:t>
      </w:r>
      <w:r w:rsidR="00214E22" w:rsidRPr="00943669">
        <w:rPr>
          <w:b w:val="0"/>
          <w:sz w:val="24"/>
          <w:szCs w:val="24"/>
        </w:rPr>
        <w:t xml:space="preserve">a wide range of options with the conclusion </w:t>
      </w:r>
      <w:r w:rsidRPr="00943669">
        <w:rPr>
          <w:b w:val="0"/>
          <w:sz w:val="24"/>
          <w:szCs w:val="24"/>
        </w:rPr>
        <w:t xml:space="preserve">that funding should either be secured to refurbish the existing facilities or relocate to a different area, preferably on-site. </w:t>
      </w:r>
    </w:p>
    <w:p w:rsidR="00BE1C1A" w:rsidRDefault="00BE1C1A" w:rsidP="00943669">
      <w:pPr>
        <w:pStyle w:val="BoldNormal"/>
        <w:spacing w:line="240" w:lineRule="auto"/>
        <w:ind w:left="720"/>
        <w:rPr>
          <w:b w:val="0"/>
          <w:sz w:val="24"/>
          <w:szCs w:val="24"/>
        </w:rPr>
      </w:pPr>
    </w:p>
    <w:p w:rsidR="00214E22" w:rsidRPr="00943669" w:rsidRDefault="00FF78C1" w:rsidP="00943669">
      <w:pPr>
        <w:pStyle w:val="BoldNormal"/>
        <w:spacing w:line="240" w:lineRule="auto"/>
        <w:ind w:left="720"/>
        <w:rPr>
          <w:b w:val="0"/>
          <w:color w:val="000000"/>
          <w:sz w:val="24"/>
          <w:szCs w:val="24"/>
          <w:lang w:eastAsia="en-GB"/>
        </w:rPr>
      </w:pPr>
      <w:r w:rsidRPr="00943669">
        <w:rPr>
          <w:b w:val="0"/>
          <w:sz w:val="24"/>
          <w:szCs w:val="24"/>
        </w:rPr>
        <w:t xml:space="preserve">The option to relocate off site was discounted </w:t>
      </w:r>
      <w:r w:rsidRPr="00943669">
        <w:rPr>
          <w:b w:val="0"/>
          <w:color w:val="000000"/>
          <w:sz w:val="24"/>
          <w:szCs w:val="24"/>
          <w:lang w:eastAsia="en-GB"/>
        </w:rPr>
        <w:t>due to the many unknown factors and potential cost, and is not in keeping with the current approach to th</w:t>
      </w:r>
      <w:r w:rsidR="00335D3B" w:rsidRPr="00943669">
        <w:rPr>
          <w:b w:val="0"/>
          <w:color w:val="000000"/>
          <w:sz w:val="24"/>
          <w:szCs w:val="24"/>
          <w:lang w:eastAsia="en-GB"/>
        </w:rPr>
        <w:t>e delivery of core NHS services.</w:t>
      </w:r>
    </w:p>
    <w:p w:rsidR="00731CCA" w:rsidRPr="00943669" w:rsidRDefault="00731CCA" w:rsidP="00943669">
      <w:pPr>
        <w:pStyle w:val="BoldNormal"/>
        <w:spacing w:line="240" w:lineRule="auto"/>
        <w:ind w:left="1080"/>
        <w:rPr>
          <w:b w:val="0"/>
          <w:color w:val="000000"/>
          <w:sz w:val="24"/>
          <w:szCs w:val="24"/>
          <w:lang w:eastAsia="en-GB"/>
        </w:rPr>
      </w:pPr>
    </w:p>
    <w:p w:rsidR="00214E22" w:rsidRPr="00943669" w:rsidRDefault="00214E22" w:rsidP="00943669">
      <w:pPr>
        <w:pStyle w:val="BoldNormal"/>
        <w:spacing w:line="240" w:lineRule="auto"/>
        <w:ind w:left="720"/>
        <w:rPr>
          <w:b w:val="0"/>
          <w:color w:val="000000"/>
          <w:sz w:val="24"/>
          <w:szCs w:val="24"/>
          <w:lang w:eastAsia="en-GB"/>
        </w:rPr>
      </w:pPr>
      <w:r w:rsidRPr="00943669">
        <w:rPr>
          <w:b w:val="0"/>
          <w:color w:val="000000"/>
          <w:sz w:val="24"/>
          <w:szCs w:val="24"/>
          <w:lang w:eastAsia="en-GB"/>
        </w:rPr>
        <w:t xml:space="preserve">The business case explored </w:t>
      </w:r>
      <w:r w:rsidR="00BE62F6" w:rsidRPr="00943669">
        <w:rPr>
          <w:b w:val="0"/>
          <w:color w:val="000000"/>
          <w:sz w:val="24"/>
          <w:szCs w:val="24"/>
          <w:lang w:eastAsia="en-GB"/>
        </w:rPr>
        <w:t xml:space="preserve">short listed </w:t>
      </w:r>
      <w:r w:rsidRPr="00943669">
        <w:rPr>
          <w:b w:val="0"/>
          <w:color w:val="000000"/>
          <w:sz w:val="24"/>
          <w:szCs w:val="24"/>
          <w:lang w:eastAsia="en-GB"/>
        </w:rPr>
        <w:t>three options as follows:</w:t>
      </w:r>
    </w:p>
    <w:p w:rsidR="00B973E1" w:rsidRPr="00943669" w:rsidRDefault="00B973E1" w:rsidP="00943669">
      <w:pPr>
        <w:ind w:left="720"/>
        <w:rPr>
          <w:rFonts w:ascii="Arial" w:hAnsi="Arial" w:cs="Arial"/>
        </w:rPr>
      </w:pPr>
    </w:p>
    <w:p w:rsidR="00600C20" w:rsidRPr="00943669" w:rsidRDefault="00CF6F78" w:rsidP="00943669">
      <w:pPr>
        <w:ind w:left="720"/>
        <w:rPr>
          <w:rFonts w:ascii="Arial" w:hAnsi="Arial" w:cs="Arial"/>
          <w:bCs/>
        </w:rPr>
      </w:pPr>
      <w:r w:rsidRPr="00943669">
        <w:rPr>
          <w:rFonts w:ascii="Arial" w:hAnsi="Arial" w:cs="Arial"/>
          <w:b/>
        </w:rPr>
        <w:t>Option 1</w:t>
      </w:r>
      <w:r w:rsidRPr="00943669">
        <w:rPr>
          <w:rFonts w:ascii="Arial" w:hAnsi="Arial" w:cs="Arial"/>
        </w:rPr>
        <w:t>:</w:t>
      </w:r>
      <w:r w:rsidRPr="00943669">
        <w:rPr>
          <w:rFonts w:ascii="Arial" w:hAnsi="Arial" w:cs="Arial"/>
        </w:rPr>
        <w:tab/>
      </w:r>
      <w:r w:rsidRPr="00943669">
        <w:rPr>
          <w:rFonts w:ascii="Arial" w:hAnsi="Arial" w:cs="Arial"/>
          <w:b/>
        </w:rPr>
        <w:t>Status Quo – do minimum</w:t>
      </w:r>
      <w:r w:rsidR="00600C20" w:rsidRPr="00943669">
        <w:rPr>
          <w:rFonts w:ascii="Arial" w:hAnsi="Arial" w:cs="Arial"/>
          <w:bCs/>
        </w:rPr>
        <w:t xml:space="preserve"> </w:t>
      </w:r>
    </w:p>
    <w:p w:rsidR="00BE1C1A" w:rsidRDefault="00BE1C1A" w:rsidP="00943669">
      <w:pPr>
        <w:ind w:left="2160"/>
        <w:rPr>
          <w:rFonts w:ascii="Arial" w:hAnsi="Arial" w:cs="Arial"/>
          <w:bCs/>
        </w:rPr>
      </w:pPr>
    </w:p>
    <w:p w:rsidR="00600C20" w:rsidRDefault="00600C20" w:rsidP="00943669">
      <w:pPr>
        <w:ind w:left="2160"/>
        <w:rPr>
          <w:rFonts w:ascii="Arial" w:hAnsi="Arial" w:cs="Arial"/>
          <w:bCs/>
        </w:rPr>
      </w:pPr>
      <w:r w:rsidRPr="00943669">
        <w:rPr>
          <w:rFonts w:ascii="Arial" w:hAnsi="Arial" w:cs="Arial"/>
          <w:bCs/>
        </w:rPr>
        <w:t xml:space="preserve">All the equipment is </w:t>
      </w:r>
      <w:r w:rsidR="00BE1C1A">
        <w:rPr>
          <w:rFonts w:ascii="Arial" w:hAnsi="Arial" w:cs="Arial"/>
          <w:bCs/>
        </w:rPr>
        <w:t>more than</w:t>
      </w:r>
      <w:r w:rsidR="00BE1C1A" w:rsidRPr="00943669">
        <w:rPr>
          <w:rFonts w:ascii="Arial" w:hAnsi="Arial" w:cs="Arial"/>
          <w:bCs/>
        </w:rPr>
        <w:t xml:space="preserve"> </w:t>
      </w:r>
      <w:r w:rsidRPr="00943669">
        <w:rPr>
          <w:rFonts w:ascii="Arial" w:hAnsi="Arial" w:cs="Arial"/>
          <w:bCs/>
        </w:rPr>
        <w:t>12 years old and reliability of the equipment/machines is expected to decrease and failure rates increase in line with well established equipment management principles. This has been financially modelled through the economic analysis. The planned equipment replacement programme exists to address this issue before it becomes an operational risk.</w:t>
      </w:r>
    </w:p>
    <w:p w:rsidR="00BE1C1A" w:rsidRPr="00943669" w:rsidRDefault="00BE1C1A" w:rsidP="00943669">
      <w:pPr>
        <w:ind w:left="2160"/>
        <w:rPr>
          <w:rFonts w:ascii="Arial" w:hAnsi="Arial" w:cs="Arial"/>
          <w:bCs/>
        </w:rPr>
      </w:pPr>
    </w:p>
    <w:p w:rsidR="009E6C45" w:rsidRPr="00943669" w:rsidRDefault="00CF6F78" w:rsidP="00943669">
      <w:pPr>
        <w:ind w:left="2160" w:hanging="1440"/>
        <w:rPr>
          <w:rFonts w:ascii="Arial" w:hAnsi="Arial" w:cs="Arial"/>
        </w:rPr>
      </w:pPr>
      <w:r w:rsidRPr="00943669">
        <w:rPr>
          <w:rFonts w:ascii="Arial" w:hAnsi="Arial" w:cs="Arial"/>
          <w:b/>
        </w:rPr>
        <w:t>Option 2</w:t>
      </w:r>
      <w:r w:rsidRPr="00943669">
        <w:rPr>
          <w:rFonts w:ascii="Arial" w:hAnsi="Arial" w:cs="Arial"/>
        </w:rPr>
        <w:t>:</w:t>
      </w:r>
      <w:r w:rsidRPr="00943669">
        <w:rPr>
          <w:rFonts w:ascii="Arial" w:hAnsi="Arial" w:cs="Arial"/>
        </w:rPr>
        <w:tab/>
      </w:r>
      <w:r w:rsidR="009E6C45" w:rsidRPr="00943669">
        <w:rPr>
          <w:rFonts w:ascii="Arial" w:hAnsi="Arial" w:cs="Arial"/>
          <w:b/>
        </w:rPr>
        <w:t>Refurbish Existing Facility</w:t>
      </w:r>
      <w:r w:rsidR="009E6C45" w:rsidRPr="00943669">
        <w:rPr>
          <w:rFonts w:ascii="Arial" w:hAnsi="Arial" w:cs="Arial"/>
        </w:rPr>
        <w:t xml:space="preserve"> </w:t>
      </w:r>
    </w:p>
    <w:p w:rsidR="00BE1C1A" w:rsidRDefault="00BE1C1A" w:rsidP="00943669">
      <w:pPr>
        <w:ind w:left="2160"/>
        <w:rPr>
          <w:rFonts w:ascii="Arial" w:hAnsi="Arial" w:cs="Arial"/>
        </w:rPr>
      </w:pPr>
    </w:p>
    <w:p w:rsidR="00335D3B" w:rsidRPr="00943669" w:rsidRDefault="00600C20" w:rsidP="00943669">
      <w:pPr>
        <w:ind w:left="2160"/>
        <w:rPr>
          <w:rFonts w:ascii="Arial" w:hAnsi="Arial" w:cs="Arial"/>
        </w:rPr>
      </w:pPr>
      <w:r w:rsidRPr="00943669">
        <w:rPr>
          <w:rFonts w:ascii="Arial" w:hAnsi="Arial" w:cs="Arial"/>
        </w:rPr>
        <w:t>This option to extend or refurbish the existing facilities includes areas currently occupied by Stores on Level 1. The footprint would be insufficient to meet the Scottish Health Protection Network (SHPN) 13 guidance</w:t>
      </w:r>
      <w:r w:rsidRPr="00943669">
        <w:rPr>
          <w:rFonts w:ascii="Arial" w:hAnsi="Arial" w:cs="Arial"/>
          <w:bCs/>
        </w:rPr>
        <w:t xml:space="preserve"> and </w:t>
      </w:r>
      <w:r w:rsidRPr="00943669">
        <w:rPr>
          <w:rFonts w:ascii="Arial" w:hAnsi="Arial" w:cs="Arial"/>
        </w:rPr>
        <w:t>H</w:t>
      </w:r>
      <w:r w:rsidR="00014638" w:rsidRPr="00943669">
        <w:rPr>
          <w:rFonts w:ascii="Arial" w:hAnsi="Arial" w:cs="Arial"/>
        </w:rPr>
        <w:t>ealth Building Note</w:t>
      </w:r>
      <w:r w:rsidRPr="00943669">
        <w:rPr>
          <w:rFonts w:ascii="Arial" w:hAnsi="Arial" w:cs="Arial"/>
        </w:rPr>
        <w:t>.</w:t>
      </w:r>
    </w:p>
    <w:p w:rsidR="00600C20" w:rsidRDefault="00600C20" w:rsidP="00943669">
      <w:pPr>
        <w:ind w:left="720"/>
        <w:rPr>
          <w:rFonts w:ascii="Arial" w:hAnsi="Arial" w:cs="Arial"/>
        </w:rPr>
      </w:pPr>
    </w:p>
    <w:p w:rsidR="009E6C45" w:rsidRPr="00943669" w:rsidRDefault="00CF6F78" w:rsidP="00943669">
      <w:pPr>
        <w:autoSpaceDE w:val="0"/>
        <w:autoSpaceDN w:val="0"/>
        <w:adjustRightInd w:val="0"/>
        <w:ind w:left="720"/>
        <w:rPr>
          <w:rFonts w:ascii="Arial" w:hAnsi="Arial" w:cs="Arial"/>
        </w:rPr>
      </w:pPr>
      <w:r w:rsidRPr="00943669">
        <w:rPr>
          <w:rFonts w:ascii="Arial" w:hAnsi="Arial" w:cs="Arial"/>
          <w:b/>
        </w:rPr>
        <w:lastRenderedPageBreak/>
        <w:t>Option 3:</w:t>
      </w:r>
      <w:r w:rsidRPr="00943669">
        <w:rPr>
          <w:rFonts w:ascii="Arial" w:hAnsi="Arial" w:cs="Arial"/>
          <w:b/>
        </w:rPr>
        <w:tab/>
        <w:t xml:space="preserve">New build as part of Expansion Programme </w:t>
      </w:r>
    </w:p>
    <w:p w:rsidR="00BE1C1A" w:rsidRDefault="00BE1C1A" w:rsidP="00943669">
      <w:pPr>
        <w:autoSpaceDE w:val="0"/>
        <w:autoSpaceDN w:val="0"/>
        <w:adjustRightInd w:val="0"/>
        <w:ind w:left="2160"/>
        <w:rPr>
          <w:rFonts w:ascii="Arial" w:hAnsi="Arial" w:cs="Arial"/>
        </w:rPr>
      </w:pPr>
    </w:p>
    <w:p w:rsidR="00600C20" w:rsidRPr="00943669" w:rsidRDefault="009E6C45" w:rsidP="00943669">
      <w:pPr>
        <w:autoSpaceDE w:val="0"/>
        <w:autoSpaceDN w:val="0"/>
        <w:adjustRightInd w:val="0"/>
        <w:ind w:left="2160"/>
        <w:rPr>
          <w:rFonts w:ascii="Arial" w:hAnsi="Arial" w:cs="Arial"/>
        </w:rPr>
      </w:pPr>
      <w:r w:rsidRPr="00943669">
        <w:rPr>
          <w:rFonts w:ascii="Arial" w:hAnsi="Arial" w:cs="Arial"/>
        </w:rPr>
        <w:t xml:space="preserve">This option would re provide the department in the phase 2 new build </w:t>
      </w:r>
      <w:r w:rsidR="00CF6F78" w:rsidRPr="00943669">
        <w:rPr>
          <w:rFonts w:ascii="Arial" w:hAnsi="Arial" w:cs="Arial"/>
        </w:rPr>
        <w:t>to meet additional demands of</w:t>
      </w:r>
      <w:r w:rsidRPr="00943669">
        <w:rPr>
          <w:rFonts w:ascii="Arial" w:hAnsi="Arial" w:cs="Arial"/>
        </w:rPr>
        <w:t xml:space="preserve"> the expansions. In addition this option</w:t>
      </w:r>
      <w:r w:rsidR="00600C20" w:rsidRPr="00943669">
        <w:rPr>
          <w:rFonts w:ascii="Arial" w:hAnsi="Arial" w:cs="Arial"/>
        </w:rPr>
        <w:t xml:space="preserve"> </w:t>
      </w:r>
      <w:r w:rsidRPr="00943669">
        <w:rPr>
          <w:rFonts w:ascii="Arial" w:hAnsi="Arial" w:cs="Arial"/>
        </w:rPr>
        <w:t xml:space="preserve">enables </w:t>
      </w:r>
      <w:r w:rsidR="00600C20" w:rsidRPr="00943669">
        <w:rPr>
          <w:rFonts w:ascii="Arial" w:hAnsi="Arial" w:cs="Arial"/>
        </w:rPr>
        <w:t xml:space="preserve">CSPD to meet all </w:t>
      </w:r>
      <w:r w:rsidRPr="00943669">
        <w:rPr>
          <w:rFonts w:ascii="Arial" w:hAnsi="Arial" w:cs="Arial"/>
        </w:rPr>
        <w:t xml:space="preserve">the guidance requirements and </w:t>
      </w:r>
      <w:r w:rsidR="00600C20" w:rsidRPr="00943669">
        <w:rPr>
          <w:rFonts w:ascii="Arial" w:hAnsi="Arial" w:cs="Arial"/>
        </w:rPr>
        <w:t xml:space="preserve">continue to deliver existing decontamination services and move into new build once complete. </w:t>
      </w:r>
    </w:p>
    <w:p w:rsidR="00BE62F6" w:rsidRPr="00943669" w:rsidRDefault="00BE62F6" w:rsidP="00943669">
      <w:pPr>
        <w:rPr>
          <w:rFonts w:ascii="Arial" w:hAnsi="Arial" w:cs="Arial"/>
        </w:rPr>
      </w:pPr>
    </w:p>
    <w:p w:rsidR="009679E9" w:rsidRPr="00943669" w:rsidRDefault="009679E9" w:rsidP="00943669">
      <w:pPr>
        <w:ind w:left="720" w:right="26"/>
        <w:rPr>
          <w:rFonts w:ascii="Arial" w:hAnsi="Arial" w:cs="Arial"/>
          <w:bCs/>
        </w:rPr>
      </w:pPr>
      <w:r w:rsidRPr="00943669">
        <w:rPr>
          <w:rFonts w:ascii="Arial" w:hAnsi="Arial" w:cs="Arial"/>
          <w:bCs/>
        </w:rPr>
        <w:t xml:space="preserve">Option 3 demonstrated the lowest risk on the basis that it addressed risks to the Board’s reputation in meeting demands of the Expansion Programme, had a low risk of equipment obsolescence within a ten year period, low risk of equipment failure with replacement of new automated equipment and less risk of service or infrastructure failure resulting from a new build. </w:t>
      </w:r>
    </w:p>
    <w:p w:rsidR="00553F43" w:rsidRPr="00943669" w:rsidRDefault="00553F43" w:rsidP="00943669">
      <w:pPr>
        <w:ind w:left="720" w:right="26"/>
        <w:rPr>
          <w:rFonts w:ascii="Arial" w:hAnsi="Arial" w:cs="Arial"/>
          <w:bCs/>
        </w:rPr>
      </w:pPr>
    </w:p>
    <w:p w:rsidR="009679E9" w:rsidRPr="00943669" w:rsidRDefault="009679E9" w:rsidP="00943669">
      <w:pPr>
        <w:ind w:left="720" w:right="26"/>
        <w:rPr>
          <w:rFonts w:ascii="Arial" w:hAnsi="Arial" w:cs="Arial"/>
          <w:bCs/>
        </w:rPr>
      </w:pPr>
      <w:r w:rsidRPr="00943669">
        <w:rPr>
          <w:rFonts w:ascii="Arial" w:hAnsi="Arial" w:cs="Arial"/>
          <w:bCs/>
        </w:rPr>
        <w:t>Both Option 2 and 3 scored similarly presenting higher financial risks if funding was not made available and 2 scored highest risk of project overspend in refurbishing existing facilities and impact on services. However risk of service and infrastructure failure scored higher if refurbishing existing facilities.</w:t>
      </w:r>
    </w:p>
    <w:p w:rsidR="009679E9" w:rsidRPr="00943669" w:rsidRDefault="009679E9" w:rsidP="00943669">
      <w:pPr>
        <w:ind w:left="720" w:right="26"/>
        <w:rPr>
          <w:rFonts w:ascii="Arial" w:hAnsi="Arial" w:cs="Arial"/>
          <w:bCs/>
        </w:rPr>
      </w:pPr>
    </w:p>
    <w:p w:rsidR="009679E9" w:rsidRPr="00943669" w:rsidRDefault="009679E9" w:rsidP="00943669">
      <w:pPr>
        <w:ind w:left="720"/>
        <w:rPr>
          <w:rFonts w:ascii="Arial" w:hAnsi="Arial" w:cs="Arial"/>
          <w:bCs/>
        </w:rPr>
      </w:pPr>
      <w:r w:rsidRPr="00943669">
        <w:rPr>
          <w:rFonts w:ascii="Arial" w:hAnsi="Arial" w:cs="Arial"/>
          <w:bCs/>
        </w:rPr>
        <w:t>Option 1 was the most risky option in terms of meeting regulatory requirements and ability to meet future patient activity as a result of the expansion and ability to provide high quality and efficient Decontamination services.</w:t>
      </w:r>
    </w:p>
    <w:p w:rsidR="00553F43" w:rsidRPr="00943669" w:rsidRDefault="00553F43" w:rsidP="00943669">
      <w:pPr>
        <w:ind w:left="720"/>
        <w:rPr>
          <w:rFonts w:ascii="Arial" w:hAnsi="Arial" w:cs="Arial"/>
          <w:bCs/>
        </w:rPr>
      </w:pPr>
    </w:p>
    <w:p w:rsidR="00313439" w:rsidRPr="00943669" w:rsidRDefault="009679E9" w:rsidP="00943669">
      <w:pPr>
        <w:ind w:left="720"/>
        <w:rPr>
          <w:rFonts w:ascii="Arial" w:hAnsi="Arial" w:cs="Arial"/>
          <w:bCs/>
        </w:rPr>
      </w:pPr>
      <w:r w:rsidRPr="00943669">
        <w:rPr>
          <w:rFonts w:ascii="Arial" w:hAnsi="Arial" w:cs="Arial"/>
        </w:rPr>
        <w:t>Option 1 is suboptimal presenting high risk due to limited space availability, provision of equipment and sustainability of workforce and will therefore not future proof the decontamination service. Option 1 could be a single point of failure for the entire Phase 1 and 2 Expansions</w:t>
      </w:r>
      <w:r w:rsidRPr="00943669">
        <w:rPr>
          <w:rFonts w:ascii="Arial" w:hAnsi="Arial" w:cs="Arial"/>
          <w:bCs/>
        </w:rPr>
        <w:t xml:space="preserve"> and likely impact on Board’s reputation.</w:t>
      </w:r>
    </w:p>
    <w:p w:rsidR="00943669" w:rsidRPr="00943669" w:rsidRDefault="00943669" w:rsidP="00943669">
      <w:pPr>
        <w:pStyle w:val="BodyA"/>
        <w:ind w:left="2160" w:hanging="1440"/>
        <w:jc w:val="both"/>
        <w:rPr>
          <w:rFonts w:ascii="Arial" w:hAnsi="Arial" w:cs="Arial"/>
          <w:lang w:val="en-US"/>
        </w:rPr>
      </w:pPr>
    </w:p>
    <w:p w:rsidR="00943669" w:rsidRPr="00943669" w:rsidRDefault="00943669" w:rsidP="00BE1C1A">
      <w:pPr>
        <w:pStyle w:val="BodyA"/>
        <w:ind w:left="2160" w:hanging="1440"/>
        <w:rPr>
          <w:rFonts w:ascii="Arial" w:eastAsia="Arial" w:hAnsi="Arial" w:cs="Arial"/>
        </w:rPr>
      </w:pPr>
      <w:r w:rsidRPr="00943669">
        <w:rPr>
          <w:rFonts w:ascii="Arial" w:hAnsi="Arial" w:cs="Arial"/>
          <w:lang w:val="en-US"/>
        </w:rPr>
        <w:t xml:space="preserve">The Business Case recommends Option 3 to create a new department within </w:t>
      </w:r>
    </w:p>
    <w:p w:rsidR="00943669" w:rsidRPr="00943669" w:rsidRDefault="00943669" w:rsidP="00BE1C1A">
      <w:pPr>
        <w:pStyle w:val="BodyA"/>
        <w:ind w:left="709"/>
        <w:rPr>
          <w:rFonts w:ascii="Arial" w:eastAsia="Arial" w:hAnsi="Arial" w:cs="Arial"/>
        </w:rPr>
      </w:pPr>
      <w:r w:rsidRPr="00943669">
        <w:rPr>
          <w:rFonts w:ascii="Arial" w:hAnsi="Arial" w:cs="Arial"/>
          <w:lang w:val="en-US"/>
        </w:rPr>
        <w:t>Phase 2 building foot print to meet the additional activity demands project till 2035 and beyond. This option ensures a future sustainable, flexible and responsive provision of Sterile Services at the Golden Jubilee National Hospital delivered through the following:</w:t>
      </w:r>
    </w:p>
    <w:p w:rsidR="00943669" w:rsidRPr="00943669" w:rsidRDefault="00943669" w:rsidP="00943669">
      <w:pPr>
        <w:pStyle w:val="BodyA"/>
        <w:ind w:left="2160" w:hanging="1440"/>
        <w:jc w:val="both"/>
        <w:rPr>
          <w:rFonts w:ascii="Arial" w:eastAsia="Arial" w:hAnsi="Arial" w:cs="Arial"/>
        </w:rPr>
      </w:pPr>
    </w:p>
    <w:p w:rsidR="00943669" w:rsidRPr="00943669" w:rsidRDefault="00943669" w:rsidP="00943669">
      <w:pPr>
        <w:pStyle w:val="BodyA"/>
        <w:numPr>
          <w:ilvl w:val="0"/>
          <w:numId w:val="22"/>
        </w:numPr>
        <w:jc w:val="both"/>
        <w:rPr>
          <w:rFonts w:ascii="Arial" w:hAnsi="Arial" w:cs="Arial"/>
          <w:lang w:val="en-US"/>
        </w:rPr>
      </w:pPr>
      <w:r w:rsidRPr="00943669">
        <w:rPr>
          <w:rFonts w:ascii="Arial" w:hAnsi="Arial" w:cs="Arial"/>
          <w:lang w:val="en-US"/>
        </w:rPr>
        <w:t>New build CSPD department which meets the Scottish Health Protection Network (SHPN) 13 guidance and Health Building Note.</w:t>
      </w:r>
    </w:p>
    <w:p w:rsidR="00943669" w:rsidRPr="00943669" w:rsidRDefault="00943669" w:rsidP="00943669">
      <w:pPr>
        <w:pStyle w:val="BodyA"/>
        <w:numPr>
          <w:ilvl w:val="0"/>
          <w:numId w:val="22"/>
        </w:numPr>
        <w:jc w:val="both"/>
        <w:rPr>
          <w:rFonts w:ascii="Arial" w:hAnsi="Arial" w:cs="Arial"/>
          <w:lang w:val="en-US"/>
        </w:rPr>
      </w:pPr>
      <w:r w:rsidRPr="00943669">
        <w:rPr>
          <w:rFonts w:ascii="Arial" w:hAnsi="Arial" w:cs="Arial"/>
          <w:lang w:val="en-US"/>
        </w:rPr>
        <w:t xml:space="preserve">Procurement replacement washers, </w:t>
      </w:r>
      <w:proofErr w:type="spellStart"/>
      <w:r w:rsidRPr="00943669">
        <w:rPr>
          <w:rFonts w:ascii="Arial" w:hAnsi="Arial" w:cs="Arial"/>
          <w:lang w:val="en-US"/>
        </w:rPr>
        <w:t>sterilisers</w:t>
      </w:r>
      <w:proofErr w:type="spellEnd"/>
      <w:r w:rsidRPr="00943669">
        <w:rPr>
          <w:rFonts w:ascii="Arial" w:hAnsi="Arial" w:cs="Arial"/>
          <w:lang w:val="en-US"/>
        </w:rPr>
        <w:t>, cart washer and ultra sonic devices in line with the activity production cycle requirements as determined in appendix 4.</w:t>
      </w:r>
    </w:p>
    <w:p w:rsidR="00943669" w:rsidRDefault="00943669" w:rsidP="00943669">
      <w:pPr>
        <w:pStyle w:val="BodyA"/>
        <w:numPr>
          <w:ilvl w:val="0"/>
          <w:numId w:val="22"/>
        </w:numPr>
        <w:jc w:val="both"/>
        <w:rPr>
          <w:rFonts w:ascii="Arial" w:hAnsi="Arial" w:cs="Arial"/>
          <w:lang w:val="en-US"/>
        </w:rPr>
      </w:pPr>
      <w:r w:rsidRPr="00943669">
        <w:rPr>
          <w:rFonts w:ascii="Arial" w:hAnsi="Arial" w:cs="Arial"/>
          <w:lang w:val="en-US"/>
        </w:rPr>
        <w:t>Deliver a skilled workforce in line with production predictions with opportunity to achieve Health Care Science (HCS) status supported through a training academy framework.</w:t>
      </w:r>
    </w:p>
    <w:p w:rsidR="00000000" w:rsidRDefault="00907AAE">
      <w:pPr>
        <w:pStyle w:val="BodyA"/>
        <w:ind w:left="1069"/>
        <w:jc w:val="both"/>
        <w:rPr>
          <w:rFonts w:ascii="Arial" w:hAnsi="Arial" w:cs="Arial"/>
          <w:lang w:val="en-US"/>
        </w:rPr>
      </w:pPr>
    </w:p>
    <w:p w:rsidR="00000000" w:rsidRDefault="00907AAE">
      <w:pPr>
        <w:pStyle w:val="BodyA"/>
        <w:ind w:left="1069"/>
        <w:jc w:val="both"/>
        <w:rPr>
          <w:rFonts w:ascii="Arial" w:hAnsi="Arial" w:cs="Arial"/>
          <w:lang w:val="en-US"/>
        </w:rPr>
      </w:pPr>
    </w:p>
    <w:p w:rsidR="00000000" w:rsidRDefault="00907AAE">
      <w:pPr>
        <w:pStyle w:val="BodyA"/>
        <w:ind w:left="1069"/>
        <w:jc w:val="both"/>
        <w:rPr>
          <w:rFonts w:ascii="Arial" w:hAnsi="Arial" w:cs="Arial"/>
          <w:lang w:val="en-US"/>
        </w:rPr>
      </w:pPr>
    </w:p>
    <w:p w:rsidR="00CA2F0E" w:rsidRPr="00943669" w:rsidRDefault="00CA2F0E" w:rsidP="00943669">
      <w:pPr>
        <w:pStyle w:val="Heading2"/>
        <w:numPr>
          <w:ilvl w:val="0"/>
          <w:numId w:val="19"/>
        </w:numPr>
        <w:spacing w:before="0" w:after="0"/>
        <w:ind w:right="183"/>
        <w:rPr>
          <w:i w:val="0"/>
          <w:sz w:val="24"/>
          <w:szCs w:val="24"/>
        </w:rPr>
      </w:pPr>
      <w:r w:rsidRPr="00943669">
        <w:rPr>
          <w:i w:val="0"/>
          <w:sz w:val="24"/>
          <w:szCs w:val="24"/>
        </w:rPr>
        <w:lastRenderedPageBreak/>
        <w:t>Consultation</w:t>
      </w:r>
    </w:p>
    <w:p w:rsidR="00B973E1" w:rsidRPr="00943669" w:rsidRDefault="00B973E1" w:rsidP="00943669">
      <w:pPr>
        <w:ind w:left="720"/>
        <w:rPr>
          <w:rFonts w:ascii="Arial" w:hAnsi="Arial" w:cs="Arial"/>
        </w:rPr>
      </w:pPr>
    </w:p>
    <w:p w:rsidR="00BE1C1A" w:rsidRDefault="00B973E1" w:rsidP="00943669">
      <w:pPr>
        <w:ind w:left="720"/>
        <w:rPr>
          <w:rFonts w:ascii="Arial" w:hAnsi="Arial" w:cs="Arial"/>
        </w:rPr>
      </w:pPr>
      <w:r w:rsidRPr="00943669">
        <w:rPr>
          <w:rFonts w:ascii="Arial" w:hAnsi="Arial" w:cs="Arial"/>
        </w:rPr>
        <w:t>The consultation process was continuous throughout the development of the strategy</w:t>
      </w:r>
      <w:r w:rsidR="00BE1C1A">
        <w:rPr>
          <w:rFonts w:ascii="Arial" w:hAnsi="Arial" w:cs="Arial"/>
        </w:rPr>
        <w:t xml:space="preserve">. </w:t>
      </w:r>
    </w:p>
    <w:p w:rsidR="00BE1C1A" w:rsidRDefault="00BE1C1A" w:rsidP="00943669">
      <w:pPr>
        <w:ind w:left="720"/>
        <w:rPr>
          <w:rFonts w:ascii="Arial" w:hAnsi="Arial" w:cs="Arial"/>
        </w:rPr>
      </w:pPr>
    </w:p>
    <w:p w:rsidR="00B973E1" w:rsidRPr="00943669" w:rsidRDefault="00BE1C1A" w:rsidP="00943669">
      <w:pPr>
        <w:ind w:left="720"/>
        <w:rPr>
          <w:rFonts w:ascii="Arial" w:hAnsi="Arial" w:cs="Arial"/>
        </w:rPr>
      </w:pPr>
      <w:r>
        <w:rPr>
          <w:rFonts w:ascii="Arial" w:hAnsi="Arial" w:cs="Arial"/>
        </w:rPr>
        <w:t>T</w:t>
      </w:r>
      <w:r w:rsidR="00DD565E" w:rsidRPr="00943669">
        <w:rPr>
          <w:rFonts w:ascii="Arial" w:hAnsi="Arial" w:cs="Arial"/>
        </w:rPr>
        <w:t xml:space="preserve">here was both internal and external </w:t>
      </w:r>
      <w:r w:rsidR="00B973E1" w:rsidRPr="00943669">
        <w:rPr>
          <w:rFonts w:ascii="Arial" w:hAnsi="Arial" w:cs="Arial"/>
        </w:rPr>
        <w:t>stakeholder engagement</w:t>
      </w:r>
      <w:r w:rsidR="00DD565E" w:rsidRPr="00943669">
        <w:rPr>
          <w:rFonts w:ascii="Arial" w:hAnsi="Arial" w:cs="Arial"/>
        </w:rPr>
        <w:t xml:space="preserve"> throughout the process</w:t>
      </w:r>
      <w:r w:rsidR="00B973E1" w:rsidRPr="00943669">
        <w:rPr>
          <w:rFonts w:ascii="Arial" w:hAnsi="Arial" w:cs="Arial"/>
        </w:rPr>
        <w:t xml:space="preserve"> and the range of forum</w:t>
      </w:r>
      <w:r w:rsidR="00DD565E" w:rsidRPr="00943669">
        <w:rPr>
          <w:rFonts w:ascii="Arial" w:hAnsi="Arial" w:cs="Arial"/>
        </w:rPr>
        <w:t>s and benchmarking is listed below:</w:t>
      </w:r>
    </w:p>
    <w:p w:rsidR="00B973E1" w:rsidRPr="00943669" w:rsidRDefault="00B973E1" w:rsidP="00943669">
      <w:pPr>
        <w:ind w:left="720"/>
        <w:rPr>
          <w:rFonts w:ascii="Arial" w:hAnsi="Arial" w:cs="Arial"/>
        </w:rPr>
      </w:pPr>
    </w:p>
    <w:p w:rsidR="00B973E1" w:rsidRPr="00943669" w:rsidRDefault="00B973E1" w:rsidP="00943669">
      <w:pPr>
        <w:pStyle w:val="ListParagraph"/>
        <w:numPr>
          <w:ilvl w:val="0"/>
          <w:numId w:val="20"/>
        </w:numPr>
        <w:ind w:left="1440"/>
        <w:contextualSpacing/>
        <w:rPr>
          <w:rFonts w:ascii="Arial" w:hAnsi="Arial" w:cs="Arial"/>
          <w:sz w:val="24"/>
          <w:szCs w:val="24"/>
        </w:rPr>
      </w:pPr>
      <w:r w:rsidRPr="00943669">
        <w:rPr>
          <w:rFonts w:ascii="Arial" w:hAnsi="Arial" w:cs="Arial"/>
          <w:sz w:val="24"/>
          <w:szCs w:val="24"/>
        </w:rPr>
        <w:t>Options Framework Workshop (June 2018)</w:t>
      </w:r>
    </w:p>
    <w:p w:rsidR="00B973E1" w:rsidRPr="00943669" w:rsidRDefault="00B973E1" w:rsidP="00943669">
      <w:pPr>
        <w:pStyle w:val="ListParagraph"/>
        <w:numPr>
          <w:ilvl w:val="0"/>
          <w:numId w:val="20"/>
        </w:numPr>
        <w:ind w:left="1440"/>
        <w:contextualSpacing/>
        <w:rPr>
          <w:rFonts w:ascii="Arial" w:hAnsi="Arial" w:cs="Arial"/>
          <w:sz w:val="24"/>
          <w:szCs w:val="24"/>
        </w:rPr>
      </w:pPr>
      <w:r w:rsidRPr="00943669">
        <w:rPr>
          <w:rFonts w:ascii="Arial" w:hAnsi="Arial" w:cs="Arial"/>
          <w:sz w:val="24"/>
          <w:szCs w:val="24"/>
        </w:rPr>
        <w:t>Benchmarking with other Scottish Decontamination Units</w:t>
      </w:r>
    </w:p>
    <w:p w:rsidR="00B973E1" w:rsidRPr="00943669" w:rsidRDefault="00B973E1" w:rsidP="00943669">
      <w:pPr>
        <w:pStyle w:val="ListParagraph"/>
        <w:numPr>
          <w:ilvl w:val="0"/>
          <w:numId w:val="20"/>
        </w:numPr>
        <w:ind w:left="1440"/>
        <w:contextualSpacing/>
        <w:rPr>
          <w:rFonts w:ascii="Arial" w:hAnsi="Arial" w:cs="Arial"/>
          <w:sz w:val="24"/>
          <w:szCs w:val="24"/>
        </w:rPr>
      </w:pPr>
      <w:r w:rsidRPr="00943669">
        <w:rPr>
          <w:rFonts w:ascii="Arial" w:hAnsi="Arial" w:cs="Arial"/>
          <w:sz w:val="24"/>
          <w:szCs w:val="24"/>
        </w:rPr>
        <w:t xml:space="preserve">Establishment of a Steering Group to support the development of the CSPD Strategy leading to development of the Full Business Case </w:t>
      </w:r>
    </w:p>
    <w:p w:rsidR="00B973E1" w:rsidRPr="00943669" w:rsidRDefault="00B973E1" w:rsidP="00943669">
      <w:pPr>
        <w:pStyle w:val="ListParagraph"/>
        <w:numPr>
          <w:ilvl w:val="0"/>
          <w:numId w:val="20"/>
        </w:numPr>
        <w:ind w:left="1440"/>
        <w:contextualSpacing/>
        <w:rPr>
          <w:rFonts w:ascii="Arial" w:hAnsi="Arial" w:cs="Arial"/>
          <w:sz w:val="24"/>
          <w:szCs w:val="24"/>
        </w:rPr>
      </w:pPr>
      <w:r w:rsidRPr="00943669">
        <w:rPr>
          <w:rFonts w:ascii="Arial" w:hAnsi="Arial" w:cs="Arial"/>
          <w:sz w:val="24"/>
          <w:szCs w:val="24"/>
        </w:rPr>
        <w:t>Visit to comparable new build unit in NHS Ayrshire &amp; Arran to view their double ended steriliser installation to assess if the design could be considered as part of a future layout of GJF CSPD</w:t>
      </w:r>
    </w:p>
    <w:p w:rsidR="00B973E1" w:rsidRPr="00943669" w:rsidRDefault="00B973E1" w:rsidP="00943669">
      <w:pPr>
        <w:pStyle w:val="ListParagraph"/>
        <w:numPr>
          <w:ilvl w:val="0"/>
          <w:numId w:val="20"/>
        </w:numPr>
        <w:ind w:left="1440"/>
        <w:contextualSpacing/>
        <w:rPr>
          <w:rFonts w:ascii="Arial" w:hAnsi="Arial" w:cs="Arial"/>
          <w:sz w:val="24"/>
          <w:szCs w:val="24"/>
        </w:rPr>
      </w:pPr>
      <w:r w:rsidRPr="00943669">
        <w:rPr>
          <w:rFonts w:ascii="Arial" w:hAnsi="Arial" w:cs="Arial"/>
          <w:sz w:val="24"/>
          <w:szCs w:val="24"/>
        </w:rPr>
        <w:t>Explored with other sites the cost for a potential decant which would be essential in option 2</w:t>
      </w:r>
    </w:p>
    <w:p w:rsidR="00B973E1" w:rsidRPr="00943669" w:rsidRDefault="00B973E1" w:rsidP="00943669">
      <w:pPr>
        <w:pStyle w:val="ListParagraph"/>
        <w:numPr>
          <w:ilvl w:val="0"/>
          <w:numId w:val="20"/>
        </w:numPr>
        <w:ind w:left="1440"/>
        <w:contextualSpacing/>
        <w:rPr>
          <w:rFonts w:ascii="Arial" w:hAnsi="Arial" w:cs="Arial"/>
          <w:sz w:val="24"/>
          <w:szCs w:val="24"/>
        </w:rPr>
      </w:pPr>
      <w:r w:rsidRPr="00943669">
        <w:rPr>
          <w:rFonts w:ascii="Arial" w:hAnsi="Arial" w:cs="Arial"/>
          <w:sz w:val="24"/>
          <w:szCs w:val="24"/>
        </w:rPr>
        <w:t>Involving Health Facilities Scotland to provide advice on space requirements and machines and</w:t>
      </w:r>
    </w:p>
    <w:p w:rsidR="00B973E1" w:rsidRPr="00943669" w:rsidRDefault="00B973E1" w:rsidP="00943669">
      <w:pPr>
        <w:pStyle w:val="ListParagraph"/>
        <w:numPr>
          <w:ilvl w:val="0"/>
          <w:numId w:val="20"/>
        </w:numPr>
        <w:ind w:left="1440"/>
        <w:contextualSpacing/>
        <w:rPr>
          <w:rFonts w:ascii="Arial" w:hAnsi="Arial" w:cs="Arial"/>
          <w:sz w:val="24"/>
          <w:szCs w:val="24"/>
        </w:rPr>
      </w:pPr>
      <w:r w:rsidRPr="00943669">
        <w:rPr>
          <w:rFonts w:ascii="Arial" w:hAnsi="Arial" w:cs="Arial"/>
          <w:sz w:val="24"/>
          <w:szCs w:val="24"/>
        </w:rPr>
        <w:t>A Risks &amp; Benefits workshop (6 February 2019).</w:t>
      </w:r>
    </w:p>
    <w:p w:rsidR="00CA2F0E" w:rsidRPr="00943669" w:rsidRDefault="00CA2F0E" w:rsidP="00943669">
      <w:pPr>
        <w:ind w:right="183"/>
        <w:rPr>
          <w:rFonts w:ascii="Arial" w:hAnsi="Arial" w:cs="Arial"/>
          <w:b/>
          <w:bCs/>
        </w:rPr>
      </w:pPr>
    </w:p>
    <w:p w:rsidR="00313439" w:rsidRPr="00943669" w:rsidRDefault="00313439" w:rsidP="00943669">
      <w:pPr>
        <w:pStyle w:val="Heading2"/>
        <w:numPr>
          <w:ilvl w:val="0"/>
          <w:numId w:val="19"/>
        </w:numPr>
        <w:spacing w:before="0" w:after="0"/>
        <w:ind w:right="183"/>
        <w:rPr>
          <w:i w:val="0"/>
          <w:sz w:val="24"/>
          <w:szCs w:val="24"/>
        </w:rPr>
      </w:pPr>
      <w:r w:rsidRPr="00943669">
        <w:rPr>
          <w:i w:val="0"/>
          <w:sz w:val="24"/>
          <w:szCs w:val="24"/>
        </w:rPr>
        <w:t>The Financial Case</w:t>
      </w:r>
    </w:p>
    <w:p w:rsidR="00313439" w:rsidRPr="00943669" w:rsidRDefault="00313439" w:rsidP="00943669">
      <w:pPr>
        <w:rPr>
          <w:rFonts w:ascii="Arial" w:hAnsi="Arial" w:cs="Arial"/>
          <w:b/>
        </w:rPr>
      </w:pPr>
    </w:p>
    <w:p w:rsidR="00313439" w:rsidRDefault="00313439" w:rsidP="00943669">
      <w:pPr>
        <w:ind w:left="720"/>
        <w:rPr>
          <w:rFonts w:ascii="Arial" w:eastAsia="MS Mincho" w:hAnsi="Arial" w:cs="Arial"/>
        </w:rPr>
      </w:pPr>
      <w:r w:rsidRPr="00943669">
        <w:rPr>
          <w:rFonts w:ascii="Arial" w:eastAsia="MS Mincho" w:hAnsi="Arial" w:cs="Arial"/>
        </w:rPr>
        <w:t xml:space="preserve">Although the financial assessment favours </w:t>
      </w:r>
      <w:r w:rsidR="00BE1C1A">
        <w:rPr>
          <w:rFonts w:ascii="Arial" w:eastAsia="MS Mincho" w:hAnsi="Arial" w:cs="Arial"/>
        </w:rPr>
        <w:t>O</w:t>
      </w:r>
      <w:r w:rsidRPr="00943669">
        <w:rPr>
          <w:rFonts w:ascii="Arial" w:eastAsia="MS Mincho" w:hAnsi="Arial" w:cs="Arial"/>
        </w:rPr>
        <w:t xml:space="preserve">ption 1 as the most affordable, </w:t>
      </w:r>
      <w:r w:rsidR="00BE1C1A">
        <w:rPr>
          <w:rFonts w:ascii="Arial" w:eastAsia="MS Mincho" w:hAnsi="Arial" w:cs="Arial"/>
        </w:rPr>
        <w:t>O</w:t>
      </w:r>
      <w:r w:rsidRPr="00943669">
        <w:rPr>
          <w:rFonts w:ascii="Arial" w:eastAsia="MS Mincho" w:hAnsi="Arial" w:cs="Arial"/>
        </w:rPr>
        <w:t xml:space="preserve">ption 3 presents the most added </w:t>
      </w:r>
      <w:proofErr w:type="gramStart"/>
      <w:r w:rsidRPr="00943669">
        <w:rPr>
          <w:rFonts w:ascii="Arial" w:eastAsia="MS Mincho" w:hAnsi="Arial" w:cs="Arial"/>
        </w:rPr>
        <w:t>value</w:t>
      </w:r>
      <w:proofErr w:type="gramEnd"/>
      <w:r w:rsidRPr="00943669">
        <w:rPr>
          <w:rFonts w:ascii="Arial" w:eastAsia="MS Mincho" w:hAnsi="Arial" w:cs="Arial"/>
        </w:rPr>
        <w:t xml:space="preserve"> in terms of efficiency and ability to deliver a quality decontamination service that meets the needs of the Expansion Programme. </w:t>
      </w:r>
    </w:p>
    <w:p w:rsidR="00BE1C1A" w:rsidRPr="00943669" w:rsidRDefault="00BE1C1A" w:rsidP="00943669">
      <w:pPr>
        <w:ind w:left="720"/>
        <w:rPr>
          <w:rFonts w:ascii="Arial" w:eastAsia="MS Mincho" w:hAnsi="Arial" w:cs="Arial"/>
        </w:rPr>
      </w:pPr>
    </w:p>
    <w:p w:rsidR="00081B7E" w:rsidRPr="00943669" w:rsidRDefault="00081B7E" w:rsidP="00943669">
      <w:pPr>
        <w:ind w:left="720"/>
        <w:rPr>
          <w:rFonts w:ascii="Arial" w:hAnsi="Arial" w:cs="Arial"/>
        </w:rPr>
      </w:pPr>
      <w:r w:rsidRPr="00943669">
        <w:rPr>
          <w:rFonts w:ascii="Arial" w:hAnsi="Arial" w:cs="Arial"/>
        </w:rPr>
        <w:t xml:space="preserve">In summary table 1 outlines indicative costs including VAT: </w:t>
      </w:r>
    </w:p>
    <w:p w:rsidR="00081B7E" w:rsidRPr="00943669" w:rsidRDefault="00081B7E" w:rsidP="00943669">
      <w:pPr>
        <w:ind w:left="720"/>
        <w:rPr>
          <w:rFonts w:ascii="Arial" w:hAnsi="Arial" w:cs="Arial"/>
        </w:rPr>
      </w:pPr>
    </w:p>
    <w:p w:rsidR="00081B7E" w:rsidRPr="00943669" w:rsidRDefault="00081B7E" w:rsidP="00943669">
      <w:pPr>
        <w:ind w:left="720"/>
        <w:rPr>
          <w:rFonts w:ascii="Arial" w:hAnsi="Arial" w:cs="Arial"/>
        </w:rPr>
      </w:pPr>
      <w:r w:rsidRPr="00943669">
        <w:rPr>
          <w:rFonts w:ascii="Arial" w:hAnsi="Arial" w:cs="Arial"/>
        </w:rPr>
        <w:t>Table 1</w:t>
      </w:r>
    </w:p>
    <w:p w:rsidR="00216B3C" w:rsidRPr="00943669" w:rsidRDefault="00216B3C" w:rsidP="00943669">
      <w:pPr>
        <w:ind w:left="720"/>
        <w:rPr>
          <w:rFonts w:ascii="Arial" w:hAnsi="Arial" w:cs="Arial"/>
        </w:rPr>
      </w:pPr>
    </w:p>
    <w:tbl>
      <w:tblPr>
        <w:tblStyle w:val="TableGrid"/>
        <w:tblW w:w="9771" w:type="dxa"/>
        <w:tblInd w:w="-165" w:type="dxa"/>
        <w:tblLook w:val="04A0"/>
      </w:tblPr>
      <w:tblGrid>
        <w:gridCol w:w="990"/>
        <w:gridCol w:w="1070"/>
        <w:gridCol w:w="1710"/>
        <w:gridCol w:w="1456"/>
        <w:gridCol w:w="1724"/>
        <w:gridCol w:w="1310"/>
        <w:gridCol w:w="1456"/>
        <w:gridCol w:w="951"/>
      </w:tblGrid>
      <w:tr w:rsidR="00216B3C" w:rsidRPr="00943669" w:rsidTr="00943669">
        <w:tc>
          <w:tcPr>
            <w:tcW w:w="876" w:type="dxa"/>
            <w:shd w:val="clear" w:color="auto" w:fill="B8CCE4" w:themeFill="accent1" w:themeFillTint="66"/>
          </w:tcPr>
          <w:p w:rsidR="00216B3C" w:rsidRPr="00943669" w:rsidRDefault="00216B3C" w:rsidP="00943669">
            <w:pPr>
              <w:rPr>
                <w:rFonts w:ascii="Arial" w:hAnsi="Arial" w:cs="Arial"/>
                <w:b/>
              </w:rPr>
            </w:pPr>
            <w:r w:rsidRPr="00943669">
              <w:rPr>
                <w:rFonts w:ascii="Arial" w:hAnsi="Arial" w:cs="Arial"/>
                <w:b/>
              </w:rPr>
              <w:t>Option</w:t>
            </w:r>
          </w:p>
        </w:tc>
        <w:tc>
          <w:tcPr>
            <w:tcW w:w="957" w:type="dxa"/>
            <w:shd w:val="clear" w:color="auto" w:fill="B8CCE4" w:themeFill="accent1" w:themeFillTint="66"/>
          </w:tcPr>
          <w:p w:rsidR="00216B3C" w:rsidRPr="00943669" w:rsidRDefault="00216B3C" w:rsidP="00943669">
            <w:pPr>
              <w:rPr>
                <w:rFonts w:ascii="Arial" w:hAnsi="Arial" w:cs="Arial"/>
                <w:b/>
              </w:rPr>
            </w:pPr>
            <w:r w:rsidRPr="00943669">
              <w:rPr>
                <w:rFonts w:ascii="Arial" w:hAnsi="Arial" w:cs="Arial"/>
                <w:b/>
              </w:rPr>
              <w:t>Estates</w:t>
            </w: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r w:rsidRPr="00943669">
              <w:rPr>
                <w:rFonts w:ascii="Arial" w:hAnsi="Arial" w:cs="Arial"/>
                <w:b/>
              </w:rPr>
              <w:t>£000s</w:t>
            </w:r>
          </w:p>
        </w:tc>
        <w:tc>
          <w:tcPr>
            <w:tcW w:w="1461" w:type="dxa"/>
            <w:shd w:val="clear" w:color="auto" w:fill="B8CCE4" w:themeFill="accent1" w:themeFillTint="66"/>
          </w:tcPr>
          <w:p w:rsidR="00216B3C" w:rsidRPr="00943669" w:rsidRDefault="00216B3C" w:rsidP="00943669">
            <w:pPr>
              <w:rPr>
                <w:rFonts w:ascii="Arial" w:hAnsi="Arial" w:cs="Arial"/>
                <w:b/>
              </w:rPr>
            </w:pPr>
            <w:r w:rsidRPr="00943669">
              <w:rPr>
                <w:rFonts w:ascii="Arial" w:hAnsi="Arial" w:cs="Arial"/>
                <w:b/>
              </w:rPr>
              <w:t>Equipment Direct Replacement Per Capital Plan</w:t>
            </w:r>
          </w:p>
          <w:p w:rsidR="00216B3C" w:rsidRPr="00943669" w:rsidRDefault="00216B3C" w:rsidP="00943669">
            <w:pPr>
              <w:rPr>
                <w:rFonts w:ascii="Arial" w:hAnsi="Arial" w:cs="Arial"/>
                <w:b/>
              </w:rPr>
            </w:pPr>
            <w:r w:rsidRPr="00943669">
              <w:rPr>
                <w:rFonts w:ascii="Arial" w:hAnsi="Arial" w:cs="Arial"/>
                <w:b/>
              </w:rPr>
              <w:t>£000s</w:t>
            </w:r>
          </w:p>
        </w:tc>
        <w:tc>
          <w:tcPr>
            <w:tcW w:w="1250" w:type="dxa"/>
            <w:shd w:val="clear" w:color="auto" w:fill="B8CCE4" w:themeFill="accent1" w:themeFillTint="66"/>
          </w:tcPr>
          <w:p w:rsidR="00216B3C" w:rsidRPr="00943669" w:rsidRDefault="00216B3C" w:rsidP="00943669">
            <w:pPr>
              <w:rPr>
                <w:rFonts w:ascii="Arial" w:hAnsi="Arial" w:cs="Arial"/>
                <w:b/>
              </w:rPr>
            </w:pPr>
            <w:r w:rsidRPr="00943669">
              <w:rPr>
                <w:rFonts w:ascii="Arial" w:hAnsi="Arial" w:cs="Arial"/>
                <w:b/>
              </w:rPr>
              <w:t>Equipment – Additional for Expansion</w:t>
            </w:r>
          </w:p>
          <w:p w:rsidR="00216B3C" w:rsidRPr="00943669" w:rsidRDefault="00216B3C" w:rsidP="00943669">
            <w:pPr>
              <w:rPr>
                <w:rFonts w:ascii="Arial" w:hAnsi="Arial" w:cs="Arial"/>
                <w:b/>
              </w:rPr>
            </w:pPr>
            <w:r w:rsidRPr="00943669">
              <w:rPr>
                <w:rFonts w:ascii="Arial" w:hAnsi="Arial" w:cs="Arial"/>
                <w:b/>
              </w:rPr>
              <w:t>£000s</w:t>
            </w:r>
          </w:p>
        </w:tc>
        <w:tc>
          <w:tcPr>
            <w:tcW w:w="1541" w:type="dxa"/>
            <w:shd w:val="clear" w:color="auto" w:fill="B8CCE4" w:themeFill="accent1" w:themeFillTint="66"/>
          </w:tcPr>
          <w:p w:rsidR="00216B3C" w:rsidRPr="00943669" w:rsidRDefault="00216B3C" w:rsidP="00943669">
            <w:pPr>
              <w:rPr>
                <w:rFonts w:ascii="Arial" w:hAnsi="Arial" w:cs="Arial"/>
                <w:b/>
              </w:rPr>
            </w:pPr>
            <w:r w:rsidRPr="00943669">
              <w:rPr>
                <w:rFonts w:ascii="Arial" w:hAnsi="Arial" w:cs="Arial"/>
                <w:b/>
              </w:rPr>
              <w:t>Equipment – Service Development</w:t>
            </w: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r w:rsidRPr="00943669">
              <w:rPr>
                <w:rFonts w:ascii="Arial" w:hAnsi="Arial" w:cs="Arial"/>
                <w:b/>
              </w:rPr>
              <w:t>£000s</w:t>
            </w:r>
          </w:p>
        </w:tc>
        <w:tc>
          <w:tcPr>
            <w:tcW w:w="1276" w:type="dxa"/>
            <w:shd w:val="clear" w:color="auto" w:fill="B8CCE4" w:themeFill="accent1" w:themeFillTint="66"/>
          </w:tcPr>
          <w:p w:rsidR="00216B3C" w:rsidRPr="00943669" w:rsidRDefault="00216B3C" w:rsidP="00943669">
            <w:pPr>
              <w:rPr>
                <w:rFonts w:ascii="Arial" w:hAnsi="Arial" w:cs="Arial"/>
                <w:b/>
              </w:rPr>
            </w:pPr>
            <w:r w:rsidRPr="00943669">
              <w:rPr>
                <w:rFonts w:ascii="Arial" w:hAnsi="Arial" w:cs="Arial"/>
                <w:b/>
              </w:rPr>
              <w:t>Provision of Services/</w:t>
            </w:r>
            <w:r w:rsidR="00943669" w:rsidRPr="00943669">
              <w:rPr>
                <w:rFonts w:ascii="Arial" w:hAnsi="Arial" w:cs="Arial"/>
                <w:b/>
              </w:rPr>
              <w:t xml:space="preserve"> </w:t>
            </w:r>
            <w:r w:rsidRPr="00943669">
              <w:rPr>
                <w:rFonts w:ascii="Arial" w:hAnsi="Arial" w:cs="Arial"/>
                <w:b/>
              </w:rPr>
              <w:t>Plant</w:t>
            </w: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r w:rsidRPr="00943669">
              <w:rPr>
                <w:rFonts w:ascii="Arial" w:hAnsi="Arial" w:cs="Arial"/>
                <w:b/>
              </w:rPr>
              <w:t>£000s</w:t>
            </w:r>
          </w:p>
        </w:tc>
        <w:tc>
          <w:tcPr>
            <w:tcW w:w="1559" w:type="dxa"/>
            <w:shd w:val="clear" w:color="auto" w:fill="B8CCE4" w:themeFill="accent1" w:themeFillTint="66"/>
          </w:tcPr>
          <w:p w:rsidR="00216B3C" w:rsidRPr="00943669" w:rsidRDefault="00216B3C" w:rsidP="00943669">
            <w:pPr>
              <w:rPr>
                <w:rFonts w:ascii="Arial" w:hAnsi="Arial" w:cs="Arial"/>
                <w:b/>
              </w:rPr>
            </w:pPr>
            <w:r w:rsidRPr="00943669">
              <w:rPr>
                <w:rFonts w:ascii="Arial" w:hAnsi="Arial" w:cs="Arial"/>
                <w:b/>
              </w:rPr>
              <w:t>VAT – Equipment &amp; Service Provision</w:t>
            </w: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r w:rsidRPr="00943669">
              <w:rPr>
                <w:rFonts w:ascii="Arial" w:hAnsi="Arial" w:cs="Arial"/>
                <w:b/>
              </w:rPr>
              <w:t>£000s</w:t>
            </w:r>
          </w:p>
        </w:tc>
        <w:tc>
          <w:tcPr>
            <w:tcW w:w="851" w:type="dxa"/>
            <w:shd w:val="clear" w:color="auto" w:fill="B8CCE4" w:themeFill="accent1" w:themeFillTint="66"/>
          </w:tcPr>
          <w:p w:rsidR="00943669" w:rsidRPr="00943669" w:rsidRDefault="00943669" w:rsidP="00943669">
            <w:pPr>
              <w:rPr>
                <w:rFonts w:ascii="Arial" w:hAnsi="Arial" w:cs="Arial"/>
                <w:b/>
              </w:rPr>
            </w:pPr>
            <w:r w:rsidRPr="00943669">
              <w:rPr>
                <w:rFonts w:ascii="Arial" w:hAnsi="Arial" w:cs="Arial"/>
                <w:b/>
              </w:rPr>
              <w:t>Total (inc</w:t>
            </w:r>
          </w:p>
          <w:p w:rsidR="00216B3C" w:rsidRPr="00943669" w:rsidRDefault="00216B3C" w:rsidP="00943669">
            <w:pPr>
              <w:rPr>
                <w:rFonts w:ascii="Arial" w:hAnsi="Arial" w:cs="Arial"/>
                <w:b/>
              </w:rPr>
            </w:pPr>
            <w:r w:rsidRPr="00943669">
              <w:rPr>
                <w:rFonts w:ascii="Arial" w:hAnsi="Arial" w:cs="Arial"/>
                <w:b/>
              </w:rPr>
              <w:t>VAT)</w:t>
            </w: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p>
          <w:p w:rsidR="00216B3C" w:rsidRPr="00943669" w:rsidRDefault="00216B3C" w:rsidP="00943669">
            <w:pPr>
              <w:rPr>
                <w:rFonts w:ascii="Arial" w:hAnsi="Arial" w:cs="Arial"/>
                <w:b/>
              </w:rPr>
            </w:pPr>
            <w:r w:rsidRPr="00943669">
              <w:rPr>
                <w:rFonts w:ascii="Arial" w:hAnsi="Arial" w:cs="Arial"/>
                <w:b/>
              </w:rPr>
              <w:t>£000s</w:t>
            </w:r>
          </w:p>
        </w:tc>
      </w:tr>
      <w:tr w:rsidR="00216B3C" w:rsidRPr="00943669" w:rsidTr="00943669">
        <w:tc>
          <w:tcPr>
            <w:tcW w:w="876" w:type="dxa"/>
          </w:tcPr>
          <w:p w:rsidR="00216B3C" w:rsidRPr="00943669" w:rsidRDefault="00216B3C" w:rsidP="00943669">
            <w:pPr>
              <w:rPr>
                <w:rFonts w:ascii="Arial" w:hAnsi="Arial" w:cs="Arial"/>
              </w:rPr>
            </w:pPr>
            <w:r w:rsidRPr="00943669">
              <w:rPr>
                <w:rFonts w:ascii="Arial" w:hAnsi="Arial" w:cs="Arial"/>
              </w:rPr>
              <w:t>1</w:t>
            </w:r>
          </w:p>
        </w:tc>
        <w:tc>
          <w:tcPr>
            <w:tcW w:w="957" w:type="dxa"/>
          </w:tcPr>
          <w:p w:rsidR="00216B3C" w:rsidRPr="00943669" w:rsidRDefault="00216B3C" w:rsidP="00943669">
            <w:pPr>
              <w:rPr>
                <w:rFonts w:ascii="Arial" w:hAnsi="Arial" w:cs="Arial"/>
              </w:rPr>
            </w:pPr>
            <w:r w:rsidRPr="00943669">
              <w:rPr>
                <w:rFonts w:ascii="Arial" w:hAnsi="Arial" w:cs="Arial"/>
              </w:rPr>
              <w:t>0</w:t>
            </w:r>
          </w:p>
        </w:tc>
        <w:tc>
          <w:tcPr>
            <w:tcW w:w="1461" w:type="dxa"/>
          </w:tcPr>
          <w:p w:rsidR="00216B3C" w:rsidRPr="00943669" w:rsidRDefault="00216B3C" w:rsidP="00943669">
            <w:pPr>
              <w:rPr>
                <w:rFonts w:ascii="Arial" w:hAnsi="Arial" w:cs="Arial"/>
              </w:rPr>
            </w:pPr>
            <w:r w:rsidRPr="00943669">
              <w:rPr>
                <w:rFonts w:ascii="Arial" w:hAnsi="Arial" w:cs="Arial"/>
              </w:rPr>
              <w:t>900</w:t>
            </w:r>
          </w:p>
        </w:tc>
        <w:tc>
          <w:tcPr>
            <w:tcW w:w="1250" w:type="dxa"/>
          </w:tcPr>
          <w:p w:rsidR="00216B3C" w:rsidRPr="00943669" w:rsidRDefault="00216B3C" w:rsidP="00943669">
            <w:pPr>
              <w:rPr>
                <w:rFonts w:ascii="Arial" w:hAnsi="Arial" w:cs="Arial"/>
              </w:rPr>
            </w:pPr>
            <w:r w:rsidRPr="00943669">
              <w:rPr>
                <w:rFonts w:ascii="Arial" w:hAnsi="Arial" w:cs="Arial"/>
              </w:rPr>
              <w:t>160</w:t>
            </w:r>
          </w:p>
        </w:tc>
        <w:tc>
          <w:tcPr>
            <w:tcW w:w="1541" w:type="dxa"/>
          </w:tcPr>
          <w:p w:rsidR="00216B3C" w:rsidRPr="00943669" w:rsidRDefault="00216B3C" w:rsidP="00943669">
            <w:pPr>
              <w:rPr>
                <w:rFonts w:ascii="Arial" w:hAnsi="Arial" w:cs="Arial"/>
              </w:rPr>
            </w:pPr>
            <w:r w:rsidRPr="00943669">
              <w:rPr>
                <w:rFonts w:ascii="Arial" w:hAnsi="Arial" w:cs="Arial"/>
              </w:rPr>
              <w:t>420</w:t>
            </w:r>
          </w:p>
        </w:tc>
        <w:tc>
          <w:tcPr>
            <w:tcW w:w="1276" w:type="dxa"/>
          </w:tcPr>
          <w:p w:rsidR="00216B3C" w:rsidRPr="00943669" w:rsidRDefault="00216B3C" w:rsidP="00943669">
            <w:pPr>
              <w:rPr>
                <w:rFonts w:ascii="Arial" w:hAnsi="Arial" w:cs="Arial"/>
              </w:rPr>
            </w:pPr>
            <w:r w:rsidRPr="00943669">
              <w:rPr>
                <w:rFonts w:ascii="Arial" w:hAnsi="Arial" w:cs="Arial"/>
              </w:rPr>
              <w:t>0</w:t>
            </w:r>
          </w:p>
        </w:tc>
        <w:tc>
          <w:tcPr>
            <w:tcW w:w="1559" w:type="dxa"/>
          </w:tcPr>
          <w:p w:rsidR="00216B3C" w:rsidRPr="00943669" w:rsidRDefault="00216B3C" w:rsidP="00943669">
            <w:pPr>
              <w:rPr>
                <w:rFonts w:ascii="Arial" w:hAnsi="Arial" w:cs="Arial"/>
              </w:rPr>
            </w:pPr>
            <w:r w:rsidRPr="00943669">
              <w:rPr>
                <w:rFonts w:ascii="Arial" w:hAnsi="Arial" w:cs="Arial"/>
              </w:rPr>
              <w:t xml:space="preserve">   296</w:t>
            </w:r>
          </w:p>
        </w:tc>
        <w:tc>
          <w:tcPr>
            <w:tcW w:w="851" w:type="dxa"/>
          </w:tcPr>
          <w:p w:rsidR="00216B3C" w:rsidRPr="00943669" w:rsidRDefault="00216B3C" w:rsidP="00943669">
            <w:pPr>
              <w:rPr>
                <w:rFonts w:ascii="Arial" w:hAnsi="Arial" w:cs="Arial"/>
              </w:rPr>
            </w:pPr>
            <w:r w:rsidRPr="00943669">
              <w:rPr>
                <w:rFonts w:ascii="Arial" w:hAnsi="Arial" w:cs="Arial"/>
              </w:rPr>
              <w:t xml:space="preserve">  1,776</w:t>
            </w:r>
          </w:p>
        </w:tc>
      </w:tr>
      <w:tr w:rsidR="00216B3C" w:rsidRPr="00943669" w:rsidTr="00943669">
        <w:tc>
          <w:tcPr>
            <w:tcW w:w="876" w:type="dxa"/>
          </w:tcPr>
          <w:p w:rsidR="00216B3C" w:rsidRPr="00943669" w:rsidRDefault="00216B3C" w:rsidP="00943669">
            <w:pPr>
              <w:rPr>
                <w:rFonts w:ascii="Arial" w:hAnsi="Arial" w:cs="Arial"/>
              </w:rPr>
            </w:pPr>
            <w:r w:rsidRPr="00943669">
              <w:rPr>
                <w:rFonts w:ascii="Arial" w:hAnsi="Arial" w:cs="Arial"/>
              </w:rPr>
              <w:t>2</w:t>
            </w:r>
          </w:p>
        </w:tc>
        <w:tc>
          <w:tcPr>
            <w:tcW w:w="957" w:type="dxa"/>
          </w:tcPr>
          <w:p w:rsidR="00216B3C" w:rsidRPr="00943669" w:rsidRDefault="00216B3C" w:rsidP="00943669">
            <w:pPr>
              <w:rPr>
                <w:rFonts w:ascii="Arial" w:hAnsi="Arial" w:cs="Arial"/>
              </w:rPr>
            </w:pPr>
            <w:r w:rsidRPr="00943669">
              <w:rPr>
                <w:rFonts w:ascii="Arial" w:hAnsi="Arial" w:cs="Arial"/>
              </w:rPr>
              <w:t>6,945</w:t>
            </w:r>
          </w:p>
        </w:tc>
        <w:tc>
          <w:tcPr>
            <w:tcW w:w="1461" w:type="dxa"/>
          </w:tcPr>
          <w:p w:rsidR="00216B3C" w:rsidRPr="00943669" w:rsidRDefault="00216B3C" w:rsidP="00943669">
            <w:pPr>
              <w:rPr>
                <w:rFonts w:ascii="Arial" w:hAnsi="Arial" w:cs="Arial"/>
              </w:rPr>
            </w:pPr>
            <w:r w:rsidRPr="00943669">
              <w:rPr>
                <w:rFonts w:ascii="Arial" w:hAnsi="Arial" w:cs="Arial"/>
              </w:rPr>
              <w:t>900</w:t>
            </w:r>
          </w:p>
        </w:tc>
        <w:tc>
          <w:tcPr>
            <w:tcW w:w="1250" w:type="dxa"/>
          </w:tcPr>
          <w:p w:rsidR="00216B3C" w:rsidRPr="00943669" w:rsidRDefault="00216B3C" w:rsidP="00943669">
            <w:pPr>
              <w:rPr>
                <w:rFonts w:ascii="Arial" w:hAnsi="Arial" w:cs="Arial"/>
              </w:rPr>
            </w:pPr>
            <w:r w:rsidRPr="00943669">
              <w:rPr>
                <w:rFonts w:ascii="Arial" w:hAnsi="Arial" w:cs="Arial"/>
              </w:rPr>
              <w:t>160</w:t>
            </w:r>
          </w:p>
        </w:tc>
        <w:tc>
          <w:tcPr>
            <w:tcW w:w="1541" w:type="dxa"/>
          </w:tcPr>
          <w:p w:rsidR="00216B3C" w:rsidRPr="00943669" w:rsidRDefault="00216B3C" w:rsidP="00943669">
            <w:pPr>
              <w:rPr>
                <w:rFonts w:ascii="Arial" w:hAnsi="Arial" w:cs="Arial"/>
              </w:rPr>
            </w:pPr>
            <w:r w:rsidRPr="00943669">
              <w:rPr>
                <w:rFonts w:ascii="Arial" w:hAnsi="Arial" w:cs="Arial"/>
              </w:rPr>
              <w:t>420</w:t>
            </w:r>
          </w:p>
        </w:tc>
        <w:tc>
          <w:tcPr>
            <w:tcW w:w="1276" w:type="dxa"/>
          </w:tcPr>
          <w:p w:rsidR="00216B3C" w:rsidRPr="00943669" w:rsidRDefault="00216B3C" w:rsidP="00943669">
            <w:pPr>
              <w:rPr>
                <w:rFonts w:ascii="Arial" w:hAnsi="Arial" w:cs="Arial"/>
              </w:rPr>
            </w:pPr>
            <w:r w:rsidRPr="00943669">
              <w:rPr>
                <w:rFonts w:ascii="Arial" w:hAnsi="Arial" w:cs="Arial"/>
              </w:rPr>
              <w:t>884</w:t>
            </w:r>
          </w:p>
        </w:tc>
        <w:tc>
          <w:tcPr>
            <w:tcW w:w="1559" w:type="dxa"/>
          </w:tcPr>
          <w:p w:rsidR="00216B3C" w:rsidRPr="00943669" w:rsidRDefault="00216B3C" w:rsidP="00943669">
            <w:pPr>
              <w:rPr>
                <w:rFonts w:ascii="Arial" w:hAnsi="Arial" w:cs="Arial"/>
              </w:rPr>
            </w:pPr>
            <w:r w:rsidRPr="00943669">
              <w:rPr>
                <w:rFonts w:ascii="Arial" w:hAnsi="Arial" w:cs="Arial"/>
              </w:rPr>
              <w:t>1,862</w:t>
            </w:r>
          </w:p>
        </w:tc>
        <w:tc>
          <w:tcPr>
            <w:tcW w:w="851" w:type="dxa"/>
          </w:tcPr>
          <w:p w:rsidR="00216B3C" w:rsidRPr="00943669" w:rsidRDefault="00216B3C" w:rsidP="00943669">
            <w:pPr>
              <w:rPr>
                <w:rFonts w:ascii="Arial" w:hAnsi="Arial" w:cs="Arial"/>
              </w:rPr>
            </w:pPr>
            <w:r w:rsidRPr="00943669">
              <w:rPr>
                <w:rFonts w:ascii="Arial" w:hAnsi="Arial" w:cs="Arial"/>
              </w:rPr>
              <w:t>11,171</w:t>
            </w:r>
          </w:p>
        </w:tc>
      </w:tr>
      <w:tr w:rsidR="00216B3C" w:rsidRPr="00943669" w:rsidTr="00943669">
        <w:tc>
          <w:tcPr>
            <w:tcW w:w="876" w:type="dxa"/>
          </w:tcPr>
          <w:p w:rsidR="00216B3C" w:rsidRPr="00943669" w:rsidRDefault="00216B3C" w:rsidP="00943669">
            <w:pPr>
              <w:rPr>
                <w:rFonts w:ascii="Arial" w:hAnsi="Arial" w:cs="Arial"/>
              </w:rPr>
            </w:pPr>
            <w:r w:rsidRPr="00943669">
              <w:rPr>
                <w:rFonts w:ascii="Arial" w:hAnsi="Arial" w:cs="Arial"/>
              </w:rPr>
              <w:t>3</w:t>
            </w:r>
          </w:p>
        </w:tc>
        <w:tc>
          <w:tcPr>
            <w:tcW w:w="957" w:type="dxa"/>
          </w:tcPr>
          <w:p w:rsidR="00216B3C" w:rsidRPr="00943669" w:rsidRDefault="00216B3C" w:rsidP="00943669">
            <w:pPr>
              <w:rPr>
                <w:rFonts w:ascii="Arial" w:hAnsi="Arial" w:cs="Arial"/>
              </w:rPr>
            </w:pPr>
            <w:r w:rsidRPr="00943669">
              <w:rPr>
                <w:rFonts w:ascii="Arial" w:hAnsi="Arial" w:cs="Arial"/>
              </w:rPr>
              <w:t>4,689</w:t>
            </w:r>
          </w:p>
        </w:tc>
        <w:tc>
          <w:tcPr>
            <w:tcW w:w="1461" w:type="dxa"/>
          </w:tcPr>
          <w:p w:rsidR="00216B3C" w:rsidRPr="00943669" w:rsidRDefault="00216B3C" w:rsidP="00943669">
            <w:pPr>
              <w:rPr>
                <w:rFonts w:ascii="Arial" w:hAnsi="Arial" w:cs="Arial"/>
              </w:rPr>
            </w:pPr>
            <w:r w:rsidRPr="00943669">
              <w:rPr>
                <w:rFonts w:ascii="Arial" w:hAnsi="Arial" w:cs="Arial"/>
              </w:rPr>
              <w:t>900</w:t>
            </w:r>
          </w:p>
        </w:tc>
        <w:tc>
          <w:tcPr>
            <w:tcW w:w="1250" w:type="dxa"/>
          </w:tcPr>
          <w:p w:rsidR="00216B3C" w:rsidRPr="00943669" w:rsidRDefault="00216B3C" w:rsidP="00943669">
            <w:pPr>
              <w:rPr>
                <w:rFonts w:ascii="Arial" w:hAnsi="Arial" w:cs="Arial"/>
              </w:rPr>
            </w:pPr>
            <w:r w:rsidRPr="00943669">
              <w:rPr>
                <w:rFonts w:ascii="Arial" w:hAnsi="Arial" w:cs="Arial"/>
              </w:rPr>
              <w:t>160</w:t>
            </w:r>
          </w:p>
        </w:tc>
        <w:tc>
          <w:tcPr>
            <w:tcW w:w="1541" w:type="dxa"/>
          </w:tcPr>
          <w:p w:rsidR="00216B3C" w:rsidRPr="00943669" w:rsidRDefault="00216B3C" w:rsidP="00943669">
            <w:pPr>
              <w:rPr>
                <w:rFonts w:ascii="Arial" w:hAnsi="Arial" w:cs="Arial"/>
              </w:rPr>
            </w:pPr>
            <w:r w:rsidRPr="00943669">
              <w:rPr>
                <w:rFonts w:ascii="Arial" w:hAnsi="Arial" w:cs="Arial"/>
              </w:rPr>
              <w:t>420</w:t>
            </w:r>
          </w:p>
        </w:tc>
        <w:tc>
          <w:tcPr>
            <w:tcW w:w="1276" w:type="dxa"/>
          </w:tcPr>
          <w:p w:rsidR="00216B3C" w:rsidRPr="00943669" w:rsidRDefault="00216B3C" w:rsidP="00943669">
            <w:pPr>
              <w:rPr>
                <w:rFonts w:ascii="Arial" w:hAnsi="Arial" w:cs="Arial"/>
              </w:rPr>
            </w:pPr>
            <w:r w:rsidRPr="00943669">
              <w:rPr>
                <w:rFonts w:ascii="Arial" w:hAnsi="Arial" w:cs="Arial"/>
              </w:rPr>
              <w:t>884</w:t>
            </w:r>
          </w:p>
        </w:tc>
        <w:tc>
          <w:tcPr>
            <w:tcW w:w="1559" w:type="dxa"/>
          </w:tcPr>
          <w:p w:rsidR="00216B3C" w:rsidRPr="00943669" w:rsidRDefault="00216B3C" w:rsidP="00943669">
            <w:pPr>
              <w:rPr>
                <w:rFonts w:ascii="Arial" w:hAnsi="Arial" w:cs="Arial"/>
              </w:rPr>
            </w:pPr>
            <w:r w:rsidRPr="00943669">
              <w:rPr>
                <w:rFonts w:ascii="Arial" w:hAnsi="Arial" w:cs="Arial"/>
              </w:rPr>
              <w:t>1,411</w:t>
            </w:r>
          </w:p>
        </w:tc>
        <w:tc>
          <w:tcPr>
            <w:tcW w:w="851" w:type="dxa"/>
          </w:tcPr>
          <w:p w:rsidR="00216B3C" w:rsidRPr="00943669" w:rsidRDefault="00216B3C" w:rsidP="00943669">
            <w:pPr>
              <w:rPr>
                <w:rFonts w:ascii="Arial" w:hAnsi="Arial" w:cs="Arial"/>
              </w:rPr>
            </w:pPr>
            <w:r w:rsidRPr="00943669">
              <w:rPr>
                <w:rFonts w:ascii="Arial" w:hAnsi="Arial" w:cs="Arial"/>
              </w:rPr>
              <w:t xml:space="preserve">  8,464</w:t>
            </w:r>
          </w:p>
        </w:tc>
      </w:tr>
    </w:tbl>
    <w:p w:rsidR="00216B3C" w:rsidRPr="00943669" w:rsidRDefault="00216B3C" w:rsidP="00943669">
      <w:pPr>
        <w:ind w:left="720"/>
        <w:rPr>
          <w:rFonts w:ascii="Arial" w:hAnsi="Arial" w:cs="Arial"/>
        </w:rPr>
      </w:pPr>
    </w:p>
    <w:p w:rsidR="00216B3C" w:rsidRPr="00943669" w:rsidRDefault="00216B3C" w:rsidP="00943669">
      <w:pPr>
        <w:ind w:left="720"/>
        <w:rPr>
          <w:rFonts w:ascii="Arial" w:hAnsi="Arial" w:cs="Arial"/>
        </w:rPr>
      </w:pPr>
      <w:r w:rsidRPr="00943669">
        <w:rPr>
          <w:rFonts w:ascii="Arial" w:hAnsi="Arial" w:cs="Arial"/>
        </w:rPr>
        <w:t>The Capital Plan</w:t>
      </w:r>
      <w:r w:rsidR="009D237F" w:rsidRPr="00943669">
        <w:rPr>
          <w:rFonts w:ascii="Arial" w:hAnsi="Arial" w:cs="Arial"/>
        </w:rPr>
        <w:t xml:space="preserve"> for equipment</w:t>
      </w:r>
      <w:r w:rsidRPr="00943669">
        <w:rPr>
          <w:rFonts w:ascii="Arial" w:hAnsi="Arial" w:cs="Arial"/>
        </w:rPr>
        <w:t xml:space="preserve"> includes the </w:t>
      </w:r>
      <w:r w:rsidR="009D237F" w:rsidRPr="00943669">
        <w:rPr>
          <w:rFonts w:ascii="Arial" w:hAnsi="Arial" w:cs="Arial"/>
        </w:rPr>
        <w:t xml:space="preserve">above figures </w:t>
      </w:r>
      <w:r w:rsidRPr="00943669">
        <w:rPr>
          <w:rFonts w:ascii="Arial" w:hAnsi="Arial" w:cs="Arial"/>
        </w:rPr>
        <w:t>based on the initial calculated estimates.</w:t>
      </w:r>
    </w:p>
    <w:p w:rsidR="00216B3C" w:rsidRPr="00943669" w:rsidRDefault="00216B3C" w:rsidP="00943669">
      <w:pPr>
        <w:ind w:left="720"/>
        <w:rPr>
          <w:rFonts w:ascii="Arial" w:hAnsi="Arial" w:cs="Arial"/>
        </w:rPr>
      </w:pPr>
    </w:p>
    <w:p w:rsidR="00216B3C" w:rsidRPr="00943669" w:rsidRDefault="00216B3C" w:rsidP="00943669">
      <w:pPr>
        <w:ind w:left="720"/>
        <w:rPr>
          <w:rFonts w:ascii="Arial" w:hAnsi="Arial" w:cs="Arial"/>
        </w:rPr>
      </w:pPr>
      <w:r w:rsidRPr="00943669">
        <w:rPr>
          <w:rFonts w:ascii="Arial" w:hAnsi="Arial" w:cs="Arial"/>
        </w:rPr>
        <w:t xml:space="preserve">However, the updated review as part of the detailed business case process now indicates that this figure </w:t>
      </w:r>
      <w:r w:rsidR="009D237F" w:rsidRPr="00943669">
        <w:rPr>
          <w:rFonts w:ascii="Arial" w:hAnsi="Arial" w:cs="Arial"/>
        </w:rPr>
        <w:t>is likely to</w:t>
      </w:r>
      <w:r w:rsidRPr="00943669">
        <w:rPr>
          <w:rFonts w:ascii="Arial" w:hAnsi="Arial" w:cs="Arial"/>
        </w:rPr>
        <w:t xml:space="preserve"> reduce by circa £300k due to more robust costing</w:t>
      </w:r>
      <w:r w:rsidR="009D237F" w:rsidRPr="00943669">
        <w:rPr>
          <w:rFonts w:ascii="Arial" w:hAnsi="Arial" w:cs="Arial"/>
        </w:rPr>
        <w:t xml:space="preserve"> as detailed within the Capital Costs</w:t>
      </w:r>
      <w:r w:rsidRPr="00943669">
        <w:rPr>
          <w:rFonts w:ascii="Arial" w:hAnsi="Arial" w:cs="Arial"/>
        </w:rPr>
        <w:t>.</w:t>
      </w:r>
    </w:p>
    <w:p w:rsidR="00216B3C" w:rsidRPr="00943669" w:rsidRDefault="00216B3C" w:rsidP="00943669">
      <w:pPr>
        <w:ind w:left="720"/>
        <w:rPr>
          <w:rFonts w:ascii="Arial" w:hAnsi="Arial" w:cs="Arial"/>
        </w:rPr>
      </w:pPr>
    </w:p>
    <w:p w:rsidR="00313439" w:rsidRPr="00943669" w:rsidRDefault="00313439" w:rsidP="00943669">
      <w:pPr>
        <w:ind w:left="720"/>
        <w:rPr>
          <w:rFonts w:ascii="Arial" w:hAnsi="Arial" w:cs="Arial"/>
        </w:rPr>
      </w:pPr>
      <w:r w:rsidRPr="00943669">
        <w:rPr>
          <w:rFonts w:ascii="Arial" w:hAnsi="Arial" w:cs="Arial"/>
        </w:rPr>
        <w:lastRenderedPageBreak/>
        <w:t xml:space="preserve">The funding for the capital elements for the project </w:t>
      </w:r>
      <w:r w:rsidR="00216B3C" w:rsidRPr="00943669">
        <w:rPr>
          <w:rFonts w:ascii="Arial" w:hAnsi="Arial" w:cs="Arial"/>
        </w:rPr>
        <w:t>has</w:t>
      </w:r>
      <w:r w:rsidRPr="00943669">
        <w:rPr>
          <w:rFonts w:ascii="Arial" w:hAnsi="Arial" w:cs="Arial"/>
        </w:rPr>
        <w:t xml:space="preserve"> been identified as coming from three different funding sources with these being:</w:t>
      </w:r>
    </w:p>
    <w:p w:rsidR="00313439" w:rsidRPr="00943669" w:rsidRDefault="00313439" w:rsidP="00943669">
      <w:pPr>
        <w:ind w:left="720"/>
        <w:rPr>
          <w:rFonts w:ascii="Arial" w:hAnsi="Arial" w:cs="Arial"/>
        </w:rPr>
      </w:pPr>
    </w:p>
    <w:p w:rsidR="00313439" w:rsidRPr="00943669" w:rsidRDefault="00313439" w:rsidP="00943669">
      <w:pPr>
        <w:pStyle w:val="ListParagraph"/>
        <w:numPr>
          <w:ilvl w:val="0"/>
          <w:numId w:val="21"/>
        </w:numPr>
        <w:ind w:left="1080"/>
        <w:contextualSpacing/>
        <w:rPr>
          <w:rFonts w:ascii="Arial" w:hAnsi="Arial" w:cs="Arial"/>
          <w:sz w:val="24"/>
          <w:szCs w:val="24"/>
        </w:rPr>
      </w:pPr>
      <w:r w:rsidRPr="00943669">
        <w:rPr>
          <w:rFonts w:ascii="Arial" w:hAnsi="Arial" w:cs="Arial"/>
          <w:sz w:val="24"/>
          <w:szCs w:val="24"/>
        </w:rPr>
        <w:t>Building costs – included in phase two costs</w:t>
      </w:r>
      <w:r w:rsidR="00BE1C1A">
        <w:rPr>
          <w:rFonts w:ascii="Arial" w:hAnsi="Arial" w:cs="Arial"/>
          <w:sz w:val="24"/>
          <w:szCs w:val="24"/>
        </w:rPr>
        <w:t>.</w:t>
      </w:r>
    </w:p>
    <w:p w:rsidR="00313439" w:rsidRPr="00BE1C1A" w:rsidRDefault="00313439" w:rsidP="00BE1C1A">
      <w:pPr>
        <w:pStyle w:val="ListParagraph"/>
        <w:numPr>
          <w:ilvl w:val="0"/>
          <w:numId w:val="21"/>
        </w:numPr>
        <w:ind w:left="1080"/>
        <w:contextualSpacing/>
        <w:rPr>
          <w:rFonts w:ascii="Arial" w:hAnsi="Arial" w:cs="Arial"/>
          <w:sz w:val="24"/>
          <w:szCs w:val="24"/>
        </w:rPr>
      </w:pPr>
      <w:r w:rsidRPr="00BE1C1A">
        <w:rPr>
          <w:rFonts w:ascii="Arial" w:hAnsi="Arial" w:cs="Arial"/>
          <w:sz w:val="24"/>
          <w:szCs w:val="24"/>
        </w:rPr>
        <w:t xml:space="preserve">Equipment costs associated with additional activity – included in phase two </w:t>
      </w:r>
      <w:r w:rsidR="00081B7E" w:rsidRPr="00BE1C1A">
        <w:rPr>
          <w:rFonts w:ascii="Arial" w:hAnsi="Arial" w:cs="Arial"/>
          <w:sz w:val="24"/>
          <w:szCs w:val="24"/>
        </w:rPr>
        <w:t>costs</w:t>
      </w:r>
      <w:r w:rsidR="00BE1C1A" w:rsidRPr="00BE1C1A">
        <w:rPr>
          <w:rFonts w:ascii="Arial" w:hAnsi="Arial" w:cs="Arial"/>
          <w:sz w:val="24"/>
          <w:szCs w:val="24"/>
        </w:rPr>
        <w:t xml:space="preserve"> </w:t>
      </w:r>
      <w:r w:rsidR="004A50DF" w:rsidRPr="004A50DF">
        <w:rPr>
          <w:rFonts w:ascii="Arial" w:hAnsi="Arial" w:cs="Arial"/>
          <w:sz w:val="24"/>
          <w:szCs w:val="24"/>
        </w:rPr>
        <w:t>(1 steriliser and 1 cart wash)</w:t>
      </w:r>
      <w:r w:rsidR="00BE1C1A">
        <w:rPr>
          <w:rFonts w:ascii="Arial" w:hAnsi="Arial" w:cs="Arial"/>
          <w:sz w:val="24"/>
          <w:szCs w:val="24"/>
        </w:rPr>
        <w:t>.</w:t>
      </w:r>
    </w:p>
    <w:p w:rsidR="00313439" w:rsidRPr="00943669" w:rsidRDefault="00313439" w:rsidP="00943669">
      <w:pPr>
        <w:pStyle w:val="ListParagraph"/>
        <w:numPr>
          <w:ilvl w:val="0"/>
          <w:numId w:val="21"/>
        </w:numPr>
        <w:ind w:left="1080"/>
        <w:contextualSpacing/>
        <w:rPr>
          <w:rFonts w:ascii="Arial" w:hAnsi="Arial" w:cs="Arial"/>
          <w:sz w:val="24"/>
          <w:szCs w:val="24"/>
        </w:rPr>
      </w:pPr>
      <w:r w:rsidRPr="00943669">
        <w:rPr>
          <w:rFonts w:ascii="Arial" w:hAnsi="Arial" w:cs="Arial"/>
          <w:sz w:val="24"/>
          <w:szCs w:val="24"/>
        </w:rPr>
        <w:t xml:space="preserve">Direct Replacement of equipment for current equipment – included in </w:t>
      </w:r>
      <w:r w:rsidR="00081B7E" w:rsidRPr="00943669">
        <w:rPr>
          <w:rFonts w:ascii="Arial" w:hAnsi="Arial" w:cs="Arial"/>
          <w:sz w:val="24"/>
          <w:szCs w:val="24"/>
        </w:rPr>
        <w:t>the Board’s formula capital (3 sterilisers, 4 washers, 1</w:t>
      </w:r>
      <w:r w:rsidR="00E115E6" w:rsidRPr="00943669">
        <w:rPr>
          <w:rFonts w:ascii="Arial" w:hAnsi="Arial" w:cs="Arial"/>
          <w:sz w:val="24"/>
          <w:szCs w:val="24"/>
        </w:rPr>
        <w:t xml:space="preserve"> </w:t>
      </w:r>
      <w:r w:rsidR="00081B7E" w:rsidRPr="00943669">
        <w:rPr>
          <w:rFonts w:ascii="Arial" w:hAnsi="Arial" w:cs="Arial"/>
          <w:sz w:val="24"/>
          <w:szCs w:val="24"/>
        </w:rPr>
        <w:t xml:space="preserve">cart wash and </w:t>
      </w:r>
      <w:r w:rsidR="009D237F" w:rsidRPr="00943669">
        <w:rPr>
          <w:rFonts w:ascii="Arial" w:hAnsi="Arial" w:cs="Arial"/>
          <w:sz w:val="24"/>
          <w:szCs w:val="24"/>
        </w:rPr>
        <w:t xml:space="preserve">3 </w:t>
      </w:r>
      <w:r w:rsidR="00081B7E" w:rsidRPr="00943669">
        <w:rPr>
          <w:rFonts w:ascii="Arial" w:hAnsi="Arial" w:cs="Arial"/>
          <w:sz w:val="24"/>
          <w:szCs w:val="24"/>
        </w:rPr>
        <w:t>ultrasonic device</w:t>
      </w:r>
      <w:r w:rsidR="009D237F" w:rsidRPr="00943669">
        <w:rPr>
          <w:rFonts w:ascii="Arial" w:hAnsi="Arial" w:cs="Arial"/>
          <w:sz w:val="24"/>
          <w:szCs w:val="24"/>
        </w:rPr>
        <w:t>s</w:t>
      </w:r>
      <w:r w:rsidR="00081B7E" w:rsidRPr="00943669">
        <w:rPr>
          <w:rFonts w:ascii="Arial" w:hAnsi="Arial" w:cs="Arial"/>
          <w:sz w:val="24"/>
          <w:szCs w:val="24"/>
        </w:rPr>
        <w:t>.</w:t>
      </w:r>
    </w:p>
    <w:p w:rsidR="00D848A5" w:rsidRPr="00943669" w:rsidRDefault="00313439" w:rsidP="00943669">
      <w:pPr>
        <w:pStyle w:val="ListParagraph"/>
        <w:numPr>
          <w:ilvl w:val="0"/>
          <w:numId w:val="21"/>
        </w:numPr>
        <w:ind w:left="1080"/>
        <w:contextualSpacing/>
        <w:rPr>
          <w:rFonts w:ascii="Arial" w:hAnsi="Arial" w:cs="Arial"/>
          <w:sz w:val="24"/>
          <w:szCs w:val="24"/>
        </w:rPr>
      </w:pPr>
      <w:r w:rsidRPr="00943669">
        <w:rPr>
          <w:rFonts w:ascii="Arial" w:hAnsi="Arial" w:cs="Arial"/>
          <w:sz w:val="24"/>
          <w:szCs w:val="24"/>
        </w:rPr>
        <w:t xml:space="preserve">Equipment that is not currently owned by the Board – would be treated as a service development, this is identified as equipment associated with </w:t>
      </w:r>
      <w:r w:rsidR="00081B7E" w:rsidRPr="00943669">
        <w:rPr>
          <w:rFonts w:ascii="Arial" w:hAnsi="Arial" w:cs="Arial"/>
          <w:sz w:val="24"/>
          <w:szCs w:val="24"/>
        </w:rPr>
        <w:t>Thoracic robotic equipment (</w:t>
      </w:r>
      <w:r w:rsidR="009D237F" w:rsidRPr="00943669">
        <w:rPr>
          <w:rFonts w:ascii="Arial" w:hAnsi="Arial" w:cs="Arial"/>
          <w:sz w:val="24"/>
          <w:szCs w:val="24"/>
        </w:rPr>
        <w:t>2 low plasma sterilisers</w:t>
      </w:r>
      <w:r w:rsidR="00081B7E" w:rsidRPr="00943669">
        <w:rPr>
          <w:rFonts w:ascii="Arial" w:hAnsi="Arial" w:cs="Arial"/>
          <w:sz w:val="24"/>
          <w:szCs w:val="24"/>
        </w:rPr>
        <w:t>)</w:t>
      </w:r>
      <w:r w:rsidR="00BE1C1A">
        <w:rPr>
          <w:rFonts w:ascii="Arial" w:hAnsi="Arial" w:cs="Arial"/>
          <w:sz w:val="24"/>
          <w:szCs w:val="24"/>
        </w:rPr>
        <w:t>.</w:t>
      </w:r>
    </w:p>
    <w:p w:rsidR="00216B3C" w:rsidRPr="00943669" w:rsidRDefault="00216B3C" w:rsidP="00943669">
      <w:pPr>
        <w:pStyle w:val="ListParagraph"/>
        <w:rPr>
          <w:rFonts w:ascii="Arial" w:hAnsi="Arial" w:cs="Arial"/>
          <w:b/>
          <w:bCs/>
          <w:sz w:val="24"/>
          <w:szCs w:val="24"/>
          <w:lang w:val="en-US"/>
        </w:rPr>
      </w:pPr>
    </w:p>
    <w:p w:rsidR="004B7A8D" w:rsidRPr="00943669" w:rsidRDefault="004B7A8D" w:rsidP="00943669">
      <w:pPr>
        <w:pStyle w:val="Heading2"/>
        <w:numPr>
          <w:ilvl w:val="0"/>
          <w:numId w:val="19"/>
        </w:numPr>
        <w:spacing w:before="0" w:after="0"/>
        <w:ind w:right="183"/>
        <w:rPr>
          <w:i w:val="0"/>
          <w:sz w:val="24"/>
          <w:szCs w:val="24"/>
        </w:rPr>
      </w:pPr>
      <w:r w:rsidRPr="00943669">
        <w:rPr>
          <w:i w:val="0"/>
          <w:sz w:val="24"/>
          <w:szCs w:val="24"/>
        </w:rPr>
        <w:t>Recommendation</w:t>
      </w:r>
    </w:p>
    <w:p w:rsidR="004B7A8D" w:rsidRPr="00943669" w:rsidRDefault="004B7A8D" w:rsidP="00943669">
      <w:pPr>
        <w:pStyle w:val="BodyA"/>
        <w:ind w:right="183"/>
        <w:rPr>
          <w:rFonts w:ascii="Arial" w:eastAsia="Arial" w:hAnsi="Arial" w:cs="Arial"/>
          <w:b/>
          <w:bCs/>
        </w:rPr>
      </w:pPr>
    </w:p>
    <w:p w:rsidR="00943669" w:rsidRPr="00943669" w:rsidRDefault="00943669" w:rsidP="00943669">
      <w:pPr>
        <w:pStyle w:val="Heading1"/>
        <w:ind w:left="720" w:right="183"/>
        <w:contextualSpacing/>
        <w:rPr>
          <w:rFonts w:ascii="Arial" w:hAnsi="Arial" w:cs="Arial"/>
          <w:b w:val="0"/>
          <w:sz w:val="24"/>
          <w:szCs w:val="24"/>
        </w:rPr>
      </w:pPr>
      <w:r w:rsidRPr="00943669">
        <w:rPr>
          <w:rFonts w:ascii="Arial" w:hAnsi="Arial" w:cs="Arial"/>
          <w:b w:val="0"/>
          <w:sz w:val="24"/>
          <w:szCs w:val="24"/>
        </w:rPr>
        <w:t>The Board is asked to discuss and approve the CSPD Business Case which outlines the requirement to develop an Estate fit for purpose which takes account of the pending expansion and provides adequate future capacity in term of estate, equipment and workforce.</w:t>
      </w:r>
    </w:p>
    <w:p w:rsidR="00751C78" w:rsidRPr="00943669" w:rsidRDefault="00751C78" w:rsidP="00943669">
      <w:pPr>
        <w:ind w:right="183"/>
        <w:rPr>
          <w:rFonts w:ascii="Arial" w:hAnsi="Arial" w:cs="Arial"/>
          <w:b/>
          <w:bCs/>
        </w:rPr>
      </w:pPr>
    </w:p>
    <w:p w:rsidR="00943669" w:rsidRPr="00943669" w:rsidRDefault="00943669" w:rsidP="00943669">
      <w:pPr>
        <w:ind w:right="183"/>
        <w:rPr>
          <w:rFonts w:ascii="Arial" w:hAnsi="Arial" w:cs="Arial"/>
          <w:b/>
          <w:bCs/>
        </w:rPr>
      </w:pPr>
      <w:r w:rsidRPr="00943669">
        <w:rPr>
          <w:rFonts w:ascii="Arial" w:hAnsi="Arial" w:cs="Arial"/>
          <w:b/>
          <w:bCs/>
        </w:rPr>
        <w:t>June Rogers</w:t>
      </w:r>
    </w:p>
    <w:p w:rsidR="00943669" w:rsidRPr="00943669" w:rsidRDefault="00943669" w:rsidP="00943669">
      <w:pPr>
        <w:ind w:right="183"/>
        <w:rPr>
          <w:rFonts w:ascii="Arial" w:hAnsi="Arial" w:cs="Arial"/>
          <w:b/>
          <w:bCs/>
        </w:rPr>
      </w:pPr>
      <w:r w:rsidRPr="00943669">
        <w:rPr>
          <w:rFonts w:ascii="Arial" w:hAnsi="Arial" w:cs="Arial"/>
          <w:b/>
          <w:bCs/>
        </w:rPr>
        <w:t>Director of Operations</w:t>
      </w:r>
    </w:p>
    <w:p w:rsidR="00943669" w:rsidRPr="00943669" w:rsidRDefault="00943669" w:rsidP="00943669">
      <w:pPr>
        <w:ind w:right="183"/>
        <w:rPr>
          <w:rFonts w:ascii="Arial" w:hAnsi="Arial" w:cs="Arial"/>
          <w:b/>
          <w:bCs/>
        </w:rPr>
      </w:pPr>
      <w:r w:rsidRPr="00943669">
        <w:rPr>
          <w:rFonts w:ascii="Arial" w:hAnsi="Arial" w:cs="Arial"/>
          <w:b/>
          <w:bCs/>
        </w:rPr>
        <w:t>6 June 2019</w:t>
      </w:r>
    </w:p>
    <w:p w:rsidR="00943669" w:rsidRPr="00943669" w:rsidRDefault="00943669" w:rsidP="00943669">
      <w:pPr>
        <w:ind w:right="183"/>
        <w:rPr>
          <w:rFonts w:ascii="Arial" w:hAnsi="Arial" w:cs="Arial"/>
          <w:b/>
          <w:bCs/>
        </w:rPr>
      </w:pPr>
    </w:p>
    <w:p w:rsidR="00BC609A" w:rsidRPr="00943669" w:rsidRDefault="00943669" w:rsidP="00943669">
      <w:pPr>
        <w:ind w:right="183"/>
        <w:rPr>
          <w:rFonts w:ascii="Arial" w:hAnsi="Arial" w:cs="Arial"/>
          <w:b/>
          <w:bCs/>
        </w:rPr>
      </w:pPr>
      <w:r w:rsidRPr="00943669">
        <w:rPr>
          <w:rFonts w:ascii="Arial" w:hAnsi="Arial" w:cs="Arial"/>
          <w:b/>
          <w:bCs/>
        </w:rPr>
        <w:t>(</w:t>
      </w:r>
      <w:r w:rsidR="00DD565E" w:rsidRPr="00943669">
        <w:rPr>
          <w:rFonts w:ascii="Arial" w:hAnsi="Arial" w:cs="Arial"/>
          <w:b/>
          <w:bCs/>
        </w:rPr>
        <w:t>Lynn Graham</w:t>
      </w:r>
      <w:r w:rsidRPr="00943669">
        <w:rPr>
          <w:rFonts w:ascii="Arial" w:hAnsi="Arial" w:cs="Arial"/>
          <w:b/>
          <w:bCs/>
        </w:rPr>
        <w:t xml:space="preserve">, </w:t>
      </w:r>
      <w:r w:rsidR="00DD565E" w:rsidRPr="00943669">
        <w:rPr>
          <w:rFonts w:ascii="Arial" w:hAnsi="Arial" w:cs="Arial"/>
          <w:b/>
          <w:bCs/>
        </w:rPr>
        <w:t>Associate Director of Operations</w:t>
      </w:r>
      <w:r w:rsidRPr="00943669">
        <w:rPr>
          <w:rFonts w:ascii="Arial" w:hAnsi="Arial" w:cs="Arial"/>
          <w:b/>
          <w:bCs/>
        </w:rPr>
        <w:t xml:space="preserve"> – Surgical Specialties)</w:t>
      </w:r>
      <w:r w:rsidR="00BC609A" w:rsidRPr="00943669">
        <w:rPr>
          <w:rFonts w:ascii="Arial" w:hAnsi="Arial" w:cs="Arial"/>
          <w:b/>
          <w:bCs/>
        </w:rPr>
        <w:tab/>
      </w:r>
    </w:p>
    <w:p w:rsidR="00BC609A" w:rsidRPr="00943669" w:rsidRDefault="00BC609A" w:rsidP="00943669">
      <w:pPr>
        <w:ind w:right="183"/>
        <w:rPr>
          <w:rFonts w:ascii="Arial" w:hAnsi="Arial" w:cs="Arial"/>
          <w:b/>
          <w:bCs/>
        </w:rPr>
      </w:pPr>
    </w:p>
    <w:p w:rsidR="001175E5" w:rsidRPr="00600C20" w:rsidRDefault="001175E5" w:rsidP="00BC609A">
      <w:pPr>
        <w:ind w:right="183"/>
        <w:rPr>
          <w:rFonts w:ascii="Arial" w:hAnsi="Arial" w:cs="Arial"/>
          <w:b/>
          <w:bCs/>
        </w:rPr>
      </w:pPr>
    </w:p>
    <w:sectPr w:rsidR="001175E5" w:rsidRPr="00600C20" w:rsidSect="00CE75CA">
      <w:footerReference w:type="default" r:id="rId8"/>
      <w:headerReference w:type="first" r:id="rId9"/>
      <w:footerReference w:type="first" r:id="rId10"/>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470" w:rsidRDefault="00627470">
      <w:r>
        <w:separator/>
      </w:r>
    </w:p>
  </w:endnote>
  <w:endnote w:type="continuationSeparator" w:id="0">
    <w:p w:rsidR="00627470" w:rsidRDefault="00627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70" w:rsidRDefault="00627470" w:rsidP="00C24B4E">
    <w:pPr>
      <w:pBdr>
        <w:bottom w:val="single" w:sz="12" w:space="1" w:color="auto"/>
      </w:pBdr>
      <w:jc w:val="center"/>
      <w:rPr>
        <w:rStyle w:val="PageNumber"/>
        <w:rFonts w:ascii="Arial" w:hAnsi="Arial" w:cs="Arial"/>
      </w:rPr>
    </w:pPr>
  </w:p>
  <w:p w:rsidR="00627470" w:rsidRDefault="00627470" w:rsidP="00C24B4E">
    <w:pPr>
      <w:jc w:val="center"/>
      <w:rPr>
        <w:rStyle w:val="PageNumber"/>
        <w:rFonts w:ascii="Arial" w:hAnsi="Arial" w:cs="Arial"/>
      </w:rPr>
    </w:pPr>
  </w:p>
  <w:p w:rsidR="00627470" w:rsidRDefault="004A50DF" w:rsidP="00C24B4E">
    <w:pPr>
      <w:jc w:val="center"/>
      <w:rPr>
        <w:rStyle w:val="PageNumber"/>
        <w:rFonts w:ascii="Arial" w:hAnsi="Arial" w:cs="Arial"/>
      </w:rPr>
    </w:pPr>
    <w:r w:rsidRPr="00513DB0">
      <w:rPr>
        <w:rStyle w:val="PageNumber"/>
        <w:rFonts w:ascii="Arial" w:hAnsi="Arial" w:cs="Arial"/>
      </w:rPr>
      <w:fldChar w:fldCharType="begin"/>
    </w:r>
    <w:r w:rsidR="00627470" w:rsidRPr="00513DB0">
      <w:rPr>
        <w:rStyle w:val="PageNumber"/>
        <w:rFonts w:ascii="Arial" w:hAnsi="Arial" w:cs="Arial"/>
      </w:rPr>
      <w:instrText xml:space="preserve"> PAGE </w:instrText>
    </w:r>
    <w:r w:rsidRPr="00513DB0">
      <w:rPr>
        <w:rStyle w:val="PageNumber"/>
        <w:rFonts w:ascii="Arial" w:hAnsi="Arial" w:cs="Arial"/>
      </w:rPr>
      <w:fldChar w:fldCharType="separate"/>
    </w:r>
    <w:r w:rsidR="00907AAE">
      <w:rPr>
        <w:rStyle w:val="PageNumber"/>
        <w:rFonts w:ascii="Arial" w:hAnsi="Arial" w:cs="Arial"/>
        <w:noProof/>
      </w:rPr>
      <w:t>2</w:t>
    </w:r>
    <w:r w:rsidRPr="00513DB0">
      <w:rPr>
        <w:rStyle w:val="PageNumber"/>
        <w:rFonts w:ascii="Arial" w:hAnsi="Arial" w:cs="Arial"/>
      </w:rPr>
      <w:fldChar w:fldCharType="end"/>
    </w:r>
  </w:p>
  <w:p w:rsidR="00627470" w:rsidRDefault="00627470" w:rsidP="00C24B4E">
    <w:pPr>
      <w:jc w:val="center"/>
      <w:rPr>
        <w:rStyle w:val="PageNumber"/>
        <w:rFonts w:ascii="Arial" w:hAnsi="Arial" w:cs="Arial"/>
      </w:rPr>
    </w:pPr>
  </w:p>
  <w:p w:rsidR="00627470" w:rsidRDefault="00627470"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70" w:rsidRDefault="00627470" w:rsidP="00CE75CA">
    <w:pPr>
      <w:pBdr>
        <w:bottom w:val="single" w:sz="12" w:space="1" w:color="auto"/>
      </w:pBdr>
      <w:jc w:val="center"/>
      <w:rPr>
        <w:rStyle w:val="PageNumber"/>
        <w:rFonts w:ascii="Arial" w:hAnsi="Arial" w:cs="Arial"/>
      </w:rPr>
    </w:pPr>
  </w:p>
  <w:p w:rsidR="00627470" w:rsidRDefault="00627470" w:rsidP="00CE75CA">
    <w:pPr>
      <w:jc w:val="center"/>
      <w:rPr>
        <w:rStyle w:val="PageNumber"/>
        <w:rFonts w:ascii="Arial" w:hAnsi="Arial" w:cs="Arial"/>
      </w:rPr>
    </w:pPr>
  </w:p>
  <w:p w:rsidR="00627470" w:rsidRPr="00513DB0" w:rsidRDefault="004A50DF" w:rsidP="00CE75CA">
    <w:pPr>
      <w:jc w:val="center"/>
      <w:rPr>
        <w:rFonts w:ascii="Arial" w:hAnsi="Arial" w:cs="Arial"/>
        <w:sz w:val="20"/>
        <w:szCs w:val="20"/>
      </w:rPr>
    </w:pPr>
    <w:r w:rsidRPr="00513DB0">
      <w:rPr>
        <w:rStyle w:val="PageNumber"/>
        <w:rFonts w:ascii="Arial" w:hAnsi="Arial" w:cs="Arial"/>
      </w:rPr>
      <w:fldChar w:fldCharType="begin"/>
    </w:r>
    <w:r w:rsidR="00627470" w:rsidRPr="00513DB0">
      <w:rPr>
        <w:rStyle w:val="PageNumber"/>
        <w:rFonts w:ascii="Arial" w:hAnsi="Arial" w:cs="Arial"/>
      </w:rPr>
      <w:instrText xml:space="preserve"> PAGE </w:instrText>
    </w:r>
    <w:r w:rsidRPr="00513DB0">
      <w:rPr>
        <w:rStyle w:val="PageNumber"/>
        <w:rFonts w:ascii="Arial" w:hAnsi="Arial" w:cs="Arial"/>
      </w:rPr>
      <w:fldChar w:fldCharType="separate"/>
    </w:r>
    <w:r w:rsidR="00907AAE">
      <w:rPr>
        <w:rStyle w:val="PageNumber"/>
        <w:rFonts w:ascii="Arial" w:hAnsi="Arial" w:cs="Arial"/>
        <w:noProof/>
      </w:rPr>
      <w:t>1</w:t>
    </w:r>
    <w:r w:rsidRPr="00513DB0">
      <w:rPr>
        <w:rStyle w:val="PageNumber"/>
        <w:rFonts w:ascii="Arial" w:hAnsi="Arial" w:cs="Arial"/>
      </w:rPr>
      <w:fldChar w:fldCharType="end"/>
    </w:r>
  </w:p>
  <w:p w:rsidR="00627470" w:rsidRDefault="00627470" w:rsidP="00CE75CA">
    <w:pPr>
      <w:ind w:right="184"/>
      <w:jc w:val="center"/>
      <w:rPr>
        <w:rFonts w:ascii="Arial" w:hAnsi="Arial" w:cs="Arial"/>
        <w:sz w:val="20"/>
        <w:szCs w:val="20"/>
      </w:rPr>
    </w:pPr>
  </w:p>
  <w:p w:rsidR="00627470" w:rsidRPr="008F5DB5" w:rsidRDefault="00627470" w:rsidP="00CE75CA">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470" w:rsidRDefault="00627470">
      <w:r>
        <w:separator/>
      </w:r>
    </w:p>
  </w:footnote>
  <w:footnote w:type="continuationSeparator" w:id="0">
    <w:p w:rsidR="00627470" w:rsidRDefault="00627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70" w:rsidRPr="00943669" w:rsidRDefault="00627470" w:rsidP="00943669">
    <w:pPr>
      <w:pStyle w:val="Header"/>
      <w:jc w:val="right"/>
      <w:rPr>
        <w:rFonts w:ascii="Arial" w:hAnsi="Arial" w:cs="Arial"/>
        <w:b/>
        <w:color w:val="0070C0"/>
        <w:sz w:val="28"/>
        <w:szCs w:val="28"/>
      </w:rPr>
    </w:pPr>
    <w:r w:rsidRPr="00943669">
      <w:rPr>
        <w:rFonts w:ascii="Arial" w:hAnsi="Arial" w:cs="Arial"/>
        <w:b/>
        <w:color w:val="0070C0"/>
        <w:sz w:val="28"/>
        <w:szCs w:val="28"/>
      </w:rPr>
      <w:t>Item 6.2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BF9"/>
    <w:multiLevelType w:val="multilevel"/>
    <w:tmpl w:val="9D845B5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AB82D55"/>
    <w:multiLevelType w:val="hybridMultilevel"/>
    <w:tmpl w:val="A4C8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512F4C"/>
    <w:multiLevelType w:val="hybridMultilevel"/>
    <w:tmpl w:val="B390442C"/>
    <w:lvl w:ilvl="0" w:tplc="FBA0C0F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57A7C16"/>
    <w:multiLevelType w:val="hybridMultilevel"/>
    <w:tmpl w:val="765C4A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675200"/>
    <w:multiLevelType w:val="hybridMultilevel"/>
    <w:tmpl w:val="CE20343E"/>
    <w:lvl w:ilvl="0" w:tplc="929ABD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6131FC"/>
    <w:multiLevelType w:val="hybridMultilevel"/>
    <w:tmpl w:val="A3266DA0"/>
    <w:numStyleLink w:val="Numbered"/>
  </w:abstractNum>
  <w:abstractNum w:abstractNumId="9">
    <w:nsid w:val="457F5955"/>
    <w:multiLevelType w:val="hybridMultilevel"/>
    <w:tmpl w:val="A6A2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EB54F0"/>
    <w:multiLevelType w:val="hybridMultilevel"/>
    <w:tmpl w:val="5FEE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D607B7"/>
    <w:multiLevelType w:val="multilevel"/>
    <w:tmpl w:val="CE20343E"/>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C99506B"/>
    <w:multiLevelType w:val="multilevel"/>
    <w:tmpl w:val="9D845B5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F647ADA"/>
    <w:multiLevelType w:val="hybridMultilevel"/>
    <w:tmpl w:val="858237FC"/>
    <w:lvl w:ilvl="0" w:tplc="08090005">
      <w:start w:val="1"/>
      <w:numFmt w:val="bullet"/>
      <w:lvlText w:val=""/>
      <w:lvlJc w:val="left"/>
      <w:pPr>
        <w:ind w:left="0" w:hanging="360"/>
      </w:pPr>
      <w:rPr>
        <w:rFonts w:ascii="Wingdings" w:hAnsi="Wingdings"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nsid w:val="5362211E"/>
    <w:multiLevelType w:val="hybridMultilevel"/>
    <w:tmpl w:val="A86A886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6F376EA"/>
    <w:multiLevelType w:val="hybridMultilevel"/>
    <w:tmpl w:val="A3266DA0"/>
    <w:styleLink w:val="Numbered"/>
    <w:lvl w:ilvl="0" w:tplc="F4F4CAA8">
      <w:start w:val="1"/>
      <w:numFmt w:val="decimal"/>
      <w:lvlText w:val="%1."/>
      <w:lvlJc w:val="left"/>
      <w:pPr>
        <w:tabs>
          <w:tab w:val="num" w:pos="253"/>
        </w:tabs>
        <w:ind w:left="1693" w:hanging="1693"/>
      </w:pPr>
      <w:rPr>
        <w:rFonts w:hAnsi="Arial Unicode MS"/>
        <w:caps w:val="0"/>
        <w:smallCaps w:val="0"/>
        <w:strike w:val="0"/>
        <w:dstrike w:val="0"/>
        <w:outline w:val="0"/>
        <w:emboss w:val="0"/>
        <w:imprint w:val="0"/>
        <w:spacing w:val="0"/>
        <w:w w:val="100"/>
        <w:kern w:val="0"/>
        <w:position w:val="0"/>
        <w:highlight w:val="none"/>
        <w:vertAlign w:val="baseline"/>
      </w:rPr>
    </w:lvl>
    <w:lvl w:ilvl="1" w:tplc="332C8298">
      <w:start w:val="1"/>
      <w:numFmt w:val="decimal"/>
      <w:lvlText w:val="%2."/>
      <w:lvlJc w:val="left"/>
      <w:pPr>
        <w:tabs>
          <w:tab w:val="left" w:pos="253"/>
          <w:tab w:val="num" w:pos="1053"/>
        </w:tabs>
        <w:ind w:left="2493" w:hanging="1693"/>
      </w:pPr>
      <w:rPr>
        <w:rFonts w:hAnsi="Arial Unicode MS"/>
        <w:caps w:val="0"/>
        <w:smallCaps w:val="0"/>
        <w:strike w:val="0"/>
        <w:dstrike w:val="0"/>
        <w:outline w:val="0"/>
        <w:emboss w:val="0"/>
        <w:imprint w:val="0"/>
        <w:spacing w:val="0"/>
        <w:w w:val="100"/>
        <w:kern w:val="0"/>
        <w:position w:val="0"/>
        <w:highlight w:val="none"/>
        <w:vertAlign w:val="baseline"/>
      </w:rPr>
    </w:lvl>
    <w:lvl w:ilvl="2" w:tplc="7FD205E0">
      <w:start w:val="1"/>
      <w:numFmt w:val="decimal"/>
      <w:lvlText w:val="%3."/>
      <w:lvlJc w:val="left"/>
      <w:pPr>
        <w:tabs>
          <w:tab w:val="left" w:pos="253"/>
          <w:tab w:val="num" w:pos="1853"/>
        </w:tabs>
        <w:ind w:left="3293" w:hanging="1693"/>
      </w:pPr>
      <w:rPr>
        <w:rFonts w:hAnsi="Arial Unicode MS"/>
        <w:caps w:val="0"/>
        <w:smallCaps w:val="0"/>
        <w:strike w:val="0"/>
        <w:dstrike w:val="0"/>
        <w:outline w:val="0"/>
        <w:emboss w:val="0"/>
        <w:imprint w:val="0"/>
        <w:spacing w:val="0"/>
        <w:w w:val="100"/>
        <w:kern w:val="0"/>
        <w:position w:val="0"/>
        <w:highlight w:val="none"/>
        <w:vertAlign w:val="baseline"/>
      </w:rPr>
    </w:lvl>
    <w:lvl w:ilvl="3" w:tplc="E104E26E">
      <w:start w:val="1"/>
      <w:numFmt w:val="decimal"/>
      <w:lvlText w:val="%4."/>
      <w:lvlJc w:val="left"/>
      <w:pPr>
        <w:tabs>
          <w:tab w:val="left" w:pos="253"/>
          <w:tab w:val="num" w:pos="2653"/>
        </w:tabs>
        <w:ind w:left="4093" w:hanging="1693"/>
      </w:pPr>
      <w:rPr>
        <w:rFonts w:hAnsi="Arial Unicode MS"/>
        <w:caps w:val="0"/>
        <w:smallCaps w:val="0"/>
        <w:strike w:val="0"/>
        <w:dstrike w:val="0"/>
        <w:outline w:val="0"/>
        <w:emboss w:val="0"/>
        <w:imprint w:val="0"/>
        <w:spacing w:val="0"/>
        <w:w w:val="100"/>
        <w:kern w:val="0"/>
        <w:position w:val="0"/>
        <w:highlight w:val="none"/>
        <w:vertAlign w:val="baseline"/>
      </w:rPr>
    </w:lvl>
    <w:lvl w:ilvl="4" w:tplc="30E88A84">
      <w:start w:val="1"/>
      <w:numFmt w:val="decimal"/>
      <w:lvlText w:val="%5."/>
      <w:lvlJc w:val="left"/>
      <w:pPr>
        <w:tabs>
          <w:tab w:val="left" w:pos="253"/>
          <w:tab w:val="num" w:pos="3453"/>
        </w:tabs>
        <w:ind w:left="4893" w:hanging="1693"/>
      </w:pPr>
      <w:rPr>
        <w:rFonts w:hAnsi="Arial Unicode MS"/>
        <w:caps w:val="0"/>
        <w:smallCaps w:val="0"/>
        <w:strike w:val="0"/>
        <w:dstrike w:val="0"/>
        <w:outline w:val="0"/>
        <w:emboss w:val="0"/>
        <w:imprint w:val="0"/>
        <w:spacing w:val="0"/>
        <w:w w:val="100"/>
        <w:kern w:val="0"/>
        <w:position w:val="0"/>
        <w:highlight w:val="none"/>
        <w:vertAlign w:val="baseline"/>
      </w:rPr>
    </w:lvl>
    <w:lvl w:ilvl="5" w:tplc="929035B4">
      <w:start w:val="1"/>
      <w:numFmt w:val="decimal"/>
      <w:lvlText w:val="%6."/>
      <w:lvlJc w:val="left"/>
      <w:pPr>
        <w:tabs>
          <w:tab w:val="left" w:pos="253"/>
          <w:tab w:val="num" w:pos="4253"/>
        </w:tabs>
        <w:ind w:left="5693" w:hanging="1693"/>
      </w:pPr>
      <w:rPr>
        <w:rFonts w:hAnsi="Arial Unicode MS"/>
        <w:caps w:val="0"/>
        <w:smallCaps w:val="0"/>
        <w:strike w:val="0"/>
        <w:dstrike w:val="0"/>
        <w:outline w:val="0"/>
        <w:emboss w:val="0"/>
        <w:imprint w:val="0"/>
        <w:spacing w:val="0"/>
        <w:w w:val="100"/>
        <w:kern w:val="0"/>
        <w:position w:val="0"/>
        <w:highlight w:val="none"/>
        <w:vertAlign w:val="baseline"/>
      </w:rPr>
    </w:lvl>
    <w:lvl w:ilvl="6" w:tplc="8E18BB4A">
      <w:start w:val="1"/>
      <w:numFmt w:val="decimal"/>
      <w:lvlText w:val="%7."/>
      <w:lvlJc w:val="left"/>
      <w:pPr>
        <w:tabs>
          <w:tab w:val="left" w:pos="253"/>
          <w:tab w:val="num" w:pos="5053"/>
        </w:tabs>
        <w:ind w:left="6493" w:hanging="1693"/>
      </w:pPr>
      <w:rPr>
        <w:rFonts w:hAnsi="Arial Unicode MS"/>
        <w:caps w:val="0"/>
        <w:smallCaps w:val="0"/>
        <w:strike w:val="0"/>
        <w:dstrike w:val="0"/>
        <w:outline w:val="0"/>
        <w:emboss w:val="0"/>
        <w:imprint w:val="0"/>
        <w:spacing w:val="0"/>
        <w:w w:val="100"/>
        <w:kern w:val="0"/>
        <w:position w:val="0"/>
        <w:highlight w:val="none"/>
        <w:vertAlign w:val="baseline"/>
      </w:rPr>
    </w:lvl>
    <w:lvl w:ilvl="7" w:tplc="AEC6885E">
      <w:start w:val="1"/>
      <w:numFmt w:val="decimal"/>
      <w:lvlText w:val="%8."/>
      <w:lvlJc w:val="left"/>
      <w:pPr>
        <w:tabs>
          <w:tab w:val="left" w:pos="253"/>
          <w:tab w:val="num" w:pos="5853"/>
        </w:tabs>
        <w:ind w:left="7293" w:hanging="1693"/>
      </w:pPr>
      <w:rPr>
        <w:rFonts w:hAnsi="Arial Unicode MS"/>
        <w:caps w:val="0"/>
        <w:smallCaps w:val="0"/>
        <w:strike w:val="0"/>
        <w:dstrike w:val="0"/>
        <w:outline w:val="0"/>
        <w:emboss w:val="0"/>
        <w:imprint w:val="0"/>
        <w:spacing w:val="0"/>
        <w:w w:val="100"/>
        <w:kern w:val="0"/>
        <w:position w:val="0"/>
        <w:highlight w:val="none"/>
        <w:vertAlign w:val="baseline"/>
      </w:rPr>
    </w:lvl>
    <w:lvl w:ilvl="8" w:tplc="208AB182">
      <w:start w:val="1"/>
      <w:numFmt w:val="decimal"/>
      <w:lvlText w:val="%9."/>
      <w:lvlJc w:val="left"/>
      <w:pPr>
        <w:tabs>
          <w:tab w:val="left" w:pos="253"/>
          <w:tab w:val="num" w:pos="6653"/>
        </w:tabs>
        <w:ind w:left="8093" w:hanging="16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717B49E1"/>
    <w:multiLevelType w:val="hybridMultilevel"/>
    <w:tmpl w:val="FB6C086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6C82199"/>
    <w:multiLevelType w:val="hybridMultilevel"/>
    <w:tmpl w:val="39B6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90297B"/>
    <w:multiLevelType w:val="hybridMultilevel"/>
    <w:tmpl w:val="7F020458"/>
    <w:lvl w:ilvl="0" w:tplc="126654E0">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21"/>
  </w:num>
  <w:num w:numId="3">
    <w:abstractNumId w:val="16"/>
  </w:num>
  <w:num w:numId="4">
    <w:abstractNumId w:val="1"/>
  </w:num>
  <w:num w:numId="5">
    <w:abstractNumId w:val="3"/>
  </w:num>
  <w:num w:numId="6">
    <w:abstractNumId w:val="20"/>
  </w:num>
  <w:num w:numId="7">
    <w:abstractNumId w:val="5"/>
  </w:num>
  <w:num w:numId="8">
    <w:abstractNumId w:val="2"/>
  </w:num>
  <w:num w:numId="9">
    <w:abstractNumId w:val="9"/>
  </w:num>
  <w:num w:numId="10">
    <w:abstractNumId w:val="19"/>
  </w:num>
  <w:num w:numId="11">
    <w:abstractNumId w:val="10"/>
  </w:num>
  <w:num w:numId="12">
    <w:abstractNumId w:val="12"/>
  </w:num>
  <w:num w:numId="13">
    <w:abstractNumId w:val="14"/>
  </w:num>
  <w:num w:numId="14">
    <w:abstractNumId w:val="4"/>
  </w:num>
  <w:num w:numId="15">
    <w:abstractNumId w:val="15"/>
  </w:num>
  <w:num w:numId="16">
    <w:abstractNumId w:val="8"/>
  </w:num>
  <w:num w:numId="17">
    <w:abstractNumId w:val="0"/>
  </w:num>
  <w:num w:numId="18">
    <w:abstractNumId w:val="7"/>
  </w:num>
  <w:num w:numId="19">
    <w:abstractNumId w:val="11"/>
  </w:num>
  <w:num w:numId="20">
    <w:abstractNumId w:val="13"/>
  </w:num>
  <w:num w:numId="21">
    <w:abstractNumId w:val="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rsids>
    <w:rsidRoot w:val="00A2577B"/>
    <w:rsid w:val="000107FB"/>
    <w:rsid w:val="00014638"/>
    <w:rsid w:val="0003335B"/>
    <w:rsid w:val="00061AB0"/>
    <w:rsid w:val="00075AAA"/>
    <w:rsid w:val="00081B7E"/>
    <w:rsid w:val="00097EAE"/>
    <w:rsid w:val="000A5A09"/>
    <w:rsid w:val="000B5923"/>
    <w:rsid w:val="000E1071"/>
    <w:rsid w:val="000E32E4"/>
    <w:rsid w:val="001175E5"/>
    <w:rsid w:val="00121846"/>
    <w:rsid w:val="0012376C"/>
    <w:rsid w:val="0013522B"/>
    <w:rsid w:val="00144C9C"/>
    <w:rsid w:val="00193DFB"/>
    <w:rsid w:val="001A7D71"/>
    <w:rsid w:val="001D1C00"/>
    <w:rsid w:val="00200447"/>
    <w:rsid w:val="00214E22"/>
    <w:rsid w:val="00216B3C"/>
    <w:rsid w:val="0023693A"/>
    <w:rsid w:val="00267C65"/>
    <w:rsid w:val="002A42DD"/>
    <w:rsid w:val="00304382"/>
    <w:rsid w:val="00313439"/>
    <w:rsid w:val="00327DFE"/>
    <w:rsid w:val="00335D3B"/>
    <w:rsid w:val="003B0339"/>
    <w:rsid w:val="003C6C61"/>
    <w:rsid w:val="003E423D"/>
    <w:rsid w:val="003E6151"/>
    <w:rsid w:val="003F19CA"/>
    <w:rsid w:val="004512CE"/>
    <w:rsid w:val="004741A7"/>
    <w:rsid w:val="00480254"/>
    <w:rsid w:val="004A3A10"/>
    <w:rsid w:val="004A50DF"/>
    <w:rsid w:val="004B7A8D"/>
    <w:rsid w:val="004E0886"/>
    <w:rsid w:val="005104A8"/>
    <w:rsid w:val="00513DB0"/>
    <w:rsid w:val="00526532"/>
    <w:rsid w:val="00553F43"/>
    <w:rsid w:val="005C1D67"/>
    <w:rsid w:val="005C363D"/>
    <w:rsid w:val="00600C20"/>
    <w:rsid w:val="006062B2"/>
    <w:rsid w:val="0060634D"/>
    <w:rsid w:val="006259A2"/>
    <w:rsid w:val="00627470"/>
    <w:rsid w:val="00633478"/>
    <w:rsid w:val="00647E78"/>
    <w:rsid w:val="00661EF1"/>
    <w:rsid w:val="006A1357"/>
    <w:rsid w:val="006A61E5"/>
    <w:rsid w:val="006B4A66"/>
    <w:rsid w:val="006D6F99"/>
    <w:rsid w:val="00711E7A"/>
    <w:rsid w:val="00716868"/>
    <w:rsid w:val="0073139D"/>
    <w:rsid w:val="00731CCA"/>
    <w:rsid w:val="00751C78"/>
    <w:rsid w:val="00763B11"/>
    <w:rsid w:val="007C6C08"/>
    <w:rsid w:val="007D047D"/>
    <w:rsid w:val="0080194E"/>
    <w:rsid w:val="00815350"/>
    <w:rsid w:val="00843F24"/>
    <w:rsid w:val="00844E0E"/>
    <w:rsid w:val="00845264"/>
    <w:rsid w:val="00874F49"/>
    <w:rsid w:val="008969D1"/>
    <w:rsid w:val="008B2CB7"/>
    <w:rsid w:val="008C26A2"/>
    <w:rsid w:val="008E1470"/>
    <w:rsid w:val="008F4C94"/>
    <w:rsid w:val="00907AAE"/>
    <w:rsid w:val="00923D31"/>
    <w:rsid w:val="009255AD"/>
    <w:rsid w:val="00932C71"/>
    <w:rsid w:val="0093700B"/>
    <w:rsid w:val="00943669"/>
    <w:rsid w:val="0094448D"/>
    <w:rsid w:val="009451F3"/>
    <w:rsid w:val="00951B02"/>
    <w:rsid w:val="009679E9"/>
    <w:rsid w:val="009D237F"/>
    <w:rsid w:val="009E6A39"/>
    <w:rsid w:val="009E6C45"/>
    <w:rsid w:val="00A17F79"/>
    <w:rsid w:val="00A2577B"/>
    <w:rsid w:val="00A3124D"/>
    <w:rsid w:val="00A41C6A"/>
    <w:rsid w:val="00A81632"/>
    <w:rsid w:val="00AA2C20"/>
    <w:rsid w:val="00AA652F"/>
    <w:rsid w:val="00AB7B18"/>
    <w:rsid w:val="00B82A61"/>
    <w:rsid w:val="00B8662A"/>
    <w:rsid w:val="00B87EC7"/>
    <w:rsid w:val="00B973E1"/>
    <w:rsid w:val="00BB1380"/>
    <w:rsid w:val="00BC609A"/>
    <w:rsid w:val="00BE1C1A"/>
    <w:rsid w:val="00BE62F6"/>
    <w:rsid w:val="00C0017D"/>
    <w:rsid w:val="00C164F2"/>
    <w:rsid w:val="00C24B4E"/>
    <w:rsid w:val="00C36974"/>
    <w:rsid w:val="00C753DA"/>
    <w:rsid w:val="00C956E2"/>
    <w:rsid w:val="00CA2F0E"/>
    <w:rsid w:val="00CB2277"/>
    <w:rsid w:val="00CB4BDC"/>
    <w:rsid w:val="00CE4B72"/>
    <w:rsid w:val="00CE75CA"/>
    <w:rsid w:val="00CF6F78"/>
    <w:rsid w:val="00D153BE"/>
    <w:rsid w:val="00D848A5"/>
    <w:rsid w:val="00D8676E"/>
    <w:rsid w:val="00D92AA6"/>
    <w:rsid w:val="00DD565E"/>
    <w:rsid w:val="00DE5902"/>
    <w:rsid w:val="00E115E6"/>
    <w:rsid w:val="00E24BFC"/>
    <w:rsid w:val="00E3054B"/>
    <w:rsid w:val="00E806AF"/>
    <w:rsid w:val="00E84A32"/>
    <w:rsid w:val="00E86FCA"/>
    <w:rsid w:val="00E91461"/>
    <w:rsid w:val="00E95856"/>
    <w:rsid w:val="00EA433A"/>
    <w:rsid w:val="00EA4869"/>
    <w:rsid w:val="00EB7C07"/>
    <w:rsid w:val="00EE258E"/>
    <w:rsid w:val="00F05BD9"/>
    <w:rsid w:val="00FA1B56"/>
    <w:rsid w:val="00FB4D5D"/>
    <w:rsid w:val="00FD5E76"/>
    <w:rsid w:val="00FF78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table" w:styleId="TableGrid">
    <w:name w:val="Table Grid"/>
    <w:basedOn w:val="TableNormal"/>
    <w:uiPriority w:val="59"/>
    <w:rsid w:val="000E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C609A"/>
    <w:rPr>
      <w:b/>
      <w:bCs/>
      <w:sz w:val="32"/>
      <w:szCs w:val="32"/>
      <w:lang w:eastAsia="en-US"/>
    </w:rPr>
  </w:style>
  <w:style w:type="paragraph" w:styleId="BalloonText">
    <w:name w:val="Balloon Text"/>
    <w:basedOn w:val="Normal"/>
    <w:link w:val="BalloonTextChar"/>
    <w:rsid w:val="00EE258E"/>
    <w:rPr>
      <w:rFonts w:ascii="Tahoma" w:hAnsi="Tahoma" w:cs="Tahoma"/>
      <w:sz w:val="16"/>
      <w:szCs w:val="16"/>
    </w:rPr>
  </w:style>
  <w:style w:type="character" w:customStyle="1" w:styleId="BalloonTextChar">
    <w:name w:val="Balloon Text Char"/>
    <w:basedOn w:val="DefaultParagraphFont"/>
    <w:link w:val="BalloonText"/>
    <w:rsid w:val="00EE258E"/>
    <w:rPr>
      <w:rFonts w:ascii="Tahoma" w:hAnsi="Tahoma" w:cs="Tahoma"/>
      <w:sz w:val="16"/>
      <w:szCs w:val="16"/>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F6F78"/>
    <w:pPr>
      <w:ind w:left="720"/>
    </w:pPr>
    <w:rPr>
      <w:rFonts w:ascii="Calibri" w:eastAsia="Calibri" w:hAnsi="Calibri"/>
      <w:sz w:val="22"/>
      <w:szCs w:val="22"/>
      <w:lang w:eastAsia="en-GB"/>
    </w:rPr>
  </w:style>
  <w:style w:type="paragraph" w:customStyle="1" w:styleId="ClaireNormal1">
    <w:name w:val="Claire Normal1"/>
    <w:basedOn w:val="Normal"/>
    <w:link w:val="ClaireNormal1Char"/>
    <w:uiPriority w:val="99"/>
    <w:rsid w:val="00CF6F78"/>
    <w:pPr>
      <w:spacing w:line="360" w:lineRule="auto"/>
      <w:ind w:left="-142"/>
    </w:pPr>
    <w:rPr>
      <w:rFonts w:ascii="Arial" w:hAnsi="Arial" w:cs="Arial"/>
      <w:sz w:val="20"/>
      <w:szCs w:val="20"/>
    </w:rPr>
  </w:style>
  <w:style w:type="character" w:customStyle="1" w:styleId="ClaireNormal1Char">
    <w:name w:val="Claire Normal1 Char"/>
    <w:basedOn w:val="DefaultParagraphFont"/>
    <w:link w:val="ClaireNormal1"/>
    <w:uiPriority w:val="99"/>
    <w:locked/>
    <w:rsid w:val="00CF6F78"/>
    <w:rPr>
      <w:rFonts w:ascii="Arial" w:hAnsi="Arial" w:cs="Arial"/>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F6F78"/>
    <w:rPr>
      <w:rFonts w:ascii="Calibri" w:eastAsia="Calibri" w:hAnsi="Calibri"/>
      <w:sz w:val="22"/>
      <w:szCs w:val="22"/>
    </w:rPr>
  </w:style>
  <w:style w:type="paragraph" w:customStyle="1" w:styleId="BoldNormal">
    <w:name w:val="Bold Normal"/>
    <w:basedOn w:val="Normal"/>
    <w:link w:val="BoldNormalChar"/>
    <w:uiPriority w:val="99"/>
    <w:rsid w:val="00CF6F78"/>
    <w:pPr>
      <w:spacing w:line="360" w:lineRule="auto"/>
    </w:pPr>
    <w:rPr>
      <w:rFonts w:ascii="Arial" w:hAnsi="Arial" w:cs="Arial"/>
      <w:b/>
      <w:sz w:val="20"/>
      <w:szCs w:val="20"/>
    </w:rPr>
  </w:style>
  <w:style w:type="character" w:customStyle="1" w:styleId="BoldNormalChar">
    <w:name w:val="Bold Normal Char"/>
    <w:basedOn w:val="DefaultParagraphFont"/>
    <w:link w:val="BoldNormal"/>
    <w:uiPriority w:val="99"/>
    <w:locked/>
    <w:rsid w:val="00CF6F78"/>
    <w:rPr>
      <w:rFonts w:ascii="Arial" w:hAnsi="Arial" w:cs="Arial"/>
      <w:b/>
      <w:lang w:eastAsia="en-US"/>
    </w:rPr>
  </w:style>
  <w:style w:type="character" w:styleId="Hyperlink">
    <w:name w:val="Hyperlink"/>
    <w:basedOn w:val="DefaultParagraphFont"/>
    <w:uiPriority w:val="99"/>
    <w:rsid w:val="00BE62F6"/>
    <w:rPr>
      <w:rFonts w:cs="Times New Roman"/>
      <w:color w:val="0000FF"/>
      <w:u w:val="single"/>
    </w:rPr>
  </w:style>
  <w:style w:type="paragraph" w:styleId="FootnoteText">
    <w:name w:val="footnote text"/>
    <w:basedOn w:val="Normal"/>
    <w:link w:val="FootnoteTextChar"/>
    <w:uiPriority w:val="99"/>
    <w:rsid w:val="00BE62F6"/>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BE62F6"/>
    <w:rPr>
      <w:rFonts w:ascii="Calibri" w:eastAsia="Calibri" w:hAnsi="Calibri"/>
      <w:lang w:eastAsia="en-US"/>
    </w:rPr>
  </w:style>
  <w:style w:type="character" w:styleId="FootnoteReference">
    <w:name w:val="footnote reference"/>
    <w:basedOn w:val="DefaultParagraphFont"/>
    <w:uiPriority w:val="99"/>
    <w:rsid w:val="00BE62F6"/>
    <w:rPr>
      <w:rFonts w:cs="Times New Roman"/>
      <w:vertAlign w:val="superscript"/>
    </w:rPr>
  </w:style>
  <w:style w:type="paragraph" w:customStyle="1" w:styleId="StandardParagraph">
    <w:name w:val="Standard Paragraph"/>
    <w:basedOn w:val="Normal"/>
    <w:link w:val="StandardParagraphChar"/>
    <w:uiPriority w:val="99"/>
    <w:rsid w:val="00061AB0"/>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hAnsi="Arial"/>
      <w:szCs w:val="20"/>
    </w:rPr>
  </w:style>
  <w:style w:type="character" w:customStyle="1" w:styleId="StandardParagraphChar">
    <w:name w:val="Standard Paragraph Char"/>
    <w:basedOn w:val="DefaultParagraphFont"/>
    <w:link w:val="StandardParagraph"/>
    <w:uiPriority w:val="99"/>
    <w:locked/>
    <w:rsid w:val="00061AB0"/>
    <w:rPr>
      <w:rFonts w:ascii="Arial" w:hAnsi="Arial"/>
      <w:sz w:val="24"/>
      <w:lang w:eastAsia="en-US"/>
    </w:rPr>
  </w:style>
  <w:style w:type="paragraph" w:customStyle="1" w:styleId="BodyA">
    <w:name w:val="Body A"/>
    <w:rsid w:val="004B7A8D"/>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Numbered">
    <w:name w:val="Numbered"/>
    <w:rsid w:val="004B7A8D"/>
    <w:pPr>
      <w:numPr>
        <w:numId w:val="15"/>
      </w:numPr>
    </w:pPr>
  </w:style>
</w:styles>
</file>

<file path=word/webSettings.xml><?xml version="1.0" encoding="utf-8"?>
<w:webSettings xmlns:r="http://schemas.openxmlformats.org/officeDocument/2006/relationships" xmlns:w="http://schemas.openxmlformats.org/wordprocessingml/2006/main">
  <w:divs>
    <w:div w:id="870609323">
      <w:bodyDiv w:val="1"/>
      <w:marLeft w:val="0"/>
      <w:marRight w:val="0"/>
      <w:marTop w:val="0"/>
      <w:marBottom w:val="0"/>
      <w:divBdr>
        <w:top w:val="none" w:sz="0" w:space="0" w:color="auto"/>
        <w:left w:val="none" w:sz="0" w:space="0" w:color="auto"/>
        <w:bottom w:val="none" w:sz="0" w:space="0" w:color="auto"/>
        <w:right w:val="none" w:sz="0" w:space="0" w:color="auto"/>
      </w:divBdr>
    </w:div>
    <w:div w:id="9934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1410</Words>
  <Characters>7822</Characters>
  <Application>Microsoft Office Word</Application>
  <DocSecurity>0</DocSecurity>
  <Lines>460</Lines>
  <Paragraphs>236</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McGuinnessC1</cp:lastModifiedBy>
  <cp:revision>9</cp:revision>
  <cp:lastPrinted>2019-06-10T08:26:00Z</cp:lastPrinted>
  <dcterms:created xsi:type="dcterms:W3CDTF">2019-06-10T11:08:00Z</dcterms:created>
  <dcterms:modified xsi:type="dcterms:W3CDTF">2019-06-12T16:09:00Z</dcterms:modified>
</cp:coreProperties>
</file>