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2557"/>
        <w:gridCol w:w="4814"/>
        <w:gridCol w:w="1985"/>
      </w:tblGrid>
      <w:tr w:rsidR="00FD6174" w:rsidRPr="005B4BA8" w:rsidTr="00B45C71">
        <w:trPr>
          <w:trHeight w:val="557"/>
        </w:trPr>
        <w:tc>
          <w:tcPr>
            <w:tcW w:w="2557" w:type="dxa"/>
          </w:tcPr>
          <w:p w:rsidR="00FD6174" w:rsidRPr="005B4BA8" w:rsidRDefault="00FD6174" w:rsidP="00B45C71">
            <w:pPr>
              <w:pStyle w:val="Heading1"/>
              <w:spacing w:before="60" w:after="60"/>
              <w:ind w:right="183"/>
              <w:contextualSpacing/>
              <w:rPr>
                <w:rFonts w:ascii="Arial" w:hAnsi="Arial" w:cs="Arial"/>
                <w:sz w:val="24"/>
                <w:szCs w:val="24"/>
              </w:rPr>
            </w:pPr>
            <w:r w:rsidRPr="005B4BA8">
              <w:rPr>
                <w:rFonts w:ascii="Arial" w:hAnsi="Arial" w:cs="Arial"/>
                <w:sz w:val="24"/>
                <w:szCs w:val="24"/>
              </w:rPr>
              <w:t>Board Meeting:</w:t>
            </w:r>
          </w:p>
        </w:tc>
        <w:tc>
          <w:tcPr>
            <w:tcW w:w="4814" w:type="dxa"/>
          </w:tcPr>
          <w:p w:rsidR="00FD6174" w:rsidRPr="005B4BA8" w:rsidRDefault="00FD6174" w:rsidP="00FD6174">
            <w:pPr>
              <w:pStyle w:val="Heading1"/>
              <w:spacing w:before="60" w:after="60"/>
              <w:ind w:right="183"/>
              <w:contextualSpacing/>
              <w:rPr>
                <w:rFonts w:ascii="Arial" w:hAnsi="Arial" w:cs="Arial"/>
                <w:b w:val="0"/>
                <w:sz w:val="24"/>
                <w:szCs w:val="24"/>
              </w:rPr>
            </w:pPr>
            <w:r>
              <w:rPr>
                <w:rFonts w:ascii="Arial" w:hAnsi="Arial" w:cs="Arial"/>
                <w:b w:val="0"/>
                <w:sz w:val="24"/>
                <w:szCs w:val="24"/>
              </w:rPr>
              <w:t>9 May 2019</w:t>
            </w:r>
          </w:p>
        </w:tc>
        <w:tc>
          <w:tcPr>
            <w:tcW w:w="1985" w:type="dxa"/>
            <w:vMerge w:val="restart"/>
          </w:tcPr>
          <w:p w:rsidR="00FD6174" w:rsidRPr="005B4BA8" w:rsidRDefault="00FD6174" w:rsidP="00B45C71">
            <w:pPr>
              <w:pStyle w:val="Heading1"/>
              <w:spacing w:before="60" w:after="60"/>
              <w:ind w:right="34"/>
              <w:contextualSpacing/>
              <w:jc w:val="right"/>
              <w:rPr>
                <w:rFonts w:ascii="Arial" w:hAnsi="Arial" w:cs="Arial"/>
                <w:sz w:val="24"/>
                <w:szCs w:val="24"/>
              </w:rPr>
            </w:pPr>
            <w:r>
              <w:rPr>
                <w:rFonts w:ascii="Arial" w:hAnsi="Arial" w:cs="Arial"/>
                <w:noProof/>
                <w:sz w:val="24"/>
                <w:szCs w:val="24"/>
                <w:lang w:eastAsia="en-GB"/>
              </w:rPr>
              <w:drawing>
                <wp:inline distT="0" distB="0" distL="0" distR="0">
                  <wp:extent cx="1152525" cy="981075"/>
                  <wp:effectExtent l="19050" t="0" r="9525" b="0"/>
                  <wp:docPr id="9" name="Picture 9" descr="GJF RGB 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7" cstate="print"/>
                          <a:srcRect/>
                          <a:stretch>
                            <a:fillRect/>
                          </a:stretch>
                        </pic:blipFill>
                        <pic:spPr bwMode="auto">
                          <a:xfrm>
                            <a:off x="0" y="0"/>
                            <a:ext cx="1152525" cy="981075"/>
                          </a:xfrm>
                          <a:prstGeom prst="rect">
                            <a:avLst/>
                          </a:prstGeom>
                          <a:noFill/>
                          <a:ln w="9525">
                            <a:noFill/>
                            <a:miter lim="800000"/>
                            <a:headEnd/>
                            <a:tailEnd/>
                          </a:ln>
                        </pic:spPr>
                      </pic:pic>
                    </a:graphicData>
                  </a:graphic>
                </wp:inline>
              </w:drawing>
            </w:r>
          </w:p>
        </w:tc>
      </w:tr>
      <w:tr w:rsidR="00FD6174" w:rsidRPr="005B4BA8" w:rsidTr="00B45C71">
        <w:trPr>
          <w:trHeight w:val="1091"/>
        </w:trPr>
        <w:tc>
          <w:tcPr>
            <w:tcW w:w="2557" w:type="dxa"/>
          </w:tcPr>
          <w:p w:rsidR="00FD6174" w:rsidRPr="005B4BA8" w:rsidRDefault="00FD6174" w:rsidP="00B45C71">
            <w:pPr>
              <w:pStyle w:val="Heading1"/>
              <w:spacing w:before="60" w:after="60"/>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FD6174" w:rsidRPr="005B4BA8" w:rsidRDefault="00FD6174" w:rsidP="00FD6174">
            <w:pPr>
              <w:pStyle w:val="Heading1"/>
              <w:spacing w:before="60" w:after="60"/>
              <w:ind w:right="183"/>
              <w:contextualSpacing/>
              <w:rPr>
                <w:rFonts w:ascii="Arial" w:hAnsi="Arial" w:cs="Arial"/>
                <w:b w:val="0"/>
                <w:sz w:val="24"/>
                <w:szCs w:val="24"/>
              </w:rPr>
            </w:pPr>
            <w:r>
              <w:rPr>
                <w:rFonts w:ascii="Arial" w:hAnsi="Arial" w:cs="Arial"/>
                <w:b w:val="0"/>
                <w:sz w:val="24"/>
                <w:szCs w:val="24"/>
              </w:rPr>
              <w:t>Board dates and process</w:t>
            </w:r>
          </w:p>
        </w:tc>
        <w:tc>
          <w:tcPr>
            <w:tcW w:w="1985" w:type="dxa"/>
            <w:vMerge/>
          </w:tcPr>
          <w:p w:rsidR="00FD6174" w:rsidRPr="005B4BA8" w:rsidRDefault="00FD6174" w:rsidP="00B45C71">
            <w:pPr>
              <w:pStyle w:val="Heading1"/>
              <w:spacing w:before="60" w:after="60"/>
              <w:ind w:right="183"/>
              <w:contextualSpacing/>
              <w:rPr>
                <w:rFonts w:ascii="Arial" w:hAnsi="Arial" w:cs="Arial"/>
                <w:noProof/>
                <w:sz w:val="24"/>
                <w:szCs w:val="24"/>
                <w:lang w:eastAsia="en-GB"/>
              </w:rPr>
            </w:pPr>
          </w:p>
        </w:tc>
      </w:tr>
      <w:tr w:rsidR="00FD6174" w:rsidRPr="005B4BA8" w:rsidTr="00B45C71">
        <w:trPr>
          <w:trHeight w:val="499"/>
        </w:trPr>
        <w:tc>
          <w:tcPr>
            <w:tcW w:w="2557" w:type="dxa"/>
          </w:tcPr>
          <w:p w:rsidR="00FD6174" w:rsidRPr="005B4BA8" w:rsidRDefault="00FD6174" w:rsidP="00B45C71">
            <w:pPr>
              <w:pStyle w:val="Heading1"/>
              <w:spacing w:before="120" w:after="60"/>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FD6174" w:rsidRDefault="00FD6174" w:rsidP="00B45C71">
            <w:pPr>
              <w:pStyle w:val="Heading1"/>
              <w:spacing w:before="120" w:after="60"/>
              <w:ind w:right="183"/>
              <w:contextualSpacing/>
              <w:rPr>
                <w:rFonts w:ascii="Arial" w:hAnsi="Arial" w:cs="Arial"/>
                <w:b w:val="0"/>
                <w:sz w:val="24"/>
                <w:szCs w:val="24"/>
              </w:rPr>
            </w:pPr>
            <w:r w:rsidRPr="005B4BA8">
              <w:rPr>
                <w:rFonts w:ascii="Arial" w:hAnsi="Arial" w:cs="Arial"/>
                <w:b w:val="0"/>
                <w:sz w:val="24"/>
                <w:szCs w:val="24"/>
              </w:rPr>
              <w:t>Board members are asked to:</w:t>
            </w:r>
          </w:p>
          <w:p w:rsidR="00FD6174" w:rsidRPr="005B4BA8" w:rsidRDefault="00FD6174" w:rsidP="00B45C71"/>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FD6174" w:rsidTr="00B45C71">
              <w:tc>
                <w:tcPr>
                  <w:tcW w:w="5694" w:type="dxa"/>
                </w:tcPr>
                <w:p w:rsidR="00FD6174" w:rsidRPr="007D047D" w:rsidRDefault="00FD6174" w:rsidP="00B45C71">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FD6174" w:rsidRDefault="00FD6174" w:rsidP="00B45C71">
                  <w:pPr>
                    <w:spacing w:before="120" w:after="60"/>
                    <w:contextualSpacing/>
                  </w:pPr>
                </w:p>
              </w:tc>
            </w:tr>
            <w:tr w:rsidR="00FD6174" w:rsidTr="00B45C71">
              <w:tc>
                <w:tcPr>
                  <w:tcW w:w="5694" w:type="dxa"/>
                </w:tcPr>
                <w:p w:rsidR="00FD6174" w:rsidRPr="007D047D" w:rsidRDefault="00FD6174" w:rsidP="00B45C71">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FD6174" w:rsidRDefault="00FD6174" w:rsidP="00B45C71">
                  <w:pPr>
                    <w:spacing w:before="120" w:after="60"/>
                    <w:contextualSpacing/>
                  </w:pPr>
                  <w:r>
                    <w:t>X</w:t>
                  </w:r>
                </w:p>
              </w:tc>
            </w:tr>
            <w:tr w:rsidR="00FD6174" w:rsidTr="00B45C71">
              <w:tc>
                <w:tcPr>
                  <w:tcW w:w="5694" w:type="dxa"/>
                </w:tcPr>
                <w:p w:rsidR="00FD6174" w:rsidRPr="007D047D" w:rsidRDefault="00FD6174" w:rsidP="00B45C71">
                  <w:pPr>
                    <w:pStyle w:val="Heading1"/>
                    <w:spacing w:before="120" w:after="60"/>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FD6174" w:rsidRDefault="00FD6174" w:rsidP="00B45C71">
                  <w:pPr>
                    <w:spacing w:before="120" w:after="60"/>
                    <w:contextualSpacing/>
                  </w:pPr>
                </w:p>
              </w:tc>
            </w:tr>
          </w:tbl>
          <w:p w:rsidR="00FD6174" w:rsidRPr="0073139D" w:rsidRDefault="00FD6174" w:rsidP="00B45C71">
            <w:pPr>
              <w:spacing w:before="120" w:after="60"/>
              <w:contextualSpacing/>
            </w:pPr>
          </w:p>
        </w:tc>
      </w:tr>
    </w:tbl>
    <w:p w:rsidR="00FD6174" w:rsidRDefault="00FD6174" w:rsidP="00FD6174">
      <w:pPr>
        <w:pStyle w:val="Heading2"/>
        <w:pBdr>
          <w:bottom w:val="single" w:sz="4" w:space="1" w:color="auto"/>
        </w:pBdr>
        <w:ind w:right="-188"/>
        <w:rPr>
          <w:i w:val="0"/>
          <w:sz w:val="24"/>
          <w:szCs w:val="24"/>
        </w:rPr>
      </w:pPr>
    </w:p>
    <w:p w:rsidR="00FD6174" w:rsidRPr="001175E5" w:rsidRDefault="00FD6174" w:rsidP="00FD6174">
      <w:pPr>
        <w:pStyle w:val="Heading2"/>
        <w:ind w:right="183"/>
        <w:rPr>
          <w:i w:val="0"/>
          <w:sz w:val="24"/>
          <w:szCs w:val="24"/>
        </w:rPr>
      </w:pPr>
      <w:r w:rsidRPr="001175E5">
        <w:rPr>
          <w:i w:val="0"/>
          <w:sz w:val="24"/>
          <w:szCs w:val="24"/>
        </w:rPr>
        <w:t>1</w:t>
      </w:r>
      <w:r w:rsidRPr="001175E5">
        <w:rPr>
          <w:i w:val="0"/>
          <w:sz w:val="24"/>
          <w:szCs w:val="24"/>
        </w:rPr>
        <w:tab/>
        <w:t>Background</w:t>
      </w:r>
    </w:p>
    <w:p w:rsidR="00FD6174" w:rsidRDefault="00FD6174" w:rsidP="00FD6174">
      <w:pPr>
        <w:rPr>
          <w:rFonts w:ascii="Arial" w:hAnsi="Arial" w:cs="Arial"/>
        </w:rPr>
      </w:pPr>
    </w:p>
    <w:p w:rsidR="00FD6174" w:rsidRDefault="00FD6174" w:rsidP="00FD6174">
      <w:pPr>
        <w:ind w:left="720"/>
        <w:rPr>
          <w:rFonts w:ascii="Arial" w:hAnsi="Arial" w:cs="Arial"/>
        </w:rPr>
      </w:pPr>
      <w:r>
        <w:rPr>
          <w:rFonts w:ascii="Arial" w:hAnsi="Arial" w:cs="Arial"/>
        </w:rPr>
        <w:t xml:space="preserve">In line with the ongoing review of corporate governance at Golden Jubilee Foundation, which aligns to the Blueprint for Governance developed by Scottish Government, we have commenced work to realign our performance reporting cycle. </w:t>
      </w:r>
    </w:p>
    <w:p w:rsidR="00FD6174" w:rsidRDefault="00FD6174" w:rsidP="00FD6174">
      <w:pPr>
        <w:ind w:left="720"/>
        <w:rPr>
          <w:rFonts w:ascii="Arial" w:hAnsi="Arial" w:cs="Arial"/>
        </w:rPr>
      </w:pPr>
    </w:p>
    <w:p w:rsidR="00FD6174" w:rsidRDefault="00FD6174" w:rsidP="00FD6174">
      <w:pPr>
        <w:ind w:left="720"/>
        <w:rPr>
          <w:rFonts w:ascii="Arial" w:hAnsi="Arial" w:cs="Arial"/>
        </w:rPr>
      </w:pPr>
      <w:r>
        <w:rPr>
          <w:rFonts w:ascii="Arial" w:hAnsi="Arial" w:cs="Arial"/>
        </w:rPr>
        <w:t>To ensure our performance is reported, discussed and scrutinised in a timely manner, the future meeting cycle of our existing Board sub-committee structure will be changing. In addition, the form, function and focus of our current Performance and Planning Committee will also change.</w:t>
      </w:r>
    </w:p>
    <w:p w:rsidR="00FD6174" w:rsidRPr="001175E5" w:rsidRDefault="00FD6174" w:rsidP="00FD6174">
      <w:pPr>
        <w:ind w:right="183"/>
        <w:rPr>
          <w:rFonts w:ascii="Arial" w:hAnsi="Arial" w:cs="Arial"/>
        </w:rPr>
      </w:pPr>
    </w:p>
    <w:p w:rsidR="00FD6174" w:rsidRPr="00FD6174" w:rsidRDefault="00CC7F10" w:rsidP="00FD6174">
      <w:pPr>
        <w:pStyle w:val="ListParagraph"/>
        <w:numPr>
          <w:ilvl w:val="0"/>
          <w:numId w:val="2"/>
        </w:numPr>
        <w:ind w:right="183"/>
        <w:rPr>
          <w:rFonts w:ascii="Arial" w:hAnsi="Arial" w:cs="Arial"/>
        </w:rPr>
      </w:pPr>
      <w:r>
        <w:rPr>
          <w:rFonts w:ascii="Arial" w:hAnsi="Arial" w:cs="Arial"/>
          <w:b/>
          <w:bCs/>
        </w:rPr>
        <w:t>Integrated Performance Report (IPR)</w:t>
      </w:r>
    </w:p>
    <w:p w:rsidR="00FD6174" w:rsidRDefault="00FD6174" w:rsidP="00FD6174">
      <w:pPr>
        <w:pStyle w:val="Footer"/>
        <w:tabs>
          <w:tab w:val="clear" w:pos="4153"/>
          <w:tab w:val="clear" w:pos="8306"/>
        </w:tabs>
        <w:ind w:right="183"/>
        <w:rPr>
          <w:rFonts w:ascii="Arial" w:hAnsi="Arial" w:cs="Arial"/>
        </w:rPr>
      </w:pPr>
      <w:r>
        <w:rPr>
          <w:rFonts w:ascii="Arial" w:hAnsi="Arial" w:cs="Arial"/>
        </w:rPr>
        <w:tab/>
      </w:r>
    </w:p>
    <w:p w:rsidR="00CC7F10" w:rsidRDefault="00CC7F10" w:rsidP="00CC7F10">
      <w:pPr>
        <w:pStyle w:val="Footer"/>
        <w:tabs>
          <w:tab w:val="clear" w:pos="4153"/>
          <w:tab w:val="clear" w:pos="8306"/>
        </w:tabs>
        <w:ind w:left="720" w:right="183"/>
        <w:rPr>
          <w:rFonts w:ascii="Arial" w:hAnsi="Arial" w:cs="Arial"/>
        </w:rPr>
      </w:pPr>
      <w:r>
        <w:rPr>
          <w:rFonts w:ascii="Arial" w:hAnsi="Arial" w:cs="Arial"/>
        </w:rPr>
        <w:t xml:space="preserve">By August/September 2019, </w:t>
      </w:r>
      <w:r w:rsidR="00FD6174">
        <w:rPr>
          <w:rFonts w:ascii="Arial" w:hAnsi="Arial" w:cs="Arial"/>
        </w:rPr>
        <w:t xml:space="preserve">our new integrated performance report will be </w:t>
      </w:r>
      <w:r>
        <w:rPr>
          <w:rFonts w:ascii="Arial" w:hAnsi="Arial" w:cs="Arial"/>
        </w:rPr>
        <w:t xml:space="preserve">available </w:t>
      </w:r>
      <w:r w:rsidR="00FD6174">
        <w:rPr>
          <w:rFonts w:ascii="Arial" w:hAnsi="Arial" w:cs="Arial"/>
        </w:rPr>
        <w:t>on a monthly basis</w:t>
      </w:r>
      <w:r>
        <w:rPr>
          <w:rFonts w:ascii="Arial" w:hAnsi="Arial" w:cs="Arial"/>
        </w:rPr>
        <w:t xml:space="preserve">. This will contain </w:t>
      </w:r>
      <w:r w:rsidR="00FD6174">
        <w:rPr>
          <w:rFonts w:ascii="Arial" w:hAnsi="Arial" w:cs="Arial"/>
        </w:rPr>
        <w:t xml:space="preserve">a balanced set of key performance indicators from our current corporate scorecard. </w:t>
      </w:r>
    </w:p>
    <w:p w:rsidR="00CC7F10" w:rsidRDefault="00CC7F10" w:rsidP="00CC7F10">
      <w:pPr>
        <w:pStyle w:val="Footer"/>
        <w:tabs>
          <w:tab w:val="clear" w:pos="4153"/>
          <w:tab w:val="clear" w:pos="8306"/>
        </w:tabs>
        <w:ind w:left="720" w:right="183"/>
        <w:rPr>
          <w:rFonts w:ascii="Arial" w:hAnsi="Arial" w:cs="Arial"/>
        </w:rPr>
      </w:pPr>
    </w:p>
    <w:p w:rsidR="00FD6174" w:rsidRDefault="00FD6174" w:rsidP="00CC7F10">
      <w:pPr>
        <w:pStyle w:val="Footer"/>
        <w:tabs>
          <w:tab w:val="clear" w:pos="4153"/>
          <w:tab w:val="clear" w:pos="8306"/>
        </w:tabs>
        <w:ind w:left="720" w:right="183"/>
        <w:rPr>
          <w:rFonts w:ascii="Arial" w:hAnsi="Arial" w:cs="Arial"/>
        </w:rPr>
      </w:pPr>
      <w:r>
        <w:rPr>
          <w:rFonts w:ascii="Arial" w:hAnsi="Arial" w:cs="Arial"/>
        </w:rPr>
        <w:t xml:space="preserve">This report will </w:t>
      </w:r>
      <w:r w:rsidR="00CC7F10">
        <w:rPr>
          <w:rFonts w:ascii="Arial" w:hAnsi="Arial" w:cs="Arial"/>
        </w:rPr>
        <w:t>include</w:t>
      </w:r>
      <w:r>
        <w:rPr>
          <w:rFonts w:ascii="Arial" w:hAnsi="Arial" w:cs="Arial"/>
        </w:rPr>
        <w:t xml:space="preserve"> clinical governance, finance and performance and staff governance data and performance narrative</w:t>
      </w:r>
      <w:r w:rsidR="00CC7F10">
        <w:rPr>
          <w:rFonts w:ascii="Arial" w:hAnsi="Arial" w:cs="Arial"/>
        </w:rPr>
        <w:t>,</w:t>
      </w:r>
      <w:r>
        <w:rPr>
          <w:rFonts w:ascii="Arial" w:hAnsi="Arial" w:cs="Arial"/>
        </w:rPr>
        <w:t xml:space="preserve"> enabling Board members to receive timely information on current performance across all governance domains. The full range of corporate indicators will be reported every two months.</w:t>
      </w:r>
    </w:p>
    <w:p w:rsidR="00CC7F10" w:rsidRDefault="00CC7F10" w:rsidP="00CC7F10">
      <w:pPr>
        <w:pStyle w:val="Footer"/>
        <w:tabs>
          <w:tab w:val="clear" w:pos="4153"/>
          <w:tab w:val="clear" w:pos="8306"/>
        </w:tabs>
        <w:ind w:left="720" w:right="183"/>
        <w:rPr>
          <w:rFonts w:ascii="Arial" w:hAnsi="Arial" w:cs="Arial"/>
        </w:rPr>
      </w:pPr>
    </w:p>
    <w:p w:rsidR="00FD6174" w:rsidRDefault="00FD6174" w:rsidP="00CC7F10">
      <w:pPr>
        <w:pStyle w:val="Footer"/>
        <w:tabs>
          <w:tab w:val="clear" w:pos="4153"/>
          <w:tab w:val="clear" w:pos="8306"/>
        </w:tabs>
        <w:ind w:left="720" w:right="183"/>
        <w:rPr>
          <w:rFonts w:ascii="Arial" w:hAnsi="Arial" w:cs="Arial"/>
        </w:rPr>
      </w:pPr>
      <w:r>
        <w:rPr>
          <w:rFonts w:ascii="Arial" w:hAnsi="Arial" w:cs="Arial"/>
        </w:rPr>
        <w:t xml:space="preserve">Issues and challenges will be escalated, if required, to the Senior Management Team and Board subcommittees within a more responsive timeframe. A </w:t>
      </w:r>
      <w:r w:rsidR="00CC7F10">
        <w:rPr>
          <w:rFonts w:ascii="Arial" w:hAnsi="Arial" w:cs="Arial"/>
        </w:rPr>
        <w:t>timeline for this has now been created.</w:t>
      </w:r>
    </w:p>
    <w:p w:rsidR="00CC7F10" w:rsidRDefault="00CC7F10" w:rsidP="00CC7F10">
      <w:pPr>
        <w:pStyle w:val="Footer"/>
        <w:tabs>
          <w:tab w:val="clear" w:pos="4153"/>
          <w:tab w:val="clear" w:pos="8306"/>
        </w:tabs>
        <w:ind w:left="720" w:right="183"/>
        <w:rPr>
          <w:rFonts w:ascii="Arial" w:hAnsi="Arial" w:cs="Arial"/>
        </w:rPr>
      </w:pPr>
    </w:p>
    <w:p w:rsidR="00FD6174" w:rsidRPr="00C83DE1" w:rsidRDefault="00FD6174" w:rsidP="00CC7F10">
      <w:pPr>
        <w:pStyle w:val="Footer"/>
        <w:tabs>
          <w:tab w:val="clear" w:pos="4153"/>
          <w:tab w:val="clear" w:pos="8306"/>
        </w:tabs>
        <w:ind w:left="720" w:right="183"/>
        <w:rPr>
          <w:rFonts w:ascii="Arial" w:hAnsi="Arial" w:cs="Arial"/>
        </w:rPr>
      </w:pPr>
      <w:r w:rsidRPr="00C83DE1">
        <w:rPr>
          <w:rFonts w:ascii="Arial" w:hAnsi="Arial" w:cs="Arial"/>
        </w:rPr>
        <w:t xml:space="preserve">The integrated performance report will be considered in detail within the relevant governance sub-committee and information for discussion with the Board will be provided within an executive summary report. This will enable full discussion within subcommittees and escalation where required to Board meetings. </w:t>
      </w:r>
    </w:p>
    <w:p w:rsidR="00FD6174" w:rsidRDefault="00FD6174" w:rsidP="00FD6174">
      <w:pPr>
        <w:pStyle w:val="Footer"/>
        <w:tabs>
          <w:tab w:val="clear" w:pos="4153"/>
          <w:tab w:val="clear" w:pos="8306"/>
        </w:tabs>
        <w:ind w:right="183"/>
        <w:rPr>
          <w:rFonts w:ascii="Arial" w:hAnsi="Arial" w:cs="Arial"/>
        </w:rPr>
      </w:pPr>
    </w:p>
    <w:p w:rsidR="00C865BC" w:rsidRDefault="00C865BC" w:rsidP="00C865BC">
      <w:pPr>
        <w:pStyle w:val="Default"/>
        <w:numPr>
          <w:ilvl w:val="0"/>
          <w:numId w:val="2"/>
        </w:numPr>
        <w:rPr>
          <w:b/>
        </w:rPr>
      </w:pPr>
      <w:r>
        <w:rPr>
          <w:b/>
        </w:rPr>
        <w:t xml:space="preserve">Creation of the Finance Performance and </w:t>
      </w:r>
      <w:r w:rsidR="00052F69">
        <w:rPr>
          <w:b/>
        </w:rPr>
        <w:t xml:space="preserve">Planning </w:t>
      </w:r>
      <w:r>
        <w:rPr>
          <w:b/>
        </w:rPr>
        <w:t>Committee and Commissioning Committee</w:t>
      </w:r>
    </w:p>
    <w:p w:rsidR="00C865BC" w:rsidRDefault="00C865BC" w:rsidP="00C865BC">
      <w:pPr>
        <w:pStyle w:val="Default"/>
        <w:ind w:left="720"/>
        <w:rPr>
          <w:b/>
        </w:rPr>
      </w:pPr>
    </w:p>
    <w:p w:rsidR="00C865BC" w:rsidRPr="00052F69" w:rsidRDefault="00052F69" w:rsidP="00C865BC">
      <w:pPr>
        <w:pStyle w:val="Default"/>
        <w:ind w:left="720"/>
      </w:pPr>
      <w:r>
        <w:t>We are currently working on defining the future remit, standard agenda and terms of reference for the Finance, Performance and Planning Committee. This Committee will be chaired by a nominated Non Executive Director and will be comprised mainly of Executive level representatives supported by key Senior Managers.</w:t>
      </w:r>
    </w:p>
    <w:p w:rsidR="00C865BC" w:rsidRDefault="00C865BC" w:rsidP="00C865BC">
      <w:pPr>
        <w:pStyle w:val="Default"/>
        <w:ind w:left="720"/>
        <w:rPr>
          <w:b/>
        </w:rPr>
      </w:pPr>
    </w:p>
    <w:p w:rsidR="00C865BC" w:rsidRPr="00C65A74" w:rsidRDefault="00C865BC" w:rsidP="00C865BC">
      <w:pPr>
        <w:pStyle w:val="Default"/>
        <w:ind w:left="720"/>
      </w:pPr>
      <w:r w:rsidRPr="00C65A74">
        <w:t>To help with our work for the National Elective Centres’ Programme, we are proposing to create a Commission Committee. Although a full remit is still being considered</w:t>
      </w:r>
      <w:r>
        <w:t>, this Committee will ensure robust systems and processes are in place for monitoring and assuring the performance and quality of any directly commissioned services.</w:t>
      </w:r>
    </w:p>
    <w:p w:rsidR="00FD6174" w:rsidRDefault="00FD6174" w:rsidP="00FD6174">
      <w:pPr>
        <w:pStyle w:val="Footer"/>
        <w:tabs>
          <w:tab w:val="clear" w:pos="4153"/>
          <w:tab w:val="clear" w:pos="8306"/>
        </w:tabs>
        <w:ind w:right="183"/>
        <w:rPr>
          <w:rFonts w:ascii="Arial" w:hAnsi="Arial" w:cs="Arial"/>
        </w:rPr>
      </w:pPr>
    </w:p>
    <w:p w:rsidR="00C865BC" w:rsidRDefault="00C865BC" w:rsidP="00FD6174">
      <w:pPr>
        <w:pStyle w:val="Footer"/>
        <w:tabs>
          <w:tab w:val="clear" w:pos="4153"/>
          <w:tab w:val="clear" w:pos="8306"/>
        </w:tabs>
        <w:ind w:right="183"/>
        <w:rPr>
          <w:rFonts w:ascii="Arial" w:hAnsi="Arial" w:cs="Arial"/>
        </w:rPr>
      </w:pPr>
    </w:p>
    <w:p w:rsidR="00C865BC" w:rsidRDefault="00C865BC" w:rsidP="00C865BC">
      <w:pPr>
        <w:pStyle w:val="Default"/>
        <w:numPr>
          <w:ilvl w:val="0"/>
          <w:numId w:val="2"/>
        </w:numPr>
        <w:rPr>
          <w:b/>
        </w:rPr>
      </w:pPr>
      <w:r>
        <w:rPr>
          <w:b/>
        </w:rPr>
        <w:t xml:space="preserve">Board and Committee Meetings </w:t>
      </w:r>
    </w:p>
    <w:p w:rsidR="00C865BC" w:rsidRDefault="00C865BC" w:rsidP="00FD6174">
      <w:pPr>
        <w:pStyle w:val="Footer"/>
        <w:tabs>
          <w:tab w:val="clear" w:pos="4153"/>
          <w:tab w:val="clear" w:pos="8306"/>
        </w:tabs>
        <w:ind w:right="183"/>
        <w:rPr>
          <w:rFonts w:ascii="Arial" w:hAnsi="Arial" w:cs="Arial"/>
        </w:rPr>
      </w:pPr>
    </w:p>
    <w:p w:rsidR="00C865BC" w:rsidRDefault="00C865BC" w:rsidP="00FD6174">
      <w:pPr>
        <w:pStyle w:val="Footer"/>
        <w:tabs>
          <w:tab w:val="clear" w:pos="4153"/>
          <w:tab w:val="clear" w:pos="8306"/>
        </w:tabs>
        <w:ind w:right="183"/>
        <w:rPr>
          <w:rFonts w:ascii="Arial" w:hAnsi="Arial" w:cs="Arial"/>
        </w:rPr>
      </w:pPr>
    </w:p>
    <w:tbl>
      <w:tblPr>
        <w:tblStyle w:val="TableGrid"/>
        <w:tblW w:w="0" w:type="auto"/>
        <w:tblLook w:val="04A0"/>
      </w:tblPr>
      <w:tblGrid>
        <w:gridCol w:w="9242"/>
      </w:tblGrid>
      <w:tr w:rsidR="00FD6174" w:rsidTr="00B45C71">
        <w:tc>
          <w:tcPr>
            <w:tcW w:w="9242" w:type="dxa"/>
            <w:shd w:val="clear" w:color="auto" w:fill="D9D9D9" w:themeFill="background1" w:themeFillShade="D9"/>
          </w:tcPr>
          <w:p w:rsidR="00FD6174" w:rsidRDefault="00FD6174" w:rsidP="00B45C71">
            <w:pPr>
              <w:pStyle w:val="Footer"/>
              <w:tabs>
                <w:tab w:val="clear" w:pos="4153"/>
                <w:tab w:val="clear" w:pos="8306"/>
              </w:tabs>
              <w:ind w:right="183"/>
              <w:rPr>
                <w:rFonts w:ascii="Arial" w:hAnsi="Arial" w:cs="Arial"/>
              </w:rPr>
            </w:pPr>
            <w:r>
              <w:rPr>
                <w:rFonts w:ascii="Arial" w:hAnsi="Arial" w:cs="Arial"/>
              </w:rPr>
              <w:t>Integrated Performance Report Cycle</w:t>
            </w:r>
          </w:p>
        </w:tc>
      </w:tr>
      <w:tr w:rsidR="00FD6174" w:rsidTr="00B45C71">
        <w:tc>
          <w:tcPr>
            <w:tcW w:w="9242" w:type="dxa"/>
          </w:tcPr>
          <w:p w:rsidR="00FD6174" w:rsidRDefault="00FD6174" w:rsidP="00B45C71">
            <w:pPr>
              <w:pStyle w:val="Footer"/>
              <w:tabs>
                <w:tab w:val="clear" w:pos="4153"/>
                <w:tab w:val="clear" w:pos="8306"/>
              </w:tabs>
              <w:ind w:right="183"/>
            </w:pPr>
          </w:p>
          <w:p w:rsidR="00FD6174" w:rsidRDefault="00FD6174" w:rsidP="00B45C71">
            <w:pPr>
              <w:pStyle w:val="Footer"/>
              <w:tabs>
                <w:tab w:val="clear" w:pos="4153"/>
                <w:tab w:val="clear" w:pos="8306"/>
              </w:tabs>
              <w:ind w:right="183"/>
              <w:rPr>
                <w:rFonts w:ascii="Arial" w:hAnsi="Arial" w:cs="Arial"/>
              </w:rPr>
            </w:pPr>
            <w:r>
              <w:rPr>
                <w:lang w:eastAsia="en-US"/>
              </w:rPr>
              <w:object w:dxaOrig="15265" w:dyaOrig="3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98.25pt" o:ole="">
                  <v:imagedata r:id="rId8" o:title=""/>
                </v:shape>
                <o:OLEObject Type="Embed" ProgID="Visio.Drawing.11" ShapeID="_x0000_i1025" DrawAspect="Content" ObjectID="_1618228646" r:id="rId9"/>
              </w:object>
            </w:r>
          </w:p>
        </w:tc>
      </w:tr>
      <w:tr w:rsidR="00FD6174" w:rsidTr="00B45C71">
        <w:trPr>
          <w:trHeight w:val="1804"/>
        </w:trPr>
        <w:tc>
          <w:tcPr>
            <w:tcW w:w="9242" w:type="dxa"/>
          </w:tcPr>
          <w:p w:rsidR="00FD6174" w:rsidRDefault="00FD6174" w:rsidP="00B45C71">
            <w:pPr>
              <w:pStyle w:val="Footer"/>
              <w:tabs>
                <w:tab w:val="clear" w:pos="4153"/>
                <w:tab w:val="clear" w:pos="8306"/>
              </w:tabs>
              <w:ind w:right="183"/>
            </w:pPr>
          </w:p>
          <w:p w:rsidR="00FD6174" w:rsidRDefault="00FD6174" w:rsidP="00B45C71">
            <w:pPr>
              <w:pStyle w:val="Footer"/>
              <w:tabs>
                <w:tab w:val="clear" w:pos="4153"/>
                <w:tab w:val="clear" w:pos="8306"/>
              </w:tabs>
              <w:ind w:right="183"/>
              <w:rPr>
                <w:rFonts w:ascii="Arial" w:hAnsi="Arial" w:cs="Arial"/>
              </w:rPr>
            </w:pPr>
            <w:r>
              <w:rPr>
                <w:lang w:eastAsia="en-US"/>
              </w:rPr>
              <w:object w:dxaOrig="12807" w:dyaOrig="1526">
                <v:shape id="_x0000_i1026" type="#_x0000_t75" style="width:450.75pt;height:53.25pt" o:ole="">
                  <v:imagedata r:id="rId10" o:title=""/>
                </v:shape>
                <o:OLEObject Type="Embed" ProgID="Visio.Drawing.11" ShapeID="_x0000_i1026" DrawAspect="Content" ObjectID="_1618228647" r:id="rId11"/>
              </w:object>
            </w:r>
          </w:p>
        </w:tc>
      </w:tr>
    </w:tbl>
    <w:p w:rsidR="00CC7F10" w:rsidRDefault="00CC7F10" w:rsidP="00CC7F10">
      <w:pPr>
        <w:pStyle w:val="Default"/>
        <w:ind w:left="720"/>
        <w:rPr>
          <w:b/>
        </w:rPr>
      </w:pPr>
    </w:p>
    <w:p w:rsidR="00CC7F10" w:rsidRDefault="00CC7F10" w:rsidP="00CC7F10">
      <w:pPr>
        <w:pStyle w:val="Default"/>
        <w:ind w:left="720"/>
      </w:pPr>
      <w:r w:rsidRPr="00CC7F10">
        <w:t xml:space="preserve">In order to allow Committees of the Board to consider the IPR in a timely way, we have created two month cycle plan (as above). </w:t>
      </w:r>
      <w:r w:rsidR="00AE1B29">
        <w:t>This will mean:</w:t>
      </w:r>
    </w:p>
    <w:p w:rsidR="00AE1B29" w:rsidRDefault="00AE1B29" w:rsidP="00CC7F10">
      <w:pPr>
        <w:pStyle w:val="Default"/>
        <w:ind w:left="720"/>
      </w:pPr>
    </w:p>
    <w:p w:rsidR="00B642ED" w:rsidRDefault="00B642ED" w:rsidP="00AE1B29">
      <w:pPr>
        <w:pStyle w:val="Default"/>
        <w:numPr>
          <w:ilvl w:val="0"/>
          <w:numId w:val="3"/>
        </w:numPr>
      </w:pPr>
      <w:r>
        <w:t>Our Board will meet monthly either as a workshop or a formal meeting.</w:t>
      </w:r>
    </w:p>
    <w:p w:rsidR="00AE1B29" w:rsidRDefault="00AE1B29" w:rsidP="00AE1B29">
      <w:pPr>
        <w:pStyle w:val="Default"/>
        <w:numPr>
          <w:ilvl w:val="0"/>
          <w:numId w:val="3"/>
        </w:numPr>
      </w:pPr>
      <w:r>
        <w:t>The Person Centred, Clinical Governance</w:t>
      </w:r>
      <w:r w:rsidR="00B642ED">
        <w:t xml:space="preserve">, </w:t>
      </w:r>
      <w:r>
        <w:t xml:space="preserve">Finance, Performance and </w:t>
      </w:r>
      <w:r w:rsidR="00052F69">
        <w:t>Planning</w:t>
      </w:r>
      <w:r w:rsidR="00B642ED">
        <w:t>, and the Commissioning</w:t>
      </w:r>
      <w:r>
        <w:t xml:space="preserve"> Committee will meet every two months.</w:t>
      </w:r>
    </w:p>
    <w:p w:rsidR="00AE1B29" w:rsidRDefault="00AE1B29" w:rsidP="00AE1B29">
      <w:pPr>
        <w:pStyle w:val="Default"/>
        <w:numPr>
          <w:ilvl w:val="0"/>
          <w:numId w:val="3"/>
        </w:numPr>
      </w:pPr>
      <w:r>
        <w:t>Our Senior Management Team meeting will continue to meet monthly.</w:t>
      </w:r>
    </w:p>
    <w:p w:rsidR="00AE1B29" w:rsidRDefault="00AE1B29" w:rsidP="00AE1B29">
      <w:pPr>
        <w:pStyle w:val="Default"/>
        <w:numPr>
          <w:ilvl w:val="0"/>
          <w:numId w:val="3"/>
        </w:numPr>
      </w:pPr>
      <w:r>
        <w:t xml:space="preserve">All other Board sub-committees remain either quarterly (e.g. Audit) or twice a year (e.g. Remuneration). </w:t>
      </w:r>
    </w:p>
    <w:p w:rsidR="00B642ED" w:rsidRDefault="00B642ED" w:rsidP="00B642ED">
      <w:pPr>
        <w:pStyle w:val="Default"/>
      </w:pPr>
    </w:p>
    <w:p w:rsidR="00CC7F10" w:rsidRDefault="00AE1B29" w:rsidP="00CC7F10">
      <w:pPr>
        <w:pStyle w:val="Default"/>
        <w:ind w:left="720"/>
        <w:rPr>
          <w:b/>
        </w:rPr>
      </w:pPr>
      <w:r>
        <w:lastRenderedPageBreak/>
        <w:t>To ensure the Governance flow of information reaches the Board and Committees in a timely and correct way, date</w:t>
      </w:r>
      <w:r w:rsidR="00C65A74">
        <w:t xml:space="preserve"> changes are now proposed for all relevant meetings. The last Board meeting on our current reporting format will be 1 August 2019, with new meetings starting from September in line with new IPR cycle. These dates are attached in an appendix to this paper.</w:t>
      </w:r>
    </w:p>
    <w:p w:rsidR="00FD6174" w:rsidRDefault="00FD6174" w:rsidP="00FD6174">
      <w:pPr>
        <w:pStyle w:val="Default"/>
      </w:pPr>
    </w:p>
    <w:p w:rsidR="00B642ED" w:rsidRDefault="00B642ED" w:rsidP="00B642ED">
      <w:pPr>
        <w:pStyle w:val="Default"/>
        <w:ind w:left="720"/>
      </w:pPr>
      <w:r>
        <w:t>We have currently scheduled our Partnership Forum to meet monthly but this will need to be discussed and agreed with our Employee Director and staff side colleagues.</w:t>
      </w:r>
    </w:p>
    <w:p w:rsidR="00CC7F10" w:rsidRDefault="00CC7F10" w:rsidP="00FD6174">
      <w:pPr>
        <w:pStyle w:val="Default"/>
      </w:pPr>
    </w:p>
    <w:p w:rsidR="00FD6174" w:rsidRPr="001175E5" w:rsidRDefault="00FD6174" w:rsidP="00FD6174">
      <w:pPr>
        <w:ind w:right="183"/>
        <w:rPr>
          <w:rFonts w:ascii="Arial" w:hAnsi="Arial" w:cs="Arial"/>
          <w:b/>
          <w:bCs/>
        </w:rPr>
      </w:pPr>
      <w:r>
        <w:rPr>
          <w:rFonts w:ascii="Arial" w:hAnsi="Arial" w:cs="Arial"/>
          <w:b/>
          <w:bCs/>
        </w:rPr>
        <w:t>4</w:t>
      </w:r>
      <w:r w:rsidRPr="001175E5">
        <w:rPr>
          <w:rFonts w:ascii="Arial" w:hAnsi="Arial" w:cs="Arial"/>
          <w:b/>
          <w:bCs/>
        </w:rPr>
        <w:tab/>
      </w:r>
      <w:r>
        <w:rPr>
          <w:rFonts w:ascii="Arial" w:hAnsi="Arial" w:cs="Arial"/>
          <w:b/>
          <w:bCs/>
        </w:rPr>
        <w:t>Recommendation</w:t>
      </w:r>
    </w:p>
    <w:p w:rsidR="00FD6174" w:rsidRDefault="00FD6174" w:rsidP="00FD6174">
      <w:pPr>
        <w:ind w:right="183"/>
        <w:rPr>
          <w:rFonts w:ascii="Arial" w:hAnsi="Arial" w:cs="Arial"/>
          <w:b/>
          <w:bCs/>
        </w:rPr>
      </w:pPr>
    </w:p>
    <w:p w:rsidR="00FD6174" w:rsidRPr="00053F43" w:rsidRDefault="00FD6174" w:rsidP="00FD6174">
      <w:pPr>
        <w:ind w:left="720" w:right="183"/>
        <w:rPr>
          <w:rFonts w:ascii="Arial" w:hAnsi="Arial" w:cs="Arial"/>
          <w:bCs/>
        </w:rPr>
      </w:pPr>
      <w:r w:rsidRPr="00053F43">
        <w:rPr>
          <w:rFonts w:ascii="Arial" w:hAnsi="Arial" w:cs="Arial"/>
          <w:bCs/>
        </w:rPr>
        <w:t xml:space="preserve">Board </w:t>
      </w:r>
      <w:r>
        <w:rPr>
          <w:rFonts w:ascii="Arial" w:hAnsi="Arial" w:cs="Arial"/>
          <w:bCs/>
        </w:rPr>
        <w:t xml:space="preserve">members are asked to </w:t>
      </w:r>
      <w:r w:rsidR="00CC7F10">
        <w:rPr>
          <w:rFonts w:ascii="Arial" w:hAnsi="Arial" w:cs="Arial"/>
          <w:bCs/>
        </w:rPr>
        <w:t xml:space="preserve">approve </w:t>
      </w:r>
      <w:r>
        <w:rPr>
          <w:rFonts w:ascii="Arial" w:hAnsi="Arial" w:cs="Arial"/>
          <w:bCs/>
        </w:rPr>
        <w:t xml:space="preserve">the proposed </w:t>
      </w:r>
      <w:r w:rsidR="00AE1B29">
        <w:rPr>
          <w:rFonts w:ascii="Arial" w:hAnsi="Arial" w:cs="Arial"/>
          <w:bCs/>
        </w:rPr>
        <w:t>cycle of the IPR, whi</w:t>
      </w:r>
      <w:r w:rsidR="00CC7F10">
        <w:rPr>
          <w:rFonts w:ascii="Arial" w:hAnsi="Arial" w:cs="Arial"/>
          <w:bCs/>
        </w:rPr>
        <w:t>ch will result in Committee and Board meeting date changes</w:t>
      </w:r>
      <w:r w:rsidR="00AE1B29">
        <w:rPr>
          <w:rFonts w:ascii="Arial" w:hAnsi="Arial" w:cs="Arial"/>
          <w:bCs/>
        </w:rPr>
        <w:t xml:space="preserve">, and the creation of the Finance Performance and </w:t>
      </w:r>
      <w:r w:rsidR="00052F69">
        <w:rPr>
          <w:rFonts w:ascii="Arial" w:hAnsi="Arial" w:cs="Arial"/>
          <w:bCs/>
        </w:rPr>
        <w:t xml:space="preserve">Planning </w:t>
      </w:r>
      <w:r w:rsidR="00C865BC">
        <w:rPr>
          <w:rFonts w:ascii="Arial" w:hAnsi="Arial" w:cs="Arial"/>
          <w:bCs/>
        </w:rPr>
        <w:t xml:space="preserve">and Commissioning </w:t>
      </w:r>
      <w:r w:rsidR="00AE1B29">
        <w:rPr>
          <w:rFonts w:ascii="Arial" w:hAnsi="Arial" w:cs="Arial"/>
          <w:bCs/>
        </w:rPr>
        <w:t>Committee.</w:t>
      </w:r>
    </w:p>
    <w:p w:rsidR="00FD6174" w:rsidRDefault="00FD6174" w:rsidP="00FD6174">
      <w:pPr>
        <w:ind w:right="183"/>
        <w:rPr>
          <w:rFonts w:ascii="Arial" w:hAnsi="Arial" w:cs="Arial"/>
          <w:bCs/>
        </w:rPr>
      </w:pPr>
    </w:p>
    <w:p w:rsidR="00FD6174" w:rsidRDefault="00FD6174" w:rsidP="00FD6174">
      <w:pPr>
        <w:ind w:right="183"/>
        <w:rPr>
          <w:rFonts w:ascii="Arial" w:hAnsi="Arial" w:cs="Arial"/>
          <w:bCs/>
        </w:rPr>
      </w:pPr>
    </w:p>
    <w:p w:rsidR="00FD6174" w:rsidRDefault="00FD6174" w:rsidP="00FD6174">
      <w:pPr>
        <w:ind w:right="183"/>
        <w:rPr>
          <w:rFonts w:ascii="Arial" w:hAnsi="Arial" w:cs="Arial"/>
          <w:bCs/>
        </w:rPr>
      </w:pPr>
    </w:p>
    <w:p w:rsidR="00FD6174" w:rsidRDefault="00FD6174" w:rsidP="00FD6174">
      <w:pPr>
        <w:ind w:right="183"/>
        <w:rPr>
          <w:rFonts w:ascii="Arial" w:hAnsi="Arial" w:cs="Arial"/>
          <w:b/>
          <w:bCs/>
        </w:rPr>
      </w:pPr>
      <w:r w:rsidRPr="00053F43">
        <w:rPr>
          <w:rFonts w:ascii="Arial" w:hAnsi="Arial" w:cs="Arial"/>
          <w:b/>
          <w:bCs/>
        </w:rPr>
        <w:t>Jann Gardner</w:t>
      </w:r>
    </w:p>
    <w:p w:rsidR="00FD6174" w:rsidRDefault="00FD6174" w:rsidP="00FD6174">
      <w:pPr>
        <w:ind w:right="183"/>
        <w:rPr>
          <w:rFonts w:ascii="Arial" w:hAnsi="Arial" w:cs="Arial"/>
          <w:b/>
          <w:bCs/>
        </w:rPr>
      </w:pPr>
      <w:r>
        <w:rPr>
          <w:rFonts w:ascii="Arial" w:hAnsi="Arial" w:cs="Arial"/>
          <w:b/>
          <w:bCs/>
        </w:rPr>
        <w:t>Chief Executive</w:t>
      </w:r>
    </w:p>
    <w:p w:rsidR="00FD6174" w:rsidRDefault="00C865BC" w:rsidP="00FD6174">
      <w:pPr>
        <w:ind w:right="183"/>
        <w:rPr>
          <w:rFonts w:ascii="Arial" w:hAnsi="Arial" w:cs="Arial"/>
          <w:b/>
          <w:bCs/>
        </w:rPr>
      </w:pPr>
      <w:r>
        <w:rPr>
          <w:rFonts w:ascii="Arial" w:hAnsi="Arial" w:cs="Arial"/>
          <w:b/>
          <w:bCs/>
        </w:rPr>
        <w:t>1 May 2019</w:t>
      </w:r>
    </w:p>
    <w:p w:rsidR="00C865BC" w:rsidRDefault="00C865BC" w:rsidP="00FD6174">
      <w:pPr>
        <w:ind w:right="183"/>
        <w:rPr>
          <w:rFonts w:ascii="Arial" w:hAnsi="Arial" w:cs="Arial"/>
          <w:b/>
          <w:bCs/>
        </w:rPr>
      </w:pPr>
    </w:p>
    <w:p w:rsidR="00FD6174" w:rsidRDefault="00FD6174" w:rsidP="00FD6174">
      <w:pPr>
        <w:ind w:right="183"/>
        <w:rPr>
          <w:rFonts w:ascii="Arial" w:hAnsi="Arial" w:cs="Arial"/>
          <w:b/>
          <w:bCs/>
        </w:rPr>
      </w:pPr>
      <w:r>
        <w:rPr>
          <w:rFonts w:ascii="Arial" w:hAnsi="Arial" w:cs="Arial"/>
          <w:b/>
          <w:bCs/>
        </w:rPr>
        <w:t>Carole Anderson, Head of Strategy and Performance</w:t>
      </w:r>
    </w:p>
    <w:p w:rsidR="00FD6174" w:rsidRDefault="00C865BC" w:rsidP="00FD6174">
      <w:pPr>
        <w:ind w:right="183"/>
        <w:rPr>
          <w:rFonts w:ascii="Arial" w:hAnsi="Arial" w:cs="Arial"/>
          <w:b/>
          <w:bCs/>
        </w:rPr>
      </w:pPr>
      <w:r>
        <w:rPr>
          <w:rFonts w:ascii="Arial" w:hAnsi="Arial" w:cs="Arial"/>
          <w:b/>
          <w:bCs/>
        </w:rPr>
        <w:t>Sandie Scott, Head of Communications and Corporate Affairs</w:t>
      </w:r>
    </w:p>
    <w:p w:rsidR="00B20E1C" w:rsidRDefault="00B20E1C"/>
    <w:sectPr w:rsidR="00B20E1C" w:rsidSect="00B20E1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9C7" w:rsidRDefault="009479C7" w:rsidP="009479C7">
      <w:r>
        <w:separator/>
      </w:r>
    </w:p>
  </w:endnote>
  <w:endnote w:type="continuationSeparator" w:id="0">
    <w:p w:rsidR="009479C7" w:rsidRDefault="009479C7" w:rsidP="009479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5805"/>
      <w:docPartObj>
        <w:docPartGallery w:val="Page Numbers (Bottom of Page)"/>
        <w:docPartUnique/>
      </w:docPartObj>
    </w:sdtPr>
    <w:sdtContent>
      <w:p w:rsidR="009479C7" w:rsidRDefault="009479C7">
        <w:pPr>
          <w:pStyle w:val="Footer"/>
          <w:jc w:val="center"/>
        </w:pPr>
        <w:fldSimple w:instr=" PAGE   \* MERGEFORMAT ">
          <w:r>
            <w:rPr>
              <w:noProof/>
            </w:rPr>
            <w:t>1</w:t>
          </w:r>
        </w:fldSimple>
      </w:p>
    </w:sdtContent>
  </w:sdt>
  <w:p w:rsidR="009479C7" w:rsidRDefault="009479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9C7" w:rsidRDefault="009479C7" w:rsidP="009479C7">
      <w:r>
        <w:separator/>
      </w:r>
    </w:p>
  </w:footnote>
  <w:footnote w:type="continuationSeparator" w:id="0">
    <w:p w:rsidR="009479C7" w:rsidRDefault="009479C7" w:rsidP="00947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9C7" w:rsidRPr="00CF6461" w:rsidRDefault="009479C7" w:rsidP="009479C7">
    <w:pPr>
      <w:pStyle w:val="Header"/>
      <w:jc w:val="right"/>
      <w:rPr>
        <w:rFonts w:ascii="Arial" w:hAnsi="Arial" w:cs="Arial"/>
        <w:b/>
        <w:color w:val="0070C0"/>
        <w:sz w:val="28"/>
        <w:szCs w:val="28"/>
      </w:rPr>
    </w:pPr>
    <w:r>
      <w:rPr>
        <w:rFonts w:ascii="Arial" w:hAnsi="Arial" w:cs="Arial"/>
        <w:b/>
        <w:color w:val="0070C0"/>
        <w:sz w:val="28"/>
        <w:szCs w:val="28"/>
      </w:rPr>
      <w:t>Item 7.7</w:t>
    </w:r>
  </w:p>
  <w:p w:rsidR="009479C7" w:rsidRDefault="009479C7">
    <w:pPr>
      <w:pStyle w:val="Header"/>
    </w:pPr>
  </w:p>
  <w:p w:rsidR="009479C7" w:rsidRDefault="009479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67243"/>
    <w:multiLevelType w:val="hybridMultilevel"/>
    <w:tmpl w:val="A0AC4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3172DF0"/>
    <w:multiLevelType w:val="hybridMultilevel"/>
    <w:tmpl w:val="FBE059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1DA3240"/>
    <w:multiLevelType w:val="hybridMultilevel"/>
    <w:tmpl w:val="665E9D54"/>
    <w:lvl w:ilvl="0" w:tplc="6B3A2B7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D6174"/>
    <w:rsid w:val="00052F69"/>
    <w:rsid w:val="002D36C5"/>
    <w:rsid w:val="003319B8"/>
    <w:rsid w:val="00685D3B"/>
    <w:rsid w:val="009479C7"/>
    <w:rsid w:val="009C5F00"/>
    <w:rsid w:val="00AE1B29"/>
    <w:rsid w:val="00B20E1C"/>
    <w:rsid w:val="00B642ED"/>
    <w:rsid w:val="00C65A74"/>
    <w:rsid w:val="00C865BC"/>
    <w:rsid w:val="00CC7F10"/>
    <w:rsid w:val="00DC72E2"/>
    <w:rsid w:val="00FD61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1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6174"/>
    <w:pPr>
      <w:keepNext/>
      <w:outlineLvl w:val="0"/>
    </w:pPr>
    <w:rPr>
      <w:b/>
      <w:bCs/>
      <w:sz w:val="32"/>
      <w:szCs w:val="32"/>
    </w:rPr>
  </w:style>
  <w:style w:type="paragraph" w:styleId="Heading2">
    <w:name w:val="heading 2"/>
    <w:basedOn w:val="Normal"/>
    <w:next w:val="Normal"/>
    <w:link w:val="Heading2Char"/>
    <w:qFormat/>
    <w:rsid w:val="00FD617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174"/>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rsid w:val="00FD6174"/>
    <w:rPr>
      <w:rFonts w:ascii="Arial" w:eastAsia="Times New Roman" w:hAnsi="Arial" w:cs="Arial"/>
      <w:b/>
      <w:bCs/>
      <w:i/>
      <w:iCs/>
      <w:sz w:val="28"/>
      <w:szCs w:val="28"/>
    </w:rPr>
  </w:style>
  <w:style w:type="paragraph" w:styleId="Footer">
    <w:name w:val="footer"/>
    <w:basedOn w:val="Normal"/>
    <w:link w:val="FooterChar"/>
    <w:uiPriority w:val="99"/>
    <w:rsid w:val="00FD6174"/>
    <w:pPr>
      <w:tabs>
        <w:tab w:val="center" w:pos="4153"/>
        <w:tab w:val="right" w:pos="8306"/>
      </w:tabs>
    </w:pPr>
  </w:style>
  <w:style w:type="character" w:customStyle="1" w:styleId="FooterChar">
    <w:name w:val="Footer Char"/>
    <w:basedOn w:val="DefaultParagraphFont"/>
    <w:link w:val="Footer"/>
    <w:uiPriority w:val="99"/>
    <w:rsid w:val="00FD6174"/>
    <w:rPr>
      <w:rFonts w:ascii="Times New Roman" w:eastAsia="Times New Roman" w:hAnsi="Times New Roman" w:cs="Times New Roman"/>
      <w:sz w:val="24"/>
      <w:szCs w:val="24"/>
    </w:rPr>
  </w:style>
  <w:style w:type="table" w:styleId="TableGrid">
    <w:name w:val="Table Grid"/>
    <w:basedOn w:val="TableNormal"/>
    <w:rsid w:val="00FD617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617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FD6174"/>
    <w:rPr>
      <w:rFonts w:ascii="Tahoma" w:hAnsi="Tahoma" w:cs="Tahoma"/>
      <w:sz w:val="16"/>
      <w:szCs w:val="16"/>
    </w:rPr>
  </w:style>
  <w:style w:type="character" w:customStyle="1" w:styleId="BalloonTextChar">
    <w:name w:val="Balloon Text Char"/>
    <w:basedOn w:val="DefaultParagraphFont"/>
    <w:link w:val="BalloonText"/>
    <w:uiPriority w:val="99"/>
    <w:semiHidden/>
    <w:rsid w:val="00FD6174"/>
    <w:rPr>
      <w:rFonts w:ascii="Tahoma" w:eastAsia="Times New Roman" w:hAnsi="Tahoma" w:cs="Tahoma"/>
      <w:sz w:val="16"/>
      <w:szCs w:val="16"/>
    </w:rPr>
  </w:style>
  <w:style w:type="paragraph" w:styleId="ListParagraph">
    <w:name w:val="List Paragraph"/>
    <w:basedOn w:val="Normal"/>
    <w:uiPriority w:val="34"/>
    <w:qFormat/>
    <w:rsid w:val="00FD6174"/>
    <w:pPr>
      <w:ind w:left="720"/>
      <w:contextualSpacing/>
    </w:pPr>
  </w:style>
  <w:style w:type="character" w:styleId="CommentReference">
    <w:name w:val="annotation reference"/>
    <w:basedOn w:val="DefaultParagraphFont"/>
    <w:uiPriority w:val="99"/>
    <w:semiHidden/>
    <w:unhideWhenUsed/>
    <w:rsid w:val="00052F69"/>
    <w:rPr>
      <w:sz w:val="16"/>
      <w:szCs w:val="16"/>
    </w:rPr>
  </w:style>
  <w:style w:type="paragraph" w:styleId="CommentText">
    <w:name w:val="annotation text"/>
    <w:basedOn w:val="Normal"/>
    <w:link w:val="CommentTextChar"/>
    <w:uiPriority w:val="99"/>
    <w:semiHidden/>
    <w:unhideWhenUsed/>
    <w:rsid w:val="00052F69"/>
    <w:rPr>
      <w:sz w:val="20"/>
      <w:szCs w:val="20"/>
    </w:rPr>
  </w:style>
  <w:style w:type="character" w:customStyle="1" w:styleId="CommentTextChar">
    <w:name w:val="Comment Text Char"/>
    <w:basedOn w:val="DefaultParagraphFont"/>
    <w:link w:val="CommentText"/>
    <w:uiPriority w:val="99"/>
    <w:semiHidden/>
    <w:rsid w:val="00052F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2F69"/>
    <w:rPr>
      <w:b/>
      <w:bCs/>
    </w:rPr>
  </w:style>
  <w:style w:type="character" w:customStyle="1" w:styleId="CommentSubjectChar">
    <w:name w:val="Comment Subject Char"/>
    <w:basedOn w:val="CommentTextChar"/>
    <w:link w:val="CommentSubject"/>
    <w:uiPriority w:val="99"/>
    <w:semiHidden/>
    <w:rsid w:val="00052F69"/>
    <w:rPr>
      <w:b/>
      <w:bCs/>
    </w:rPr>
  </w:style>
  <w:style w:type="paragraph" w:styleId="Header">
    <w:name w:val="header"/>
    <w:basedOn w:val="Normal"/>
    <w:link w:val="HeaderChar"/>
    <w:uiPriority w:val="99"/>
    <w:unhideWhenUsed/>
    <w:rsid w:val="009479C7"/>
    <w:pPr>
      <w:tabs>
        <w:tab w:val="center" w:pos="4513"/>
        <w:tab w:val="right" w:pos="9026"/>
      </w:tabs>
    </w:pPr>
  </w:style>
  <w:style w:type="character" w:customStyle="1" w:styleId="HeaderChar">
    <w:name w:val="Header Char"/>
    <w:basedOn w:val="DefaultParagraphFont"/>
    <w:link w:val="Header"/>
    <w:uiPriority w:val="99"/>
    <w:rsid w:val="009479C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7401F"/>
    <w:rsid w:val="005740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5626ACB1BF494FA331536E8BCCDBC3">
    <w:name w:val="305626ACB1BF494FA331536E8BCCDBC3"/>
    <w:rsid w:val="0057401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scotts2</dc:creator>
  <cp:lastModifiedBy>scotts2</cp:lastModifiedBy>
  <cp:revision>2</cp:revision>
  <dcterms:created xsi:type="dcterms:W3CDTF">2019-05-01T14:11:00Z</dcterms:created>
  <dcterms:modified xsi:type="dcterms:W3CDTF">2019-05-01T14:11:00Z</dcterms:modified>
</cp:coreProperties>
</file>