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B0" w:rsidRPr="000833EC" w:rsidRDefault="00562EEC" w:rsidP="000833EC">
      <w:pPr>
        <w:ind w:left="720" w:right="183" w:firstLine="720"/>
        <w:jc w:val="right"/>
        <w:rPr>
          <w:rFonts w:ascii="Arial" w:hAnsi="Arial" w:cs="Arial"/>
          <w:b/>
          <w:bCs/>
          <w:color w:val="244061"/>
          <w:sz w:val="20"/>
          <w:szCs w:val="20"/>
        </w:rPr>
      </w:pPr>
      <w:r>
        <w:rPr>
          <w:noProof/>
          <w:color w:val="000000"/>
          <w:lang w:eastAsia="en-GB"/>
        </w:rPr>
        <w:drawing>
          <wp:anchor distT="0" distB="0" distL="114300" distR="114300" simplePos="0" relativeHeight="251657728" behindDoc="0" locked="0" layoutInCell="1" allowOverlap="1">
            <wp:simplePos x="0" y="0"/>
            <wp:positionH relativeFrom="column">
              <wp:posOffset>5125720</wp:posOffset>
            </wp:positionH>
            <wp:positionV relativeFrom="paragraph">
              <wp:posOffset>-336550</wp:posOffset>
            </wp:positionV>
            <wp:extent cx="1417955" cy="1298575"/>
            <wp:effectExtent l="19050" t="0" r="0" b="0"/>
            <wp:wrapSquare wrapText="bothSides"/>
            <wp:docPr id="2" name="Picture 2" descr="GJ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JF Logo"/>
                    <pic:cNvPicPr>
                      <a:picLocks noChangeAspect="1" noChangeArrowheads="1"/>
                    </pic:cNvPicPr>
                  </pic:nvPicPr>
                  <pic:blipFill>
                    <a:blip r:embed="rId8" cstate="print"/>
                    <a:srcRect/>
                    <a:stretch>
                      <a:fillRect/>
                    </a:stretch>
                  </pic:blipFill>
                  <pic:spPr bwMode="auto">
                    <a:xfrm>
                      <a:off x="0" y="0"/>
                      <a:ext cx="1417955" cy="1298575"/>
                    </a:xfrm>
                    <a:prstGeom prst="rect">
                      <a:avLst/>
                    </a:prstGeom>
                    <a:noFill/>
                    <a:ln w="9525">
                      <a:noFill/>
                      <a:miter lim="800000"/>
                      <a:headEnd/>
                      <a:tailEnd/>
                    </a:ln>
                  </pic:spPr>
                </pic:pic>
              </a:graphicData>
            </a:graphic>
          </wp:anchor>
        </w:drawing>
      </w:r>
      <w:r w:rsidR="000833EC">
        <w:rPr>
          <w:rFonts w:ascii="Arial" w:hAnsi="Arial" w:cs="Arial"/>
          <w:b/>
          <w:bCs/>
          <w:color w:val="244061"/>
          <w:sz w:val="20"/>
          <w:szCs w:val="20"/>
        </w:rPr>
        <w:t xml:space="preserve"> </w:t>
      </w:r>
    </w:p>
    <w:p w:rsidR="00A2577B" w:rsidRPr="001175E5" w:rsidRDefault="00882F92" w:rsidP="00506517">
      <w:pPr>
        <w:pStyle w:val="Heading1"/>
        <w:ind w:left="-426" w:right="183"/>
        <w:rPr>
          <w:rFonts w:ascii="Arial" w:hAnsi="Arial" w:cs="Arial"/>
          <w:b w:val="0"/>
          <w:sz w:val="24"/>
          <w:szCs w:val="24"/>
        </w:rPr>
      </w:pPr>
      <w:r>
        <w:rPr>
          <w:rFonts w:ascii="Arial" w:hAnsi="Arial" w:cs="Arial"/>
          <w:sz w:val="24"/>
          <w:szCs w:val="24"/>
        </w:rPr>
        <w:t xml:space="preserve">Board </w:t>
      </w:r>
      <w:r w:rsidR="00513DB0">
        <w:rPr>
          <w:rFonts w:ascii="Arial" w:hAnsi="Arial" w:cs="Arial"/>
          <w:sz w:val="24"/>
          <w:szCs w:val="24"/>
        </w:rPr>
        <w:t>M</w:t>
      </w:r>
      <w:r w:rsidR="00A2577B" w:rsidRPr="001175E5">
        <w:rPr>
          <w:rFonts w:ascii="Arial" w:hAnsi="Arial" w:cs="Arial"/>
          <w:sz w:val="24"/>
          <w:szCs w:val="24"/>
        </w:rPr>
        <w:t>eeting</w:t>
      </w:r>
      <w:r w:rsidR="00A2577B" w:rsidRPr="001175E5">
        <w:rPr>
          <w:rFonts w:ascii="Arial" w:hAnsi="Arial" w:cs="Arial"/>
          <w:b w:val="0"/>
          <w:sz w:val="24"/>
          <w:szCs w:val="24"/>
        </w:rPr>
        <w:t>:</w:t>
      </w:r>
      <w:r w:rsidR="00A2577B" w:rsidRPr="001175E5">
        <w:rPr>
          <w:rFonts w:ascii="Arial" w:hAnsi="Arial" w:cs="Arial"/>
          <w:b w:val="0"/>
          <w:sz w:val="24"/>
          <w:szCs w:val="24"/>
        </w:rPr>
        <w:tab/>
      </w:r>
      <w:r>
        <w:rPr>
          <w:rFonts w:ascii="Arial" w:hAnsi="Arial" w:cs="Arial"/>
          <w:b w:val="0"/>
          <w:sz w:val="24"/>
          <w:szCs w:val="24"/>
        </w:rPr>
        <w:tab/>
      </w:r>
      <w:r w:rsidR="00266553">
        <w:rPr>
          <w:rFonts w:ascii="Arial" w:hAnsi="Arial" w:cs="Arial"/>
          <w:b w:val="0"/>
          <w:sz w:val="24"/>
          <w:szCs w:val="24"/>
        </w:rPr>
        <w:t>16 April 2019</w:t>
      </w:r>
    </w:p>
    <w:p w:rsidR="001175E5" w:rsidRPr="00682309" w:rsidRDefault="001175E5" w:rsidP="00506517">
      <w:pPr>
        <w:ind w:left="-426" w:right="183"/>
        <w:rPr>
          <w:rFonts w:ascii="Arial" w:hAnsi="Arial" w:cs="Arial"/>
        </w:rPr>
      </w:pPr>
    </w:p>
    <w:p w:rsidR="00A2577B" w:rsidRPr="00682309" w:rsidRDefault="00A2577B" w:rsidP="00506517">
      <w:pPr>
        <w:ind w:left="-426" w:right="183"/>
        <w:rPr>
          <w:rFonts w:ascii="Arial" w:hAnsi="Arial" w:cs="Arial"/>
        </w:rPr>
      </w:pPr>
      <w:r w:rsidRPr="00682309">
        <w:rPr>
          <w:rFonts w:ascii="Arial" w:hAnsi="Arial" w:cs="Arial"/>
          <w:b/>
          <w:bCs/>
        </w:rPr>
        <w:t xml:space="preserve">Subject: </w:t>
      </w:r>
      <w:r w:rsidRPr="00682309">
        <w:rPr>
          <w:rFonts w:ascii="Arial" w:hAnsi="Arial" w:cs="Arial"/>
          <w:b/>
          <w:bCs/>
        </w:rPr>
        <w:tab/>
      </w:r>
      <w:r w:rsidRPr="00682309">
        <w:rPr>
          <w:rFonts w:ascii="Arial" w:hAnsi="Arial" w:cs="Arial"/>
          <w:b/>
          <w:bCs/>
        </w:rPr>
        <w:tab/>
      </w:r>
      <w:r w:rsidR="00513DB0">
        <w:rPr>
          <w:rFonts w:ascii="Arial" w:hAnsi="Arial" w:cs="Arial"/>
          <w:b/>
          <w:bCs/>
        </w:rPr>
        <w:tab/>
      </w:r>
      <w:r w:rsidR="00914107">
        <w:rPr>
          <w:rFonts w:ascii="Arial" w:hAnsi="Arial" w:cs="Arial"/>
          <w:bCs/>
        </w:rPr>
        <w:t>Clinical Governance Committee Update</w:t>
      </w:r>
    </w:p>
    <w:p w:rsidR="00A2577B" w:rsidRPr="00682309" w:rsidRDefault="00A2577B" w:rsidP="00506517">
      <w:pPr>
        <w:ind w:left="-426" w:right="183"/>
        <w:rPr>
          <w:rFonts w:ascii="Arial" w:hAnsi="Arial" w:cs="Arial"/>
          <w:b/>
          <w:bCs/>
        </w:rPr>
      </w:pPr>
      <w:r w:rsidRPr="00682309">
        <w:rPr>
          <w:rFonts w:ascii="Arial" w:hAnsi="Arial" w:cs="Arial"/>
          <w:b/>
          <w:bCs/>
        </w:rPr>
        <w:tab/>
      </w:r>
    </w:p>
    <w:p w:rsidR="00506517" w:rsidRPr="00506517" w:rsidRDefault="00A2577B" w:rsidP="00BF60F1">
      <w:pPr>
        <w:ind w:left="2154" w:right="183" w:hanging="2580"/>
        <w:rPr>
          <w:rFonts w:ascii="Arial" w:hAnsi="Arial" w:cs="Arial"/>
          <w:sz w:val="18"/>
          <w:szCs w:val="18"/>
        </w:rPr>
      </w:pPr>
      <w:r w:rsidRPr="00682309">
        <w:rPr>
          <w:rFonts w:ascii="Arial" w:hAnsi="Arial" w:cs="Arial"/>
          <w:b/>
          <w:bCs/>
        </w:rPr>
        <w:t>Recommendation:</w:t>
      </w:r>
      <w:r w:rsidRPr="00682309">
        <w:rPr>
          <w:rFonts w:ascii="Arial" w:hAnsi="Arial" w:cs="Arial"/>
          <w:b/>
          <w:bCs/>
        </w:rPr>
        <w:tab/>
      </w:r>
      <w:r w:rsidR="001175E5" w:rsidRPr="00C92710">
        <w:rPr>
          <w:rFonts w:ascii="Arial" w:hAnsi="Arial" w:cs="Arial"/>
        </w:rPr>
        <w:t xml:space="preserve">Board members are asked to </w:t>
      </w:r>
      <w:r w:rsidR="00BF60F1">
        <w:rPr>
          <w:rFonts w:ascii="Arial" w:hAnsi="Arial" w:cs="Arial"/>
        </w:rPr>
        <w:t xml:space="preserve">note discussions from the meeting </w:t>
      </w:r>
      <w:r w:rsidR="00266553">
        <w:rPr>
          <w:rFonts w:ascii="Arial" w:hAnsi="Arial" w:cs="Arial"/>
        </w:rPr>
        <w:t>16 April 2019</w:t>
      </w:r>
      <w:r w:rsidR="00463671">
        <w:rPr>
          <w:rFonts w:ascii="Arial" w:hAnsi="Arial" w:cs="Arial"/>
        </w:rPr>
        <w:t xml:space="preserve"> </w:t>
      </w:r>
    </w:p>
    <w:p w:rsidR="00A2577B" w:rsidRPr="00682309" w:rsidRDefault="00513DB0" w:rsidP="00506517">
      <w:pPr>
        <w:ind w:left="-426" w:right="183"/>
        <w:rPr>
          <w:rFonts w:ascii="Arial" w:hAnsi="Arial" w:cs="Arial"/>
          <w:b/>
          <w:bCs/>
        </w:rPr>
      </w:pPr>
      <w:r>
        <w:rPr>
          <w:rFonts w:ascii="Arial" w:hAnsi="Arial" w:cs="Arial"/>
          <w:b/>
          <w:bCs/>
        </w:rPr>
        <w:t>________________________________________</w:t>
      </w:r>
      <w:r w:rsidR="00C27980">
        <w:rPr>
          <w:rFonts w:ascii="Arial" w:hAnsi="Arial" w:cs="Arial"/>
          <w:b/>
          <w:bCs/>
        </w:rPr>
        <w:t>__________</w:t>
      </w:r>
      <w:r w:rsidR="00506517">
        <w:rPr>
          <w:rFonts w:ascii="Arial" w:hAnsi="Arial" w:cs="Arial"/>
          <w:b/>
          <w:bCs/>
        </w:rPr>
        <w:t>_</w:t>
      </w:r>
    </w:p>
    <w:p w:rsidR="001175E5" w:rsidRPr="001175E5" w:rsidRDefault="001175E5" w:rsidP="00506517">
      <w:pPr>
        <w:pStyle w:val="Heading2"/>
        <w:ind w:left="-426" w:right="183"/>
        <w:rPr>
          <w:i w:val="0"/>
          <w:sz w:val="24"/>
          <w:szCs w:val="24"/>
        </w:rPr>
      </w:pPr>
      <w:r w:rsidRPr="001175E5">
        <w:rPr>
          <w:i w:val="0"/>
          <w:sz w:val="24"/>
          <w:szCs w:val="24"/>
        </w:rPr>
        <w:t>1</w:t>
      </w:r>
      <w:r w:rsidRPr="001175E5">
        <w:rPr>
          <w:i w:val="0"/>
          <w:sz w:val="24"/>
          <w:szCs w:val="24"/>
        </w:rPr>
        <w:tab/>
        <w:t>Background</w:t>
      </w:r>
    </w:p>
    <w:p w:rsidR="000833EC" w:rsidRDefault="000833EC" w:rsidP="000833EC">
      <w:pPr>
        <w:ind w:left="-426" w:right="183"/>
        <w:rPr>
          <w:rFonts w:ascii="Arial" w:hAnsi="Arial" w:cs="Arial"/>
          <w:b/>
          <w:bCs/>
        </w:rPr>
      </w:pPr>
    </w:p>
    <w:p w:rsidR="006D232B" w:rsidRPr="000833EC" w:rsidRDefault="006D232B" w:rsidP="000833EC">
      <w:pPr>
        <w:ind w:left="-426" w:right="183"/>
        <w:rPr>
          <w:rFonts w:ascii="Arial" w:hAnsi="Arial" w:cs="Arial"/>
          <w:b/>
          <w:bCs/>
        </w:rPr>
      </w:pPr>
      <w:r w:rsidRPr="006D232B">
        <w:rPr>
          <w:rFonts w:ascii="Arial" w:hAnsi="Arial" w:cs="Arial"/>
        </w:rPr>
        <w:t>The following key points were agreed at the meeting and have been split into the three high level quality ambitions of person centred, safe, and effective.</w:t>
      </w:r>
    </w:p>
    <w:p w:rsidR="006D232B" w:rsidRDefault="006D232B"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62EEC" w:rsidRPr="00CE5805" w:rsidTr="00642E42">
        <w:tc>
          <w:tcPr>
            <w:tcW w:w="9322" w:type="dxa"/>
            <w:shd w:val="clear" w:color="auto" w:fill="92CDDC"/>
          </w:tcPr>
          <w:p w:rsidR="00562EEC" w:rsidRPr="00CE5805" w:rsidRDefault="00562EEC" w:rsidP="00642E42">
            <w:pPr>
              <w:tabs>
                <w:tab w:val="center" w:pos="4153"/>
                <w:tab w:val="right" w:pos="8306"/>
              </w:tabs>
              <w:spacing w:before="120" w:after="120"/>
              <w:contextualSpacing/>
              <w:rPr>
                <w:rFonts w:ascii="Arial" w:hAnsi="Arial" w:cs="Arial"/>
                <w:b/>
                <w:color w:val="000000"/>
              </w:rPr>
            </w:pPr>
            <w:r w:rsidRPr="00CE5805">
              <w:rPr>
                <w:rFonts w:ascii="Arial" w:hAnsi="Arial" w:cs="Arial"/>
                <w:b/>
                <w:color w:val="000000"/>
              </w:rPr>
              <w:t>Person Centred</w:t>
            </w:r>
          </w:p>
        </w:tc>
      </w:tr>
      <w:tr w:rsidR="00562EEC" w:rsidRPr="00CE5805" w:rsidTr="00642E42">
        <w:tc>
          <w:tcPr>
            <w:tcW w:w="9322" w:type="dxa"/>
            <w:tcBorders>
              <w:bottom w:val="single" w:sz="4" w:space="0" w:color="auto"/>
            </w:tcBorders>
            <w:shd w:val="clear" w:color="auto" w:fill="DAEEF3"/>
          </w:tcPr>
          <w:p w:rsidR="00562EEC" w:rsidRPr="00CE5805" w:rsidRDefault="00562EEC" w:rsidP="00642E42">
            <w:pPr>
              <w:pStyle w:val="ListParagraph"/>
              <w:spacing w:before="120" w:after="120"/>
              <w:ind w:left="0"/>
              <w:contextualSpacing/>
              <w:rPr>
                <w:b/>
                <w:color w:val="000000"/>
                <w:sz w:val="22"/>
                <w:szCs w:val="22"/>
              </w:rPr>
            </w:pPr>
            <w:r w:rsidRPr="00CE5805">
              <w:rPr>
                <w:b/>
                <w:color w:val="000000"/>
                <w:sz w:val="22"/>
                <w:szCs w:val="22"/>
              </w:rPr>
              <w:t>Mutually beneficial partnerships between patients, their families and those delivering healthcare services which respect individual needs and values and which demonstrate compassion, continuity, clear communication and shared decision-making.</w:t>
            </w:r>
          </w:p>
        </w:tc>
      </w:tr>
      <w:tr w:rsidR="00562EEC" w:rsidTr="00642E42">
        <w:trPr>
          <w:trHeight w:val="1251"/>
        </w:trPr>
        <w:tc>
          <w:tcPr>
            <w:tcW w:w="9322" w:type="dxa"/>
            <w:shd w:val="clear" w:color="auto" w:fill="auto"/>
          </w:tcPr>
          <w:p w:rsidR="00562EEC" w:rsidRPr="005D7269" w:rsidRDefault="00562EEC" w:rsidP="00642E42">
            <w:pPr>
              <w:pStyle w:val="ListParagraph"/>
              <w:ind w:left="726"/>
              <w:rPr>
                <w:color w:val="000000"/>
              </w:rPr>
            </w:pPr>
          </w:p>
          <w:p w:rsidR="00562EEC" w:rsidRPr="00562EEC" w:rsidRDefault="00562EEC" w:rsidP="00562EEC">
            <w:pPr>
              <w:pStyle w:val="ListParagraph"/>
              <w:numPr>
                <w:ilvl w:val="0"/>
                <w:numId w:val="17"/>
              </w:numPr>
              <w:rPr>
                <w:color w:val="000000"/>
              </w:rPr>
            </w:pPr>
            <w:r>
              <w:t>The six-monthly Claims Report was received.  Triangulation with divisional reports was noted.</w:t>
            </w:r>
          </w:p>
          <w:p w:rsidR="00562EEC" w:rsidRPr="00562EEC" w:rsidRDefault="00562EEC" w:rsidP="00562EEC">
            <w:pPr>
              <w:pStyle w:val="ListParagraph"/>
              <w:ind w:left="726"/>
              <w:rPr>
                <w:color w:val="000000"/>
              </w:rPr>
            </w:pPr>
          </w:p>
          <w:p w:rsidR="00562EEC" w:rsidRPr="00562EEC" w:rsidRDefault="00562EEC" w:rsidP="00562EEC">
            <w:pPr>
              <w:pStyle w:val="ListParagraph"/>
              <w:numPr>
                <w:ilvl w:val="0"/>
                <w:numId w:val="17"/>
              </w:numPr>
              <w:rPr>
                <w:color w:val="000000"/>
              </w:rPr>
            </w:pPr>
            <w:r>
              <w:t>The HIS Quality of Care Team observed the Committee meeting and gave verbal feedback.</w:t>
            </w:r>
          </w:p>
          <w:p w:rsidR="00562EEC" w:rsidRDefault="00562EEC" w:rsidP="00562EEC">
            <w:pPr>
              <w:pStyle w:val="ListParagraph"/>
              <w:ind w:left="726"/>
              <w:rPr>
                <w:color w:val="000000"/>
              </w:rPr>
            </w:pPr>
          </w:p>
        </w:tc>
      </w:tr>
      <w:tr w:rsidR="00562EEC" w:rsidRPr="00CE5805" w:rsidTr="00642E42">
        <w:tc>
          <w:tcPr>
            <w:tcW w:w="9322" w:type="dxa"/>
            <w:shd w:val="clear" w:color="auto" w:fill="92CDDC"/>
          </w:tcPr>
          <w:p w:rsidR="00562EEC" w:rsidRPr="00CE5805" w:rsidRDefault="00562EEC" w:rsidP="00642E42">
            <w:pPr>
              <w:tabs>
                <w:tab w:val="center" w:pos="4153"/>
                <w:tab w:val="right" w:pos="8306"/>
              </w:tabs>
              <w:spacing w:before="120" w:after="120"/>
              <w:contextualSpacing/>
              <w:rPr>
                <w:rFonts w:ascii="Arial" w:hAnsi="Arial" w:cs="Arial"/>
                <w:b/>
                <w:color w:val="000000"/>
              </w:rPr>
            </w:pPr>
            <w:r w:rsidRPr="00CE5805">
              <w:rPr>
                <w:rFonts w:ascii="Arial" w:hAnsi="Arial" w:cs="Arial"/>
                <w:b/>
                <w:color w:val="000000"/>
              </w:rPr>
              <w:t>Safe</w:t>
            </w:r>
          </w:p>
        </w:tc>
      </w:tr>
      <w:tr w:rsidR="00562EEC" w:rsidRPr="00CE5805" w:rsidTr="00642E42">
        <w:tc>
          <w:tcPr>
            <w:tcW w:w="9322" w:type="dxa"/>
            <w:tcBorders>
              <w:bottom w:val="single" w:sz="4" w:space="0" w:color="auto"/>
            </w:tcBorders>
            <w:shd w:val="clear" w:color="auto" w:fill="DAEEF3"/>
          </w:tcPr>
          <w:p w:rsidR="00562EEC" w:rsidRPr="00CE5805" w:rsidRDefault="00562EEC" w:rsidP="00642E42">
            <w:pPr>
              <w:pStyle w:val="ListParagraph"/>
              <w:spacing w:before="120" w:after="120"/>
              <w:ind w:left="0"/>
              <w:contextualSpacing/>
              <w:rPr>
                <w:b/>
                <w:color w:val="000000"/>
                <w:sz w:val="22"/>
                <w:szCs w:val="22"/>
              </w:rPr>
            </w:pPr>
            <w:r w:rsidRPr="00CE5805">
              <w:rPr>
                <w:b/>
                <w:color w:val="000000"/>
                <w:sz w:val="22"/>
                <w:szCs w:val="22"/>
              </w:rPr>
              <w:t>There will be no avoidable injury or harm to people from healthcare they receive, and an appropriate, clean and safe environment will be provided for the delivery of healthcare services at all times.</w:t>
            </w:r>
          </w:p>
        </w:tc>
      </w:tr>
      <w:tr w:rsidR="00562EEC" w:rsidRPr="00B51321" w:rsidTr="00642E42">
        <w:tc>
          <w:tcPr>
            <w:tcW w:w="9322" w:type="dxa"/>
            <w:tcBorders>
              <w:bottom w:val="single" w:sz="4" w:space="0" w:color="auto"/>
            </w:tcBorders>
            <w:shd w:val="clear" w:color="auto" w:fill="FFFFFF"/>
          </w:tcPr>
          <w:p w:rsidR="00562EEC" w:rsidRDefault="00562EEC" w:rsidP="00642E42"/>
          <w:p w:rsidR="00562EEC" w:rsidRDefault="00562EEC" w:rsidP="00642E42"/>
          <w:p w:rsidR="00562EEC" w:rsidRPr="00562EEC" w:rsidRDefault="00562EEC" w:rsidP="00562EEC">
            <w:pPr>
              <w:pStyle w:val="ListParagraph"/>
              <w:numPr>
                <w:ilvl w:val="0"/>
                <w:numId w:val="15"/>
              </w:numPr>
              <w:spacing w:line="276" w:lineRule="auto"/>
              <w:contextualSpacing/>
              <w:rPr>
                <w:b/>
              </w:rPr>
            </w:pPr>
            <w:r w:rsidRPr="00562EEC">
              <w:t>The two divisional reports were received and discussed in detail.  The new section updating on wider CG activity welcomed by the Committee.</w:t>
            </w:r>
          </w:p>
          <w:p w:rsidR="00562EEC" w:rsidRPr="00562EEC" w:rsidRDefault="00562EEC" w:rsidP="00562EEC">
            <w:pPr>
              <w:pStyle w:val="ListParagraph"/>
              <w:spacing w:line="276" w:lineRule="auto"/>
              <w:ind w:left="360"/>
              <w:contextualSpacing/>
              <w:rPr>
                <w:b/>
              </w:rPr>
            </w:pPr>
          </w:p>
          <w:p w:rsidR="00562EEC" w:rsidRPr="00562EEC" w:rsidRDefault="00562EEC" w:rsidP="00562EEC">
            <w:pPr>
              <w:pStyle w:val="ListParagraph"/>
              <w:numPr>
                <w:ilvl w:val="0"/>
                <w:numId w:val="15"/>
              </w:numPr>
              <w:spacing w:line="276" w:lineRule="auto"/>
              <w:contextualSpacing/>
              <w:rPr>
                <w:b/>
              </w:rPr>
            </w:pPr>
            <w:r w:rsidRPr="00562EEC">
              <w:t>Reports on 2 closed significant events were received and discussed.</w:t>
            </w:r>
          </w:p>
          <w:p w:rsidR="00562EEC" w:rsidRPr="00562EEC" w:rsidRDefault="00562EEC" w:rsidP="00562EEC">
            <w:pPr>
              <w:pStyle w:val="ListParagraph"/>
              <w:spacing w:line="276" w:lineRule="auto"/>
              <w:ind w:left="360"/>
              <w:contextualSpacing/>
              <w:rPr>
                <w:b/>
              </w:rPr>
            </w:pPr>
          </w:p>
          <w:p w:rsidR="00562EEC" w:rsidRPr="00562EEC" w:rsidRDefault="00562EEC" w:rsidP="00562EEC">
            <w:pPr>
              <w:numPr>
                <w:ilvl w:val="0"/>
                <w:numId w:val="15"/>
              </w:numPr>
            </w:pPr>
            <w:r w:rsidRPr="00562EEC">
              <w:rPr>
                <w:rFonts w:ascii="Arial" w:hAnsi="Arial" w:cs="Arial"/>
              </w:rPr>
              <w:t>Safety and Cleanliness: The response to an unannounced inspection of a local hospital was reviewed.  Requirements which were not completely met related to areas of limited relevance to GJNH.</w:t>
            </w:r>
          </w:p>
          <w:p w:rsidR="00562EEC" w:rsidRDefault="00562EEC" w:rsidP="00562EEC">
            <w:pPr>
              <w:rPr>
                <w:rFonts w:ascii="Arial" w:hAnsi="Arial" w:cs="Arial"/>
              </w:rPr>
            </w:pPr>
          </w:p>
          <w:p w:rsidR="00562EEC" w:rsidRDefault="00562EEC" w:rsidP="00562EEC">
            <w:pPr>
              <w:rPr>
                <w:rFonts w:ascii="Arial" w:hAnsi="Arial" w:cs="Arial"/>
              </w:rPr>
            </w:pPr>
          </w:p>
          <w:p w:rsidR="00562EEC" w:rsidRDefault="00562EEC" w:rsidP="00562EEC">
            <w:pPr>
              <w:rPr>
                <w:rFonts w:ascii="Arial" w:hAnsi="Arial" w:cs="Arial"/>
              </w:rPr>
            </w:pPr>
          </w:p>
          <w:p w:rsidR="00562EEC" w:rsidRPr="00B51321" w:rsidRDefault="00562EEC" w:rsidP="00562EEC"/>
        </w:tc>
      </w:tr>
      <w:tr w:rsidR="00562EEC" w:rsidRPr="00CE5805" w:rsidTr="00642E42">
        <w:tc>
          <w:tcPr>
            <w:tcW w:w="9322" w:type="dxa"/>
            <w:shd w:val="clear" w:color="auto" w:fill="92CDDC"/>
          </w:tcPr>
          <w:p w:rsidR="00562EEC" w:rsidRPr="00CE5805" w:rsidRDefault="00562EEC" w:rsidP="00642E42">
            <w:pPr>
              <w:pStyle w:val="ListParagraph"/>
              <w:spacing w:before="120" w:after="120"/>
              <w:ind w:left="6"/>
              <w:rPr>
                <w:b/>
                <w:color w:val="000000"/>
              </w:rPr>
            </w:pPr>
            <w:r w:rsidRPr="00CE5805">
              <w:rPr>
                <w:b/>
                <w:color w:val="000000"/>
              </w:rPr>
              <w:lastRenderedPageBreak/>
              <w:t>Effective</w:t>
            </w:r>
          </w:p>
        </w:tc>
      </w:tr>
      <w:tr w:rsidR="00562EEC" w:rsidRPr="009804D5" w:rsidTr="00642E42">
        <w:tc>
          <w:tcPr>
            <w:tcW w:w="9322" w:type="dxa"/>
            <w:tcBorders>
              <w:bottom w:val="single" w:sz="4" w:space="0" w:color="auto"/>
            </w:tcBorders>
            <w:shd w:val="clear" w:color="auto" w:fill="DAEEF3"/>
          </w:tcPr>
          <w:p w:rsidR="00562EEC" w:rsidRPr="009804D5" w:rsidRDefault="00562EEC" w:rsidP="00642E42">
            <w:pPr>
              <w:pStyle w:val="ListParagraph"/>
              <w:spacing w:before="120" w:after="120"/>
              <w:ind w:left="0"/>
              <w:contextualSpacing/>
              <w:rPr>
                <w:b/>
                <w:color w:val="000000"/>
              </w:rPr>
            </w:pPr>
            <w:r w:rsidRPr="00CE5805">
              <w:rPr>
                <w:b/>
                <w:color w:val="000000"/>
                <w:sz w:val="22"/>
                <w:szCs w:val="22"/>
              </w:rPr>
              <w:t>The most appropriate treatments, interventions, support and services will be provided at the right time to everyone who will benefit, and wasteful or harmful variation will be eradicated</w:t>
            </w:r>
            <w:r w:rsidRPr="009804D5">
              <w:rPr>
                <w:b/>
                <w:color w:val="000000"/>
              </w:rPr>
              <w:t>.</w:t>
            </w:r>
          </w:p>
        </w:tc>
      </w:tr>
      <w:tr w:rsidR="00562EEC" w:rsidRPr="001E33D7" w:rsidTr="00642E42">
        <w:trPr>
          <w:trHeight w:val="2861"/>
        </w:trPr>
        <w:tc>
          <w:tcPr>
            <w:tcW w:w="9322" w:type="dxa"/>
            <w:shd w:val="clear" w:color="auto" w:fill="auto"/>
          </w:tcPr>
          <w:p w:rsidR="00562EEC" w:rsidRPr="00562EEC" w:rsidRDefault="00562EEC" w:rsidP="00562EEC">
            <w:pPr>
              <w:pStyle w:val="ListParagraph"/>
              <w:spacing w:line="276" w:lineRule="auto"/>
              <w:ind w:left="360"/>
              <w:contextualSpacing/>
              <w:rPr>
                <w:b/>
                <w:lang w:val="en-US"/>
              </w:rPr>
            </w:pPr>
          </w:p>
          <w:p w:rsidR="00562EEC" w:rsidRPr="00ED52DA" w:rsidRDefault="00562EEC" w:rsidP="00562EEC">
            <w:pPr>
              <w:pStyle w:val="ListParagraph"/>
              <w:numPr>
                <w:ilvl w:val="0"/>
                <w:numId w:val="14"/>
              </w:numPr>
              <w:spacing w:line="276" w:lineRule="auto"/>
              <w:contextualSpacing/>
              <w:rPr>
                <w:b/>
                <w:lang w:val="en-US"/>
              </w:rPr>
            </w:pPr>
            <w:r>
              <w:t xml:space="preserve">The January HAIRT data was received and discussed.  The continuing attention to Staphylococcus </w:t>
            </w:r>
            <w:proofErr w:type="spellStart"/>
            <w:r>
              <w:t>Aureus</w:t>
            </w:r>
            <w:proofErr w:type="spellEnd"/>
            <w:r>
              <w:t xml:space="preserve"> Bacteraemia and Surgical Site Infections was discussed in detail.  National comparison through the </w:t>
            </w:r>
            <w:r w:rsidR="00675358">
              <w:t>National Cardiac Benchmarking Collaborative (NCBC)</w:t>
            </w:r>
            <w:r>
              <w:t xml:space="preserve"> was being sought and novel approaches for improvement had been identified there.  </w:t>
            </w:r>
          </w:p>
          <w:p w:rsidR="00562EEC" w:rsidRPr="00ED52DA" w:rsidRDefault="00562EEC" w:rsidP="00562EEC">
            <w:pPr>
              <w:pStyle w:val="ListParagraph"/>
              <w:numPr>
                <w:ilvl w:val="0"/>
                <w:numId w:val="14"/>
              </w:numPr>
              <w:spacing w:line="276" w:lineRule="auto"/>
              <w:contextualSpacing/>
              <w:rPr>
                <w:b/>
                <w:lang w:val="en-US"/>
              </w:rPr>
            </w:pPr>
            <w:r>
              <w:t>The Clinical Governance Annual Report was received and approved subject to minor modifications.</w:t>
            </w:r>
          </w:p>
          <w:p w:rsidR="00562EEC" w:rsidRPr="001E33D7" w:rsidRDefault="00562EEC" w:rsidP="00562EEC">
            <w:pPr>
              <w:tabs>
                <w:tab w:val="left" w:pos="709"/>
              </w:tabs>
              <w:spacing w:before="120" w:after="120"/>
              <w:ind w:left="709"/>
              <w:rPr>
                <w:rFonts w:ascii="Arial" w:hAnsi="Arial" w:cs="Arial"/>
              </w:rPr>
            </w:pPr>
          </w:p>
        </w:tc>
      </w:tr>
    </w:tbl>
    <w:p w:rsidR="00562EEC" w:rsidRDefault="00562EEC"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lang w:val="en-US"/>
        </w:rPr>
      </w:pPr>
    </w:p>
    <w:p w:rsidR="00562EEC" w:rsidRDefault="00562EEC"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lang w:val="en-US"/>
        </w:rPr>
      </w:pPr>
    </w:p>
    <w:p w:rsidR="00562EEC" w:rsidRPr="006D232B" w:rsidRDefault="00562EEC" w:rsidP="00506517">
      <w:pPr>
        <w:pStyle w:val="Body"/>
        <w:pBdr>
          <w:top w:val="none" w:sz="0" w:space="0" w:color="auto"/>
          <w:left w:val="none" w:sz="0" w:space="0" w:color="auto"/>
          <w:bottom w:val="none" w:sz="0" w:space="0" w:color="auto"/>
          <w:right w:val="none" w:sz="0" w:space="0" w:color="auto"/>
          <w:bar w:val="none" w:sz="0" w:color="auto"/>
        </w:pBdr>
        <w:ind w:left="-426"/>
        <w:rPr>
          <w:rFonts w:hAnsi="Arial" w:cs="Arial"/>
          <w:lang w:val="en-US"/>
        </w:rPr>
      </w:pPr>
    </w:p>
    <w:p w:rsidR="006D232B" w:rsidRDefault="006D232B" w:rsidP="002D079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ind w:left="-426"/>
        <w:rPr>
          <w:rFonts w:eastAsia="Times New Roman" w:hAnsi="Arial" w:cs="Arial"/>
          <w:b/>
          <w:color w:val="auto"/>
          <w:u w:val="single"/>
          <w:lang w:eastAsia="en-US"/>
        </w:rPr>
      </w:pPr>
    </w:p>
    <w:p w:rsidR="00914107" w:rsidRPr="00C20A60" w:rsidRDefault="006D232B" w:rsidP="0091410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hAnsi="Arial" w:cs="Arial"/>
        </w:rPr>
      </w:pPr>
      <w:r>
        <w:rPr>
          <w:rFonts w:ascii="Arial Bold"/>
          <w:lang w:val="en-US"/>
        </w:rPr>
        <w:t>The n</w:t>
      </w:r>
      <w:r w:rsidR="00914107">
        <w:rPr>
          <w:rFonts w:ascii="Arial Bold"/>
          <w:lang w:val="en-US"/>
        </w:rPr>
        <w:t xml:space="preserve">ext meeting is scheduled for </w:t>
      </w:r>
      <w:r w:rsidR="00791BEB">
        <w:rPr>
          <w:rFonts w:ascii="Arial Bold"/>
          <w:lang w:val="en-US"/>
        </w:rPr>
        <w:t>16 July 2019</w:t>
      </w:r>
      <w:r w:rsidR="00914107">
        <w:rPr>
          <w:rFonts w:ascii="Arial Bold"/>
          <w:lang w:val="en-US"/>
        </w:rPr>
        <w:t xml:space="preserve"> at 10am, Level 5 Boardroom</w:t>
      </w:r>
    </w:p>
    <w:p w:rsidR="006D232B" w:rsidRDefault="006D232B" w:rsidP="00506517">
      <w:pPr>
        <w:pStyle w:val="Body"/>
        <w:pBdr>
          <w:top w:val="none" w:sz="0" w:space="0" w:color="auto"/>
          <w:left w:val="none" w:sz="0" w:space="0" w:color="auto"/>
          <w:bottom w:val="none" w:sz="0" w:space="0" w:color="auto"/>
          <w:right w:val="none" w:sz="0" w:space="0" w:color="auto"/>
          <w:bar w:val="none" w:sz="0" w:color="auto"/>
        </w:pBdr>
        <w:tabs>
          <w:tab w:val="num" w:pos="720"/>
          <w:tab w:val="left" w:pos="5580"/>
          <w:tab w:val="left" w:pos="7740"/>
        </w:tabs>
        <w:rPr>
          <w:rFonts w:ascii="Arial Bold" w:hAnsi="Arial Bold" w:cs="Arial Bold"/>
        </w:rPr>
      </w:pPr>
    </w:p>
    <w:p w:rsidR="001175E5" w:rsidRPr="00162874" w:rsidRDefault="001175E5" w:rsidP="00506517">
      <w:pPr>
        <w:ind w:right="183"/>
        <w:rPr>
          <w:rFonts w:ascii="Arial" w:hAnsi="Arial" w:cs="Arial"/>
          <w:bCs/>
        </w:rPr>
      </w:pPr>
    </w:p>
    <w:p w:rsidR="00914107" w:rsidRDefault="00914107" w:rsidP="00914107">
      <w:pPr>
        <w:ind w:left="-540" w:right="183" w:firstLine="540"/>
        <w:rPr>
          <w:rFonts w:ascii="Arial" w:hAnsi="Arial" w:cs="Arial"/>
          <w:b/>
          <w:bCs/>
        </w:rPr>
      </w:pPr>
      <w:r>
        <w:rPr>
          <w:rFonts w:ascii="Arial" w:hAnsi="Arial" w:cs="Arial"/>
          <w:b/>
          <w:bCs/>
        </w:rPr>
        <w:t>Mark M</w:t>
      </w:r>
      <w:r w:rsidR="00A812D8">
        <w:rPr>
          <w:rFonts w:ascii="Arial" w:hAnsi="Arial" w:cs="Arial"/>
          <w:b/>
          <w:bCs/>
        </w:rPr>
        <w:t>a</w:t>
      </w:r>
      <w:r>
        <w:rPr>
          <w:rFonts w:ascii="Arial" w:hAnsi="Arial" w:cs="Arial"/>
          <w:b/>
          <w:bCs/>
        </w:rPr>
        <w:t xml:space="preserve">cGregor </w:t>
      </w:r>
    </w:p>
    <w:p w:rsidR="001175E5" w:rsidRPr="00C92710" w:rsidRDefault="00BF60F1" w:rsidP="00BF60F1">
      <w:pPr>
        <w:ind w:right="183"/>
        <w:rPr>
          <w:rFonts w:ascii="Arial" w:hAnsi="Arial" w:cs="Arial"/>
          <w:b/>
          <w:bCs/>
        </w:rPr>
      </w:pPr>
      <w:r>
        <w:rPr>
          <w:rFonts w:ascii="Arial" w:hAnsi="Arial" w:cs="Arial"/>
          <w:b/>
          <w:bCs/>
        </w:rPr>
        <w:t>Chair, Clinical Governance Committee</w:t>
      </w:r>
    </w:p>
    <w:p w:rsidR="001175E5" w:rsidRPr="00C92710" w:rsidRDefault="00791BEB" w:rsidP="00506517">
      <w:pPr>
        <w:ind w:right="183"/>
        <w:rPr>
          <w:rFonts w:ascii="Arial" w:hAnsi="Arial" w:cs="Arial"/>
          <w:b/>
          <w:bCs/>
        </w:rPr>
      </w:pPr>
      <w:r>
        <w:rPr>
          <w:rFonts w:ascii="Arial" w:hAnsi="Arial" w:cs="Arial"/>
          <w:b/>
          <w:bCs/>
        </w:rPr>
        <w:t>16 April 2019</w:t>
      </w:r>
      <w:r w:rsidR="009D25CC">
        <w:rPr>
          <w:rFonts w:ascii="Arial" w:hAnsi="Arial" w:cs="Arial"/>
          <w:b/>
          <w:bCs/>
        </w:rPr>
        <w:t xml:space="preserve"> </w:t>
      </w:r>
    </w:p>
    <w:sectPr w:rsidR="001175E5" w:rsidRPr="00C92710" w:rsidSect="00506517">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665" w:rsidRDefault="00590665">
      <w:r>
        <w:separator/>
      </w:r>
    </w:p>
  </w:endnote>
  <w:endnote w:type="continuationSeparator" w:id="0">
    <w:p w:rsidR="00590665" w:rsidRDefault="00590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DB0" w:rsidRPr="00513DB0" w:rsidRDefault="007468F9" w:rsidP="00513DB0">
    <w:pPr>
      <w:ind w:left="-540"/>
      <w:jc w:val="center"/>
      <w:rPr>
        <w:rFonts w:ascii="Arial" w:hAnsi="Arial" w:cs="Arial"/>
        <w:sz w:val="20"/>
        <w:szCs w:val="20"/>
      </w:rPr>
    </w:pPr>
    <w:r w:rsidRPr="00513DB0">
      <w:rPr>
        <w:rStyle w:val="PageNumber"/>
        <w:rFonts w:ascii="Arial" w:hAnsi="Arial" w:cs="Arial"/>
      </w:rPr>
      <w:fldChar w:fldCharType="begin"/>
    </w:r>
    <w:r w:rsidR="00513DB0" w:rsidRPr="00513DB0">
      <w:rPr>
        <w:rStyle w:val="PageNumber"/>
        <w:rFonts w:ascii="Arial" w:hAnsi="Arial" w:cs="Arial"/>
      </w:rPr>
      <w:instrText xml:space="preserve"> PAGE </w:instrText>
    </w:r>
    <w:r w:rsidRPr="00513DB0">
      <w:rPr>
        <w:rStyle w:val="PageNumber"/>
        <w:rFonts w:ascii="Arial" w:hAnsi="Arial" w:cs="Arial"/>
      </w:rPr>
      <w:fldChar w:fldCharType="separate"/>
    </w:r>
    <w:r w:rsidR="00675358">
      <w:rPr>
        <w:rStyle w:val="PageNumber"/>
        <w:rFonts w:ascii="Arial" w:hAnsi="Arial" w:cs="Arial"/>
        <w:noProof/>
      </w:rPr>
      <w:t>2</w:t>
    </w:r>
    <w:r w:rsidRPr="00513DB0">
      <w:rPr>
        <w:rStyle w:val="PageNumber"/>
        <w:rFonts w:ascii="Arial" w:hAnsi="Arial" w:cs="Arial"/>
      </w:rPr>
      <w:fldChar w:fldCharType="end"/>
    </w:r>
  </w:p>
  <w:p w:rsidR="00513DB0" w:rsidRDefault="00513DB0" w:rsidP="00513DB0">
    <w:pPr>
      <w:ind w:left="-540"/>
      <w:jc w:val="center"/>
      <w:rPr>
        <w:rFonts w:ascii="Arial" w:hAnsi="Arial" w:cs="Arial"/>
        <w:sz w:val="20"/>
        <w:szCs w:val="20"/>
      </w:rPr>
    </w:pPr>
    <w:r>
      <w:rPr>
        <w:rFonts w:ascii="Arial" w:hAnsi="Arial" w:cs="Arial"/>
        <w:sz w:val="20"/>
        <w:szCs w:val="20"/>
      </w:rPr>
      <w:t>___________________________________________________________________________</w:t>
    </w:r>
    <w:r w:rsidR="001A624A">
      <w:rPr>
        <w:rFonts w:ascii="Arial" w:hAnsi="Arial" w:cs="Arial"/>
        <w:sz w:val="20"/>
        <w:szCs w:val="20"/>
      </w:rPr>
      <w:t>__________</w:t>
    </w:r>
    <w:r w:rsidR="00506517">
      <w:rPr>
        <w:rFonts w:ascii="Arial" w:hAnsi="Arial" w:cs="Arial"/>
        <w:sz w:val="20"/>
        <w:szCs w:val="20"/>
      </w:rPr>
      <w:t>_</w:t>
    </w:r>
  </w:p>
  <w:p w:rsidR="00513DB0" w:rsidRDefault="00562EEC" w:rsidP="00513DB0">
    <w:pPr>
      <w:ind w:left="-540"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7728" behindDoc="0" locked="0" layoutInCell="1" allowOverlap="1">
          <wp:simplePos x="0" y="0"/>
          <wp:positionH relativeFrom="column">
            <wp:posOffset>5452110</wp:posOffset>
          </wp:positionH>
          <wp:positionV relativeFrom="paragraph">
            <wp:posOffset>128270</wp:posOffset>
          </wp:positionV>
          <wp:extent cx="518160" cy="340995"/>
          <wp:effectExtent l="19050" t="0" r="0" b="0"/>
          <wp:wrapNone/>
          <wp:docPr id="1"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463DB0" w:rsidRPr="008F5DB5" w:rsidRDefault="00463DB0" w:rsidP="00463DB0">
    <w:pPr>
      <w:pStyle w:val="Title"/>
      <w:ind w:left="-540"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he Golden Jubilee Foundation is the</w:t>
    </w:r>
    <w:r w:rsidR="00562EEC">
      <w:rPr>
        <w:rFonts w:ascii="Arial" w:hAnsi="Arial" w:cs="Arial"/>
        <w:sz w:val="18"/>
        <w:szCs w:val="18"/>
      </w:rPr>
      <w:t xml:space="preserv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p w:rsidR="00075AAA" w:rsidRPr="001A624A" w:rsidRDefault="00463DB0" w:rsidP="00463DB0">
    <w:pPr>
      <w:pStyle w:val="Title"/>
      <w:ind w:left="-540" w:right="184"/>
      <w:jc w:val="left"/>
      <w:outlineLvl w:val="0"/>
      <w:rPr>
        <w:rFonts w:ascii="Arial" w:hAnsi="Arial" w:cs="Arial"/>
        <w:sz w:val="18"/>
        <w:szCs w:val="18"/>
      </w:rPr>
    </w:pPr>
    <w:r>
      <w:rPr>
        <w:rFonts w:ascii="Arial" w:hAnsi="Arial" w:cs="Arial"/>
        <w:sz w:val="18"/>
        <w:szCs w:val="18"/>
      </w:rPr>
      <w:t>Golden Jubilee Natio</w:t>
    </w:r>
    <w:r w:rsidR="000A0F2E">
      <w:rPr>
        <w:rFonts w:ascii="Arial" w:hAnsi="Arial" w:cs="Arial"/>
        <w:sz w:val="18"/>
        <w:szCs w:val="18"/>
      </w:rPr>
      <w:t>nal Hospital Charity Number: SC04514</w:t>
    </w:r>
    <w:r>
      <w:rPr>
        <w:rFonts w:ascii="Arial" w:hAnsi="Arial" w:cs="Arial"/>
        <w:sz w:val="18"/>
        <w:szCs w:val="18"/>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665" w:rsidRDefault="00590665">
      <w:r>
        <w:separator/>
      </w:r>
    </w:p>
  </w:footnote>
  <w:footnote w:type="continuationSeparator" w:id="0">
    <w:p w:rsidR="00590665" w:rsidRDefault="00590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EC" w:rsidRPr="006421AD" w:rsidRDefault="00562EEC" w:rsidP="00562EEC">
    <w:pPr>
      <w:pStyle w:val="Header"/>
      <w:jc w:val="right"/>
      <w:rPr>
        <w:rFonts w:ascii="Arial" w:hAnsi="Arial" w:cs="Arial"/>
        <w:b/>
        <w:color w:val="0070C0"/>
        <w:sz w:val="28"/>
        <w:szCs w:val="28"/>
      </w:rPr>
    </w:pPr>
    <w:r w:rsidRPr="006421AD">
      <w:rPr>
        <w:rFonts w:ascii="Arial" w:hAnsi="Arial" w:cs="Arial"/>
        <w:b/>
        <w:color w:val="0070C0"/>
        <w:sz w:val="28"/>
        <w:szCs w:val="28"/>
      </w:rPr>
      <w:t xml:space="preserve">Item </w:t>
    </w:r>
    <w:r>
      <w:rPr>
        <w:rFonts w:ascii="Arial" w:hAnsi="Arial" w:cs="Arial"/>
        <w:b/>
        <w:color w:val="0070C0"/>
        <w:sz w:val="28"/>
        <w:szCs w:val="28"/>
      </w:rPr>
      <w:t>6.3</w:t>
    </w:r>
  </w:p>
  <w:p w:rsidR="00562EEC" w:rsidRDefault="00562EEC">
    <w:pPr>
      <w:pStyle w:val="Header"/>
    </w:pPr>
  </w:p>
  <w:p w:rsidR="00562EEC" w:rsidRDefault="00562E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CA31902"/>
    <w:multiLevelType w:val="hybridMultilevel"/>
    <w:tmpl w:val="9926D1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3E1E32FC"/>
    <w:multiLevelType w:val="hybridMultilevel"/>
    <w:tmpl w:val="B1D8481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4E86224E"/>
    <w:multiLevelType w:val="hybridMultilevel"/>
    <w:tmpl w:val="322E5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58737B52"/>
    <w:multiLevelType w:val="hybridMultilevel"/>
    <w:tmpl w:val="B2F63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B9D5F38"/>
    <w:multiLevelType w:val="hybridMultilevel"/>
    <w:tmpl w:val="69F6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AE04B4"/>
    <w:multiLevelType w:val="hybridMultilevel"/>
    <w:tmpl w:val="5788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B85FAA"/>
    <w:multiLevelType w:val="hybridMultilevel"/>
    <w:tmpl w:val="5C00C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64AB5072"/>
    <w:multiLevelType w:val="hybridMultilevel"/>
    <w:tmpl w:val="B65EAF9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2">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76211CF7"/>
    <w:multiLevelType w:val="hybridMultilevel"/>
    <w:tmpl w:val="DAE4FB0E"/>
    <w:lvl w:ilvl="0" w:tplc="0809000B">
      <w:start w:val="1"/>
      <w:numFmt w:val="bullet"/>
      <w:lvlText w:val=""/>
      <w:lvlJc w:val="left"/>
      <w:pPr>
        <w:ind w:left="1866" w:hanging="360"/>
      </w:pPr>
      <w:rPr>
        <w:rFonts w:ascii="Wingdings" w:hAnsi="Wingdings"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4">
    <w:nsid w:val="77E96CFF"/>
    <w:multiLevelType w:val="hybridMultilevel"/>
    <w:tmpl w:val="A5AEA2E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nsid w:val="7A381A60"/>
    <w:multiLevelType w:val="hybridMultilevel"/>
    <w:tmpl w:val="23DAE9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D335E49"/>
    <w:multiLevelType w:val="hybridMultilevel"/>
    <w:tmpl w:val="E2B84E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7F4142B0"/>
    <w:multiLevelType w:val="multilevel"/>
    <w:tmpl w:val="7F020458"/>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2"/>
  </w:num>
  <w:num w:numId="2">
    <w:abstractNumId w:val="18"/>
  </w:num>
  <w:num w:numId="3">
    <w:abstractNumId w:val="6"/>
  </w:num>
  <w:num w:numId="4">
    <w:abstractNumId w:val="0"/>
  </w:num>
  <w:num w:numId="5">
    <w:abstractNumId w:val="2"/>
  </w:num>
  <w:num w:numId="6">
    <w:abstractNumId w:val="16"/>
  </w:num>
  <w:num w:numId="7">
    <w:abstractNumId w:val="19"/>
  </w:num>
  <w:num w:numId="8">
    <w:abstractNumId w:val="1"/>
  </w:num>
  <w:num w:numId="9">
    <w:abstractNumId w:val="17"/>
  </w:num>
  <w:num w:numId="10">
    <w:abstractNumId w:val="10"/>
  </w:num>
  <w:num w:numId="11">
    <w:abstractNumId w:val="15"/>
  </w:num>
  <w:num w:numId="12">
    <w:abstractNumId w:val="4"/>
  </w:num>
  <w:num w:numId="13">
    <w:abstractNumId w:val="9"/>
  </w:num>
  <w:num w:numId="14">
    <w:abstractNumId w:val="7"/>
  </w:num>
  <w:num w:numId="15">
    <w:abstractNumId w:val="5"/>
  </w:num>
  <w:num w:numId="16">
    <w:abstractNumId w:val="3"/>
  </w:num>
  <w:num w:numId="17">
    <w:abstractNumId w:val="11"/>
  </w:num>
  <w:num w:numId="18">
    <w:abstractNumId w:val="14"/>
  </w:num>
  <w:num w:numId="19">
    <w:abstractNumId w:val="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A2577B"/>
    <w:rsid w:val="00056DDC"/>
    <w:rsid w:val="00075AAA"/>
    <w:rsid w:val="000833EC"/>
    <w:rsid w:val="000962B5"/>
    <w:rsid w:val="000A0F2E"/>
    <w:rsid w:val="000B5923"/>
    <w:rsid w:val="001175E5"/>
    <w:rsid w:val="0014213C"/>
    <w:rsid w:val="00162874"/>
    <w:rsid w:val="001849E6"/>
    <w:rsid w:val="00195397"/>
    <w:rsid w:val="001A624A"/>
    <w:rsid w:val="001A6407"/>
    <w:rsid w:val="001B3FD3"/>
    <w:rsid w:val="001C5D0D"/>
    <w:rsid w:val="00200176"/>
    <w:rsid w:val="00202F92"/>
    <w:rsid w:val="00233E6E"/>
    <w:rsid w:val="00266553"/>
    <w:rsid w:val="002724F5"/>
    <w:rsid w:val="002D0797"/>
    <w:rsid w:val="00362A4C"/>
    <w:rsid w:val="003E423D"/>
    <w:rsid w:val="003E4AC9"/>
    <w:rsid w:val="003F19CA"/>
    <w:rsid w:val="00425B5D"/>
    <w:rsid w:val="0044784F"/>
    <w:rsid w:val="004512CE"/>
    <w:rsid w:val="00463671"/>
    <w:rsid w:val="00463DB0"/>
    <w:rsid w:val="0047484C"/>
    <w:rsid w:val="004E4D4A"/>
    <w:rsid w:val="00506517"/>
    <w:rsid w:val="00513DB0"/>
    <w:rsid w:val="005246BD"/>
    <w:rsid w:val="00562EEC"/>
    <w:rsid w:val="00590665"/>
    <w:rsid w:val="00590B0A"/>
    <w:rsid w:val="00591C91"/>
    <w:rsid w:val="005D2D86"/>
    <w:rsid w:val="00675358"/>
    <w:rsid w:val="0069440C"/>
    <w:rsid w:val="006A1357"/>
    <w:rsid w:val="006B45AC"/>
    <w:rsid w:val="006C1254"/>
    <w:rsid w:val="006C61DC"/>
    <w:rsid w:val="006D232B"/>
    <w:rsid w:val="00745A4B"/>
    <w:rsid w:val="007468F9"/>
    <w:rsid w:val="00752362"/>
    <w:rsid w:val="0075792D"/>
    <w:rsid w:val="00791BEB"/>
    <w:rsid w:val="00815350"/>
    <w:rsid w:val="00847245"/>
    <w:rsid w:val="008472B4"/>
    <w:rsid w:val="008553E2"/>
    <w:rsid w:val="008606EF"/>
    <w:rsid w:val="00865139"/>
    <w:rsid w:val="00867E1A"/>
    <w:rsid w:val="00882F92"/>
    <w:rsid w:val="008C26A2"/>
    <w:rsid w:val="00914107"/>
    <w:rsid w:val="00952AC2"/>
    <w:rsid w:val="00992558"/>
    <w:rsid w:val="009D25CC"/>
    <w:rsid w:val="00A05581"/>
    <w:rsid w:val="00A2577B"/>
    <w:rsid w:val="00A27D51"/>
    <w:rsid w:val="00A47A94"/>
    <w:rsid w:val="00A812D8"/>
    <w:rsid w:val="00B707AE"/>
    <w:rsid w:val="00BB4730"/>
    <w:rsid w:val="00BF60F1"/>
    <w:rsid w:val="00C27980"/>
    <w:rsid w:val="00C65AC4"/>
    <w:rsid w:val="00C956E2"/>
    <w:rsid w:val="00D346C3"/>
    <w:rsid w:val="00D92AA6"/>
    <w:rsid w:val="00DF63A0"/>
    <w:rsid w:val="00E05E29"/>
    <w:rsid w:val="00E95856"/>
    <w:rsid w:val="00EA4715"/>
    <w:rsid w:val="00EB7C07"/>
    <w:rsid w:val="00ED52DA"/>
    <w:rsid w:val="00F0065A"/>
    <w:rsid w:val="00F3235B"/>
    <w:rsid w:val="00F43445"/>
    <w:rsid w:val="00FD5E76"/>
    <w:rsid w:val="00FD6BAC"/>
    <w:rsid w:val="00FE12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table" w:styleId="TableGrid">
    <w:name w:val="Table Grid"/>
    <w:basedOn w:val="TableNormal"/>
    <w:rsid w:val="006D2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D232B"/>
    <w:pPr>
      <w:ind w:left="720"/>
    </w:pPr>
    <w:rPr>
      <w:rFonts w:ascii="Arial" w:hAnsi="Arial" w:cs="Arial"/>
    </w:rPr>
  </w:style>
  <w:style w:type="paragraph" w:customStyle="1" w:styleId="Body">
    <w:name w:val="Body"/>
    <w:rsid w:val="006D232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Unicode MS" w:cs="Arial Unicode MS"/>
      <w:color w:val="000000"/>
      <w:sz w:val="24"/>
      <w:szCs w:val="24"/>
      <w:u w:color="000000"/>
    </w:rPr>
  </w:style>
  <w:style w:type="character" w:customStyle="1" w:styleId="TitleChar">
    <w:name w:val="Title Char"/>
    <w:basedOn w:val="DefaultParagraphFont"/>
    <w:link w:val="Title"/>
    <w:rsid w:val="00463DB0"/>
    <w:rPr>
      <w:b/>
      <w:sz w:val="22"/>
      <w:lang w:eastAsia="en-US"/>
    </w:rPr>
  </w:style>
  <w:style w:type="character" w:customStyle="1" w:styleId="HeaderChar">
    <w:name w:val="Header Char"/>
    <w:basedOn w:val="DefaultParagraphFont"/>
    <w:link w:val="Header"/>
    <w:uiPriority w:val="99"/>
    <w:rsid w:val="00506517"/>
    <w:rPr>
      <w:sz w:val="24"/>
      <w:szCs w:val="24"/>
      <w:lang w:eastAsia="en-US"/>
    </w:rPr>
  </w:style>
  <w:style w:type="character" w:customStyle="1" w:styleId="FooterChar">
    <w:name w:val="Footer Char"/>
    <w:basedOn w:val="DefaultParagraphFont"/>
    <w:link w:val="Footer"/>
    <w:uiPriority w:val="99"/>
    <w:rsid w:val="00506517"/>
    <w:rPr>
      <w:sz w:val="24"/>
      <w:szCs w:val="24"/>
      <w:lang w:eastAsia="en-US"/>
    </w:rPr>
  </w:style>
  <w:style w:type="paragraph" w:styleId="BalloonText">
    <w:name w:val="Balloon Text"/>
    <w:basedOn w:val="Normal"/>
    <w:link w:val="BalloonTextChar"/>
    <w:rsid w:val="00506517"/>
    <w:rPr>
      <w:rFonts w:ascii="Tahoma" w:hAnsi="Tahoma" w:cs="Tahoma"/>
      <w:sz w:val="16"/>
      <w:szCs w:val="16"/>
    </w:rPr>
  </w:style>
  <w:style w:type="character" w:customStyle="1" w:styleId="BalloonTextChar">
    <w:name w:val="Balloon Text Char"/>
    <w:basedOn w:val="DefaultParagraphFont"/>
    <w:link w:val="BalloonText"/>
    <w:rsid w:val="00506517"/>
    <w:rPr>
      <w:rFonts w:ascii="Tahoma" w:hAnsi="Tahoma" w:cs="Tahoma"/>
      <w:sz w:val="16"/>
      <w:szCs w:val="16"/>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562EEC"/>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DC410-801F-48A6-B69A-8FBC5778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320</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scotts2</cp:lastModifiedBy>
  <cp:revision>3</cp:revision>
  <dcterms:created xsi:type="dcterms:W3CDTF">2019-04-30T08:08:00Z</dcterms:created>
  <dcterms:modified xsi:type="dcterms:W3CDTF">2019-04-30T09:22:00Z</dcterms:modified>
</cp:coreProperties>
</file>