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B5719A" w:rsidTr="005B4BA8">
        <w:trPr>
          <w:trHeight w:val="557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Pr="00B5719A" w:rsidRDefault="003D03FE" w:rsidP="00D47451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47451">
              <w:rPr>
                <w:rFonts w:ascii="Arial" w:hAnsi="Arial" w:cs="Arial"/>
                <w:b w:val="0"/>
                <w:sz w:val="24"/>
                <w:szCs w:val="24"/>
              </w:rPr>
              <w:t>4 February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201</w:t>
            </w:r>
            <w:r w:rsidR="00D47451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</w:tcPr>
          <w:p w:rsidR="005B4BA8" w:rsidRPr="00B5719A" w:rsidRDefault="00F459C0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52525" cy="981075"/>
                  <wp:effectExtent l="19050" t="0" r="9525" b="0"/>
                  <wp:docPr id="9" name="Picture 9" descr="GJF RGB WITHOUT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JF RGB WITHOUT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B5719A" w:rsidTr="005B4BA8">
        <w:trPr>
          <w:trHeight w:val="1091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D47451" w:rsidRPr="001D0683" w:rsidRDefault="00D47451" w:rsidP="00D47451">
            <w:pPr>
              <w:ind w:left="29" w:right="183" w:hanging="2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Updated </w:t>
            </w:r>
            <w:r w:rsidRPr="001D0683">
              <w:rPr>
                <w:rFonts w:ascii="Arial" w:hAnsi="Arial" w:cs="Arial"/>
                <w:bCs/>
                <w:sz w:val="22"/>
                <w:szCs w:val="22"/>
              </w:rPr>
              <w:t>Terms of Reference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for Audit and Risk Committee</w:t>
            </w:r>
          </w:p>
          <w:p w:rsidR="005B4BA8" w:rsidRPr="00B5719A" w:rsidRDefault="005B4BA8" w:rsidP="003D03F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B5719A" w:rsidTr="005B4BA8">
        <w:trPr>
          <w:trHeight w:val="499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5719A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B5719A" w:rsidRDefault="005B4BA8" w:rsidP="005B4BA8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D47451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D47451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D47451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Pr="00B5719A" w:rsidRDefault="00D47451" w:rsidP="00D47451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D47451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D47451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5B4BA8" w:rsidRPr="00B5719A" w:rsidRDefault="005B4BA8" w:rsidP="005B4BA8">
            <w:pPr>
              <w:spacing w:before="120" w:after="60"/>
              <w:contextualSpacing/>
              <w:rPr>
                <w:rFonts w:ascii="Arial" w:hAnsi="Arial" w:cs="Arial"/>
              </w:rPr>
            </w:pPr>
          </w:p>
        </w:tc>
      </w:tr>
      <w:tr w:rsidR="005B4BA8" w:rsidRPr="00B5719A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B5719A" w:rsidRPr="00B5719A" w:rsidRDefault="00B5719A" w:rsidP="00B5719A">
      <w:pPr>
        <w:ind w:left="-426" w:right="183"/>
        <w:rPr>
          <w:rFonts w:ascii="Arial" w:hAnsi="Arial" w:cs="Arial"/>
          <w:b/>
          <w:bCs/>
        </w:rPr>
      </w:pPr>
    </w:p>
    <w:p w:rsidR="00B0525B" w:rsidRPr="001175E5" w:rsidRDefault="00B0525B" w:rsidP="00D47451">
      <w:pPr>
        <w:pStyle w:val="Heading2"/>
        <w:spacing w:before="0" w:after="0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B0525B" w:rsidRPr="001175E5" w:rsidRDefault="00B0525B" w:rsidP="00D47451">
      <w:pPr>
        <w:ind w:right="183"/>
        <w:rPr>
          <w:rFonts w:ascii="Arial" w:hAnsi="Arial" w:cs="Arial"/>
        </w:rPr>
      </w:pPr>
      <w:r w:rsidRPr="001175E5">
        <w:rPr>
          <w:rFonts w:ascii="Arial" w:hAnsi="Arial" w:cs="Arial"/>
          <w:b/>
          <w:bCs/>
        </w:rPr>
        <w:tab/>
      </w:r>
    </w:p>
    <w:p w:rsidR="003861DB" w:rsidRDefault="003861DB" w:rsidP="00D47451">
      <w:pPr>
        <w:pStyle w:val="BodyTextIndent2"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47451" w:rsidRPr="001D0683">
        <w:rPr>
          <w:rFonts w:ascii="Arial" w:hAnsi="Arial" w:cs="Arial"/>
          <w:sz w:val="22"/>
          <w:szCs w:val="22"/>
        </w:rPr>
        <w:t>Audit and Risk Committee</w:t>
      </w:r>
      <w:r>
        <w:rPr>
          <w:rFonts w:ascii="Arial" w:hAnsi="Arial" w:cs="Arial"/>
          <w:sz w:val="22"/>
          <w:szCs w:val="22"/>
        </w:rPr>
        <w:t xml:space="preserve"> previously reviewed</w:t>
      </w:r>
      <w:r w:rsidR="00D47451" w:rsidRPr="001D0683">
        <w:rPr>
          <w:rFonts w:ascii="Arial" w:hAnsi="Arial" w:cs="Arial"/>
          <w:sz w:val="22"/>
          <w:szCs w:val="22"/>
        </w:rPr>
        <w:t xml:space="preserve"> the new Audit and Assurance Handbook </w:t>
      </w:r>
      <w:r>
        <w:rPr>
          <w:rFonts w:ascii="Arial" w:hAnsi="Arial" w:cs="Arial"/>
          <w:sz w:val="22"/>
          <w:szCs w:val="22"/>
        </w:rPr>
        <w:t xml:space="preserve">and </w:t>
      </w:r>
      <w:r w:rsidR="00D47451" w:rsidRPr="001D0683">
        <w:rPr>
          <w:rFonts w:ascii="Arial" w:hAnsi="Arial" w:cs="Arial"/>
          <w:sz w:val="22"/>
          <w:szCs w:val="22"/>
        </w:rPr>
        <w:t>agreed that</w:t>
      </w:r>
      <w:r>
        <w:rPr>
          <w:rFonts w:ascii="Arial" w:hAnsi="Arial" w:cs="Arial"/>
          <w:sz w:val="22"/>
          <w:szCs w:val="22"/>
        </w:rPr>
        <w:t>,</w:t>
      </w:r>
      <w:r w:rsidR="00D47451" w:rsidRPr="001D0683">
        <w:rPr>
          <w:rFonts w:ascii="Arial" w:hAnsi="Arial" w:cs="Arial"/>
          <w:sz w:val="22"/>
          <w:szCs w:val="22"/>
        </w:rPr>
        <w:t xml:space="preserve"> whilst they mirrored the key elements of the previous guidelines</w:t>
      </w:r>
      <w:r>
        <w:rPr>
          <w:rFonts w:ascii="Arial" w:hAnsi="Arial" w:cs="Arial"/>
          <w:sz w:val="22"/>
          <w:szCs w:val="22"/>
        </w:rPr>
        <w:t>,</w:t>
      </w:r>
      <w:r w:rsidR="00D47451" w:rsidRPr="001D0683">
        <w:rPr>
          <w:rFonts w:ascii="Arial" w:hAnsi="Arial" w:cs="Arial"/>
          <w:sz w:val="22"/>
          <w:szCs w:val="22"/>
        </w:rPr>
        <w:t xml:space="preserve"> further work </w:t>
      </w:r>
      <w:r>
        <w:rPr>
          <w:rFonts w:ascii="Arial" w:hAnsi="Arial" w:cs="Arial"/>
          <w:sz w:val="22"/>
          <w:szCs w:val="22"/>
        </w:rPr>
        <w:t xml:space="preserve">was </w:t>
      </w:r>
      <w:r w:rsidR="00D47451" w:rsidRPr="001D0683">
        <w:rPr>
          <w:rFonts w:ascii="Arial" w:hAnsi="Arial" w:cs="Arial"/>
          <w:sz w:val="22"/>
          <w:szCs w:val="22"/>
        </w:rPr>
        <w:t xml:space="preserve">required to update them in line with the new guidelines. </w:t>
      </w:r>
    </w:p>
    <w:p w:rsidR="003861DB" w:rsidRDefault="003861DB" w:rsidP="00D47451">
      <w:pPr>
        <w:pStyle w:val="BodyTextIndent2"/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:rsidR="0056611D" w:rsidRDefault="0056611D" w:rsidP="0056611D">
      <w:pPr>
        <w:pStyle w:val="BodyTextIndent2"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result, t</w:t>
      </w:r>
      <w:r w:rsidRPr="001D0683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Audit and Risk </w:t>
      </w:r>
      <w:r w:rsidRPr="001D0683">
        <w:rPr>
          <w:rFonts w:ascii="Arial" w:hAnsi="Arial" w:cs="Arial"/>
          <w:sz w:val="22"/>
          <w:szCs w:val="22"/>
        </w:rPr>
        <w:t>Committee</w:t>
      </w:r>
      <w:r w:rsidRPr="003861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Terms of Reference have now been updated, with all changes </w:t>
      </w:r>
      <w:r w:rsidRPr="001D0683">
        <w:rPr>
          <w:rFonts w:ascii="Arial" w:hAnsi="Arial" w:cs="Arial"/>
          <w:sz w:val="22"/>
          <w:szCs w:val="22"/>
        </w:rPr>
        <w:t>highlighted in the attached</w:t>
      </w:r>
      <w:r>
        <w:rPr>
          <w:rFonts w:ascii="Arial" w:hAnsi="Arial" w:cs="Arial"/>
          <w:sz w:val="22"/>
          <w:szCs w:val="22"/>
        </w:rPr>
        <w:t>.</w:t>
      </w:r>
    </w:p>
    <w:p w:rsidR="003861DB" w:rsidRDefault="003861DB" w:rsidP="00D47451">
      <w:pPr>
        <w:pStyle w:val="BodyTextIndent2"/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:rsidR="00D47451" w:rsidRPr="001D0683" w:rsidRDefault="00B0525B" w:rsidP="003861DB">
      <w:pPr>
        <w:pStyle w:val="BodyTextIndent2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1175E5">
        <w:rPr>
          <w:rFonts w:ascii="Arial" w:hAnsi="Arial" w:cs="Arial"/>
          <w:b/>
          <w:bCs/>
        </w:rPr>
        <w:t>2</w:t>
      </w:r>
      <w:r w:rsidRPr="001175E5">
        <w:rPr>
          <w:rFonts w:ascii="Arial" w:hAnsi="Arial" w:cs="Arial"/>
          <w:b/>
          <w:bCs/>
        </w:rPr>
        <w:tab/>
      </w:r>
      <w:r w:rsidR="00D47451" w:rsidRPr="001D0683">
        <w:rPr>
          <w:rFonts w:ascii="Arial" w:hAnsi="Arial" w:cs="Arial"/>
          <w:b/>
          <w:sz w:val="22"/>
          <w:szCs w:val="22"/>
        </w:rPr>
        <w:t>Update to Terms of Reference</w:t>
      </w:r>
    </w:p>
    <w:p w:rsidR="00D47451" w:rsidRPr="001D0683" w:rsidRDefault="00D47451" w:rsidP="00D47451">
      <w:pPr>
        <w:pStyle w:val="BodyTextInden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D47451" w:rsidRPr="001D0683" w:rsidRDefault="00D47451" w:rsidP="003861DB">
      <w:pPr>
        <w:pStyle w:val="BodyTextIndent2"/>
        <w:spacing w:after="0" w:line="240" w:lineRule="auto"/>
        <w:ind w:left="720"/>
        <w:rPr>
          <w:rFonts w:ascii="Arial" w:hAnsi="Arial" w:cs="Arial"/>
          <w:bCs/>
          <w:sz w:val="22"/>
          <w:szCs w:val="22"/>
        </w:rPr>
      </w:pPr>
      <w:r w:rsidRPr="001D0683">
        <w:rPr>
          <w:rFonts w:ascii="Arial" w:hAnsi="Arial" w:cs="Arial"/>
          <w:sz w:val="22"/>
          <w:szCs w:val="22"/>
        </w:rPr>
        <w:t xml:space="preserve">The Terms of Reference for the </w:t>
      </w:r>
      <w:r w:rsidR="003861DB">
        <w:rPr>
          <w:rFonts w:ascii="Arial" w:hAnsi="Arial" w:cs="Arial"/>
          <w:sz w:val="22"/>
          <w:szCs w:val="22"/>
        </w:rPr>
        <w:t xml:space="preserve">Audit and Risk </w:t>
      </w:r>
      <w:r w:rsidRPr="001D0683">
        <w:rPr>
          <w:rFonts w:ascii="Arial" w:hAnsi="Arial" w:cs="Arial"/>
          <w:sz w:val="22"/>
          <w:szCs w:val="22"/>
        </w:rPr>
        <w:t xml:space="preserve">Committee have been amended </w:t>
      </w:r>
      <w:r w:rsidR="003861DB">
        <w:rPr>
          <w:rFonts w:ascii="Arial" w:hAnsi="Arial" w:cs="Arial"/>
          <w:sz w:val="22"/>
          <w:szCs w:val="22"/>
        </w:rPr>
        <w:t>as follows</w:t>
      </w:r>
      <w:r w:rsidRPr="001D0683">
        <w:rPr>
          <w:rFonts w:ascii="Arial" w:hAnsi="Arial" w:cs="Arial"/>
          <w:sz w:val="22"/>
          <w:szCs w:val="22"/>
        </w:rPr>
        <w:t>:</w:t>
      </w:r>
    </w:p>
    <w:p w:rsidR="00D47451" w:rsidRPr="001D0683" w:rsidRDefault="00D47451" w:rsidP="00D47451">
      <w:pPr>
        <w:pStyle w:val="BodyTextIndent2"/>
        <w:spacing w:after="0" w:line="240" w:lineRule="auto"/>
        <w:ind w:left="360"/>
        <w:rPr>
          <w:rFonts w:ascii="Arial" w:hAnsi="Arial" w:cs="Arial"/>
          <w:bCs/>
          <w:sz w:val="22"/>
          <w:szCs w:val="22"/>
        </w:rPr>
      </w:pPr>
    </w:p>
    <w:p w:rsidR="00D47451" w:rsidRPr="001D0683" w:rsidRDefault="00D47451" w:rsidP="00D47451">
      <w:pPr>
        <w:pStyle w:val="BodyTextIndent2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1D0683">
        <w:rPr>
          <w:rFonts w:ascii="Arial" w:hAnsi="Arial" w:cs="Arial"/>
          <w:sz w:val="22"/>
          <w:szCs w:val="22"/>
        </w:rPr>
        <w:t xml:space="preserve">Inclusion of new Members; </w:t>
      </w:r>
    </w:p>
    <w:p w:rsidR="00D47451" w:rsidRPr="001D0683" w:rsidRDefault="00D47451" w:rsidP="00D47451">
      <w:pPr>
        <w:pStyle w:val="BodyTextIndent2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1D0683">
        <w:rPr>
          <w:rFonts w:ascii="Arial" w:hAnsi="Arial" w:cs="Arial"/>
          <w:sz w:val="22"/>
          <w:szCs w:val="22"/>
        </w:rPr>
        <w:t>Removal of dates of membership;</w:t>
      </w:r>
    </w:p>
    <w:p w:rsidR="00D47451" w:rsidRPr="001D0683" w:rsidRDefault="003861DB" w:rsidP="00D47451">
      <w:pPr>
        <w:pStyle w:val="BodyTextIndent2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Amending</w:t>
      </w:r>
      <w:r w:rsidR="00D47451" w:rsidRPr="001D0683">
        <w:rPr>
          <w:rFonts w:ascii="Arial" w:hAnsi="Arial" w:cs="Arial"/>
          <w:sz w:val="22"/>
          <w:szCs w:val="22"/>
        </w:rPr>
        <w:t xml:space="preserve"> Quorum to three members to reflect that four members</w:t>
      </w:r>
      <w:r>
        <w:rPr>
          <w:rFonts w:ascii="Arial" w:hAnsi="Arial" w:cs="Arial"/>
          <w:sz w:val="22"/>
          <w:szCs w:val="22"/>
        </w:rPr>
        <w:t xml:space="preserve"> are</w:t>
      </w:r>
      <w:r w:rsidR="00D47451" w:rsidRPr="001D0683">
        <w:rPr>
          <w:rFonts w:ascii="Arial" w:hAnsi="Arial" w:cs="Arial"/>
          <w:sz w:val="22"/>
          <w:szCs w:val="22"/>
        </w:rPr>
        <w:t xml:space="preserve"> in place;</w:t>
      </w:r>
    </w:p>
    <w:p w:rsidR="00D47451" w:rsidRPr="001D0683" w:rsidRDefault="00D47451" w:rsidP="00D47451">
      <w:pPr>
        <w:pStyle w:val="BodyTextIndent2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1D0683">
        <w:rPr>
          <w:rFonts w:ascii="Arial" w:hAnsi="Arial" w:cs="Arial"/>
          <w:sz w:val="22"/>
          <w:szCs w:val="22"/>
        </w:rPr>
        <w:t xml:space="preserve">Replacement of the NHS Audit Committee Handbook with the new Audit and Assurance Committee Handbook guidelines; and </w:t>
      </w:r>
    </w:p>
    <w:p w:rsidR="00D47451" w:rsidRPr="001D0683" w:rsidRDefault="00D47451" w:rsidP="00D47451">
      <w:pPr>
        <w:pStyle w:val="BodyTextIndent2"/>
        <w:numPr>
          <w:ilvl w:val="0"/>
          <w:numId w:val="22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1D0683">
        <w:rPr>
          <w:rFonts w:ascii="Arial" w:hAnsi="Arial" w:cs="Arial"/>
          <w:sz w:val="22"/>
          <w:szCs w:val="22"/>
        </w:rPr>
        <w:t>Inclusion of requirement for all members to sign a formal declaration to state that they acknowledge their governance responsibility as committee members.</w:t>
      </w:r>
    </w:p>
    <w:p w:rsidR="003861DB" w:rsidRDefault="003861DB" w:rsidP="003861DB">
      <w:pPr>
        <w:pStyle w:val="BodyTextIndent2"/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:rsidR="003861DB" w:rsidRPr="001D0683" w:rsidRDefault="0056611D" w:rsidP="003861DB">
      <w:pPr>
        <w:pStyle w:val="BodyTextIndent2"/>
        <w:spacing w:after="0" w:line="240" w:lineRule="auto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Audit and Risk Committee approved their updated Terms of Reference were at the meeting </w:t>
      </w:r>
      <w:r w:rsidR="003861DB">
        <w:rPr>
          <w:rFonts w:ascii="Arial" w:hAnsi="Arial" w:cs="Arial"/>
          <w:sz w:val="22"/>
          <w:szCs w:val="22"/>
        </w:rPr>
        <w:t>on 5 February 2019</w:t>
      </w:r>
      <w:r>
        <w:rPr>
          <w:rFonts w:ascii="Arial" w:hAnsi="Arial" w:cs="Arial"/>
          <w:sz w:val="22"/>
          <w:szCs w:val="22"/>
        </w:rPr>
        <w:t xml:space="preserve">. These </w:t>
      </w:r>
      <w:r w:rsidR="003861DB" w:rsidRPr="001D0683">
        <w:rPr>
          <w:rFonts w:ascii="Arial" w:hAnsi="Arial" w:cs="Arial"/>
          <w:sz w:val="22"/>
          <w:szCs w:val="22"/>
        </w:rPr>
        <w:t xml:space="preserve">are </w:t>
      </w:r>
      <w:r w:rsidR="003861DB">
        <w:rPr>
          <w:rFonts w:ascii="Arial" w:hAnsi="Arial" w:cs="Arial"/>
          <w:sz w:val="22"/>
          <w:szCs w:val="22"/>
        </w:rPr>
        <w:t>now</w:t>
      </w:r>
      <w:r w:rsidR="003861DB" w:rsidRPr="001D0683">
        <w:rPr>
          <w:rFonts w:ascii="Arial" w:hAnsi="Arial" w:cs="Arial"/>
          <w:sz w:val="22"/>
          <w:szCs w:val="22"/>
        </w:rPr>
        <w:t xml:space="preserve"> presented to the Board for formal approval.  </w:t>
      </w:r>
    </w:p>
    <w:p w:rsidR="00D47451" w:rsidRPr="001D0683" w:rsidRDefault="00D47451" w:rsidP="00D47451">
      <w:pPr>
        <w:pStyle w:val="BodyTextIndent2"/>
        <w:spacing w:after="0" w:line="240" w:lineRule="auto"/>
        <w:ind w:left="1080"/>
        <w:rPr>
          <w:rFonts w:ascii="Arial" w:hAnsi="Arial" w:cs="Arial"/>
          <w:bCs/>
          <w:sz w:val="22"/>
          <w:szCs w:val="22"/>
        </w:rPr>
      </w:pPr>
    </w:p>
    <w:p w:rsidR="00B0525B" w:rsidRPr="001175E5" w:rsidRDefault="00D47451" w:rsidP="00D47451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0525B" w:rsidRPr="001175E5">
        <w:rPr>
          <w:rFonts w:ascii="Arial" w:hAnsi="Arial" w:cs="Arial"/>
          <w:b/>
          <w:bCs/>
        </w:rPr>
        <w:tab/>
        <w:t>Conclusion</w:t>
      </w:r>
      <w:r w:rsidR="00B0525B">
        <w:rPr>
          <w:rFonts w:ascii="Arial" w:hAnsi="Arial" w:cs="Arial"/>
          <w:b/>
          <w:bCs/>
        </w:rPr>
        <w:t>/Recommendation</w:t>
      </w:r>
    </w:p>
    <w:p w:rsidR="00B0525B" w:rsidRDefault="00B0525B" w:rsidP="00D47451">
      <w:pPr>
        <w:ind w:right="183"/>
        <w:rPr>
          <w:rFonts w:ascii="Arial" w:hAnsi="Arial" w:cs="Arial"/>
          <w:b/>
          <w:bCs/>
        </w:rPr>
      </w:pPr>
    </w:p>
    <w:p w:rsidR="00D47451" w:rsidRPr="001D0683" w:rsidRDefault="00D47451" w:rsidP="003861DB">
      <w:pPr>
        <w:pStyle w:val="BodyTextIndent2"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1D0683">
        <w:rPr>
          <w:rFonts w:ascii="Arial" w:hAnsi="Arial" w:cs="Arial"/>
          <w:sz w:val="22"/>
          <w:szCs w:val="22"/>
        </w:rPr>
        <w:t xml:space="preserve">Board members are asked to </w:t>
      </w:r>
      <w:r w:rsidR="003861DB">
        <w:rPr>
          <w:rFonts w:ascii="Arial" w:hAnsi="Arial" w:cs="Arial"/>
          <w:sz w:val="22"/>
          <w:szCs w:val="22"/>
        </w:rPr>
        <w:t>a</w:t>
      </w:r>
      <w:r w:rsidRPr="001D0683">
        <w:rPr>
          <w:rFonts w:ascii="Arial" w:hAnsi="Arial" w:cs="Arial"/>
          <w:sz w:val="22"/>
          <w:szCs w:val="22"/>
        </w:rPr>
        <w:t>pprove the new</w:t>
      </w:r>
      <w:r w:rsidR="0056611D">
        <w:rPr>
          <w:rFonts w:ascii="Arial" w:hAnsi="Arial" w:cs="Arial"/>
          <w:sz w:val="22"/>
          <w:szCs w:val="22"/>
        </w:rPr>
        <w:t xml:space="preserve"> Audit and Risk Committee Terms of Reference.</w:t>
      </w:r>
    </w:p>
    <w:p w:rsidR="00D47451" w:rsidRPr="001D0683" w:rsidRDefault="00D47451" w:rsidP="00D47451">
      <w:pPr>
        <w:pStyle w:val="BodyTextIndent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D47451" w:rsidRPr="003861DB" w:rsidRDefault="00D47451" w:rsidP="00D47451">
      <w:pPr>
        <w:rPr>
          <w:rFonts w:ascii="Arial" w:hAnsi="Arial" w:cs="Arial"/>
          <w:b/>
          <w:sz w:val="22"/>
          <w:szCs w:val="22"/>
        </w:rPr>
      </w:pPr>
      <w:r w:rsidRPr="003861DB">
        <w:rPr>
          <w:rFonts w:ascii="Arial" w:hAnsi="Arial" w:cs="Arial"/>
          <w:b/>
          <w:sz w:val="22"/>
          <w:szCs w:val="22"/>
        </w:rPr>
        <w:t xml:space="preserve">Julie Carter </w:t>
      </w:r>
    </w:p>
    <w:p w:rsidR="00D47451" w:rsidRPr="003861DB" w:rsidRDefault="00D47451" w:rsidP="00D47451">
      <w:pPr>
        <w:rPr>
          <w:rFonts w:ascii="Arial" w:hAnsi="Arial" w:cs="Arial"/>
          <w:b/>
          <w:sz w:val="22"/>
          <w:szCs w:val="22"/>
        </w:rPr>
      </w:pPr>
      <w:r w:rsidRPr="003861DB">
        <w:rPr>
          <w:rFonts w:ascii="Arial" w:hAnsi="Arial" w:cs="Arial"/>
          <w:b/>
          <w:sz w:val="22"/>
          <w:szCs w:val="22"/>
        </w:rPr>
        <w:t>Director of Finance</w:t>
      </w:r>
    </w:p>
    <w:p w:rsidR="00D47451" w:rsidRPr="003861DB" w:rsidRDefault="00D47451" w:rsidP="00D47451">
      <w:pPr>
        <w:rPr>
          <w:rFonts w:ascii="Arial" w:hAnsi="Arial" w:cs="Arial"/>
          <w:b/>
          <w:sz w:val="22"/>
          <w:szCs w:val="22"/>
        </w:rPr>
      </w:pPr>
      <w:r w:rsidRPr="003861DB">
        <w:rPr>
          <w:rFonts w:ascii="Arial" w:hAnsi="Arial" w:cs="Arial"/>
          <w:b/>
          <w:sz w:val="22"/>
          <w:szCs w:val="22"/>
        </w:rPr>
        <w:t>6 February 2019</w:t>
      </w:r>
    </w:p>
    <w:p w:rsidR="00D47451" w:rsidRPr="003861DB" w:rsidRDefault="00D47451" w:rsidP="00D47451">
      <w:pPr>
        <w:rPr>
          <w:rFonts w:ascii="Arial" w:hAnsi="Arial" w:cs="Arial"/>
          <w:b/>
          <w:sz w:val="22"/>
          <w:szCs w:val="22"/>
        </w:rPr>
      </w:pPr>
    </w:p>
    <w:p w:rsidR="00D47451" w:rsidRPr="003861DB" w:rsidRDefault="003861DB" w:rsidP="00D47451">
      <w:pPr>
        <w:pStyle w:val="BodyTextIndent2"/>
        <w:spacing w:after="0" w:line="240" w:lineRule="auto"/>
        <w:ind w:left="0"/>
        <w:rPr>
          <w:b/>
          <w:sz w:val="22"/>
          <w:szCs w:val="22"/>
        </w:rPr>
      </w:pPr>
      <w:r w:rsidRPr="003861DB">
        <w:rPr>
          <w:rFonts w:ascii="Arial" w:hAnsi="Arial" w:cs="Arial"/>
          <w:b/>
          <w:sz w:val="22"/>
          <w:szCs w:val="22"/>
        </w:rPr>
        <w:t>(</w:t>
      </w:r>
      <w:r w:rsidR="00D47451" w:rsidRPr="003861DB">
        <w:rPr>
          <w:rFonts w:ascii="Arial" w:hAnsi="Arial" w:cs="Arial"/>
          <w:b/>
          <w:sz w:val="22"/>
          <w:szCs w:val="22"/>
        </w:rPr>
        <w:t>Lily Bryson</w:t>
      </w:r>
      <w:r w:rsidR="0056611D">
        <w:rPr>
          <w:rFonts w:ascii="Arial" w:hAnsi="Arial" w:cs="Arial"/>
          <w:b/>
          <w:sz w:val="22"/>
          <w:szCs w:val="22"/>
        </w:rPr>
        <w:t>,</w:t>
      </w:r>
      <w:r w:rsidR="00D47451" w:rsidRPr="003861DB">
        <w:rPr>
          <w:rFonts w:ascii="Arial" w:hAnsi="Arial" w:cs="Arial"/>
          <w:b/>
          <w:sz w:val="22"/>
          <w:szCs w:val="22"/>
        </w:rPr>
        <w:t xml:space="preserve"> Assistant Director of Finance – Governance and Financial Accounting</w:t>
      </w:r>
      <w:r w:rsidRPr="003861DB">
        <w:rPr>
          <w:rFonts w:ascii="Arial" w:hAnsi="Arial" w:cs="Arial"/>
          <w:b/>
          <w:sz w:val="22"/>
          <w:szCs w:val="22"/>
        </w:rPr>
        <w:t>)</w:t>
      </w:r>
    </w:p>
    <w:p w:rsidR="005239DB" w:rsidRPr="00B5719A" w:rsidRDefault="005239DB" w:rsidP="00D47451">
      <w:pPr>
        <w:pStyle w:val="Heading2"/>
        <w:spacing w:before="0" w:after="0"/>
        <w:ind w:right="183"/>
        <w:rPr>
          <w:b w:val="0"/>
          <w:bCs w:val="0"/>
        </w:rPr>
      </w:pPr>
    </w:p>
    <w:sectPr w:rsidR="005239DB" w:rsidRPr="00B5719A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DB" w:rsidRDefault="003861DB">
      <w:r>
        <w:separator/>
      </w:r>
    </w:p>
  </w:endnote>
  <w:endnote w:type="continuationSeparator" w:id="0">
    <w:p w:rsidR="003861DB" w:rsidRDefault="00386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DB" w:rsidRPr="00513DB0" w:rsidRDefault="003861DB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56611D">
      <w:rPr>
        <w:rStyle w:val="PageNumber"/>
        <w:rFonts w:ascii="Arial" w:hAnsi="Arial" w:cs="Arial"/>
        <w:noProof/>
      </w:rPr>
      <w:t>2</w:t>
    </w:r>
    <w:r w:rsidRPr="00513DB0">
      <w:rPr>
        <w:rStyle w:val="PageNumber"/>
        <w:rFonts w:ascii="Arial" w:hAnsi="Arial" w:cs="Arial"/>
      </w:rPr>
      <w:fldChar w:fldCharType="end"/>
    </w:r>
  </w:p>
  <w:p w:rsidR="003861DB" w:rsidRDefault="003861DB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DB" w:rsidRPr="00513DB0" w:rsidRDefault="003861DB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56611D">
      <w:rPr>
        <w:rStyle w:val="PageNumber"/>
        <w:rFonts w:ascii="Arial" w:hAnsi="Arial" w:cs="Arial"/>
        <w:noProof/>
      </w:rPr>
      <w:t>1</w:t>
    </w:r>
    <w:r w:rsidRPr="00513DB0">
      <w:rPr>
        <w:rStyle w:val="PageNumber"/>
        <w:rFonts w:ascii="Arial" w:hAnsi="Arial" w:cs="Arial"/>
      </w:rPr>
      <w:fldChar w:fldCharType="end"/>
    </w:r>
  </w:p>
  <w:p w:rsidR="003861DB" w:rsidRDefault="003861DB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61DB" w:rsidRPr="008F5DB5" w:rsidRDefault="003861DB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3861DB" w:rsidRPr="005B69F4" w:rsidRDefault="003861DB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DB" w:rsidRDefault="003861DB">
      <w:r>
        <w:separator/>
      </w:r>
    </w:p>
  </w:footnote>
  <w:footnote w:type="continuationSeparator" w:id="0">
    <w:p w:rsidR="003861DB" w:rsidRDefault="00386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DB" w:rsidRPr="00CF6461" w:rsidRDefault="003861DB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7.8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81DD6"/>
    <w:multiLevelType w:val="hybridMultilevel"/>
    <w:tmpl w:val="28FC99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2C5FF7"/>
    <w:multiLevelType w:val="hybridMultilevel"/>
    <w:tmpl w:val="7DC0C17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4035F"/>
    <w:multiLevelType w:val="hybridMultilevel"/>
    <w:tmpl w:val="20B41944"/>
    <w:lvl w:ilvl="0" w:tplc="D5C207B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B44FFC">
      <w:start w:val="1"/>
      <w:numFmt w:val="bullet"/>
      <w:lvlText w:val=""/>
      <w:lvlJc w:val="left"/>
      <w:pPr>
        <w:tabs>
          <w:tab w:val="num" w:pos="796"/>
        </w:tabs>
        <w:ind w:left="1080" w:firstLine="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C346E0"/>
    <w:multiLevelType w:val="hybridMultilevel"/>
    <w:tmpl w:val="25E05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FCE6984"/>
    <w:multiLevelType w:val="hybridMultilevel"/>
    <w:tmpl w:val="8BCC9B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1"/>
  </w:num>
  <w:num w:numId="5">
    <w:abstractNumId w:val="3"/>
  </w:num>
  <w:num w:numId="6">
    <w:abstractNumId w:val="11"/>
  </w:num>
  <w:num w:numId="7">
    <w:abstractNumId w:val="20"/>
  </w:num>
  <w:num w:numId="8">
    <w:abstractNumId w:val="0"/>
  </w:num>
  <w:num w:numId="9">
    <w:abstractNumId w:val="19"/>
  </w:num>
  <w:num w:numId="10">
    <w:abstractNumId w:val="9"/>
  </w:num>
  <w:num w:numId="11">
    <w:abstractNumId w:val="8"/>
  </w:num>
  <w:num w:numId="12">
    <w:abstractNumId w:val="15"/>
  </w:num>
  <w:num w:numId="13">
    <w:abstractNumId w:val="5"/>
  </w:num>
  <w:num w:numId="14">
    <w:abstractNumId w:val="4"/>
  </w:num>
  <w:num w:numId="15">
    <w:abstractNumId w:val="10"/>
  </w:num>
  <w:num w:numId="16">
    <w:abstractNumId w:val="7"/>
  </w:num>
  <w:num w:numId="17">
    <w:abstractNumId w:val="12"/>
  </w:num>
  <w:num w:numId="18">
    <w:abstractNumId w:val="2"/>
  </w:num>
  <w:num w:numId="19">
    <w:abstractNumId w:val="16"/>
  </w:num>
  <w:num w:numId="20">
    <w:abstractNumId w:val="6"/>
  </w:num>
  <w:num w:numId="21">
    <w:abstractNumId w:val="17"/>
  </w:num>
  <w:num w:numId="22">
    <w:abstractNumId w:val="1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2036A"/>
    <w:rsid w:val="00061CDE"/>
    <w:rsid w:val="00075AAA"/>
    <w:rsid w:val="00097EAE"/>
    <w:rsid w:val="000B5923"/>
    <w:rsid w:val="000D0952"/>
    <w:rsid w:val="00115F97"/>
    <w:rsid w:val="001175E5"/>
    <w:rsid w:val="002253CC"/>
    <w:rsid w:val="00237CBD"/>
    <w:rsid w:val="002A42DD"/>
    <w:rsid w:val="0031078B"/>
    <w:rsid w:val="003861DB"/>
    <w:rsid w:val="003B43D7"/>
    <w:rsid w:val="003D03FE"/>
    <w:rsid w:val="003E423D"/>
    <w:rsid w:val="003F19CA"/>
    <w:rsid w:val="004512CE"/>
    <w:rsid w:val="00513AB1"/>
    <w:rsid w:val="00513DB0"/>
    <w:rsid w:val="005239DB"/>
    <w:rsid w:val="00526532"/>
    <w:rsid w:val="0056611D"/>
    <w:rsid w:val="005B4BA8"/>
    <w:rsid w:val="005B69F4"/>
    <w:rsid w:val="005F02B7"/>
    <w:rsid w:val="0060634D"/>
    <w:rsid w:val="00661EF1"/>
    <w:rsid w:val="006A1357"/>
    <w:rsid w:val="006D6F99"/>
    <w:rsid w:val="00711E7A"/>
    <w:rsid w:val="007B4090"/>
    <w:rsid w:val="00815350"/>
    <w:rsid w:val="00825B2D"/>
    <w:rsid w:val="00844E0E"/>
    <w:rsid w:val="008A07AE"/>
    <w:rsid w:val="008B23D9"/>
    <w:rsid w:val="008C26A2"/>
    <w:rsid w:val="0093700B"/>
    <w:rsid w:val="00937BE5"/>
    <w:rsid w:val="009742FA"/>
    <w:rsid w:val="00974594"/>
    <w:rsid w:val="00993155"/>
    <w:rsid w:val="009E6A39"/>
    <w:rsid w:val="00A2577B"/>
    <w:rsid w:val="00A3124D"/>
    <w:rsid w:val="00A560AF"/>
    <w:rsid w:val="00B0525B"/>
    <w:rsid w:val="00B5719A"/>
    <w:rsid w:val="00BC668C"/>
    <w:rsid w:val="00BF3405"/>
    <w:rsid w:val="00C0017D"/>
    <w:rsid w:val="00C24B4E"/>
    <w:rsid w:val="00C36974"/>
    <w:rsid w:val="00C956E2"/>
    <w:rsid w:val="00CA6DDF"/>
    <w:rsid w:val="00CE4B72"/>
    <w:rsid w:val="00CF6461"/>
    <w:rsid w:val="00D05F2C"/>
    <w:rsid w:val="00D306B6"/>
    <w:rsid w:val="00D47451"/>
    <w:rsid w:val="00D92AA6"/>
    <w:rsid w:val="00DD7115"/>
    <w:rsid w:val="00DE5902"/>
    <w:rsid w:val="00E24BFC"/>
    <w:rsid w:val="00E95856"/>
    <w:rsid w:val="00EA4869"/>
    <w:rsid w:val="00EB7C07"/>
    <w:rsid w:val="00F12826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37CB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237CBD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D474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4745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D8EA4-82C0-4B50-8D24-58348E43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1322</Characters>
  <Application>Microsoft Office Word</Application>
  <DocSecurity>0</DocSecurity>
  <Lines>120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3</cp:revision>
  <dcterms:created xsi:type="dcterms:W3CDTF">2019-02-07T14:56:00Z</dcterms:created>
  <dcterms:modified xsi:type="dcterms:W3CDTF">2019-02-07T15:03:00Z</dcterms:modified>
</cp:coreProperties>
</file>