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7"/>
        <w:gridCol w:w="4814"/>
        <w:gridCol w:w="2410"/>
      </w:tblGrid>
      <w:tr w:rsidR="0073139D" w:rsidTr="003905E1">
        <w:trPr>
          <w:trHeight w:val="557"/>
        </w:trPr>
        <w:tc>
          <w:tcPr>
            <w:tcW w:w="2557" w:type="dxa"/>
          </w:tcPr>
          <w:p w:rsidR="0073139D" w:rsidRPr="0073139D" w:rsidRDefault="0073139D" w:rsidP="003926F6">
            <w:pPr>
              <w:pStyle w:val="Heading1"/>
              <w:ind w:right="183"/>
              <w:contextualSpacing/>
              <w:rPr>
                <w:rFonts w:ascii="Arial" w:hAnsi="Arial" w:cs="Arial"/>
                <w:sz w:val="24"/>
                <w:szCs w:val="24"/>
              </w:rPr>
            </w:pPr>
            <w:r w:rsidRPr="0073139D">
              <w:rPr>
                <w:rFonts w:ascii="Arial" w:hAnsi="Arial" w:cs="Arial"/>
                <w:sz w:val="24"/>
                <w:szCs w:val="24"/>
              </w:rPr>
              <w:t>Board Meeting:</w:t>
            </w:r>
          </w:p>
        </w:tc>
        <w:tc>
          <w:tcPr>
            <w:tcW w:w="4814" w:type="dxa"/>
          </w:tcPr>
          <w:p w:rsidR="0073139D" w:rsidRPr="003926F6" w:rsidRDefault="003926F6" w:rsidP="003926F6">
            <w:pPr>
              <w:pStyle w:val="Heading1"/>
              <w:ind w:right="183"/>
              <w:contextualSpacing/>
              <w:rPr>
                <w:rFonts w:ascii="Arial" w:hAnsi="Arial" w:cs="Arial"/>
                <w:b w:val="0"/>
                <w:sz w:val="24"/>
                <w:szCs w:val="24"/>
              </w:rPr>
            </w:pPr>
            <w:r w:rsidRPr="003926F6">
              <w:rPr>
                <w:rFonts w:ascii="Arial" w:hAnsi="Arial" w:cs="Arial"/>
                <w:b w:val="0"/>
                <w:sz w:val="24"/>
                <w:szCs w:val="24"/>
              </w:rPr>
              <w:t>14 February 2019</w:t>
            </w:r>
          </w:p>
        </w:tc>
        <w:tc>
          <w:tcPr>
            <w:tcW w:w="2410" w:type="dxa"/>
            <w:vMerge w:val="restart"/>
          </w:tcPr>
          <w:p w:rsidR="0073139D" w:rsidRDefault="00843F24" w:rsidP="003926F6">
            <w:pPr>
              <w:pStyle w:val="Heading1"/>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49985" cy="983615"/>
                  <wp:effectExtent l="19050" t="0" r="0" b="0"/>
                  <wp:docPr id="51" name="Picture 51"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JF RGB WITHOUT STRAPLINE"/>
                          <pic:cNvPicPr>
                            <a:picLocks noChangeAspect="1" noChangeArrowheads="1"/>
                          </pic:cNvPicPr>
                        </pic:nvPicPr>
                        <pic:blipFill>
                          <a:blip r:embed="rId7" cstate="print"/>
                          <a:srcRect/>
                          <a:stretch>
                            <a:fillRect/>
                          </a:stretch>
                        </pic:blipFill>
                        <pic:spPr bwMode="auto">
                          <a:xfrm>
                            <a:off x="0" y="0"/>
                            <a:ext cx="1149985" cy="983615"/>
                          </a:xfrm>
                          <a:prstGeom prst="rect">
                            <a:avLst/>
                          </a:prstGeom>
                          <a:noFill/>
                          <a:ln w="9525">
                            <a:noFill/>
                            <a:miter lim="800000"/>
                            <a:headEnd/>
                            <a:tailEnd/>
                          </a:ln>
                        </pic:spPr>
                      </pic:pic>
                    </a:graphicData>
                  </a:graphic>
                </wp:inline>
              </w:drawing>
            </w:r>
          </w:p>
        </w:tc>
      </w:tr>
      <w:tr w:rsidR="0073139D" w:rsidTr="003905E1">
        <w:trPr>
          <w:trHeight w:val="1091"/>
        </w:trPr>
        <w:tc>
          <w:tcPr>
            <w:tcW w:w="2557" w:type="dxa"/>
          </w:tcPr>
          <w:p w:rsidR="0073139D" w:rsidRPr="0073139D" w:rsidRDefault="0073139D" w:rsidP="003926F6">
            <w:pPr>
              <w:pStyle w:val="Heading1"/>
              <w:ind w:right="183"/>
              <w:contextualSpacing/>
              <w:rPr>
                <w:rFonts w:ascii="Arial" w:hAnsi="Arial" w:cs="Arial"/>
                <w:sz w:val="24"/>
                <w:szCs w:val="24"/>
              </w:rPr>
            </w:pPr>
            <w:r w:rsidRPr="0073139D">
              <w:rPr>
                <w:rFonts w:ascii="Arial" w:hAnsi="Arial" w:cs="Arial"/>
                <w:bCs w:val="0"/>
                <w:sz w:val="24"/>
                <w:szCs w:val="24"/>
              </w:rPr>
              <w:t>Subject:</w:t>
            </w:r>
          </w:p>
        </w:tc>
        <w:tc>
          <w:tcPr>
            <w:tcW w:w="4814" w:type="dxa"/>
          </w:tcPr>
          <w:p w:rsidR="0073139D" w:rsidRPr="0073139D" w:rsidRDefault="003926F6" w:rsidP="003926F6">
            <w:pPr>
              <w:pStyle w:val="Heading1"/>
              <w:ind w:right="183"/>
              <w:contextualSpacing/>
              <w:rPr>
                <w:rFonts w:ascii="Arial" w:hAnsi="Arial" w:cs="Arial"/>
                <w:b w:val="0"/>
                <w:sz w:val="24"/>
                <w:szCs w:val="24"/>
              </w:rPr>
            </w:pPr>
            <w:r>
              <w:rPr>
                <w:rFonts w:ascii="Arial" w:hAnsi="Arial" w:cs="Arial"/>
                <w:b w:val="0"/>
                <w:sz w:val="24"/>
                <w:szCs w:val="24"/>
              </w:rPr>
              <w:t>Business Services Update</w:t>
            </w:r>
          </w:p>
        </w:tc>
        <w:tc>
          <w:tcPr>
            <w:tcW w:w="2410" w:type="dxa"/>
            <w:vMerge/>
          </w:tcPr>
          <w:p w:rsidR="0073139D" w:rsidRPr="007C6C08" w:rsidRDefault="0073139D" w:rsidP="003926F6">
            <w:pPr>
              <w:pStyle w:val="Heading1"/>
              <w:ind w:right="183"/>
              <w:contextualSpacing/>
              <w:rPr>
                <w:rFonts w:ascii="Arial" w:hAnsi="Arial" w:cs="Arial"/>
                <w:noProof/>
                <w:sz w:val="24"/>
                <w:szCs w:val="24"/>
                <w:lang w:eastAsia="en-GB"/>
              </w:rPr>
            </w:pPr>
          </w:p>
        </w:tc>
      </w:tr>
      <w:tr w:rsidR="0073139D" w:rsidTr="003905E1">
        <w:trPr>
          <w:trHeight w:val="499"/>
        </w:trPr>
        <w:tc>
          <w:tcPr>
            <w:tcW w:w="2557" w:type="dxa"/>
          </w:tcPr>
          <w:p w:rsidR="0073139D" w:rsidRPr="0073139D" w:rsidRDefault="0073139D" w:rsidP="003926F6">
            <w:pPr>
              <w:pStyle w:val="Heading1"/>
              <w:ind w:right="183"/>
              <w:contextualSpacing/>
              <w:rPr>
                <w:rFonts w:ascii="Arial" w:hAnsi="Arial" w:cs="Arial"/>
                <w:sz w:val="24"/>
                <w:szCs w:val="24"/>
              </w:rPr>
            </w:pPr>
            <w:r w:rsidRPr="0073139D">
              <w:rPr>
                <w:rFonts w:ascii="Arial" w:hAnsi="Arial" w:cs="Arial"/>
                <w:bCs w:val="0"/>
                <w:sz w:val="24"/>
                <w:szCs w:val="24"/>
              </w:rPr>
              <w:t>Recommendation:</w:t>
            </w:r>
            <w:r w:rsidRPr="0073139D">
              <w:rPr>
                <w:rFonts w:ascii="Arial" w:hAnsi="Arial" w:cs="Arial"/>
                <w:bCs w:val="0"/>
                <w:sz w:val="24"/>
                <w:szCs w:val="24"/>
              </w:rPr>
              <w:tab/>
            </w:r>
          </w:p>
        </w:tc>
        <w:tc>
          <w:tcPr>
            <w:tcW w:w="7224" w:type="dxa"/>
            <w:gridSpan w:val="2"/>
          </w:tcPr>
          <w:p w:rsidR="0073139D" w:rsidRDefault="0073139D" w:rsidP="003926F6">
            <w:pPr>
              <w:pStyle w:val="Heading1"/>
              <w:ind w:right="183"/>
              <w:contextualSpacing/>
              <w:rPr>
                <w:rFonts w:ascii="Arial" w:hAnsi="Arial" w:cs="Arial"/>
                <w:b w:val="0"/>
                <w:sz w:val="24"/>
                <w:szCs w:val="24"/>
              </w:rPr>
            </w:pPr>
            <w:r w:rsidRPr="0073139D">
              <w:rPr>
                <w:rFonts w:ascii="Arial" w:hAnsi="Arial" w:cs="Arial"/>
                <w:b w:val="0"/>
                <w:sz w:val="24"/>
                <w:szCs w:val="24"/>
              </w:rPr>
              <w:t>Board members are asked to discuss and:</w:t>
            </w:r>
          </w:p>
          <w:p w:rsidR="007D047D" w:rsidRPr="007D047D" w:rsidRDefault="007D047D" w:rsidP="003926F6"/>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BC609A" w:rsidTr="008969D1">
              <w:tc>
                <w:tcPr>
                  <w:tcW w:w="5694" w:type="dxa"/>
                </w:tcPr>
                <w:p w:rsidR="00BC609A" w:rsidRPr="007D047D" w:rsidRDefault="00BC609A" w:rsidP="003926F6">
                  <w:pPr>
                    <w:pStyle w:val="Heading1"/>
                    <w:ind w:right="181"/>
                    <w:contextualSpacing/>
                    <w:rPr>
                      <w:rFonts w:ascii="Arial" w:hAnsi="Arial" w:cs="Arial"/>
                      <w:b w:val="0"/>
                      <w:sz w:val="24"/>
                      <w:szCs w:val="24"/>
                    </w:rPr>
                  </w:pPr>
                  <w:r>
                    <w:rPr>
                      <w:rFonts w:ascii="Arial" w:hAnsi="Arial" w:cs="Arial"/>
                      <w:b w:val="0"/>
                      <w:sz w:val="24"/>
                      <w:szCs w:val="24"/>
                    </w:rPr>
                    <w:t>Discuss and Note</w:t>
                  </w:r>
                </w:p>
              </w:tc>
              <w:tc>
                <w:tcPr>
                  <w:tcW w:w="850" w:type="dxa"/>
                </w:tcPr>
                <w:p w:rsidR="00BC609A" w:rsidRDefault="00BC609A" w:rsidP="003926F6">
                  <w:pPr>
                    <w:contextualSpacing/>
                  </w:pPr>
                </w:p>
              </w:tc>
            </w:tr>
            <w:tr w:rsidR="00BC609A" w:rsidTr="008969D1">
              <w:tc>
                <w:tcPr>
                  <w:tcW w:w="5694" w:type="dxa"/>
                </w:tcPr>
                <w:p w:rsidR="00BC609A" w:rsidRPr="007D047D" w:rsidRDefault="00BC609A" w:rsidP="003926F6">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BC609A" w:rsidRDefault="003926F6" w:rsidP="003926F6">
                  <w:pPr>
                    <w:contextualSpacing/>
                  </w:pPr>
                  <w:r>
                    <w:t>X</w:t>
                  </w:r>
                </w:p>
              </w:tc>
            </w:tr>
            <w:tr w:rsidR="00BC609A" w:rsidTr="008969D1">
              <w:tc>
                <w:tcPr>
                  <w:tcW w:w="5694" w:type="dxa"/>
                </w:tcPr>
                <w:p w:rsidR="00BC609A" w:rsidRPr="007D047D" w:rsidRDefault="00BC609A" w:rsidP="003926F6">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BC609A" w:rsidRDefault="00BC609A" w:rsidP="003926F6">
                  <w:pPr>
                    <w:contextualSpacing/>
                  </w:pPr>
                </w:p>
              </w:tc>
            </w:tr>
          </w:tbl>
          <w:p w:rsidR="007D047D" w:rsidRPr="0073139D" w:rsidRDefault="007D047D" w:rsidP="003926F6">
            <w:pPr>
              <w:contextualSpacing/>
            </w:pPr>
          </w:p>
        </w:tc>
      </w:tr>
      <w:tr w:rsidR="00BC609A" w:rsidTr="003905E1">
        <w:trPr>
          <w:trHeight w:val="499"/>
        </w:trPr>
        <w:tc>
          <w:tcPr>
            <w:tcW w:w="9781" w:type="dxa"/>
            <w:gridSpan w:val="3"/>
            <w:tcBorders>
              <w:bottom w:val="single" w:sz="4" w:space="0" w:color="auto"/>
            </w:tcBorders>
          </w:tcPr>
          <w:p w:rsidR="00BC609A" w:rsidRDefault="00BC609A" w:rsidP="003926F6">
            <w:pPr>
              <w:rPr>
                <w:rFonts w:ascii="Arial" w:hAnsi="Arial" w:cs="Arial"/>
                <w:b/>
              </w:rPr>
            </w:pPr>
          </w:p>
        </w:tc>
      </w:tr>
    </w:tbl>
    <w:p w:rsidR="0073139D" w:rsidRDefault="0073139D" w:rsidP="003926F6"/>
    <w:p w:rsidR="00985AFF" w:rsidRPr="00B50C50" w:rsidRDefault="003926F6" w:rsidP="003905E1">
      <w:pPr>
        <w:ind w:left="-360" w:hanging="207"/>
        <w:rPr>
          <w:rFonts w:ascii="Arial" w:hAnsi="Arial" w:cs="Arial"/>
          <w:b/>
        </w:rPr>
      </w:pPr>
      <w:r>
        <w:rPr>
          <w:rFonts w:ascii="Arial" w:hAnsi="Arial" w:cs="Arial"/>
          <w:b/>
        </w:rPr>
        <w:t>1</w:t>
      </w:r>
      <w:r>
        <w:rPr>
          <w:rFonts w:ascii="Arial" w:hAnsi="Arial" w:cs="Arial"/>
          <w:b/>
        </w:rPr>
        <w:tab/>
      </w:r>
      <w:r w:rsidR="003905E1">
        <w:rPr>
          <w:rFonts w:ascii="Arial" w:hAnsi="Arial" w:cs="Arial"/>
          <w:b/>
        </w:rPr>
        <w:tab/>
      </w:r>
      <w:r w:rsidR="00985AFF" w:rsidRPr="00B50C50">
        <w:rPr>
          <w:rFonts w:ascii="Arial" w:hAnsi="Arial" w:cs="Arial"/>
          <w:b/>
        </w:rPr>
        <w:t>Background</w:t>
      </w:r>
    </w:p>
    <w:p w:rsidR="00985AFF" w:rsidRPr="00B50C50" w:rsidRDefault="00985AFF" w:rsidP="003926F6">
      <w:pPr>
        <w:ind w:left="-360"/>
        <w:rPr>
          <w:rFonts w:ascii="Arial" w:hAnsi="Arial" w:cs="Arial"/>
          <w:b/>
        </w:rPr>
      </w:pPr>
    </w:p>
    <w:p w:rsidR="00985AFF" w:rsidRDefault="00985AFF" w:rsidP="003905E1">
      <w:pPr>
        <w:ind w:right="180"/>
        <w:rPr>
          <w:rFonts w:ascii="Arial" w:hAnsi="Arial" w:cs="Arial"/>
        </w:rPr>
      </w:pPr>
      <w:r w:rsidRPr="00B50C50">
        <w:rPr>
          <w:rFonts w:ascii="Arial" w:hAnsi="Arial" w:cs="Arial"/>
        </w:rPr>
        <w:t>Patient activity is reported on a monthly basis, both by month and year to d</w:t>
      </w:r>
      <w:r>
        <w:rPr>
          <w:rFonts w:ascii="Arial" w:hAnsi="Arial" w:cs="Arial"/>
        </w:rPr>
        <w:t xml:space="preserve">ate.  Data </w:t>
      </w:r>
      <w:r w:rsidRPr="00B50C50">
        <w:rPr>
          <w:rFonts w:ascii="Arial" w:hAnsi="Arial" w:cs="Arial"/>
        </w:rPr>
        <w:t xml:space="preserve">is primarily measured in episodes of care.  However, data is also captured to reflect the number of procedures being carried out by Board, by specialty.  This information is particularly relevant to referring Boards who are allocated activity and measure their activity/throughput at </w:t>
      </w:r>
      <w:r w:rsidR="003926F6">
        <w:rPr>
          <w:rFonts w:ascii="Arial" w:hAnsi="Arial" w:cs="Arial"/>
        </w:rPr>
        <w:t>the Golden Jubilee National Hospital</w:t>
      </w:r>
      <w:r w:rsidR="003905E1">
        <w:rPr>
          <w:rFonts w:ascii="Arial" w:hAnsi="Arial" w:cs="Arial"/>
        </w:rPr>
        <w:t xml:space="preserve"> (GJNH)</w:t>
      </w:r>
      <w:r w:rsidR="003926F6">
        <w:rPr>
          <w:rFonts w:ascii="Arial" w:hAnsi="Arial" w:cs="Arial"/>
        </w:rPr>
        <w:t xml:space="preserve"> i</w:t>
      </w:r>
      <w:r w:rsidRPr="00B50C50">
        <w:rPr>
          <w:rFonts w:ascii="Arial" w:hAnsi="Arial" w:cs="Arial"/>
        </w:rPr>
        <w:t xml:space="preserve">n numbers of procedures.  </w:t>
      </w:r>
    </w:p>
    <w:p w:rsidR="00985AFF" w:rsidRDefault="00985AFF" w:rsidP="003905E1">
      <w:pPr>
        <w:ind w:right="180"/>
        <w:rPr>
          <w:rFonts w:ascii="Arial" w:hAnsi="Arial" w:cs="Arial"/>
        </w:rPr>
      </w:pPr>
    </w:p>
    <w:p w:rsidR="00985AFF" w:rsidRDefault="00985AFF" w:rsidP="003905E1">
      <w:pPr>
        <w:ind w:right="180"/>
        <w:rPr>
          <w:rFonts w:ascii="Arial" w:hAnsi="Arial" w:cs="Arial"/>
        </w:rPr>
      </w:pPr>
      <w:r>
        <w:rPr>
          <w:rFonts w:ascii="Arial" w:hAnsi="Arial" w:cs="Arial"/>
        </w:rPr>
        <w:t>Appendix A to this document is provided for information purposes and reflects the number of patients treated against an annual plan of 16,589 (patients).</w:t>
      </w:r>
    </w:p>
    <w:p w:rsidR="00985AFF" w:rsidRDefault="00985AFF" w:rsidP="003905E1">
      <w:pPr>
        <w:ind w:right="180"/>
        <w:rPr>
          <w:rFonts w:ascii="Arial" w:hAnsi="Arial" w:cs="Arial"/>
        </w:rPr>
      </w:pPr>
    </w:p>
    <w:p w:rsidR="00985AFF" w:rsidRDefault="00985AFF" w:rsidP="003905E1">
      <w:pPr>
        <w:ind w:right="180"/>
        <w:rPr>
          <w:rFonts w:ascii="Arial" w:hAnsi="Arial" w:cs="Arial"/>
        </w:rPr>
      </w:pPr>
      <w:r>
        <w:rPr>
          <w:rFonts w:ascii="Arial" w:hAnsi="Arial" w:cs="Arial"/>
        </w:rPr>
        <w:t>Appendix B to this document is adjusted to represent theatre slots used (as opposed to numbers of patients) in both orthopaedic surgery and plastic surgery.  This allows us to more accurately reflect actual theatre utilisation and allows us to focus on maximising the theatre capacity that is available to us.</w:t>
      </w:r>
    </w:p>
    <w:p w:rsidR="00985AFF" w:rsidRDefault="00985AFF" w:rsidP="003905E1">
      <w:pPr>
        <w:ind w:right="180"/>
        <w:rPr>
          <w:rFonts w:ascii="Arial" w:hAnsi="Arial" w:cs="Arial"/>
        </w:rPr>
      </w:pPr>
    </w:p>
    <w:p w:rsidR="00985AFF" w:rsidRDefault="00985AFF" w:rsidP="003905E1">
      <w:pPr>
        <w:ind w:right="180"/>
        <w:rPr>
          <w:rFonts w:ascii="Arial" w:hAnsi="Arial" w:cs="Arial"/>
        </w:rPr>
      </w:pPr>
      <w:r>
        <w:rPr>
          <w:rFonts w:ascii="Arial" w:hAnsi="Arial" w:cs="Arial"/>
        </w:rPr>
        <w:t>This paper is intended to monitor and report on the national waiting times activity allocated to Boards across Scotland.  High level Regional Heart and Lung Centre activity is also provided for information purposes.  This activity is reported in more detail on the Divisional Performance and Planning Reports which are then summarised for presentation to the Board.</w:t>
      </w:r>
    </w:p>
    <w:p w:rsidR="00985AFF" w:rsidRDefault="00985AFF" w:rsidP="003905E1">
      <w:pPr>
        <w:ind w:right="180"/>
        <w:rPr>
          <w:rFonts w:ascii="Arial" w:hAnsi="Arial" w:cs="Arial"/>
        </w:rPr>
      </w:pPr>
    </w:p>
    <w:p w:rsidR="00985AFF" w:rsidRDefault="00985AFF" w:rsidP="003905E1">
      <w:pPr>
        <w:ind w:right="180"/>
        <w:rPr>
          <w:rFonts w:ascii="Arial" w:hAnsi="Arial" w:cs="Arial"/>
        </w:rPr>
      </w:pPr>
      <w:r>
        <w:rPr>
          <w:rFonts w:ascii="Arial" w:hAnsi="Arial" w:cs="Arial"/>
        </w:rPr>
        <w:t>Referring Boards receive a monthly monitoring document which provides a detailed breakdown of the number of patients referred, their complexity and the number of theatre slots used to treat them.</w:t>
      </w:r>
    </w:p>
    <w:p w:rsidR="00985AFF" w:rsidRDefault="00985AFF" w:rsidP="003926F6">
      <w:pPr>
        <w:ind w:left="720" w:right="180"/>
        <w:rPr>
          <w:rFonts w:ascii="Arial" w:hAnsi="Arial" w:cs="Arial"/>
        </w:rPr>
      </w:pPr>
    </w:p>
    <w:p w:rsidR="00F77E8F" w:rsidRDefault="00F77E8F">
      <w:pPr>
        <w:rPr>
          <w:rFonts w:ascii="Arial" w:hAnsi="Arial" w:cs="Arial"/>
          <w:b/>
        </w:rPr>
      </w:pPr>
      <w:r>
        <w:rPr>
          <w:rFonts w:ascii="Arial" w:hAnsi="Arial" w:cs="Arial"/>
          <w:b/>
        </w:rPr>
        <w:br w:type="page"/>
      </w:r>
    </w:p>
    <w:p w:rsidR="00985AFF" w:rsidRPr="003926F6" w:rsidRDefault="003926F6" w:rsidP="003905E1">
      <w:pPr>
        <w:ind w:right="180" w:hanging="567"/>
        <w:rPr>
          <w:rFonts w:ascii="Arial" w:hAnsi="Arial" w:cs="Arial"/>
          <w:b/>
        </w:rPr>
      </w:pPr>
      <w:r w:rsidRPr="003926F6">
        <w:rPr>
          <w:rFonts w:ascii="Arial" w:hAnsi="Arial" w:cs="Arial"/>
          <w:b/>
        </w:rPr>
        <w:lastRenderedPageBreak/>
        <w:t>2</w:t>
      </w:r>
      <w:r w:rsidRPr="003926F6">
        <w:rPr>
          <w:rFonts w:ascii="Arial" w:hAnsi="Arial" w:cs="Arial"/>
          <w:b/>
        </w:rPr>
        <w:tab/>
      </w:r>
      <w:r w:rsidR="00985AFF" w:rsidRPr="003926F6">
        <w:rPr>
          <w:rFonts w:ascii="Arial" w:hAnsi="Arial" w:cs="Arial"/>
          <w:b/>
        </w:rPr>
        <w:t>Operational Governance</w:t>
      </w:r>
    </w:p>
    <w:p w:rsidR="00985AFF" w:rsidRDefault="00985AFF" w:rsidP="003926F6">
      <w:pPr>
        <w:ind w:left="-360"/>
        <w:rPr>
          <w:rFonts w:ascii="Arial" w:hAnsi="Arial" w:cs="Arial"/>
        </w:rPr>
      </w:pPr>
    </w:p>
    <w:p w:rsidR="00985AFF" w:rsidRDefault="00985AFF" w:rsidP="003926F6">
      <w:pPr>
        <w:rPr>
          <w:rFonts w:ascii="Arial" w:hAnsi="Arial" w:cs="Arial"/>
          <w:b/>
        </w:rPr>
      </w:pPr>
      <w:r w:rsidRPr="00B50C50">
        <w:rPr>
          <w:rFonts w:ascii="Arial" w:hAnsi="Arial" w:cs="Arial"/>
          <w:b/>
        </w:rPr>
        <w:t>In</w:t>
      </w:r>
      <w:r w:rsidR="003926F6">
        <w:rPr>
          <w:rFonts w:ascii="Arial" w:hAnsi="Arial" w:cs="Arial"/>
          <w:b/>
        </w:rPr>
        <w:t>p</w:t>
      </w:r>
      <w:r w:rsidRPr="00B50C50">
        <w:rPr>
          <w:rFonts w:ascii="Arial" w:hAnsi="Arial" w:cs="Arial"/>
          <w:b/>
        </w:rPr>
        <w:t>atient/Day Case</w:t>
      </w:r>
      <w:r>
        <w:rPr>
          <w:rFonts w:ascii="Arial" w:hAnsi="Arial" w:cs="Arial"/>
          <w:b/>
        </w:rPr>
        <w:t>/Diagnostic Imaging</w:t>
      </w:r>
      <w:r w:rsidRPr="00B50C50">
        <w:rPr>
          <w:rFonts w:ascii="Arial" w:hAnsi="Arial" w:cs="Arial"/>
          <w:b/>
        </w:rPr>
        <w:t xml:space="preserve"> Activity Analysis </w:t>
      </w:r>
      <w:r>
        <w:rPr>
          <w:rFonts w:ascii="Arial" w:hAnsi="Arial" w:cs="Arial"/>
          <w:b/>
        </w:rPr>
        <w:t>December 2018</w:t>
      </w:r>
    </w:p>
    <w:p w:rsidR="00985AFF" w:rsidRDefault="00985AFF" w:rsidP="003926F6">
      <w:pPr>
        <w:ind w:left="-360" w:firstLine="360"/>
        <w:rPr>
          <w:rFonts w:ascii="Arial" w:hAnsi="Arial" w:cs="Arial"/>
          <w:b/>
        </w:rPr>
      </w:pPr>
    </w:p>
    <w:p w:rsidR="00985AFF" w:rsidRDefault="00985AFF" w:rsidP="003926F6">
      <w:pPr>
        <w:rPr>
          <w:rFonts w:ascii="Arial" w:hAnsi="Arial" w:cs="Arial"/>
        </w:rPr>
      </w:pPr>
      <w:r>
        <w:rPr>
          <w:rFonts w:ascii="Arial" w:hAnsi="Arial" w:cs="Arial"/>
        </w:rPr>
        <w:t xml:space="preserve">Activity for inpatients/day case procedures measured against a projection of 16,589 (which excludes cardiothoracic/cardiology activity) was ahead of plan by 9.8% for the month of December when activity is adjusted to reflect complexity (Appendix B) and 4.1% ahead of the year to date plan. </w:t>
      </w:r>
    </w:p>
    <w:p w:rsidR="00F77E8F" w:rsidRDefault="00F77E8F" w:rsidP="003926F6">
      <w:pPr>
        <w:rPr>
          <w:rFonts w:ascii="Arial" w:hAnsi="Arial" w:cs="Arial"/>
        </w:rPr>
      </w:pPr>
    </w:p>
    <w:p w:rsidR="00985AFF" w:rsidRDefault="00985AFF" w:rsidP="003926F6">
      <w:pPr>
        <w:rPr>
          <w:rFonts w:ascii="Arial" w:hAnsi="Arial" w:cs="Arial"/>
        </w:rPr>
      </w:pPr>
      <w:r w:rsidRPr="005D1E9E">
        <w:rPr>
          <w:rFonts w:ascii="Arial" w:hAnsi="Arial" w:cs="Arial"/>
        </w:rPr>
        <w:t xml:space="preserve">Measured against </w:t>
      </w:r>
      <w:r>
        <w:rPr>
          <w:rFonts w:ascii="Arial" w:hAnsi="Arial" w:cs="Arial"/>
        </w:rPr>
        <w:t xml:space="preserve">a total activity projection of 48,419, the </w:t>
      </w:r>
      <w:r w:rsidRPr="005D1E9E">
        <w:rPr>
          <w:rFonts w:ascii="Arial" w:hAnsi="Arial" w:cs="Arial"/>
        </w:rPr>
        <w:t xml:space="preserve">combined </w:t>
      </w:r>
      <w:r>
        <w:rPr>
          <w:rFonts w:ascii="Arial" w:hAnsi="Arial" w:cs="Arial"/>
        </w:rPr>
        <w:t>in</w:t>
      </w:r>
      <w:r w:rsidRPr="005D1E9E">
        <w:rPr>
          <w:rFonts w:ascii="Arial" w:hAnsi="Arial" w:cs="Arial"/>
        </w:rPr>
        <w:t xml:space="preserve">patient/day case and imaging activity at </w:t>
      </w:r>
      <w:r>
        <w:rPr>
          <w:rFonts w:ascii="Arial" w:hAnsi="Arial" w:cs="Arial"/>
        </w:rPr>
        <w:t>the end of December</w:t>
      </w:r>
      <w:r w:rsidRPr="005D1E9E">
        <w:rPr>
          <w:rFonts w:ascii="Arial" w:hAnsi="Arial" w:cs="Arial"/>
        </w:rPr>
        <w:t xml:space="preserve"> </w:t>
      </w:r>
      <w:r w:rsidRPr="00D57FC8">
        <w:rPr>
          <w:rFonts w:ascii="Arial" w:hAnsi="Arial" w:cs="Arial"/>
        </w:rPr>
        <w:t>was</w:t>
      </w:r>
      <w:r>
        <w:rPr>
          <w:rFonts w:ascii="Arial" w:hAnsi="Arial" w:cs="Arial"/>
        </w:rPr>
        <w:t xml:space="preserve"> </w:t>
      </w:r>
      <w:r w:rsidRPr="00B355CC">
        <w:rPr>
          <w:rFonts w:ascii="Arial" w:hAnsi="Arial" w:cs="Arial"/>
        </w:rPr>
        <w:t>ahead of plan</w:t>
      </w:r>
      <w:r>
        <w:rPr>
          <w:rFonts w:ascii="Arial" w:hAnsi="Arial" w:cs="Arial"/>
        </w:rPr>
        <w:t xml:space="preserve"> by 2.6</w:t>
      </w:r>
      <w:r w:rsidRPr="00B355CC">
        <w:rPr>
          <w:rFonts w:ascii="Arial" w:hAnsi="Arial" w:cs="Arial"/>
        </w:rPr>
        <w:t xml:space="preserve">% for the month of </w:t>
      </w:r>
      <w:r>
        <w:rPr>
          <w:rFonts w:ascii="Arial" w:hAnsi="Arial" w:cs="Arial"/>
        </w:rPr>
        <w:t>December w</w:t>
      </w:r>
      <w:r w:rsidRPr="005D1E9E">
        <w:rPr>
          <w:rFonts w:ascii="Arial" w:hAnsi="Arial" w:cs="Arial"/>
        </w:rPr>
        <w:t>hen adjusted to reflect complexity (Appendix B</w:t>
      </w:r>
      <w:r>
        <w:rPr>
          <w:rFonts w:ascii="Arial" w:hAnsi="Arial" w:cs="Arial"/>
        </w:rPr>
        <w:t>) and 6.9</w:t>
      </w:r>
      <w:r w:rsidRPr="00B355CC">
        <w:rPr>
          <w:rFonts w:ascii="Arial" w:hAnsi="Arial" w:cs="Arial"/>
        </w:rPr>
        <w:t>% ahead of the year to date plan.</w:t>
      </w:r>
    </w:p>
    <w:p w:rsidR="00985AFF" w:rsidRDefault="00985AFF" w:rsidP="003926F6">
      <w:pPr>
        <w:rPr>
          <w:rFonts w:ascii="Arial" w:hAnsi="Arial" w:cs="Arial"/>
        </w:rPr>
      </w:pPr>
    </w:p>
    <w:p w:rsidR="00985AFF" w:rsidRDefault="00985AFF" w:rsidP="003926F6">
      <w:pPr>
        <w:rPr>
          <w:rFonts w:ascii="Arial" w:hAnsi="Arial" w:cs="Arial"/>
        </w:rPr>
      </w:pPr>
    </w:p>
    <w:p w:rsidR="00985AFF" w:rsidRPr="003926F6" w:rsidRDefault="00985AFF" w:rsidP="003926F6">
      <w:pPr>
        <w:pStyle w:val="ListParagraph"/>
        <w:numPr>
          <w:ilvl w:val="0"/>
          <w:numId w:val="11"/>
        </w:numPr>
        <w:ind w:hanging="567"/>
        <w:rPr>
          <w:rFonts w:ascii="Arial" w:hAnsi="Arial" w:cs="Arial"/>
          <w:b/>
        </w:rPr>
      </w:pPr>
      <w:r w:rsidRPr="003926F6">
        <w:rPr>
          <w:rFonts w:ascii="Arial" w:hAnsi="Arial" w:cs="Arial"/>
          <w:b/>
        </w:rPr>
        <w:t>Analysis of Performance Against Plan at End December 2018</w:t>
      </w:r>
    </w:p>
    <w:p w:rsidR="00985AFF" w:rsidRDefault="00985AFF" w:rsidP="003926F6">
      <w:pPr>
        <w:pStyle w:val="BodyTextIndent3"/>
        <w:spacing w:after="0"/>
        <w:ind w:left="0" w:right="-360"/>
        <w:rPr>
          <w:rFonts w:ascii="Arial" w:hAnsi="Arial" w:cs="Arial"/>
          <w:sz w:val="24"/>
        </w:rPr>
      </w:pPr>
    </w:p>
    <w:p w:rsidR="00985AFF" w:rsidRPr="000B7F9B" w:rsidRDefault="003926F6" w:rsidP="003926F6">
      <w:pPr>
        <w:pStyle w:val="BodyTextIndent3"/>
        <w:spacing w:after="0"/>
        <w:ind w:left="0" w:right="-360" w:hanging="567"/>
        <w:rPr>
          <w:rFonts w:ascii="Arial" w:hAnsi="Arial" w:cs="Arial"/>
          <w:b/>
          <w:sz w:val="24"/>
        </w:rPr>
      </w:pPr>
      <w:r>
        <w:rPr>
          <w:rFonts w:ascii="Arial" w:hAnsi="Arial" w:cs="Arial"/>
          <w:b/>
          <w:sz w:val="24"/>
        </w:rPr>
        <w:t>3.1</w:t>
      </w:r>
      <w:r>
        <w:rPr>
          <w:rFonts w:ascii="Arial" w:hAnsi="Arial" w:cs="Arial"/>
          <w:b/>
          <w:sz w:val="24"/>
        </w:rPr>
        <w:tab/>
      </w:r>
      <w:r w:rsidR="003905E1">
        <w:rPr>
          <w:rFonts w:ascii="Arial" w:hAnsi="Arial" w:cs="Arial"/>
          <w:b/>
          <w:sz w:val="24"/>
        </w:rPr>
        <w:t>Orthopaedic Surgery</w:t>
      </w:r>
    </w:p>
    <w:p w:rsidR="00985AFF" w:rsidRDefault="00985AFF" w:rsidP="003926F6">
      <w:pPr>
        <w:pStyle w:val="BodyTextIndent3"/>
        <w:spacing w:after="0"/>
        <w:ind w:left="0" w:right="-360"/>
        <w:rPr>
          <w:rFonts w:ascii="Arial" w:hAnsi="Arial" w:cs="Arial"/>
          <w:sz w:val="24"/>
        </w:rPr>
      </w:pPr>
    </w:p>
    <w:p w:rsidR="00985AFF" w:rsidRDefault="00985AFF" w:rsidP="003926F6">
      <w:pPr>
        <w:pStyle w:val="BodyTextIndent3"/>
        <w:spacing w:after="0"/>
        <w:ind w:left="0"/>
        <w:rPr>
          <w:rFonts w:ascii="Arial" w:hAnsi="Arial" w:cs="Arial"/>
          <w:sz w:val="24"/>
        </w:rPr>
      </w:pPr>
      <w:r w:rsidRPr="009D7B6C">
        <w:rPr>
          <w:rFonts w:ascii="Arial" w:hAnsi="Arial" w:cs="Arial"/>
          <w:sz w:val="24"/>
        </w:rPr>
        <w:t xml:space="preserve">The annual target for orthopaedic joint replacements </w:t>
      </w:r>
      <w:r>
        <w:rPr>
          <w:rFonts w:ascii="Arial" w:hAnsi="Arial" w:cs="Arial"/>
          <w:sz w:val="24"/>
        </w:rPr>
        <w:t>for 2018/19 is based on 3,803 primary joint replacements</w:t>
      </w:r>
      <w:r w:rsidRPr="009D7B6C">
        <w:rPr>
          <w:rFonts w:ascii="Arial" w:hAnsi="Arial" w:cs="Arial"/>
          <w:sz w:val="24"/>
        </w:rPr>
        <w:t xml:space="preserve">.  This number is calculated on the basis of one patient to one theatre slot.  Each session equals two </w:t>
      </w:r>
      <w:r>
        <w:rPr>
          <w:rFonts w:ascii="Arial" w:hAnsi="Arial" w:cs="Arial"/>
          <w:sz w:val="24"/>
        </w:rPr>
        <w:t xml:space="preserve">primary joint </w:t>
      </w:r>
      <w:r w:rsidRPr="009D7B6C">
        <w:rPr>
          <w:rFonts w:ascii="Arial" w:hAnsi="Arial" w:cs="Arial"/>
          <w:sz w:val="24"/>
        </w:rPr>
        <w:t>theatre slots.</w:t>
      </w:r>
      <w:r>
        <w:rPr>
          <w:rFonts w:ascii="Arial" w:hAnsi="Arial" w:cs="Arial"/>
          <w:sz w:val="24"/>
        </w:rPr>
        <w:t xml:space="preserve">  However, based on experience over the recent years, we have made the assumption that t</w:t>
      </w:r>
      <w:r w:rsidRPr="003821FC">
        <w:rPr>
          <w:rFonts w:ascii="Arial" w:hAnsi="Arial" w:cs="Arial"/>
          <w:sz w:val="24"/>
        </w:rPr>
        <w:t xml:space="preserve">he number of complex joint replacements </w:t>
      </w:r>
      <w:r>
        <w:rPr>
          <w:rFonts w:ascii="Arial" w:hAnsi="Arial" w:cs="Arial"/>
          <w:sz w:val="24"/>
        </w:rPr>
        <w:t xml:space="preserve">likely to be referred </w:t>
      </w:r>
      <w:r w:rsidRPr="003821FC">
        <w:rPr>
          <w:rFonts w:ascii="Arial" w:hAnsi="Arial" w:cs="Arial"/>
          <w:sz w:val="24"/>
        </w:rPr>
        <w:t>for treatment</w:t>
      </w:r>
      <w:r>
        <w:rPr>
          <w:rFonts w:ascii="Arial" w:hAnsi="Arial" w:cs="Arial"/>
          <w:sz w:val="24"/>
        </w:rPr>
        <w:t xml:space="preserve"> would be approximately 9</w:t>
      </w:r>
      <w:r w:rsidRPr="003821FC">
        <w:rPr>
          <w:rFonts w:ascii="Arial" w:hAnsi="Arial" w:cs="Arial"/>
          <w:sz w:val="24"/>
        </w:rPr>
        <w:t>%</w:t>
      </w:r>
      <w:r>
        <w:rPr>
          <w:rFonts w:ascii="Arial" w:hAnsi="Arial" w:cs="Arial"/>
          <w:sz w:val="24"/>
        </w:rPr>
        <w:t xml:space="preserve">.  </w:t>
      </w:r>
      <w:r w:rsidRPr="003821FC">
        <w:rPr>
          <w:rFonts w:ascii="Arial" w:hAnsi="Arial" w:cs="Arial"/>
          <w:sz w:val="24"/>
        </w:rPr>
        <w:t>These procedures typically take the equivalent theatre space of 1.5-2 primary joint replacements.</w:t>
      </w:r>
      <w:r>
        <w:rPr>
          <w:rFonts w:ascii="Arial" w:hAnsi="Arial" w:cs="Arial"/>
          <w:sz w:val="24"/>
        </w:rPr>
        <w:t xml:space="preserve">  </w:t>
      </w:r>
    </w:p>
    <w:p w:rsidR="00985AFF" w:rsidRDefault="00985AFF" w:rsidP="003926F6">
      <w:pPr>
        <w:pStyle w:val="BodyTextIndent3"/>
        <w:spacing w:after="0"/>
        <w:ind w:left="0"/>
        <w:rPr>
          <w:rFonts w:ascii="Arial" w:hAnsi="Arial" w:cs="Arial"/>
          <w:sz w:val="24"/>
        </w:rPr>
      </w:pPr>
    </w:p>
    <w:p w:rsidR="00985AFF" w:rsidRDefault="00985AFF" w:rsidP="003926F6">
      <w:pPr>
        <w:pStyle w:val="BodyTextIndent3"/>
        <w:spacing w:after="0"/>
        <w:ind w:left="0"/>
        <w:rPr>
          <w:rFonts w:ascii="Arial" w:hAnsi="Arial" w:cs="Arial"/>
          <w:sz w:val="24"/>
        </w:rPr>
      </w:pPr>
      <w:r>
        <w:rPr>
          <w:rFonts w:ascii="Arial" w:hAnsi="Arial" w:cs="Arial"/>
          <w:sz w:val="24"/>
        </w:rPr>
        <w:t xml:space="preserve">In addition to the 3,803 primary joint replacements, there </w:t>
      </w:r>
      <w:proofErr w:type="gramStart"/>
      <w:r>
        <w:rPr>
          <w:rFonts w:ascii="Arial" w:hAnsi="Arial" w:cs="Arial"/>
          <w:sz w:val="24"/>
        </w:rPr>
        <w:t>is</w:t>
      </w:r>
      <w:proofErr w:type="gramEnd"/>
      <w:r>
        <w:rPr>
          <w:rFonts w:ascii="Arial" w:hAnsi="Arial" w:cs="Arial"/>
          <w:sz w:val="24"/>
        </w:rPr>
        <w:t xml:space="preserve"> a target number of 681 orthopaedic non joint procedures and 550 foot and ankle procedures for the year.  This equates to a total of 5</w:t>
      </w:r>
      <w:r w:rsidR="003905E1">
        <w:rPr>
          <w:rFonts w:ascii="Arial" w:hAnsi="Arial" w:cs="Arial"/>
          <w:sz w:val="24"/>
        </w:rPr>
        <w:t>,</w:t>
      </w:r>
      <w:r>
        <w:rPr>
          <w:rFonts w:ascii="Arial" w:hAnsi="Arial" w:cs="Arial"/>
          <w:sz w:val="24"/>
        </w:rPr>
        <w:t>034 orthopaedic theatre slots per annum (as documented in Appendix B).</w:t>
      </w:r>
    </w:p>
    <w:p w:rsidR="00985AFF" w:rsidRDefault="00985AFF" w:rsidP="003926F6">
      <w:pPr>
        <w:pStyle w:val="BodyTextIndent3"/>
        <w:spacing w:after="0"/>
        <w:ind w:left="0"/>
        <w:rPr>
          <w:rFonts w:ascii="Arial" w:hAnsi="Arial" w:cs="Arial"/>
          <w:sz w:val="24"/>
        </w:rPr>
      </w:pPr>
    </w:p>
    <w:p w:rsidR="00985AFF" w:rsidRDefault="00985AFF" w:rsidP="003926F6">
      <w:pPr>
        <w:pStyle w:val="BodyTextIndent3"/>
        <w:spacing w:after="0"/>
        <w:ind w:left="0"/>
        <w:rPr>
          <w:rFonts w:ascii="Arial" w:hAnsi="Arial" w:cs="Arial"/>
          <w:sz w:val="24"/>
        </w:rPr>
      </w:pPr>
      <w:r>
        <w:rPr>
          <w:rFonts w:ascii="Arial" w:hAnsi="Arial" w:cs="Arial"/>
          <w:sz w:val="24"/>
        </w:rPr>
        <w:t>At the end of December, orthopaedic joint activity was very slightly behind plan for the month of December by 1 joint replacement and 7 foot and ankle procedures but ahead of the monthly plan by</w:t>
      </w:r>
      <w:r w:rsidR="003905E1">
        <w:rPr>
          <w:rFonts w:ascii="Arial" w:hAnsi="Arial" w:cs="Arial"/>
          <w:sz w:val="24"/>
        </w:rPr>
        <w:t xml:space="preserve"> </w:t>
      </w:r>
      <w:r>
        <w:rPr>
          <w:rFonts w:ascii="Arial" w:hAnsi="Arial" w:cs="Arial"/>
          <w:sz w:val="24"/>
        </w:rPr>
        <w:t xml:space="preserve">46 ‘non joint’ procedures.  The year to date plan has been exceeded by 233 primary joint replacements, 35 foot and 36 ‘non joint’ procedures (which consists of intermediate/minor procedures such as </w:t>
      </w:r>
      <w:r w:rsidR="003905E1">
        <w:rPr>
          <w:rFonts w:ascii="Arial" w:hAnsi="Arial" w:cs="Arial"/>
          <w:sz w:val="24"/>
        </w:rPr>
        <w:t xml:space="preserve">Anterior </w:t>
      </w:r>
      <w:proofErr w:type="spellStart"/>
      <w:r w:rsidR="003905E1">
        <w:rPr>
          <w:rFonts w:ascii="Arial" w:hAnsi="Arial" w:cs="Arial"/>
          <w:sz w:val="24"/>
        </w:rPr>
        <w:t>Cruciate</w:t>
      </w:r>
      <w:proofErr w:type="spellEnd"/>
      <w:r w:rsidR="003905E1">
        <w:rPr>
          <w:rFonts w:ascii="Arial" w:hAnsi="Arial" w:cs="Arial"/>
          <w:sz w:val="24"/>
        </w:rPr>
        <w:t xml:space="preserve"> Ligament </w:t>
      </w:r>
      <w:r>
        <w:rPr>
          <w:rFonts w:ascii="Arial" w:hAnsi="Arial" w:cs="Arial"/>
          <w:sz w:val="24"/>
        </w:rPr>
        <w:t>repair, arthroscopy etc).  Overall, orthopaedic surgery is currently ahead of the year to date by 304 procedures/theatre slots.</w:t>
      </w:r>
    </w:p>
    <w:p w:rsidR="00985AFF" w:rsidRDefault="00985AFF" w:rsidP="003926F6">
      <w:pPr>
        <w:pStyle w:val="BodyTextIndent3"/>
        <w:spacing w:after="0"/>
        <w:ind w:left="0"/>
        <w:rPr>
          <w:rFonts w:ascii="Arial" w:hAnsi="Arial" w:cs="Arial"/>
          <w:sz w:val="24"/>
        </w:rPr>
      </w:pPr>
    </w:p>
    <w:p w:rsidR="00985AFF" w:rsidRPr="00FD6400" w:rsidRDefault="003926F6" w:rsidP="003926F6">
      <w:pPr>
        <w:pStyle w:val="BodyTextIndent3"/>
        <w:spacing w:after="0"/>
        <w:ind w:left="0" w:hanging="567"/>
        <w:rPr>
          <w:rFonts w:ascii="Arial" w:hAnsi="Arial" w:cs="Arial"/>
          <w:b/>
          <w:sz w:val="24"/>
        </w:rPr>
      </w:pPr>
      <w:r>
        <w:rPr>
          <w:rFonts w:ascii="Arial" w:hAnsi="Arial" w:cs="Arial"/>
          <w:b/>
          <w:sz w:val="24"/>
        </w:rPr>
        <w:t>3.2</w:t>
      </w:r>
      <w:r>
        <w:rPr>
          <w:rFonts w:ascii="Arial" w:hAnsi="Arial" w:cs="Arial"/>
          <w:b/>
          <w:sz w:val="24"/>
        </w:rPr>
        <w:tab/>
      </w:r>
      <w:r w:rsidR="00985AFF" w:rsidRPr="00FD6400">
        <w:rPr>
          <w:rFonts w:ascii="Arial" w:hAnsi="Arial" w:cs="Arial"/>
          <w:b/>
          <w:sz w:val="24"/>
        </w:rPr>
        <w:t>Ophthalmic Surgery</w:t>
      </w:r>
    </w:p>
    <w:p w:rsidR="00985AFF" w:rsidRDefault="00985AFF" w:rsidP="003926F6">
      <w:pPr>
        <w:pStyle w:val="BodyTextIndent3"/>
        <w:spacing w:after="0"/>
        <w:ind w:left="0"/>
        <w:rPr>
          <w:rFonts w:ascii="Arial" w:hAnsi="Arial" w:cs="Arial"/>
          <w:sz w:val="24"/>
        </w:rPr>
      </w:pPr>
    </w:p>
    <w:p w:rsidR="00985AFF" w:rsidRDefault="00985AFF" w:rsidP="003926F6">
      <w:pPr>
        <w:pStyle w:val="BodyTextIndent3"/>
        <w:spacing w:after="0"/>
        <w:ind w:left="0"/>
        <w:rPr>
          <w:rFonts w:ascii="Arial" w:hAnsi="Arial" w:cs="Arial"/>
          <w:sz w:val="24"/>
        </w:rPr>
      </w:pPr>
      <w:r>
        <w:rPr>
          <w:rFonts w:ascii="Arial" w:hAnsi="Arial" w:cs="Arial"/>
          <w:sz w:val="24"/>
        </w:rPr>
        <w:t xml:space="preserve">Ophthalmology activity was behind the monthly plan by 16 procedures for the month of December and 150 procedures behind the year to date plan. </w:t>
      </w:r>
    </w:p>
    <w:p w:rsidR="00985AFF" w:rsidRDefault="00985AFF" w:rsidP="003926F6">
      <w:pPr>
        <w:pStyle w:val="BodyTextIndent3"/>
        <w:spacing w:after="0"/>
        <w:ind w:left="0"/>
        <w:rPr>
          <w:rFonts w:ascii="Arial" w:hAnsi="Arial" w:cs="Arial"/>
          <w:b/>
          <w:sz w:val="24"/>
        </w:rPr>
      </w:pPr>
    </w:p>
    <w:p w:rsidR="00985AFF" w:rsidRDefault="003926F6" w:rsidP="003926F6">
      <w:pPr>
        <w:pStyle w:val="BodyTextIndent3"/>
        <w:spacing w:after="0"/>
        <w:ind w:left="0" w:hanging="567"/>
        <w:rPr>
          <w:rFonts w:ascii="Arial" w:hAnsi="Arial" w:cs="Arial"/>
          <w:b/>
          <w:sz w:val="24"/>
        </w:rPr>
      </w:pPr>
      <w:r>
        <w:rPr>
          <w:rFonts w:ascii="Arial" w:hAnsi="Arial" w:cs="Arial"/>
          <w:b/>
          <w:sz w:val="24"/>
        </w:rPr>
        <w:t>3.3</w:t>
      </w:r>
      <w:r>
        <w:rPr>
          <w:rFonts w:ascii="Arial" w:hAnsi="Arial" w:cs="Arial"/>
          <w:b/>
          <w:sz w:val="24"/>
        </w:rPr>
        <w:tab/>
      </w:r>
      <w:r w:rsidR="00985AFF">
        <w:rPr>
          <w:rFonts w:ascii="Arial" w:hAnsi="Arial" w:cs="Arial"/>
          <w:b/>
          <w:sz w:val="24"/>
        </w:rPr>
        <w:t>General Surgery</w:t>
      </w:r>
    </w:p>
    <w:p w:rsidR="00985AFF" w:rsidRDefault="00985AFF" w:rsidP="003926F6">
      <w:pPr>
        <w:pStyle w:val="BodyTextIndent3"/>
        <w:spacing w:after="0"/>
        <w:ind w:left="0"/>
        <w:rPr>
          <w:rFonts w:ascii="Arial" w:hAnsi="Arial" w:cs="Arial"/>
          <w:b/>
          <w:sz w:val="24"/>
        </w:rPr>
      </w:pPr>
    </w:p>
    <w:p w:rsidR="00985AFF" w:rsidRDefault="00985AFF" w:rsidP="003926F6">
      <w:pPr>
        <w:pStyle w:val="BodyTextIndent3"/>
        <w:spacing w:after="0"/>
        <w:ind w:left="0"/>
        <w:rPr>
          <w:rFonts w:ascii="Arial" w:hAnsi="Arial" w:cs="Arial"/>
          <w:sz w:val="24"/>
        </w:rPr>
      </w:pPr>
      <w:r>
        <w:rPr>
          <w:rFonts w:ascii="Arial" w:hAnsi="Arial" w:cs="Arial"/>
          <w:sz w:val="24"/>
        </w:rPr>
        <w:t xml:space="preserve">General surgery performed ahead of the monthly plan in December by 14 procedures and is slightly behind the year to date plan by 4 procedures. </w:t>
      </w:r>
    </w:p>
    <w:p w:rsidR="00985AFF" w:rsidRDefault="003926F6" w:rsidP="003926F6">
      <w:pPr>
        <w:pStyle w:val="BodyTextIndent3"/>
        <w:spacing w:after="0"/>
        <w:ind w:left="0" w:hanging="567"/>
        <w:rPr>
          <w:rFonts w:ascii="Arial" w:hAnsi="Arial" w:cs="Arial"/>
          <w:b/>
          <w:sz w:val="24"/>
        </w:rPr>
      </w:pPr>
      <w:r>
        <w:rPr>
          <w:rFonts w:ascii="Arial" w:hAnsi="Arial" w:cs="Arial"/>
          <w:b/>
          <w:sz w:val="24"/>
        </w:rPr>
        <w:lastRenderedPageBreak/>
        <w:t>3.4</w:t>
      </w:r>
      <w:r>
        <w:rPr>
          <w:rFonts w:ascii="Arial" w:hAnsi="Arial" w:cs="Arial"/>
          <w:b/>
          <w:sz w:val="24"/>
        </w:rPr>
        <w:tab/>
      </w:r>
      <w:r w:rsidR="00985AFF">
        <w:rPr>
          <w:rFonts w:ascii="Arial" w:hAnsi="Arial" w:cs="Arial"/>
          <w:b/>
          <w:sz w:val="24"/>
        </w:rPr>
        <w:t>Plastic Surgery</w:t>
      </w:r>
    </w:p>
    <w:p w:rsidR="00985AFF" w:rsidRDefault="00985AFF" w:rsidP="003926F6">
      <w:pPr>
        <w:pStyle w:val="BodyTextIndent3"/>
        <w:spacing w:after="0"/>
        <w:ind w:left="0"/>
        <w:rPr>
          <w:rFonts w:ascii="Arial" w:hAnsi="Arial" w:cs="Arial"/>
          <w:b/>
          <w:sz w:val="24"/>
        </w:rPr>
      </w:pPr>
    </w:p>
    <w:p w:rsidR="00985AFF" w:rsidRDefault="00985AFF" w:rsidP="003926F6">
      <w:pPr>
        <w:pStyle w:val="BodyTextIndent3"/>
        <w:spacing w:after="0"/>
        <w:ind w:left="0"/>
        <w:rPr>
          <w:rFonts w:ascii="Arial" w:hAnsi="Arial" w:cs="Arial"/>
          <w:sz w:val="24"/>
        </w:rPr>
      </w:pPr>
      <w:r>
        <w:rPr>
          <w:rFonts w:ascii="Arial" w:hAnsi="Arial" w:cs="Arial"/>
          <w:sz w:val="24"/>
        </w:rPr>
        <w:t>For reporting purposes</w:t>
      </w:r>
      <w:r w:rsidR="003905E1">
        <w:rPr>
          <w:rFonts w:ascii="Arial" w:hAnsi="Arial" w:cs="Arial"/>
          <w:sz w:val="24"/>
        </w:rPr>
        <w:t>,</w:t>
      </w:r>
      <w:r>
        <w:rPr>
          <w:rFonts w:ascii="Arial" w:hAnsi="Arial" w:cs="Arial"/>
          <w:sz w:val="24"/>
        </w:rPr>
        <w:t xml:space="preserve"> Plastic Surgery has been split and will be monitored throughout 2018/19 as hand surgery and minor plastic surgery.  Major plastic surgery is no longer carried out at GJNH. Hand surgery was behind plan for the month of December by 24 procedures.  Minor plastic surgery procedures were 8 procedures behind plan. </w:t>
      </w:r>
    </w:p>
    <w:p w:rsidR="003905E1" w:rsidRDefault="003905E1" w:rsidP="003926F6">
      <w:pPr>
        <w:pStyle w:val="BodyTextIndent3"/>
        <w:spacing w:after="0"/>
        <w:ind w:left="0"/>
        <w:rPr>
          <w:rFonts w:ascii="Arial" w:hAnsi="Arial" w:cs="Arial"/>
          <w:sz w:val="24"/>
        </w:rPr>
      </w:pPr>
    </w:p>
    <w:p w:rsidR="00985AFF" w:rsidRDefault="003926F6" w:rsidP="003926F6">
      <w:pPr>
        <w:pStyle w:val="BodyTextIndent3"/>
        <w:spacing w:after="0"/>
        <w:ind w:left="0" w:hanging="567"/>
        <w:rPr>
          <w:rFonts w:ascii="Arial" w:hAnsi="Arial" w:cs="Arial"/>
          <w:b/>
          <w:sz w:val="24"/>
        </w:rPr>
      </w:pPr>
      <w:r>
        <w:rPr>
          <w:rFonts w:ascii="Arial" w:hAnsi="Arial" w:cs="Arial"/>
          <w:b/>
          <w:sz w:val="24"/>
        </w:rPr>
        <w:t>3.5</w:t>
      </w:r>
      <w:r>
        <w:rPr>
          <w:rFonts w:ascii="Arial" w:hAnsi="Arial" w:cs="Arial"/>
          <w:b/>
          <w:sz w:val="24"/>
        </w:rPr>
        <w:tab/>
      </w:r>
      <w:r w:rsidR="00985AFF">
        <w:rPr>
          <w:rFonts w:ascii="Arial" w:hAnsi="Arial" w:cs="Arial"/>
          <w:b/>
          <w:sz w:val="24"/>
        </w:rPr>
        <w:t>Endoscopy</w:t>
      </w:r>
    </w:p>
    <w:p w:rsidR="00985AFF" w:rsidRDefault="00985AFF" w:rsidP="003926F6">
      <w:pPr>
        <w:pStyle w:val="BodyTextIndent3"/>
        <w:spacing w:after="0"/>
        <w:ind w:left="0"/>
        <w:rPr>
          <w:rFonts w:ascii="Arial" w:hAnsi="Arial" w:cs="Arial"/>
          <w:b/>
          <w:sz w:val="24"/>
        </w:rPr>
      </w:pPr>
    </w:p>
    <w:p w:rsidR="00985AFF" w:rsidRPr="00447210" w:rsidRDefault="00985AFF" w:rsidP="003926F6">
      <w:pPr>
        <w:pStyle w:val="BodyTextIndent3"/>
        <w:spacing w:after="0"/>
        <w:ind w:left="0"/>
        <w:rPr>
          <w:rFonts w:ascii="Arial" w:hAnsi="Arial" w:cs="Arial"/>
          <w:sz w:val="24"/>
        </w:rPr>
      </w:pPr>
      <w:r>
        <w:rPr>
          <w:rFonts w:ascii="Arial" w:hAnsi="Arial" w:cs="Arial"/>
          <w:sz w:val="24"/>
        </w:rPr>
        <w:t xml:space="preserve">The endoscopy service performed ahead of plan by 116 procedures in the month of December and is 623 ahead of the year to date plan. </w:t>
      </w:r>
    </w:p>
    <w:p w:rsidR="00985AFF" w:rsidRDefault="00985AFF" w:rsidP="003926F6">
      <w:pPr>
        <w:pStyle w:val="BodyTextIndent3"/>
        <w:spacing w:after="0"/>
        <w:ind w:left="0" w:hanging="567"/>
        <w:rPr>
          <w:rFonts w:ascii="Arial" w:hAnsi="Arial" w:cs="Arial"/>
          <w:sz w:val="24"/>
        </w:rPr>
      </w:pPr>
    </w:p>
    <w:p w:rsidR="00985AFF" w:rsidRPr="00C3217E" w:rsidRDefault="003926F6" w:rsidP="003926F6">
      <w:pPr>
        <w:pStyle w:val="BodyTextIndent3"/>
        <w:spacing w:after="0"/>
        <w:ind w:left="0" w:hanging="567"/>
        <w:rPr>
          <w:rFonts w:ascii="Arial" w:hAnsi="Arial" w:cs="Arial"/>
          <w:b/>
          <w:sz w:val="24"/>
        </w:rPr>
      </w:pPr>
      <w:r>
        <w:rPr>
          <w:rFonts w:ascii="Arial" w:hAnsi="Arial" w:cs="Arial"/>
          <w:b/>
          <w:sz w:val="24"/>
        </w:rPr>
        <w:t>3.6</w:t>
      </w:r>
      <w:r>
        <w:rPr>
          <w:rFonts w:ascii="Arial" w:hAnsi="Arial" w:cs="Arial"/>
          <w:b/>
          <w:sz w:val="24"/>
        </w:rPr>
        <w:tab/>
      </w:r>
      <w:r w:rsidR="00985AFF" w:rsidRPr="00C729C5">
        <w:rPr>
          <w:rFonts w:ascii="Arial" w:hAnsi="Arial" w:cs="Arial"/>
          <w:b/>
          <w:sz w:val="24"/>
        </w:rPr>
        <w:t>Diagnostic Imaging</w:t>
      </w:r>
    </w:p>
    <w:p w:rsidR="00985AFF" w:rsidRDefault="00985AFF" w:rsidP="003926F6">
      <w:pPr>
        <w:pStyle w:val="BodyTextIndent3"/>
        <w:spacing w:after="0"/>
        <w:ind w:left="720"/>
        <w:rPr>
          <w:rFonts w:ascii="Arial" w:hAnsi="Arial" w:cs="Arial"/>
          <w:sz w:val="24"/>
        </w:rPr>
      </w:pPr>
    </w:p>
    <w:p w:rsidR="00985AFF" w:rsidRDefault="00985AFF" w:rsidP="003926F6">
      <w:pPr>
        <w:pStyle w:val="BodyTextIndent3"/>
        <w:tabs>
          <w:tab w:val="left" w:pos="0"/>
        </w:tabs>
        <w:spacing w:after="0"/>
        <w:ind w:left="0"/>
        <w:rPr>
          <w:rFonts w:ascii="Arial" w:hAnsi="Arial" w:cs="Arial"/>
          <w:sz w:val="24"/>
        </w:rPr>
      </w:pPr>
      <w:r>
        <w:rPr>
          <w:rFonts w:ascii="Arial" w:hAnsi="Arial" w:cs="Arial"/>
          <w:sz w:val="24"/>
        </w:rPr>
        <w:t xml:space="preserve">The annual diagnostic imaging target has increased from 29,450 to 31,830 (8% increase) in 2018/19 to take account of the additional activity that will be carried out on the new </w:t>
      </w:r>
      <w:r w:rsidR="003905E1">
        <w:rPr>
          <w:rFonts w:ascii="Arial" w:hAnsi="Arial" w:cs="Arial"/>
          <w:sz w:val="24"/>
        </w:rPr>
        <w:t>Magnetic Resonance Imaging (</w:t>
      </w:r>
      <w:r>
        <w:rPr>
          <w:rFonts w:ascii="Arial" w:hAnsi="Arial" w:cs="Arial"/>
          <w:sz w:val="24"/>
        </w:rPr>
        <w:t>MRI</w:t>
      </w:r>
      <w:r w:rsidR="003905E1">
        <w:rPr>
          <w:rFonts w:ascii="Arial" w:hAnsi="Arial" w:cs="Arial"/>
          <w:sz w:val="24"/>
        </w:rPr>
        <w:t>)</w:t>
      </w:r>
      <w:r>
        <w:rPr>
          <w:rFonts w:ascii="Arial" w:hAnsi="Arial" w:cs="Arial"/>
          <w:sz w:val="24"/>
        </w:rPr>
        <w:t xml:space="preserve"> scanners</w:t>
      </w:r>
      <w:r w:rsidRPr="00B355CC">
        <w:rPr>
          <w:rFonts w:ascii="Arial" w:hAnsi="Arial" w:cs="Arial"/>
          <w:sz w:val="24"/>
        </w:rPr>
        <w:t xml:space="preserve">.  </w:t>
      </w:r>
      <w:r>
        <w:rPr>
          <w:rFonts w:ascii="Arial" w:hAnsi="Arial" w:cs="Arial"/>
          <w:sz w:val="24"/>
        </w:rPr>
        <w:t>For the first time this year the monthly target was behind slightly plan by 25</w:t>
      </w:r>
      <w:r w:rsidRPr="00B355CC">
        <w:rPr>
          <w:rFonts w:ascii="Arial" w:hAnsi="Arial" w:cs="Arial"/>
          <w:sz w:val="24"/>
        </w:rPr>
        <w:t xml:space="preserve"> examinations in the month of </w:t>
      </w:r>
      <w:r>
        <w:rPr>
          <w:rFonts w:ascii="Arial" w:hAnsi="Arial" w:cs="Arial"/>
          <w:sz w:val="24"/>
        </w:rPr>
        <w:t>December</w:t>
      </w:r>
      <w:r w:rsidRPr="00B355CC">
        <w:rPr>
          <w:rFonts w:ascii="Arial" w:hAnsi="Arial" w:cs="Arial"/>
          <w:sz w:val="24"/>
        </w:rPr>
        <w:t>.</w:t>
      </w:r>
    </w:p>
    <w:p w:rsidR="00985AFF" w:rsidRDefault="00985AFF" w:rsidP="003926F6">
      <w:pPr>
        <w:pStyle w:val="BodyTextIndent3"/>
        <w:spacing w:after="0"/>
        <w:ind w:left="0"/>
        <w:rPr>
          <w:rFonts w:ascii="Arial" w:hAnsi="Arial" w:cs="Arial"/>
          <w:sz w:val="24"/>
        </w:rPr>
      </w:pPr>
    </w:p>
    <w:p w:rsidR="00985AFF" w:rsidRDefault="003926F6" w:rsidP="003926F6">
      <w:pPr>
        <w:ind w:hanging="567"/>
        <w:rPr>
          <w:rFonts w:ascii="Arial" w:hAnsi="Arial" w:cs="Arial"/>
          <w:b/>
        </w:rPr>
      </w:pPr>
      <w:r>
        <w:rPr>
          <w:rFonts w:ascii="Arial" w:hAnsi="Arial" w:cs="Arial"/>
          <w:b/>
        </w:rPr>
        <w:t>4</w:t>
      </w:r>
      <w:r>
        <w:rPr>
          <w:rFonts w:ascii="Arial" w:hAnsi="Arial" w:cs="Arial"/>
          <w:b/>
        </w:rPr>
        <w:tab/>
      </w:r>
      <w:r w:rsidR="00985AFF">
        <w:rPr>
          <w:rFonts w:ascii="Arial" w:hAnsi="Arial" w:cs="Arial"/>
          <w:b/>
        </w:rPr>
        <w:t xml:space="preserve">Current Situation </w:t>
      </w:r>
    </w:p>
    <w:p w:rsidR="00985AFF" w:rsidRDefault="00985AFF" w:rsidP="003926F6">
      <w:pPr>
        <w:rPr>
          <w:rFonts w:ascii="Arial" w:hAnsi="Arial" w:cs="Arial"/>
          <w:b/>
        </w:rPr>
      </w:pPr>
    </w:p>
    <w:p w:rsidR="00985AFF" w:rsidRDefault="00985AFF" w:rsidP="003926F6">
      <w:pPr>
        <w:numPr>
          <w:ilvl w:val="0"/>
          <w:numId w:val="10"/>
        </w:numPr>
        <w:ind w:left="360"/>
        <w:rPr>
          <w:rFonts w:ascii="Arial" w:hAnsi="Arial" w:cs="Arial"/>
        </w:rPr>
      </w:pPr>
      <w:r>
        <w:rPr>
          <w:rFonts w:ascii="Arial" w:hAnsi="Arial" w:cs="Arial"/>
        </w:rPr>
        <w:t xml:space="preserve">Despite losing four operating days due to public holidays over the festive period, inpatient and day case surgery activity performed 9.8% ahead of plan.  </w:t>
      </w:r>
      <w:r w:rsidRPr="009E56D2">
        <w:rPr>
          <w:rFonts w:ascii="Arial" w:hAnsi="Arial" w:cs="Arial"/>
        </w:rPr>
        <w:t xml:space="preserve">Additionally, despite losing four imaging days due to public holidays, the diagnostic imaging target was </w:t>
      </w:r>
      <w:r>
        <w:rPr>
          <w:rFonts w:ascii="Arial" w:hAnsi="Arial" w:cs="Arial"/>
        </w:rPr>
        <w:t xml:space="preserve">only </w:t>
      </w:r>
      <w:r w:rsidRPr="009E56D2">
        <w:rPr>
          <w:rFonts w:ascii="Arial" w:hAnsi="Arial" w:cs="Arial"/>
        </w:rPr>
        <w:t>narrowly missed by 25 examinations</w:t>
      </w:r>
      <w:r>
        <w:rPr>
          <w:rFonts w:ascii="Arial" w:hAnsi="Arial" w:cs="Arial"/>
        </w:rPr>
        <w:t>.  Collectively, performance remains ahead of the year to date plan at the end of December.</w:t>
      </w:r>
    </w:p>
    <w:p w:rsidR="00985AFF" w:rsidRDefault="00985AFF" w:rsidP="003926F6">
      <w:pPr>
        <w:rPr>
          <w:rFonts w:ascii="Arial" w:hAnsi="Arial" w:cs="Arial"/>
        </w:rPr>
      </w:pPr>
    </w:p>
    <w:p w:rsidR="00985AFF" w:rsidRDefault="00985AFF" w:rsidP="003926F6">
      <w:pPr>
        <w:pStyle w:val="ListParagraph"/>
        <w:numPr>
          <w:ilvl w:val="0"/>
          <w:numId w:val="10"/>
        </w:numPr>
        <w:ind w:left="360"/>
        <w:rPr>
          <w:rFonts w:ascii="Arial" w:hAnsi="Arial" w:cs="Arial"/>
        </w:rPr>
      </w:pPr>
      <w:r>
        <w:rPr>
          <w:rFonts w:ascii="Arial" w:hAnsi="Arial" w:cs="Arial"/>
        </w:rPr>
        <w:t>For information purposes, in the same reporting period last year, performance was 4.5% behind year to date plan for inpatients and day cases, 3% ahead of the year to date plan for diagnostic imaging and only 0.3% ahead of the year to date plan for inpatients, day cases and diagnostic imaging.  This illustrates a significant improvement in activity (to date) in 2018/19.</w:t>
      </w:r>
    </w:p>
    <w:p w:rsidR="00985AFF" w:rsidRPr="007143E6" w:rsidRDefault="00985AFF" w:rsidP="003926F6">
      <w:pPr>
        <w:pStyle w:val="ListParagraph"/>
        <w:ind w:left="360"/>
        <w:rPr>
          <w:rFonts w:ascii="Arial" w:hAnsi="Arial" w:cs="Arial"/>
        </w:rPr>
      </w:pPr>
    </w:p>
    <w:p w:rsidR="00985AFF" w:rsidRDefault="00985AFF" w:rsidP="003926F6">
      <w:pPr>
        <w:pStyle w:val="ListParagraph"/>
        <w:numPr>
          <w:ilvl w:val="0"/>
          <w:numId w:val="10"/>
        </w:numPr>
        <w:ind w:left="360"/>
        <w:rPr>
          <w:rFonts w:ascii="Arial" w:hAnsi="Arial" w:cs="Arial"/>
        </w:rPr>
      </w:pPr>
      <w:r>
        <w:rPr>
          <w:rFonts w:ascii="Arial" w:hAnsi="Arial" w:cs="Arial"/>
        </w:rPr>
        <w:t xml:space="preserve">A bid was made to </w:t>
      </w:r>
      <w:r w:rsidR="003905E1">
        <w:rPr>
          <w:rFonts w:ascii="Arial" w:hAnsi="Arial" w:cs="Arial"/>
        </w:rPr>
        <w:t xml:space="preserve">the Scottish Government </w:t>
      </w:r>
      <w:r>
        <w:rPr>
          <w:rFonts w:ascii="Arial" w:hAnsi="Arial" w:cs="Arial"/>
        </w:rPr>
        <w:t>to provide recurring activity in general surgery (200 procedures per full year), endoscopy (1</w:t>
      </w:r>
      <w:r w:rsidR="003905E1">
        <w:rPr>
          <w:rFonts w:ascii="Arial" w:hAnsi="Arial" w:cs="Arial"/>
        </w:rPr>
        <w:t>,</w:t>
      </w:r>
      <w:r>
        <w:rPr>
          <w:rFonts w:ascii="Arial" w:hAnsi="Arial" w:cs="Arial"/>
        </w:rPr>
        <w:t>200 procedures per full year), ophthalmology (600 per full year) and orthopaedic surgery (200 joint replacements per full year).  This bid was accepted and some of this work commenced mid December.</w:t>
      </w:r>
    </w:p>
    <w:p w:rsidR="00985AFF" w:rsidRPr="005E310F" w:rsidRDefault="00985AFF" w:rsidP="003926F6">
      <w:pPr>
        <w:pStyle w:val="ListParagraph"/>
        <w:ind w:left="360"/>
        <w:rPr>
          <w:rFonts w:ascii="Arial" w:hAnsi="Arial" w:cs="Arial"/>
        </w:rPr>
      </w:pPr>
    </w:p>
    <w:p w:rsidR="00985AFF" w:rsidRPr="009E56D2" w:rsidRDefault="00985AFF" w:rsidP="003926F6">
      <w:pPr>
        <w:pStyle w:val="ListParagraph"/>
        <w:numPr>
          <w:ilvl w:val="0"/>
          <w:numId w:val="10"/>
        </w:numPr>
        <w:ind w:left="360"/>
        <w:rPr>
          <w:rFonts w:ascii="Arial" w:hAnsi="Arial" w:cs="Arial"/>
        </w:rPr>
      </w:pPr>
      <w:r>
        <w:rPr>
          <w:rFonts w:ascii="Arial" w:hAnsi="Arial" w:cs="Arial"/>
        </w:rPr>
        <w:t xml:space="preserve">Additionally, funding was requested (and supported) to procure a mobile cardiac </w:t>
      </w:r>
      <w:r w:rsidR="003905E1">
        <w:rPr>
          <w:rFonts w:ascii="Arial" w:hAnsi="Arial" w:cs="Arial"/>
        </w:rPr>
        <w:t>catheterisation laboratory (</w:t>
      </w:r>
      <w:proofErr w:type="spellStart"/>
      <w:r>
        <w:rPr>
          <w:rFonts w:ascii="Arial" w:hAnsi="Arial" w:cs="Arial"/>
        </w:rPr>
        <w:t>cath</w:t>
      </w:r>
      <w:proofErr w:type="spellEnd"/>
      <w:r>
        <w:rPr>
          <w:rFonts w:ascii="Arial" w:hAnsi="Arial" w:cs="Arial"/>
        </w:rPr>
        <w:t xml:space="preserve"> lab</w:t>
      </w:r>
      <w:r w:rsidR="003905E1">
        <w:rPr>
          <w:rFonts w:ascii="Arial" w:hAnsi="Arial" w:cs="Arial"/>
        </w:rPr>
        <w:t>)</w:t>
      </w:r>
      <w:r>
        <w:rPr>
          <w:rFonts w:ascii="Arial" w:hAnsi="Arial" w:cs="Arial"/>
        </w:rPr>
        <w:t xml:space="preserve"> to support the pressure on the interventional cardiology waiting lists.  The </w:t>
      </w:r>
      <w:proofErr w:type="spellStart"/>
      <w:r>
        <w:rPr>
          <w:rFonts w:ascii="Arial" w:hAnsi="Arial" w:cs="Arial"/>
        </w:rPr>
        <w:t>cath</w:t>
      </w:r>
      <w:proofErr w:type="spellEnd"/>
      <w:r>
        <w:rPr>
          <w:rFonts w:ascii="Arial" w:hAnsi="Arial" w:cs="Arial"/>
        </w:rPr>
        <w:t xml:space="preserve"> lab arrived on site on 7 January </w:t>
      </w:r>
      <w:r w:rsidR="003905E1">
        <w:rPr>
          <w:rFonts w:ascii="Arial" w:hAnsi="Arial" w:cs="Arial"/>
        </w:rPr>
        <w:t xml:space="preserve">2019 </w:t>
      </w:r>
      <w:r>
        <w:rPr>
          <w:rFonts w:ascii="Arial" w:hAnsi="Arial" w:cs="Arial"/>
        </w:rPr>
        <w:t>and to date is working very well with no adverse comments from patients or staff.</w:t>
      </w:r>
    </w:p>
    <w:p w:rsidR="00985AFF" w:rsidRDefault="00985AFF" w:rsidP="003926F6">
      <w:pPr>
        <w:tabs>
          <w:tab w:val="left" w:pos="709"/>
        </w:tabs>
        <w:ind w:left="360"/>
        <w:rPr>
          <w:rFonts w:ascii="Arial" w:hAnsi="Arial" w:cs="Arial"/>
        </w:rPr>
      </w:pPr>
      <w:r w:rsidRPr="00327CB0">
        <w:rPr>
          <w:rFonts w:ascii="Arial" w:hAnsi="Arial" w:cs="Arial"/>
        </w:rPr>
        <w:t xml:space="preserve">  </w:t>
      </w:r>
    </w:p>
    <w:p w:rsidR="00985AFF" w:rsidRPr="005E310F" w:rsidRDefault="00985AFF" w:rsidP="003926F6">
      <w:pPr>
        <w:pStyle w:val="ListParagraph"/>
        <w:numPr>
          <w:ilvl w:val="0"/>
          <w:numId w:val="10"/>
        </w:numPr>
        <w:ind w:left="360"/>
        <w:rPr>
          <w:rFonts w:ascii="Arial" w:hAnsi="Arial" w:cs="Arial"/>
        </w:rPr>
      </w:pPr>
      <w:r>
        <w:rPr>
          <w:rFonts w:ascii="Arial" w:hAnsi="Arial" w:cs="Arial"/>
        </w:rPr>
        <w:lastRenderedPageBreak/>
        <w:t xml:space="preserve">Installation of a second </w:t>
      </w:r>
      <w:r w:rsidR="003905E1">
        <w:rPr>
          <w:rFonts w:ascii="Arial" w:hAnsi="Arial" w:cs="Arial"/>
        </w:rPr>
        <w:t>Computer Tomography (</w:t>
      </w:r>
      <w:r>
        <w:rPr>
          <w:rFonts w:ascii="Arial" w:hAnsi="Arial" w:cs="Arial"/>
        </w:rPr>
        <w:t>CT</w:t>
      </w:r>
      <w:r w:rsidR="003905E1">
        <w:rPr>
          <w:rFonts w:ascii="Arial" w:hAnsi="Arial" w:cs="Arial"/>
        </w:rPr>
        <w:t>)</w:t>
      </w:r>
      <w:r>
        <w:rPr>
          <w:rFonts w:ascii="Arial" w:hAnsi="Arial" w:cs="Arial"/>
        </w:rPr>
        <w:t xml:space="preserve"> scanner is progressing well with a slight delay in the recovery area build.  However, an interim solution is being sought to ensure the CT ‘goes live’ according to plan in mid February.</w:t>
      </w:r>
    </w:p>
    <w:p w:rsidR="00985AFF" w:rsidRDefault="00985AFF" w:rsidP="003926F6">
      <w:pPr>
        <w:rPr>
          <w:rFonts w:ascii="Arial" w:hAnsi="Arial" w:cs="Arial"/>
        </w:rPr>
      </w:pPr>
    </w:p>
    <w:p w:rsidR="003905E1" w:rsidRDefault="003905E1" w:rsidP="003926F6">
      <w:pPr>
        <w:pStyle w:val="BodyTextIndent3"/>
        <w:spacing w:after="0"/>
        <w:ind w:left="0" w:right="-360"/>
        <w:rPr>
          <w:rFonts w:ascii="Arial" w:hAnsi="Arial" w:cs="Arial"/>
          <w:b/>
          <w:sz w:val="24"/>
          <w:szCs w:val="24"/>
        </w:rPr>
      </w:pPr>
    </w:p>
    <w:p w:rsidR="00985AFF" w:rsidRPr="003926F6" w:rsidRDefault="00985AFF" w:rsidP="003926F6">
      <w:pPr>
        <w:pStyle w:val="BodyTextIndent3"/>
        <w:spacing w:after="0"/>
        <w:ind w:left="0" w:right="-360"/>
        <w:rPr>
          <w:rFonts w:ascii="Arial" w:hAnsi="Arial" w:cs="Arial"/>
          <w:sz w:val="24"/>
          <w:szCs w:val="24"/>
        </w:rPr>
      </w:pPr>
      <w:r w:rsidRPr="003926F6">
        <w:rPr>
          <w:rFonts w:ascii="Arial" w:hAnsi="Arial" w:cs="Arial"/>
          <w:b/>
          <w:sz w:val="24"/>
          <w:szCs w:val="24"/>
        </w:rPr>
        <w:t>June Rogers</w:t>
      </w:r>
    </w:p>
    <w:p w:rsidR="00985AFF" w:rsidRPr="003926F6" w:rsidRDefault="00985AFF" w:rsidP="003926F6">
      <w:pPr>
        <w:pStyle w:val="BodyTextIndent3"/>
        <w:spacing w:after="0"/>
        <w:ind w:left="0" w:right="-360"/>
        <w:rPr>
          <w:rFonts w:ascii="Arial" w:hAnsi="Arial" w:cs="Arial"/>
          <w:b/>
          <w:sz w:val="24"/>
          <w:szCs w:val="24"/>
        </w:rPr>
      </w:pPr>
      <w:r w:rsidRPr="003926F6">
        <w:rPr>
          <w:rFonts w:ascii="Arial" w:hAnsi="Arial" w:cs="Arial"/>
          <w:b/>
          <w:sz w:val="24"/>
          <w:szCs w:val="24"/>
        </w:rPr>
        <w:t xml:space="preserve">Director of Operations </w:t>
      </w:r>
    </w:p>
    <w:p w:rsidR="00985AFF" w:rsidRPr="003926F6" w:rsidRDefault="00985AFF" w:rsidP="003926F6">
      <w:pPr>
        <w:pStyle w:val="BodyTextIndent3"/>
        <w:spacing w:after="0"/>
        <w:ind w:left="0" w:right="-360"/>
        <w:rPr>
          <w:rFonts w:ascii="Arial" w:hAnsi="Arial" w:cs="Arial"/>
          <w:b/>
          <w:sz w:val="24"/>
          <w:szCs w:val="24"/>
        </w:rPr>
      </w:pPr>
      <w:r w:rsidRPr="003926F6">
        <w:rPr>
          <w:rFonts w:ascii="Arial" w:hAnsi="Arial" w:cs="Arial"/>
          <w:b/>
          <w:sz w:val="24"/>
          <w:szCs w:val="24"/>
        </w:rPr>
        <w:t>18</w:t>
      </w:r>
      <w:r w:rsidR="003926F6">
        <w:rPr>
          <w:rFonts w:ascii="Arial" w:hAnsi="Arial" w:cs="Arial"/>
          <w:b/>
          <w:sz w:val="24"/>
          <w:szCs w:val="24"/>
        </w:rPr>
        <w:t xml:space="preserve"> </w:t>
      </w:r>
      <w:r w:rsidRPr="003926F6">
        <w:rPr>
          <w:rFonts w:ascii="Arial" w:hAnsi="Arial" w:cs="Arial"/>
          <w:b/>
          <w:sz w:val="24"/>
          <w:szCs w:val="24"/>
        </w:rPr>
        <w:t>January 2019</w:t>
      </w:r>
    </w:p>
    <w:p w:rsidR="001175E5" w:rsidRPr="003926F6" w:rsidRDefault="001175E5" w:rsidP="003926F6">
      <w:pPr>
        <w:ind w:right="183"/>
        <w:rPr>
          <w:rFonts w:ascii="Arial" w:hAnsi="Arial" w:cs="Arial"/>
          <w:b/>
          <w:bCs/>
        </w:rPr>
      </w:pPr>
    </w:p>
    <w:sectPr w:rsidR="001175E5" w:rsidRPr="003926F6" w:rsidSect="00CE75CA">
      <w:headerReference w:type="default" r:id="rId8"/>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B7B" w:rsidRDefault="00BF3B7B">
      <w:r>
        <w:separator/>
      </w:r>
    </w:p>
  </w:endnote>
  <w:endnote w:type="continuationSeparator" w:id="0">
    <w:p w:rsidR="00BF3B7B" w:rsidRDefault="00BF3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8E" w:rsidRDefault="00EE258E" w:rsidP="00C24B4E">
    <w:pPr>
      <w:pBdr>
        <w:bottom w:val="single" w:sz="12" w:space="1" w:color="auto"/>
      </w:pBdr>
      <w:jc w:val="center"/>
      <w:rPr>
        <w:rStyle w:val="PageNumber"/>
        <w:rFonts w:ascii="Arial" w:hAnsi="Arial" w:cs="Arial"/>
      </w:rPr>
    </w:pPr>
  </w:p>
  <w:p w:rsidR="00EE258E" w:rsidRDefault="00EE258E" w:rsidP="00C24B4E">
    <w:pPr>
      <w:jc w:val="center"/>
      <w:rPr>
        <w:rStyle w:val="PageNumber"/>
        <w:rFonts w:ascii="Arial" w:hAnsi="Arial" w:cs="Arial"/>
      </w:rPr>
    </w:pPr>
  </w:p>
  <w:p w:rsidR="007D047D" w:rsidRDefault="00970514" w:rsidP="00C24B4E">
    <w:pPr>
      <w:jc w:val="center"/>
      <w:rPr>
        <w:rStyle w:val="PageNumber"/>
        <w:rFonts w:ascii="Arial" w:hAnsi="Arial" w:cs="Arial"/>
      </w:rPr>
    </w:pPr>
    <w:r w:rsidRPr="00513DB0">
      <w:rPr>
        <w:rStyle w:val="PageNumber"/>
        <w:rFonts w:ascii="Arial" w:hAnsi="Arial" w:cs="Arial"/>
      </w:rPr>
      <w:fldChar w:fldCharType="begin"/>
    </w:r>
    <w:r w:rsidR="007D047D" w:rsidRPr="00513DB0">
      <w:rPr>
        <w:rStyle w:val="PageNumber"/>
        <w:rFonts w:ascii="Arial" w:hAnsi="Arial" w:cs="Arial"/>
      </w:rPr>
      <w:instrText xml:space="preserve"> PAGE </w:instrText>
    </w:r>
    <w:r w:rsidRPr="00513DB0">
      <w:rPr>
        <w:rStyle w:val="PageNumber"/>
        <w:rFonts w:ascii="Arial" w:hAnsi="Arial" w:cs="Arial"/>
      </w:rPr>
      <w:fldChar w:fldCharType="separate"/>
    </w:r>
    <w:r w:rsidR="00F77E8F">
      <w:rPr>
        <w:rStyle w:val="PageNumber"/>
        <w:rFonts w:ascii="Arial" w:hAnsi="Arial" w:cs="Arial"/>
        <w:noProof/>
      </w:rPr>
      <w:t>4</w:t>
    </w:r>
    <w:r w:rsidRPr="00513DB0">
      <w:rPr>
        <w:rStyle w:val="PageNumber"/>
        <w:rFonts w:ascii="Arial" w:hAnsi="Arial" w:cs="Arial"/>
      </w:rPr>
      <w:fldChar w:fldCharType="end"/>
    </w:r>
  </w:p>
  <w:p w:rsidR="007D047D" w:rsidRDefault="007D047D" w:rsidP="00C24B4E">
    <w:pPr>
      <w:jc w:val="center"/>
      <w:rPr>
        <w:rStyle w:val="PageNumber"/>
        <w:rFonts w:ascii="Arial" w:hAnsi="Arial" w:cs="Arial"/>
      </w:rPr>
    </w:pPr>
  </w:p>
  <w:p w:rsidR="007D047D" w:rsidRDefault="007D047D"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47D" w:rsidRDefault="007D047D" w:rsidP="00CE75CA">
    <w:pPr>
      <w:pBdr>
        <w:bottom w:val="single" w:sz="12" w:space="1" w:color="auto"/>
      </w:pBdr>
      <w:jc w:val="center"/>
      <w:rPr>
        <w:rStyle w:val="PageNumber"/>
        <w:rFonts w:ascii="Arial" w:hAnsi="Arial" w:cs="Arial"/>
      </w:rPr>
    </w:pPr>
  </w:p>
  <w:p w:rsidR="00F77E8F" w:rsidRDefault="00F77E8F" w:rsidP="00CE75CA">
    <w:pPr>
      <w:jc w:val="center"/>
      <w:rPr>
        <w:rStyle w:val="PageNumber"/>
        <w:rFonts w:ascii="Arial" w:hAnsi="Arial" w:cs="Arial"/>
      </w:rPr>
    </w:pPr>
  </w:p>
  <w:p w:rsidR="007D047D" w:rsidRPr="00513DB0" w:rsidRDefault="00EE258E" w:rsidP="00CE75CA">
    <w:pPr>
      <w:jc w:val="center"/>
      <w:rPr>
        <w:rFonts w:ascii="Arial" w:hAnsi="Arial" w:cs="Arial"/>
        <w:sz w:val="20"/>
        <w:szCs w:val="20"/>
      </w:rPr>
    </w:pPr>
    <w:r>
      <w:rPr>
        <w:rFonts w:ascii="Arial" w:hAnsi="Arial" w:cs="Arial"/>
        <w:noProof/>
        <w:lang w:eastAsia="en-GB"/>
      </w:rPr>
      <w:drawing>
        <wp:anchor distT="0" distB="0" distL="114300" distR="114300" simplePos="0" relativeHeight="251657728" behindDoc="0" locked="0" layoutInCell="1" allowOverlap="1">
          <wp:simplePos x="0" y="0"/>
          <wp:positionH relativeFrom="column">
            <wp:posOffset>5546725</wp:posOffset>
          </wp:positionH>
          <wp:positionV relativeFrom="paragraph">
            <wp:posOffset>83185</wp:posOffset>
          </wp:positionV>
          <wp:extent cx="520700" cy="346075"/>
          <wp:effectExtent l="19050" t="0" r="0" b="0"/>
          <wp:wrapNone/>
          <wp:docPr id="6"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20700" cy="346075"/>
                  </a:xfrm>
                  <a:prstGeom prst="rect">
                    <a:avLst/>
                  </a:prstGeom>
                  <a:noFill/>
                  <a:ln w="9525">
                    <a:noFill/>
                    <a:miter lim="800000"/>
                    <a:headEnd/>
                    <a:tailEnd/>
                  </a:ln>
                </pic:spPr>
              </pic:pic>
            </a:graphicData>
          </a:graphic>
        </wp:anchor>
      </w:drawing>
    </w:r>
    <w:r w:rsidR="00970514" w:rsidRPr="00513DB0">
      <w:rPr>
        <w:rStyle w:val="PageNumber"/>
        <w:rFonts w:ascii="Arial" w:hAnsi="Arial" w:cs="Arial"/>
      </w:rPr>
      <w:fldChar w:fldCharType="begin"/>
    </w:r>
    <w:r w:rsidR="007D047D" w:rsidRPr="00513DB0">
      <w:rPr>
        <w:rStyle w:val="PageNumber"/>
        <w:rFonts w:ascii="Arial" w:hAnsi="Arial" w:cs="Arial"/>
      </w:rPr>
      <w:instrText xml:space="preserve"> PAGE </w:instrText>
    </w:r>
    <w:r w:rsidR="00970514" w:rsidRPr="00513DB0">
      <w:rPr>
        <w:rStyle w:val="PageNumber"/>
        <w:rFonts w:ascii="Arial" w:hAnsi="Arial" w:cs="Arial"/>
      </w:rPr>
      <w:fldChar w:fldCharType="separate"/>
    </w:r>
    <w:r w:rsidR="00F77E8F">
      <w:rPr>
        <w:rStyle w:val="PageNumber"/>
        <w:rFonts w:ascii="Arial" w:hAnsi="Arial" w:cs="Arial"/>
        <w:noProof/>
      </w:rPr>
      <w:t>1</w:t>
    </w:r>
    <w:r w:rsidR="00970514" w:rsidRPr="00513DB0">
      <w:rPr>
        <w:rStyle w:val="PageNumber"/>
        <w:rFonts w:ascii="Arial" w:hAnsi="Arial" w:cs="Arial"/>
      </w:rPr>
      <w:fldChar w:fldCharType="end"/>
    </w:r>
  </w:p>
  <w:p w:rsidR="007D047D" w:rsidRDefault="007D047D" w:rsidP="00CE75CA">
    <w:pPr>
      <w:ind w:right="184"/>
      <w:jc w:val="center"/>
      <w:rPr>
        <w:rFonts w:ascii="Arial" w:hAnsi="Arial" w:cs="Arial"/>
        <w:sz w:val="20"/>
        <w:szCs w:val="20"/>
      </w:rPr>
    </w:pPr>
  </w:p>
  <w:p w:rsidR="007D047D" w:rsidRDefault="007D047D" w:rsidP="00CE75CA">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p w:rsidR="003926F6" w:rsidRPr="008F5DB5" w:rsidRDefault="003926F6" w:rsidP="00CE75CA">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B7B" w:rsidRDefault="00BF3B7B">
      <w:r>
        <w:separator/>
      </w:r>
    </w:p>
  </w:footnote>
  <w:footnote w:type="continuationSeparator" w:id="0">
    <w:p w:rsidR="00BF3B7B" w:rsidRDefault="00BF3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47D" w:rsidRPr="003926F6" w:rsidRDefault="003926F6" w:rsidP="003926F6">
    <w:pPr>
      <w:pStyle w:val="Header"/>
      <w:jc w:val="right"/>
      <w:rPr>
        <w:b/>
      </w:rPr>
    </w:pPr>
    <w:r w:rsidRPr="003926F6">
      <w:rPr>
        <w:rFonts w:ascii="Arial" w:hAnsi="Arial" w:cs="Arial"/>
        <w:b/>
        <w:color w:val="0070C0"/>
        <w:sz w:val="28"/>
        <w:szCs w:val="28"/>
      </w:rPr>
      <w:t>Item 7.2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47D" w:rsidRPr="003926F6" w:rsidRDefault="007D047D" w:rsidP="003926F6">
    <w:pPr>
      <w:pStyle w:val="Title"/>
      <w:ind w:left="-284" w:firstLine="284"/>
      <w:jc w:val="right"/>
      <w:rPr>
        <w:rFonts w:ascii="Arial" w:hAnsi="Arial" w:cs="Arial"/>
        <w:color w:val="0070C0"/>
        <w:szCs w:val="22"/>
      </w:rPr>
    </w:pPr>
    <w:r>
      <w:rPr>
        <w:rFonts w:ascii="Arial" w:hAnsi="Arial" w:cs="Arial"/>
        <w:color w:val="FF0000"/>
        <w:szCs w:val="22"/>
      </w:rPr>
      <w:tab/>
    </w:r>
    <w:r w:rsidRPr="003926F6">
      <w:rPr>
        <w:rFonts w:ascii="Arial" w:hAnsi="Arial" w:cs="Arial"/>
        <w:color w:val="0070C0"/>
        <w:szCs w:val="22"/>
      </w:rPr>
      <w:tab/>
    </w:r>
    <w:r w:rsidR="003926F6">
      <w:rPr>
        <w:rFonts w:ascii="Arial" w:hAnsi="Arial" w:cs="Arial"/>
        <w:color w:val="0070C0"/>
        <w:sz w:val="28"/>
        <w:szCs w:val="28"/>
      </w:rPr>
      <w:t>Item 7.2</w:t>
    </w:r>
  </w:p>
  <w:p w:rsidR="007D047D" w:rsidRDefault="007D04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B512F4C"/>
    <w:multiLevelType w:val="hybridMultilevel"/>
    <w:tmpl w:val="B390442C"/>
    <w:lvl w:ilvl="0" w:tplc="FBA0C0F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nsid w:val="49EB7593"/>
    <w:multiLevelType w:val="hybridMultilevel"/>
    <w:tmpl w:val="C79E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7EB12E20"/>
    <w:multiLevelType w:val="hybridMultilevel"/>
    <w:tmpl w:val="C3AACA20"/>
    <w:lvl w:ilvl="0" w:tplc="A2ECBC28">
      <w:start w:val="3"/>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7"/>
  </w:num>
  <w:num w:numId="2">
    <w:abstractNumId w:val="9"/>
  </w:num>
  <w:num w:numId="3">
    <w:abstractNumId w:val="6"/>
  </w:num>
  <w:num w:numId="4">
    <w:abstractNumId w:val="0"/>
  </w:num>
  <w:num w:numId="5">
    <w:abstractNumId w:val="2"/>
  </w:num>
  <w:num w:numId="6">
    <w:abstractNumId w:val="8"/>
  </w:num>
  <w:num w:numId="7">
    <w:abstractNumId w:val="3"/>
  </w:num>
  <w:num w:numId="8">
    <w:abstractNumId w:val="1"/>
  </w:num>
  <w:num w:numId="9">
    <w:abstractNumId w:val="4"/>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rsids>
    <w:rsidRoot w:val="00A2577B"/>
    <w:rsid w:val="00075AAA"/>
    <w:rsid w:val="00097EAE"/>
    <w:rsid w:val="000B5923"/>
    <w:rsid w:val="000E1071"/>
    <w:rsid w:val="000E32E4"/>
    <w:rsid w:val="000F72DE"/>
    <w:rsid w:val="001175E5"/>
    <w:rsid w:val="0013522B"/>
    <w:rsid w:val="001746D1"/>
    <w:rsid w:val="001A7D71"/>
    <w:rsid w:val="001D1C00"/>
    <w:rsid w:val="0023693A"/>
    <w:rsid w:val="00267C65"/>
    <w:rsid w:val="002A42DD"/>
    <w:rsid w:val="003905E1"/>
    <w:rsid w:val="003926F6"/>
    <w:rsid w:val="003E423D"/>
    <w:rsid w:val="003F19CA"/>
    <w:rsid w:val="004512CE"/>
    <w:rsid w:val="004A3A10"/>
    <w:rsid w:val="00513DB0"/>
    <w:rsid w:val="00526532"/>
    <w:rsid w:val="00591ADC"/>
    <w:rsid w:val="005C363D"/>
    <w:rsid w:val="006062B2"/>
    <w:rsid w:val="0060634D"/>
    <w:rsid w:val="00633478"/>
    <w:rsid w:val="00661EF1"/>
    <w:rsid w:val="006A1357"/>
    <w:rsid w:val="006D6F99"/>
    <w:rsid w:val="00711E7A"/>
    <w:rsid w:val="0073139D"/>
    <w:rsid w:val="00751C78"/>
    <w:rsid w:val="00763B11"/>
    <w:rsid w:val="007C6C08"/>
    <w:rsid w:val="007D047D"/>
    <w:rsid w:val="0080194E"/>
    <w:rsid w:val="00815350"/>
    <w:rsid w:val="00843F24"/>
    <w:rsid w:val="00844E0E"/>
    <w:rsid w:val="008969D1"/>
    <w:rsid w:val="008B2CB7"/>
    <w:rsid w:val="008C26A2"/>
    <w:rsid w:val="008D261F"/>
    <w:rsid w:val="009255AD"/>
    <w:rsid w:val="0093700B"/>
    <w:rsid w:val="0094448D"/>
    <w:rsid w:val="009451F3"/>
    <w:rsid w:val="00970514"/>
    <w:rsid w:val="00985AFF"/>
    <w:rsid w:val="009E6A39"/>
    <w:rsid w:val="00A17F79"/>
    <w:rsid w:val="00A2577B"/>
    <w:rsid w:val="00A3124D"/>
    <w:rsid w:val="00AA2C20"/>
    <w:rsid w:val="00AA652F"/>
    <w:rsid w:val="00BC609A"/>
    <w:rsid w:val="00BF3B7B"/>
    <w:rsid w:val="00C0017D"/>
    <w:rsid w:val="00C24B4E"/>
    <w:rsid w:val="00C36974"/>
    <w:rsid w:val="00C753DA"/>
    <w:rsid w:val="00C956E2"/>
    <w:rsid w:val="00CA2F0E"/>
    <w:rsid w:val="00CE4B72"/>
    <w:rsid w:val="00CE75CA"/>
    <w:rsid w:val="00D92AA6"/>
    <w:rsid w:val="00DE5902"/>
    <w:rsid w:val="00E24BFC"/>
    <w:rsid w:val="00E91461"/>
    <w:rsid w:val="00E95856"/>
    <w:rsid w:val="00EA4869"/>
    <w:rsid w:val="00EB7C07"/>
    <w:rsid w:val="00EE258E"/>
    <w:rsid w:val="00F77E8F"/>
    <w:rsid w:val="00FB4D5D"/>
    <w:rsid w:val="00FD5E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table" w:styleId="TableGrid">
    <w:name w:val="Table Grid"/>
    <w:basedOn w:val="TableNormal"/>
    <w:rsid w:val="000E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C609A"/>
    <w:rPr>
      <w:b/>
      <w:bCs/>
      <w:sz w:val="32"/>
      <w:szCs w:val="32"/>
      <w:lang w:eastAsia="en-US"/>
    </w:rPr>
  </w:style>
  <w:style w:type="paragraph" w:styleId="BalloonText">
    <w:name w:val="Balloon Text"/>
    <w:basedOn w:val="Normal"/>
    <w:link w:val="BalloonTextChar"/>
    <w:rsid w:val="00EE258E"/>
    <w:rPr>
      <w:rFonts w:ascii="Tahoma" w:hAnsi="Tahoma" w:cs="Tahoma"/>
      <w:sz w:val="16"/>
      <w:szCs w:val="16"/>
    </w:rPr>
  </w:style>
  <w:style w:type="character" w:customStyle="1" w:styleId="BalloonTextChar">
    <w:name w:val="Balloon Text Char"/>
    <w:basedOn w:val="DefaultParagraphFont"/>
    <w:link w:val="BalloonText"/>
    <w:rsid w:val="00EE258E"/>
    <w:rPr>
      <w:rFonts w:ascii="Tahoma" w:hAnsi="Tahoma" w:cs="Tahoma"/>
      <w:sz w:val="16"/>
      <w:szCs w:val="16"/>
      <w:lang w:eastAsia="en-US"/>
    </w:rPr>
  </w:style>
  <w:style w:type="paragraph" w:styleId="BodyTextIndent3">
    <w:name w:val="Body Text Indent 3"/>
    <w:basedOn w:val="Normal"/>
    <w:link w:val="BodyTextIndent3Char"/>
    <w:rsid w:val="00985AFF"/>
    <w:pPr>
      <w:spacing w:after="120"/>
      <w:ind w:left="283"/>
    </w:pPr>
    <w:rPr>
      <w:sz w:val="16"/>
      <w:szCs w:val="16"/>
    </w:rPr>
  </w:style>
  <w:style w:type="character" w:customStyle="1" w:styleId="BodyTextIndent3Char">
    <w:name w:val="Body Text Indent 3 Char"/>
    <w:basedOn w:val="DefaultParagraphFont"/>
    <w:link w:val="BodyTextIndent3"/>
    <w:rsid w:val="00985AFF"/>
    <w:rPr>
      <w:sz w:val="16"/>
      <w:szCs w:val="16"/>
      <w:lang w:eastAsia="en-US"/>
    </w:rPr>
  </w:style>
  <w:style w:type="paragraph" w:styleId="ListParagraph">
    <w:name w:val="List Paragraph"/>
    <w:basedOn w:val="Normal"/>
    <w:uiPriority w:val="34"/>
    <w:qFormat/>
    <w:rsid w:val="00985AFF"/>
    <w:pPr>
      <w:ind w:left="720"/>
    </w:pPr>
    <w:rPr>
      <w:lang w:eastAsia="en-GB"/>
    </w:rPr>
  </w:style>
  <w:style w:type="character" w:styleId="CommentReference">
    <w:name w:val="annotation reference"/>
    <w:basedOn w:val="DefaultParagraphFont"/>
    <w:rsid w:val="003905E1"/>
    <w:rPr>
      <w:sz w:val="16"/>
      <w:szCs w:val="16"/>
    </w:rPr>
  </w:style>
  <w:style w:type="paragraph" w:styleId="CommentText">
    <w:name w:val="annotation text"/>
    <w:basedOn w:val="Normal"/>
    <w:link w:val="CommentTextChar"/>
    <w:rsid w:val="003905E1"/>
    <w:rPr>
      <w:sz w:val="20"/>
      <w:szCs w:val="20"/>
    </w:rPr>
  </w:style>
  <w:style w:type="character" w:customStyle="1" w:styleId="CommentTextChar">
    <w:name w:val="Comment Text Char"/>
    <w:basedOn w:val="DefaultParagraphFont"/>
    <w:link w:val="CommentText"/>
    <w:rsid w:val="003905E1"/>
    <w:rPr>
      <w:lang w:eastAsia="en-US"/>
    </w:rPr>
  </w:style>
  <w:style w:type="paragraph" w:styleId="CommentSubject">
    <w:name w:val="annotation subject"/>
    <w:basedOn w:val="CommentText"/>
    <w:next w:val="CommentText"/>
    <w:link w:val="CommentSubjectChar"/>
    <w:rsid w:val="003905E1"/>
    <w:rPr>
      <w:b/>
      <w:bCs/>
    </w:rPr>
  </w:style>
  <w:style w:type="character" w:customStyle="1" w:styleId="CommentSubjectChar">
    <w:name w:val="Comment Subject Char"/>
    <w:basedOn w:val="CommentTextChar"/>
    <w:link w:val="CommentSubject"/>
    <w:rsid w:val="003905E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1009</Words>
  <Characters>5724</Characters>
  <Application>Microsoft Office Word</Application>
  <DocSecurity>0</DocSecurity>
  <Lines>520</Lines>
  <Paragraphs>561</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4</cp:revision>
  <dcterms:created xsi:type="dcterms:W3CDTF">2019-02-06T14:05:00Z</dcterms:created>
  <dcterms:modified xsi:type="dcterms:W3CDTF">2019-02-07T16:28:00Z</dcterms:modified>
</cp:coreProperties>
</file>