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108" w:type="dxa"/>
        <w:tblLayout w:type="fixed"/>
        <w:tblLook w:val="04A0"/>
      </w:tblPr>
      <w:tblGrid>
        <w:gridCol w:w="2557"/>
        <w:gridCol w:w="4814"/>
        <w:gridCol w:w="1985"/>
      </w:tblGrid>
      <w:tr w:rsidR="005B4BA8" w:rsidRPr="009E0600" w:rsidTr="005B4BA8">
        <w:trPr>
          <w:trHeight w:val="557"/>
        </w:trPr>
        <w:tc>
          <w:tcPr>
            <w:tcW w:w="2557" w:type="dxa"/>
          </w:tcPr>
          <w:p w:rsidR="005B4BA8" w:rsidRPr="009E0600" w:rsidRDefault="005B4BA8" w:rsidP="005B4BA8">
            <w:pPr>
              <w:pStyle w:val="Heading1"/>
              <w:spacing w:before="60" w:after="60"/>
              <w:ind w:right="183"/>
              <w:contextualSpacing/>
              <w:rPr>
                <w:rFonts w:ascii="Arial" w:hAnsi="Arial" w:cs="Arial"/>
                <w:sz w:val="24"/>
                <w:szCs w:val="24"/>
              </w:rPr>
            </w:pPr>
            <w:r w:rsidRPr="009E0600">
              <w:rPr>
                <w:rFonts w:ascii="Arial" w:hAnsi="Arial" w:cs="Arial"/>
                <w:sz w:val="24"/>
                <w:szCs w:val="24"/>
              </w:rPr>
              <w:t>Board Meeting:</w:t>
            </w:r>
          </w:p>
        </w:tc>
        <w:tc>
          <w:tcPr>
            <w:tcW w:w="4814" w:type="dxa"/>
          </w:tcPr>
          <w:p w:rsidR="005B4BA8" w:rsidRPr="009E0600" w:rsidRDefault="00ED7175" w:rsidP="00ED7175">
            <w:pPr>
              <w:pStyle w:val="Heading1"/>
              <w:spacing w:before="60" w:after="60"/>
              <w:ind w:right="183"/>
              <w:contextualSpacing/>
              <w:rPr>
                <w:rFonts w:ascii="Arial" w:hAnsi="Arial" w:cs="Arial"/>
                <w:b w:val="0"/>
                <w:sz w:val="24"/>
                <w:szCs w:val="24"/>
              </w:rPr>
            </w:pPr>
            <w:r w:rsidRPr="009E0600">
              <w:rPr>
                <w:rFonts w:ascii="Arial" w:hAnsi="Arial" w:cs="Arial"/>
                <w:b w:val="0"/>
                <w:sz w:val="24"/>
                <w:szCs w:val="24"/>
              </w:rPr>
              <w:t>14 February 2019</w:t>
            </w:r>
          </w:p>
        </w:tc>
        <w:tc>
          <w:tcPr>
            <w:tcW w:w="1985" w:type="dxa"/>
            <w:vMerge w:val="restart"/>
          </w:tcPr>
          <w:p w:rsidR="005B4BA8" w:rsidRPr="009E0600" w:rsidRDefault="00F459C0" w:rsidP="005B4BA8">
            <w:pPr>
              <w:pStyle w:val="Heading1"/>
              <w:spacing w:before="60" w:after="60"/>
              <w:ind w:right="34"/>
              <w:contextualSpacing/>
              <w:jc w:val="right"/>
              <w:rPr>
                <w:rFonts w:ascii="Arial" w:hAnsi="Arial" w:cs="Arial"/>
                <w:sz w:val="24"/>
                <w:szCs w:val="24"/>
              </w:rPr>
            </w:pPr>
            <w:r w:rsidRPr="009E0600">
              <w:rPr>
                <w:rFonts w:ascii="Arial" w:hAnsi="Arial" w:cs="Arial"/>
                <w:noProof/>
                <w:sz w:val="24"/>
                <w:szCs w:val="24"/>
                <w:lang w:eastAsia="en-GB"/>
              </w:rPr>
              <w:drawing>
                <wp:inline distT="0" distB="0" distL="0" distR="0">
                  <wp:extent cx="1152525" cy="981075"/>
                  <wp:effectExtent l="19050" t="0" r="9525" b="0"/>
                  <wp:docPr id="9" name="Picture 9" descr="GJF RGB WITHOUT 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JF RGB WITHOUT STRAPLINE"/>
                          <pic:cNvPicPr>
                            <a:picLocks noChangeAspect="1" noChangeArrowheads="1"/>
                          </pic:cNvPicPr>
                        </pic:nvPicPr>
                        <pic:blipFill>
                          <a:blip r:embed="rId8" cstate="print"/>
                          <a:srcRect/>
                          <a:stretch>
                            <a:fillRect/>
                          </a:stretch>
                        </pic:blipFill>
                        <pic:spPr bwMode="auto">
                          <a:xfrm>
                            <a:off x="0" y="0"/>
                            <a:ext cx="1152525" cy="981075"/>
                          </a:xfrm>
                          <a:prstGeom prst="rect">
                            <a:avLst/>
                          </a:prstGeom>
                          <a:noFill/>
                          <a:ln w="9525">
                            <a:noFill/>
                            <a:miter lim="800000"/>
                            <a:headEnd/>
                            <a:tailEnd/>
                          </a:ln>
                        </pic:spPr>
                      </pic:pic>
                    </a:graphicData>
                  </a:graphic>
                </wp:inline>
              </w:drawing>
            </w:r>
          </w:p>
        </w:tc>
      </w:tr>
      <w:tr w:rsidR="005B4BA8" w:rsidRPr="009E0600" w:rsidTr="005B4BA8">
        <w:trPr>
          <w:trHeight w:val="1091"/>
        </w:trPr>
        <w:tc>
          <w:tcPr>
            <w:tcW w:w="2557" w:type="dxa"/>
          </w:tcPr>
          <w:p w:rsidR="005B4BA8" w:rsidRPr="009E0600" w:rsidRDefault="005B4BA8" w:rsidP="005B4BA8">
            <w:pPr>
              <w:pStyle w:val="Heading1"/>
              <w:spacing w:before="60" w:after="60"/>
              <w:ind w:right="183"/>
              <w:contextualSpacing/>
              <w:rPr>
                <w:rFonts w:ascii="Arial" w:hAnsi="Arial" w:cs="Arial"/>
                <w:sz w:val="24"/>
                <w:szCs w:val="24"/>
              </w:rPr>
            </w:pPr>
            <w:r w:rsidRPr="009E0600">
              <w:rPr>
                <w:rFonts w:ascii="Arial" w:hAnsi="Arial" w:cs="Arial"/>
                <w:bCs w:val="0"/>
                <w:sz w:val="24"/>
                <w:szCs w:val="24"/>
              </w:rPr>
              <w:t>Subject:</w:t>
            </w:r>
          </w:p>
        </w:tc>
        <w:tc>
          <w:tcPr>
            <w:tcW w:w="4814" w:type="dxa"/>
          </w:tcPr>
          <w:p w:rsidR="005B4BA8" w:rsidRPr="009E0600" w:rsidRDefault="00DF0DF5" w:rsidP="005B4BA8">
            <w:pPr>
              <w:pStyle w:val="Heading1"/>
              <w:spacing w:before="60" w:after="60"/>
              <w:ind w:right="183"/>
              <w:contextualSpacing/>
              <w:rPr>
                <w:rFonts w:ascii="Arial" w:hAnsi="Arial" w:cs="Arial"/>
                <w:b w:val="0"/>
                <w:sz w:val="24"/>
                <w:szCs w:val="24"/>
              </w:rPr>
            </w:pPr>
            <w:r w:rsidRPr="009E0600">
              <w:rPr>
                <w:rFonts w:ascii="Arial" w:hAnsi="Arial" w:cs="Arial"/>
                <w:b w:val="0"/>
                <w:sz w:val="24"/>
                <w:szCs w:val="24"/>
              </w:rPr>
              <w:t xml:space="preserve">EU Withdrawal </w:t>
            </w:r>
          </w:p>
        </w:tc>
        <w:tc>
          <w:tcPr>
            <w:tcW w:w="1985" w:type="dxa"/>
            <w:vMerge/>
          </w:tcPr>
          <w:p w:rsidR="005B4BA8" w:rsidRPr="009E0600" w:rsidRDefault="005B4BA8" w:rsidP="005B4BA8">
            <w:pPr>
              <w:pStyle w:val="Heading1"/>
              <w:spacing w:before="60" w:after="60"/>
              <w:ind w:right="183"/>
              <w:contextualSpacing/>
              <w:rPr>
                <w:rFonts w:ascii="Arial" w:hAnsi="Arial" w:cs="Arial"/>
                <w:noProof/>
                <w:sz w:val="24"/>
                <w:szCs w:val="24"/>
                <w:lang w:eastAsia="en-GB"/>
              </w:rPr>
            </w:pPr>
          </w:p>
        </w:tc>
      </w:tr>
      <w:tr w:rsidR="005B4BA8" w:rsidRPr="009E0600" w:rsidTr="005B4BA8">
        <w:trPr>
          <w:trHeight w:val="499"/>
        </w:trPr>
        <w:tc>
          <w:tcPr>
            <w:tcW w:w="2557" w:type="dxa"/>
          </w:tcPr>
          <w:p w:rsidR="005B4BA8" w:rsidRPr="009E0600" w:rsidRDefault="005B4BA8" w:rsidP="005B4BA8">
            <w:pPr>
              <w:pStyle w:val="Heading1"/>
              <w:spacing w:before="120" w:after="60"/>
              <w:ind w:right="183"/>
              <w:contextualSpacing/>
              <w:rPr>
                <w:rFonts w:ascii="Arial" w:hAnsi="Arial" w:cs="Arial"/>
                <w:sz w:val="24"/>
                <w:szCs w:val="24"/>
              </w:rPr>
            </w:pPr>
            <w:r w:rsidRPr="009E0600">
              <w:rPr>
                <w:rFonts w:ascii="Arial" w:hAnsi="Arial" w:cs="Arial"/>
                <w:bCs w:val="0"/>
                <w:sz w:val="24"/>
                <w:szCs w:val="24"/>
              </w:rPr>
              <w:t>Recommendation:</w:t>
            </w:r>
            <w:r w:rsidRPr="009E0600">
              <w:rPr>
                <w:rFonts w:ascii="Arial" w:hAnsi="Arial" w:cs="Arial"/>
                <w:bCs w:val="0"/>
                <w:sz w:val="24"/>
                <w:szCs w:val="24"/>
              </w:rPr>
              <w:tab/>
            </w:r>
          </w:p>
        </w:tc>
        <w:tc>
          <w:tcPr>
            <w:tcW w:w="6799" w:type="dxa"/>
            <w:gridSpan w:val="2"/>
          </w:tcPr>
          <w:p w:rsidR="005B4BA8" w:rsidRPr="009E0600" w:rsidRDefault="005B4BA8" w:rsidP="005B4BA8">
            <w:pPr>
              <w:pStyle w:val="Heading1"/>
              <w:spacing w:before="120" w:after="60"/>
              <w:ind w:right="183"/>
              <w:contextualSpacing/>
              <w:rPr>
                <w:rFonts w:ascii="Arial" w:hAnsi="Arial" w:cs="Arial"/>
                <w:b w:val="0"/>
                <w:sz w:val="24"/>
                <w:szCs w:val="24"/>
              </w:rPr>
            </w:pPr>
            <w:r w:rsidRPr="009E0600">
              <w:rPr>
                <w:rFonts w:ascii="Arial" w:hAnsi="Arial" w:cs="Arial"/>
                <w:b w:val="0"/>
                <w:sz w:val="24"/>
                <w:szCs w:val="24"/>
              </w:rPr>
              <w:t>Board members are asked to:</w:t>
            </w:r>
          </w:p>
          <w:p w:rsidR="005B4BA8" w:rsidRPr="009E0600" w:rsidRDefault="005B4BA8" w:rsidP="005B4BA8"/>
          <w:tbl>
            <w:tblPr>
              <w:tblW w:w="6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94"/>
              <w:gridCol w:w="850"/>
            </w:tblGrid>
            <w:tr w:rsidR="005B4BA8" w:rsidRPr="009E0600" w:rsidTr="007B4090">
              <w:tc>
                <w:tcPr>
                  <w:tcW w:w="5694" w:type="dxa"/>
                </w:tcPr>
                <w:p w:rsidR="005B4BA8" w:rsidRPr="009E0600" w:rsidRDefault="002253CC" w:rsidP="005B4BA8">
                  <w:pPr>
                    <w:pStyle w:val="Heading1"/>
                    <w:spacing w:before="120" w:after="60"/>
                    <w:ind w:right="183"/>
                    <w:contextualSpacing/>
                    <w:rPr>
                      <w:rFonts w:ascii="Arial" w:hAnsi="Arial" w:cs="Arial"/>
                      <w:b w:val="0"/>
                      <w:sz w:val="24"/>
                      <w:szCs w:val="24"/>
                    </w:rPr>
                  </w:pPr>
                  <w:r w:rsidRPr="009E0600">
                    <w:rPr>
                      <w:rFonts w:ascii="Arial" w:hAnsi="Arial" w:cs="Arial"/>
                      <w:b w:val="0"/>
                      <w:sz w:val="24"/>
                      <w:szCs w:val="24"/>
                    </w:rPr>
                    <w:t>Discuss and Note</w:t>
                  </w:r>
                </w:p>
              </w:tc>
              <w:tc>
                <w:tcPr>
                  <w:tcW w:w="850" w:type="dxa"/>
                </w:tcPr>
                <w:p w:rsidR="005B4BA8" w:rsidRPr="009E0600" w:rsidRDefault="005B4BA8" w:rsidP="005B4BA8">
                  <w:pPr>
                    <w:spacing w:before="120" w:after="60"/>
                    <w:contextualSpacing/>
                  </w:pPr>
                </w:p>
              </w:tc>
            </w:tr>
            <w:tr w:rsidR="005B4BA8" w:rsidRPr="009E0600" w:rsidTr="007B4090">
              <w:tc>
                <w:tcPr>
                  <w:tcW w:w="5694" w:type="dxa"/>
                </w:tcPr>
                <w:p w:rsidR="005B4BA8" w:rsidRPr="009E0600" w:rsidRDefault="002253CC" w:rsidP="005B4BA8">
                  <w:pPr>
                    <w:pStyle w:val="Heading1"/>
                    <w:spacing w:before="120" w:after="60"/>
                    <w:ind w:right="183"/>
                    <w:contextualSpacing/>
                    <w:rPr>
                      <w:rFonts w:ascii="Arial" w:hAnsi="Arial" w:cs="Arial"/>
                      <w:b w:val="0"/>
                      <w:sz w:val="24"/>
                      <w:szCs w:val="24"/>
                    </w:rPr>
                  </w:pPr>
                  <w:r w:rsidRPr="009E0600">
                    <w:rPr>
                      <w:rFonts w:ascii="Arial" w:hAnsi="Arial" w:cs="Arial"/>
                      <w:b w:val="0"/>
                      <w:sz w:val="24"/>
                      <w:szCs w:val="24"/>
                    </w:rPr>
                    <w:t>Discuss and Approve</w:t>
                  </w:r>
                </w:p>
              </w:tc>
              <w:tc>
                <w:tcPr>
                  <w:tcW w:w="850" w:type="dxa"/>
                </w:tcPr>
                <w:p w:rsidR="005B4BA8" w:rsidRPr="009E0600" w:rsidRDefault="00DF0DF5" w:rsidP="005B4BA8">
                  <w:pPr>
                    <w:spacing w:before="120" w:after="60"/>
                    <w:contextualSpacing/>
                  </w:pPr>
                  <w:r w:rsidRPr="009E0600">
                    <w:t>X</w:t>
                  </w:r>
                </w:p>
              </w:tc>
            </w:tr>
            <w:tr w:rsidR="005B4BA8" w:rsidRPr="009E0600" w:rsidTr="007B4090">
              <w:tc>
                <w:tcPr>
                  <w:tcW w:w="5694" w:type="dxa"/>
                </w:tcPr>
                <w:p w:rsidR="005B4BA8" w:rsidRPr="009E0600" w:rsidRDefault="002253CC" w:rsidP="002253CC">
                  <w:pPr>
                    <w:pStyle w:val="Heading1"/>
                    <w:spacing w:before="120" w:after="60"/>
                    <w:ind w:right="183"/>
                    <w:contextualSpacing/>
                    <w:rPr>
                      <w:rFonts w:ascii="Arial" w:hAnsi="Arial" w:cs="Arial"/>
                      <w:b w:val="0"/>
                      <w:sz w:val="24"/>
                      <w:szCs w:val="24"/>
                    </w:rPr>
                  </w:pPr>
                  <w:r w:rsidRPr="009E0600">
                    <w:rPr>
                      <w:rFonts w:ascii="Arial" w:hAnsi="Arial" w:cs="Arial"/>
                      <w:b w:val="0"/>
                      <w:sz w:val="24"/>
                      <w:szCs w:val="24"/>
                    </w:rPr>
                    <w:t>Note for Information only</w:t>
                  </w:r>
                </w:p>
              </w:tc>
              <w:tc>
                <w:tcPr>
                  <w:tcW w:w="850" w:type="dxa"/>
                </w:tcPr>
                <w:p w:rsidR="005B4BA8" w:rsidRPr="009E0600" w:rsidRDefault="005B4BA8" w:rsidP="005B4BA8">
                  <w:pPr>
                    <w:spacing w:before="120" w:after="60"/>
                    <w:contextualSpacing/>
                  </w:pPr>
                </w:p>
              </w:tc>
            </w:tr>
          </w:tbl>
          <w:p w:rsidR="005B4BA8" w:rsidRPr="009E0600" w:rsidRDefault="005B4BA8" w:rsidP="005B4BA8">
            <w:pPr>
              <w:spacing w:before="120" w:after="60"/>
              <w:contextualSpacing/>
            </w:pPr>
          </w:p>
        </w:tc>
      </w:tr>
      <w:tr w:rsidR="005B4BA8" w:rsidRPr="009E0600" w:rsidTr="005B4BA8">
        <w:trPr>
          <w:trHeight w:val="499"/>
        </w:trPr>
        <w:tc>
          <w:tcPr>
            <w:tcW w:w="2557" w:type="dxa"/>
            <w:tcBorders>
              <w:bottom w:val="single" w:sz="4" w:space="0" w:color="auto"/>
            </w:tcBorders>
          </w:tcPr>
          <w:p w:rsidR="005B4BA8" w:rsidRPr="009E0600" w:rsidRDefault="005B4BA8" w:rsidP="005B4BA8">
            <w:pPr>
              <w:pStyle w:val="Heading1"/>
              <w:spacing w:before="120" w:after="60"/>
              <w:ind w:right="183"/>
              <w:contextualSpacing/>
              <w:rPr>
                <w:rFonts w:ascii="Arial" w:hAnsi="Arial" w:cs="Arial"/>
                <w:bCs w:val="0"/>
                <w:sz w:val="24"/>
                <w:szCs w:val="24"/>
              </w:rPr>
            </w:pPr>
          </w:p>
        </w:tc>
        <w:tc>
          <w:tcPr>
            <w:tcW w:w="6799" w:type="dxa"/>
            <w:gridSpan w:val="2"/>
            <w:tcBorders>
              <w:bottom w:val="single" w:sz="4" w:space="0" w:color="auto"/>
            </w:tcBorders>
          </w:tcPr>
          <w:p w:rsidR="005B4BA8" w:rsidRPr="009E0600" w:rsidRDefault="005B4BA8" w:rsidP="005B4BA8">
            <w:pPr>
              <w:pStyle w:val="Heading1"/>
              <w:spacing w:before="120" w:after="60"/>
              <w:ind w:right="183"/>
              <w:contextualSpacing/>
              <w:rPr>
                <w:rFonts w:ascii="Arial" w:hAnsi="Arial" w:cs="Arial"/>
                <w:b w:val="0"/>
                <w:sz w:val="24"/>
                <w:szCs w:val="24"/>
              </w:rPr>
            </w:pPr>
          </w:p>
        </w:tc>
      </w:tr>
    </w:tbl>
    <w:p w:rsidR="005239DB" w:rsidRPr="009E0600" w:rsidRDefault="005239DB" w:rsidP="005239DB">
      <w:pPr>
        <w:pStyle w:val="Heading2"/>
        <w:ind w:right="183"/>
        <w:rPr>
          <w:i w:val="0"/>
          <w:sz w:val="24"/>
          <w:szCs w:val="24"/>
        </w:rPr>
      </w:pPr>
      <w:r w:rsidRPr="009E0600">
        <w:rPr>
          <w:i w:val="0"/>
          <w:sz w:val="24"/>
          <w:szCs w:val="24"/>
        </w:rPr>
        <w:t>1</w:t>
      </w:r>
      <w:r w:rsidRPr="009E0600">
        <w:rPr>
          <w:i w:val="0"/>
          <w:sz w:val="24"/>
          <w:szCs w:val="24"/>
        </w:rPr>
        <w:tab/>
        <w:t>Background</w:t>
      </w:r>
    </w:p>
    <w:p w:rsidR="005239DB" w:rsidRPr="009E0600" w:rsidRDefault="005239DB" w:rsidP="005239DB">
      <w:pPr>
        <w:ind w:right="183"/>
        <w:rPr>
          <w:rFonts w:ascii="Arial" w:hAnsi="Arial" w:cs="Arial"/>
          <w:b/>
          <w:bCs/>
        </w:rPr>
      </w:pPr>
      <w:r w:rsidRPr="009E0600">
        <w:rPr>
          <w:rFonts w:ascii="Arial" w:hAnsi="Arial" w:cs="Arial"/>
          <w:b/>
          <w:bCs/>
        </w:rPr>
        <w:tab/>
      </w:r>
    </w:p>
    <w:p w:rsidR="005B4BA8" w:rsidRPr="009E0600" w:rsidRDefault="00DF0DF5" w:rsidP="009E0600">
      <w:pPr>
        <w:ind w:left="720" w:right="183"/>
        <w:rPr>
          <w:rFonts w:ascii="Arial" w:hAnsi="Arial" w:cs="Arial"/>
        </w:rPr>
      </w:pPr>
      <w:r w:rsidRPr="009E0600">
        <w:rPr>
          <w:rFonts w:ascii="Arial" w:hAnsi="Arial" w:cs="Arial"/>
        </w:rPr>
        <w:t xml:space="preserve">This paper provides an update on the work to prepare for EU Withdrawal and review of the risk to the Golden Jubilee Foundation.  </w:t>
      </w:r>
    </w:p>
    <w:p w:rsidR="005239DB" w:rsidRPr="009E0600" w:rsidRDefault="005239DB" w:rsidP="005239DB">
      <w:pPr>
        <w:ind w:right="183"/>
        <w:rPr>
          <w:rFonts w:ascii="Arial" w:hAnsi="Arial" w:cs="Arial"/>
        </w:rPr>
      </w:pPr>
    </w:p>
    <w:p w:rsidR="005239DB" w:rsidRPr="009E0600" w:rsidRDefault="005239DB" w:rsidP="005239DB">
      <w:pPr>
        <w:ind w:right="183"/>
        <w:rPr>
          <w:rFonts w:ascii="Arial" w:hAnsi="Arial" w:cs="Arial"/>
        </w:rPr>
      </w:pPr>
      <w:r w:rsidRPr="009E0600">
        <w:rPr>
          <w:rFonts w:ascii="Arial" w:hAnsi="Arial" w:cs="Arial"/>
          <w:b/>
          <w:bCs/>
        </w:rPr>
        <w:t>2</w:t>
      </w:r>
      <w:r w:rsidRPr="009E0600">
        <w:rPr>
          <w:rFonts w:ascii="Arial" w:hAnsi="Arial" w:cs="Arial"/>
          <w:b/>
          <w:bCs/>
        </w:rPr>
        <w:tab/>
        <w:t>Proposals</w:t>
      </w:r>
    </w:p>
    <w:p w:rsidR="00DF0DF5" w:rsidRPr="009E0600" w:rsidRDefault="00DF0DF5" w:rsidP="00DF0DF5">
      <w:pPr>
        <w:rPr>
          <w:rFonts w:ascii="Arial" w:hAnsi="Arial" w:cs="Arial"/>
        </w:rPr>
      </w:pPr>
    </w:p>
    <w:p w:rsidR="009E0600" w:rsidRPr="009E0600" w:rsidRDefault="00DF0DF5" w:rsidP="009E0600">
      <w:pPr>
        <w:ind w:left="720"/>
        <w:rPr>
          <w:rFonts w:ascii="Arial" w:hAnsi="Arial" w:cs="Arial"/>
        </w:rPr>
      </w:pPr>
      <w:r w:rsidRPr="009E0600">
        <w:rPr>
          <w:rFonts w:ascii="Arial" w:hAnsi="Arial" w:cs="Arial"/>
        </w:rPr>
        <w:t>Board Members are asked to</w:t>
      </w:r>
      <w:r w:rsidR="009E0600" w:rsidRPr="009E0600">
        <w:rPr>
          <w:rFonts w:ascii="Arial" w:hAnsi="Arial" w:cs="Arial"/>
        </w:rPr>
        <w:t xml:space="preserve"> discuss and:</w:t>
      </w:r>
    </w:p>
    <w:p w:rsidR="009E0600" w:rsidRPr="009E0600" w:rsidRDefault="009E0600" w:rsidP="009E0600">
      <w:pPr>
        <w:ind w:left="720"/>
        <w:rPr>
          <w:rFonts w:ascii="Arial" w:hAnsi="Arial" w:cs="Arial"/>
        </w:rPr>
      </w:pPr>
    </w:p>
    <w:p w:rsidR="009E0600" w:rsidRPr="009E0600" w:rsidRDefault="00722F08" w:rsidP="009E0600">
      <w:pPr>
        <w:pStyle w:val="ListParagraph"/>
        <w:numPr>
          <w:ilvl w:val="0"/>
          <w:numId w:val="20"/>
        </w:numPr>
        <w:rPr>
          <w:rFonts w:ascii="Arial" w:hAnsi="Arial" w:cs="Arial"/>
        </w:rPr>
      </w:pPr>
      <w:r>
        <w:rPr>
          <w:rFonts w:ascii="Arial" w:hAnsi="Arial" w:cs="Arial"/>
          <w:b/>
        </w:rPr>
        <w:t>note</w:t>
      </w:r>
      <w:r>
        <w:rPr>
          <w:rFonts w:ascii="Arial" w:hAnsi="Arial" w:cs="Arial"/>
        </w:rPr>
        <w:t xml:space="preserve"> the update in relation to preparations for EU Withdrawal and </w:t>
      </w:r>
    </w:p>
    <w:p w:rsidR="00DF0DF5" w:rsidRPr="009E0600" w:rsidRDefault="00722F08" w:rsidP="009E0600">
      <w:pPr>
        <w:pStyle w:val="ListParagraph"/>
        <w:numPr>
          <w:ilvl w:val="0"/>
          <w:numId w:val="20"/>
        </w:numPr>
        <w:rPr>
          <w:rFonts w:ascii="Arial" w:hAnsi="Arial" w:cs="Arial"/>
        </w:rPr>
      </w:pPr>
      <w:proofErr w:type="gramStart"/>
      <w:r>
        <w:rPr>
          <w:rFonts w:ascii="Arial" w:hAnsi="Arial" w:cs="Arial"/>
          <w:b/>
        </w:rPr>
        <w:t>approve</w:t>
      </w:r>
      <w:proofErr w:type="gramEnd"/>
      <w:r>
        <w:rPr>
          <w:rFonts w:ascii="Arial" w:hAnsi="Arial" w:cs="Arial"/>
        </w:rPr>
        <w:t xml:space="preserve"> the recommendation to increase the risk rating.  </w:t>
      </w:r>
    </w:p>
    <w:p w:rsidR="005239DB" w:rsidRPr="009E0600" w:rsidRDefault="005239DB" w:rsidP="005239DB">
      <w:pPr>
        <w:ind w:right="183"/>
        <w:rPr>
          <w:rFonts w:ascii="Arial" w:hAnsi="Arial" w:cs="Arial"/>
          <w:b/>
          <w:bCs/>
        </w:rPr>
      </w:pPr>
    </w:p>
    <w:p w:rsidR="005239DB" w:rsidRPr="009E0600" w:rsidRDefault="005239DB" w:rsidP="005239DB">
      <w:pPr>
        <w:ind w:right="183"/>
        <w:rPr>
          <w:rFonts w:ascii="Arial" w:hAnsi="Arial" w:cs="Arial"/>
          <w:bCs/>
        </w:rPr>
      </w:pPr>
    </w:p>
    <w:p w:rsidR="00DF0DF5" w:rsidRPr="009E0600" w:rsidRDefault="00722F08" w:rsidP="005239DB">
      <w:pPr>
        <w:ind w:right="183"/>
        <w:rPr>
          <w:rFonts w:ascii="Arial" w:hAnsi="Arial" w:cs="Arial"/>
          <w:b/>
          <w:bCs/>
        </w:rPr>
      </w:pPr>
      <w:r>
        <w:rPr>
          <w:rFonts w:ascii="Arial" w:hAnsi="Arial" w:cs="Arial"/>
          <w:b/>
          <w:bCs/>
        </w:rPr>
        <w:t>Anne Marie Cavanagh</w:t>
      </w:r>
    </w:p>
    <w:p w:rsidR="002253CC" w:rsidRPr="009E0600" w:rsidRDefault="00722F08" w:rsidP="005239DB">
      <w:pPr>
        <w:ind w:right="183"/>
        <w:rPr>
          <w:rFonts w:ascii="Arial" w:hAnsi="Arial" w:cs="Arial"/>
          <w:b/>
          <w:bCs/>
        </w:rPr>
      </w:pPr>
      <w:r>
        <w:rPr>
          <w:rFonts w:ascii="Arial" w:hAnsi="Arial" w:cs="Arial"/>
          <w:b/>
          <w:bCs/>
        </w:rPr>
        <w:t>Nurse Director</w:t>
      </w:r>
    </w:p>
    <w:p w:rsidR="005239DB" w:rsidRPr="009E0600" w:rsidRDefault="00722F08" w:rsidP="005239DB">
      <w:pPr>
        <w:ind w:right="183"/>
        <w:rPr>
          <w:rFonts w:ascii="Arial" w:hAnsi="Arial" w:cs="Arial"/>
          <w:b/>
          <w:bCs/>
        </w:rPr>
      </w:pPr>
      <w:r>
        <w:rPr>
          <w:rFonts w:ascii="Arial" w:hAnsi="Arial" w:cs="Arial"/>
          <w:b/>
          <w:bCs/>
        </w:rPr>
        <w:t xml:space="preserve">February 2019 </w:t>
      </w:r>
    </w:p>
    <w:p w:rsidR="005239DB" w:rsidRPr="009E0600" w:rsidRDefault="005239DB" w:rsidP="005239DB">
      <w:pPr>
        <w:ind w:right="183"/>
        <w:rPr>
          <w:rFonts w:ascii="Arial" w:hAnsi="Arial" w:cs="Arial"/>
          <w:b/>
          <w:bCs/>
        </w:rPr>
      </w:pPr>
    </w:p>
    <w:p w:rsidR="005239DB" w:rsidRPr="009E0600" w:rsidRDefault="00722F08" w:rsidP="005239DB">
      <w:pPr>
        <w:ind w:right="183"/>
      </w:pPr>
      <w:r>
        <w:rPr>
          <w:rFonts w:ascii="Arial" w:hAnsi="Arial" w:cs="Arial"/>
          <w:b/>
          <w:bCs/>
        </w:rPr>
        <w:t xml:space="preserve">(Laura Langan Riach, Chief Risk Officer) </w:t>
      </w:r>
    </w:p>
    <w:p w:rsidR="005239DB" w:rsidRPr="009E0600" w:rsidRDefault="005239DB" w:rsidP="005239DB">
      <w:pPr>
        <w:ind w:left="540"/>
        <w:rPr>
          <w:rFonts w:ascii="Arial" w:hAnsi="Arial" w:cs="Arial"/>
          <w:bCs/>
        </w:rPr>
      </w:pPr>
    </w:p>
    <w:p w:rsidR="005239DB" w:rsidRPr="009E0600" w:rsidRDefault="005239DB" w:rsidP="00FE3A34">
      <w:pPr>
        <w:pStyle w:val="BodyTextIndent"/>
        <w:ind w:left="0" w:right="183" w:firstLine="0"/>
        <w:rPr>
          <w:rFonts w:ascii="Arial" w:hAnsi="Arial" w:cs="Arial"/>
          <w:b/>
          <w:bCs/>
        </w:rPr>
      </w:pPr>
    </w:p>
    <w:p w:rsidR="00DF0DF5" w:rsidRPr="009E0600" w:rsidRDefault="00722F08">
      <w:pPr>
        <w:rPr>
          <w:rFonts w:ascii="Arial" w:hAnsi="Arial" w:cs="Arial"/>
          <w:b/>
          <w:bCs/>
        </w:rPr>
      </w:pPr>
      <w:r>
        <w:rPr>
          <w:rFonts w:ascii="Arial" w:hAnsi="Arial" w:cs="Arial"/>
          <w:b/>
          <w:bCs/>
        </w:rPr>
        <w:br w:type="page"/>
      </w:r>
    </w:p>
    <w:p w:rsidR="00DF0DF5" w:rsidRPr="009E0600" w:rsidRDefault="00DF0DF5" w:rsidP="00DF0DF5">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rPr>
      </w:pPr>
      <w:r w:rsidRPr="009E0600">
        <w:rPr>
          <w:rFonts w:ascii="Arial" w:hAnsi="Arial" w:cs="Arial"/>
          <w:b/>
        </w:rPr>
        <w:lastRenderedPageBreak/>
        <w:t>1.</w:t>
      </w:r>
      <w:r w:rsidRPr="009E0600">
        <w:rPr>
          <w:rFonts w:ascii="Arial" w:hAnsi="Arial" w:cs="Arial"/>
          <w:b/>
        </w:rPr>
        <w:tab/>
        <w:t xml:space="preserve">Situation </w:t>
      </w:r>
    </w:p>
    <w:p w:rsidR="00DF0DF5" w:rsidRPr="009E0600" w:rsidRDefault="00DF0DF5" w:rsidP="00DF0DF5">
      <w:pPr>
        <w:rPr>
          <w:rFonts w:ascii="Arial" w:hAnsi="Arial" w:cs="Arial"/>
          <w:b/>
        </w:rPr>
      </w:pPr>
    </w:p>
    <w:p w:rsidR="00DF0DF5" w:rsidRPr="009E0600" w:rsidRDefault="00DF0DF5" w:rsidP="00DF0DF5">
      <w:pPr>
        <w:rPr>
          <w:rFonts w:ascii="Arial" w:hAnsi="Arial" w:cs="Arial"/>
        </w:rPr>
      </w:pPr>
      <w:r w:rsidRPr="009E0600">
        <w:rPr>
          <w:rFonts w:ascii="Arial" w:hAnsi="Arial" w:cs="Arial"/>
        </w:rPr>
        <w:t xml:space="preserve">This paper provides a brief update on </w:t>
      </w:r>
      <w:proofErr w:type="spellStart"/>
      <w:r w:rsidRPr="009E0600">
        <w:rPr>
          <w:rFonts w:ascii="Arial" w:hAnsi="Arial" w:cs="Arial"/>
        </w:rPr>
        <w:t>Brexit</w:t>
      </w:r>
      <w:proofErr w:type="spellEnd"/>
      <w:r w:rsidRPr="009E0600">
        <w:rPr>
          <w:rFonts w:ascii="Arial" w:hAnsi="Arial" w:cs="Arial"/>
        </w:rPr>
        <w:t xml:space="preserve"> preparedness.  </w:t>
      </w:r>
    </w:p>
    <w:p w:rsidR="00DF0DF5" w:rsidRPr="009E0600" w:rsidRDefault="00DF0DF5" w:rsidP="00DF0DF5">
      <w:pPr>
        <w:jc w:val="both"/>
        <w:rPr>
          <w:rFonts w:ascii="Arial" w:hAnsi="Arial" w:cs="Arial"/>
        </w:rPr>
      </w:pPr>
    </w:p>
    <w:p w:rsidR="00DF0DF5" w:rsidRPr="009E0600" w:rsidRDefault="00DF0DF5" w:rsidP="00DF0DF5">
      <w:pPr>
        <w:pStyle w:val="BodyText2"/>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hAnsi="Arial" w:cs="Arial"/>
          <w:b/>
          <w:lang w:eastAsia="en-GB"/>
        </w:rPr>
      </w:pPr>
      <w:r w:rsidRPr="009E0600">
        <w:rPr>
          <w:rFonts w:ascii="Arial" w:hAnsi="Arial" w:cs="Arial"/>
          <w:b/>
          <w:lang w:eastAsia="en-GB"/>
        </w:rPr>
        <w:t xml:space="preserve">2. </w:t>
      </w:r>
      <w:r w:rsidRPr="009E0600">
        <w:rPr>
          <w:rFonts w:ascii="Arial" w:hAnsi="Arial" w:cs="Arial"/>
          <w:b/>
          <w:lang w:eastAsia="en-GB"/>
        </w:rPr>
        <w:tab/>
        <w:t xml:space="preserve">Background </w:t>
      </w:r>
    </w:p>
    <w:p w:rsidR="00DF0DF5" w:rsidRPr="009E0600" w:rsidRDefault="00DF0DF5" w:rsidP="00DF0DF5">
      <w:pPr>
        <w:rPr>
          <w:rFonts w:ascii="Arial" w:hAnsi="Arial" w:cs="Arial"/>
          <w:b/>
        </w:rPr>
      </w:pPr>
    </w:p>
    <w:p w:rsidR="00DF0DF5" w:rsidRPr="009E0600" w:rsidRDefault="00DF0DF5" w:rsidP="003A612E">
      <w:pPr>
        <w:rPr>
          <w:rFonts w:ascii="Arial" w:hAnsi="Arial" w:cs="Arial"/>
        </w:rPr>
      </w:pPr>
      <w:r w:rsidRPr="009E0600">
        <w:rPr>
          <w:rFonts w:ascii="Arial" w:hAnsi="Arial" w:cs="Arial"/>
        </w:rPr>
        <w:t xml:space="preserve">Following discussion at the August SMT on the EU Withdrawal Checklist the Nurse Director is acting as Executive Lead supported by the Head of Corporate Affairs and Communications and the Head of Clinical Governance operationally.  A risk has been added to the Board risk register relating to the potential impact of </w:t>
      </w:r>
      <w:proofErr w:type="spellStart"/>
      <w:r w:rsidRPr="009E0600">
        <w:rPr>
          <w:rFonts w:ascii="Arial" w:hAnsi="Arial" w:cs="Arial"/>
        </w:rPr>
        <w:t>Brexit</w:t>
      </w:r>
      <w:proofErr w:type="spellEnd"/>
      <w:r w:rsidRPr="009E0600">
        <w:rPr>
          <w:rFonts w:ascii="Arial" w:hAnsi="Arial" w:cs="Arial"/>
        </w:rPr>
        <w:t xml:space="preserve"> on our ability to deliver the corporate objectives.  Assessments undertaken have highlighted the key areas of focus as:</w:t>
      </w:r>
    </w:p>
    <w:p w:rsidR="00DF0DF5" w:rsidRPr="009E0600" w:rsidRDefault="00DF0DF5" w:rsidP="003A612E">
      <w:pPr>
        <w:rPr>
          <w:rFonts w:ascii="Arial" w:hAnsi="Arial" w:cs="Arial"/>
        </w:rPr>
      </w:pPr>
    </w:p>
    <w:p w:rsidR="00DF0DF5" w:rsidRPr="009E0600" w:rsidRDefault="00DF0DF5" w:rsidP="003A612E">
      <w:pPr>
        <w:numPr>
          <w:ilvl w:val="0"/>
          <w:numId w:val="19"/>
        </w:numPr>
        <w:rPr>
          <w:rFonts w:ascii="Arial" w:hAnsi="Arial" w:cs="Arial"/>
        </w:rPr>
      </w:pPr>
      <w:r w:rsidRPr="009E0600">
        <w:rPr>
          <w:rFonts w:ascii="Arial" w:hAnsi="Arial" w:cs="Arial"/>
        </w:rPr>
        <w:t>Procurement (including medical equipment)</w:t>
      </w:r>
    </w:p>
    <w:p w:rsidR="00DF0DF5" w:rsidRPr="009E0600" w:rsidRDefault="00DF0DF5" w:rsidP="003A612E">
      <w:pPr>
        <w:numPr>
          <w:ilvl w:val="0"/>
          <w:numId w:val="19"/>
        </w:numPr>
        <w:rPr>
          <w:rFonts w:ascii="Arial" w:hAnsi="Arial" w:cs="Arial"/>
        </w:rPr>
      </w:pPr>
      <w:r w:rsidRPr="009E0600">
        <w:rPr>
          <w:rFonts w:ascii="Arial" w:hAnsi="Arial" w:cs="Arial"/>
        </w:rPr>
        <w:t xml:space="preserve">Supply of medicines </w:t>
      </w:r>
    </w:p>
    <w:p w:rsidR="00DF0DF5" w:rsidRPr="009E0600" w:rsidRDefault="00DF0DF5" w:rsidP="003A612E">
      <w:pPr>
        <w:numPr>
          <w:ilvl w:val="0"/>
          <w:numId w:val="19"/>
        </w:numPr>
        <w:rPr>
          <w:rFonts w:ascii="Arial" w:hAnsi="Arial" w:cs="Arial"/>
        </w:rPr>
      </w:pPr>
      <w:r w:rsidRPr="009E0600">
        <w:rPr>
          <w:rFonts w:ascii="Arial" w:hAnsi="Arial" w:cs="Arial"/>
        </w:rPr>
        <w:t xml:space="preserve">Workforce </w:t>
      </w:r>
    </w:p>
    <w:p w:rsidR="00DF0DF5" w:rsidRPr="009E0600" w:rsidRDefault="00DF0DF5" w:rsidP="003A612E">
      <w:pPr>
        <w:numPr>
          <w:ilvl w:val="0"/>
          <w:numId w:val="19"/>
        </w:numPr>
        <w:rPr>
          <w:rFonts w:ascii="Arial" w:hAnsi="Arial" w:cs="Arial"/>
        </w:rPr>
      </w:pPr>
      <w:r w:rsidRPr="009E0600">
        <w:rPr>
          <w:rFonts w:ascii="Arial" w:hAnsi="Arial" w:cs="Arial"/>
        </w:rPr>
        <w:t xml:space="preserve">Finance </w:t>
      </w:r>
    </w:p>
    <w:p w:rsidR="00DF0DF5" w:rsidRPr="009E0600" w:rsidRDefault="00DF0DF5" w:rsidP="003A612E">
      <w:pPr>
        <w:numPr>
          <w:ilvl w:val="0"/>
          <w:numId w:val="19"/>
        </w:numPr>
        <w:rPr>
          <w:rFonts w:ascii="Arial" w:hAnsi="Arial" w:cs="Arial"/>
        </w:rPr>
      </w:pPr>
      <w:r w:rsidRPr="009E0600">
        <w:rPr>
          <w:rFonts w:ascii="Arial" w:hAnsi="Arial" w:cs="Arial"/>
        </w:rPr>
        <w:t>R&amp;D</w:t>
      </w:r>
    </w:p>
    <w:p w:rsidR="00DF0DF5" w:rsidRPr="009E0600" w:rsidRDefault="00DF0DF5" w:rsidP="003A612E">
      <w:pPr>
        <w:numPr>
          <w:ilvl w:val="0"/>
          <w:numId w:val="19"/>
        </w:numPr>
        <w:rPr>
          <w:rFonts w:ascii="Arial" w:hAnsi="Arial" w:cs="Arial"/>
        </w:rPr>
      </w:pPr>
      <w:r w:rsidRPr="009E0600">
        <w:rPr>
          <w:rFonts w:ascii="Arial" w:hAnsi="Arial" w:cs="Arial"/>
        </w:rPr>
        <w:t xml:space="preserve">Regulatory (e.g. MHRA, Information Governance, legislation) </w:t>
      </w:r>
    </w:p>
    <w:p w:rsidR="00DF0DF5" w:rsidRPr="009E0600" w:rsidRDefault="00DF0DF5" w:rsidP="003A612E">
      <w:pPr>
        <w:rPr>
          <w:rFonts w:ascii="Arial" w:hAnsi="Arial" w:cs="Arial"/>
        </w:rPr>
      </w:pPr>
    </w:p>
    <w:p w:rsidR="00DF0DF5" w:rsidRPr="009E0600" w:rsidRDefault="00DF0DF5" w:rsidP="003A612E">
      <w:pPr>
        <w:rPr>
          <w:rFonts w:ascii="Arial" w:hAnsi="Arial" w:cs="Arial"/>
        </w:rPr>
      </w:pPr>
      <w:r w:rsidRPr="009E0600">
        <w:rPr>
          <w:rFonts w:ascii="Arial" w:hAnsi="Arial" w:cs="Arial"/>
        </w:rPr>
        <w:t xml:space="preserve">A meeting was held in January with key leads from above areas invited to review the current preparedness. </w:t>
      </w:r>
    </w:p>
    <w:p w:rsidR="00DF0DF5" w:rsidRPr="009E0600" w:rsidRDefault="00DF0DF5" w:rsidP="00DF0DF5">
      <w:pPr>
        <w:ind w:left="180"/>
        <w:jc w:val="both"/>
        <w:rPr>
          <w:rFonts w:ascii="Arial" w:hAnsi="Arial" w:cs="Arial"/>
        </w:rPr>
      </w:pPr>
    </w:p>
    <w:p w:rsidR="00DF0DF5" w:rsidRPr="009E0600" w:rsidRDefault="00DF0DF5" w:rsidP="00DF0DF5">
      <w:pPr>
        <w:pStyle w:val="BodyText2"/>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hAnsi="Arial" w:cs="Arial"/>
          <w:b/>
          <w:lang w:eastAsia="en-GB"/>
        </w:rPr>
      </w:pPr>
      <w:r w:rsidRPr="009E0600">
        <w:rPr>
          <w:rFonts w:ascii="Arial" w:hAnsi="Arial" w:cs="Arial"/>
          <w:b/>
          <w:lang w:eastAsia="en-GB"/>
        </w:rPr>
        <w:t xml:space="preserve">3. </w:t>
      </w:r>
      <w:r w:rsidRPr="009E0600">
        <w:rPr>
          <w:rFonts w:ascii="Arial" w:hAnsi="Arial" w:cs="Arial"/>
          <w:b/>
          <w:lang w:eastAsia="en-GB"/>
        </w:rPr>
        <w:tab/>
        <w:t xml:space="preserve"> Assessment </w:t>
      </w:r>
    </w:p>
    <w:p w:rsidR="00DF0DF5" w:rsidRPr="009E0600" w:rsidRDefault="00DF0DF5" w:rsidP="00DF0DF5">
      <w:pPr>
        <w:rPr>
          <w:rFonts w:ascii="Arial" w:hAnsi="Arial" w:cs="Arial"/>
        </w:rPr>
      </w:pPr>
    </w:p>
    <w:p w:rsidR="00DF0DF5" w:rsidRPr="009E0600" w:rsidRDefault="00DF0DF5" w:rsidP="003A612E">
      <w:pPr>
        <w:rPr>
          <w:rFonts w:ascii="Arial" w:hAnsi="Arial" w:cs="Arial"/>
        </w:rPr>
      </w:pPr>
      <w:r w:rsidRPr="009E0600">
        <w:rPr>
          <w:rFonts w:ascii="Arial" w:hAnsi="Arial" w:cs="Arial"/>
        </w:rPr>
        <w:t xml:space="preserve">Assurances were given that leads for the above areas are linked into relevant national discussions in relation to preparations.   Much of the planning is being led on a UK basis and the biggest concern is still the unknown given the current position however preparations are being made in the event of a no deal.    </w:t>
      </w:r>
    </w:p>
    <w:p w:rsidR="00DF0DF5" w:rsidRPr="009E0600" w:rsidRDefault="00DF0DF5" w:rsidP="003A612E">
      <w:pPr>
        <w:rPr>
          <w:rFonts w:ascii="Arial" w:hAnsi="Arial" w:cs="Arial"/>
        </w:rPr>
      </w:pPr>
    </w:p>
    <w:p w:rsidR="00DF0DF5" w:rsidRPr="009E0600" w:rsidRDefault="00722F08" w:rsidP="003A612E">
      <w:pPr>
        <w:rPr>
          <w:rFonts w:ascii="Arial" w:hAnsi="Arial" w:cs="Arial"/>
          <w:b/>
        </w:rPr>
      </w:pPr>
      <w:r w:rsidRPr="00722F08">
        <w:rPr>
          <w:rFonts w:ascii="Arial" w:hAnsi="Arial" w:cs="Arial"/>
          <w:b/>
        </w:rPr>
        <w:t>People</w:t>
      </w:r>
    </w:p>
    <w:p w:rsidR="00DF0DF5" w:rsidRPr="009E0600" w:rsidRDefault="00DF0DF5" w:rsidP="003A612E">
      <w:pPr>
        <w:rPr>
          <w:rFonts w:ascii="Arial" w:hAnsi="Arial" w:cs="Arial"/>
          <w:b/>
          <w:u w:val="single"/>
        </w:rPr>
      </w:pPr>
    </w:p>
    <w:p w:rsidR="00DF0DF5" w:rsidRDefault="00DF0DF5" w:rsidP="003A612E">
      <w:pPr>
        <w:rPr>
          <w:rFonts w:ascii="Arial" w:hAnsi="Arial" w:cs="Arial"/>
          <w:b/>
        </w:rPr>
      </w:pPr>
      <w:r w:rsidRPr="009E0600">
        <w:rPr>
          <w:rFonts w:ascii="Arial" w:hAnsi="Arial" w:cs="Arial"/>
          <w:b/>
        </w:rPr>
        <w:t>How are we communicating with staff about the potential impact of EU Withdrawal?</w:t>
      </w:r>
    </w:p>
    <w:p w:rsidR="009E0600" w:rsidRPr="009E0600" w:rsidRDefault="009E0600" w:rsidP="003A612E">
      <w:pPr>
        <w:rPr>
          <w:rFonts w:ascii="Arial" w:hAnsi="Arial" w:cs="Arial"/>
          <w:b/>
        </w:rPr>
      </w:pPr>
    </w:p>
    <w:p w:rsidR="00DF0DF5" w:rsidRPr="009E0600" w:rsidRDefault="00DF0DF5" w:rsidP="003A612E">
      <w:pPr>
        <w:rPr>
          <w:rFonts w:ascii="Arial" w:hAnsi="Arial" w:cs="Arial"/>
        </w:rPr>
      </w:pPr>
      <w:r w:rsidRPr="009E0600">
        <w:rPr>
          <w:rFonts w:ascii="Arial" w:hAnsi="Arial" w:cs="Arial"/>
        </w:rPr>
        <w:t xml:space="preserve">A Short Life Working Group has been commissioned via Human resource to provide information and support to staff affected by </w:t>
      </w:r>
      <w:proofErr w:type="spellStart"/>
      <w:r w:rsidRPr="009E0600">
        <w:rPr>
          <w:rFonts w:ascii="Arial" w:hAnsi="Arial" w:cs="Arial"/>
        </w:rPr>
        <w:t>Brexit</w:t>
      </w:r>
      <w:proofErr w:type="spellEnd"/>
      <w:r w:rsidRPr="009E0600">
        <w:rPr>
          <w:rFonts w:ascii="Arial" w:hAnsi="Arial" w:cs="Arial"/>
        </w:rPr>
        <w:t xml:space="preserve">.  A specific page has been set up on </w:t>
      </w:r>
      <w:proofErr w:type="spellStart"/>
      <w:r w:rsidRPr="009E0600">
        <w:rPr>
          <w:rFonts w:ascii="Arial" w:hAnsi="Arial" w:cs="Arial"/>
        </w:rPr>
        <w:t>StaffNet</w:t>
      </w:r>
      <w:proofErr w:type="spellEnd"/>
      <w:r w:rsidRPr="009E0600">
        <w:rPr>
          <w:rFonts w:ascii="Arial" w:hAnsi="Arial" w:cs="Arial"/>
        </w:rPr>
        <w:t xml:space="preserve"> to share information with staff.  </w:t>
      </w:r>
    </w:p>
    <w:p w:rsidR="00DF0DF5" w:rsidRPr="009E0600" w:rsidRDefault="00DF0DF5" w:rsidP="003A612E">
      <w:pPr>
        <w:rPr>
          <w:rFonts w:ascii="Arial" w:hAnsi="Arial" w:cs="Arial"/>
          <w:b/>
        </w:rPr>
      </w:pPr>
    </w:p>
    <w:p w:rsidR="00DF0DF5" w:rsidRDefault="00DF0DF5" w:rsidP="003A612E">
      <w:pPr>
        <w:rPr>
          <w:rFonts w:ascii="Arial" w:hAnsi="Arial" w:cs="Arial"/>
          <w:b/>
        </w:rPr>
      </w:pPr>
      <w:r w:rsidRPr="009E0600">
        <w:rPr>
          <w:rFonts w:ascii="Arial" w:hAnsi="Arial" w:cs="Arial"/>
          <w:b/>
        </w:rPr>
        <w:t>Which parts of the workforce are most at risk from EU Withdrawal?</w:t>
      </w:r>
    </w:p>
    <w:p w:rsidR="009E0600" w:rsidRPr="009E0600" w:rsidRDefault="009E0600" w:rsidP="003A612E">
      <w:pPr>
        <w:rPr>
          <w:rFonts w:ascii="Arial" w:hAnsi="Arial" w:cs="Arial"/>
          <w:b/>
        </w:rPr>
      </w:pPr>
    </w:p>
    <w:p w:rsidR="00DF0DF5" w:rsidRDefault="00DF0DF5" w:rsidP="003A612E">
      <w:pPr>
        <w:rPr>
          <w:rFonts w:ascii="Arial" w:hAnsi="Arial" w:cs="Arial"/>
        </w:rPr>
      </w:pPr>
      <w:r w:rsidRPr="009E0600">
        <w:rPr>
          <w:rFonts w:ascii="Arial" w:hAnsi="Arial" w:cs="Arial"/>
        </w:rPr>
        <w:t xml:space="preserve">To date there are challenges in identifying the actual number of staff potentially impacted – only 30 staff have formally identified themselves as EU27 however we know this figure is higher.  Areas of potential risk have been flagged within housekeeping services and medical staffing.  Work is ongoing to better quantify this and consider the longer term workforce impact.  </w:t>
      </w:r>
    </w:p>
    <w:p w:rsidR="009E0600" w:rsidRDefault="009E0600" w:rsidP="003A612E">
      <w:pPr>
        <w:rPr>
          <w:rFonts w:ascii="Arial" w:hAnsi="Arial" w:cs="Arial"/>
        </w:rPr>
      </w:pPr>
    </w:p>
    <w:p w:rsidR="009E0600" w:rsidRPr="009E0600" w:rsidRDefault="009E0600" w:rsidP="003A612E">
      <w:pPr>
        <w:rPr>
          <w:rFonts w:ascii="Arial" w:hAnsi="Arial" w:cs="Arial"/>
        </w:rPr>
      </w:pPr>
    </w:p>
    <w:p w:rsidR="00DF0DF5" w:rsidRPr="009E0600" w:rsidRDefault="00DF0DF5" w:rsidP="003A612E">
      <w:pPr>
        <w:rPr>
          <w:rFonts w:ascii="Arial" w:hAnsi="Arial" w:cs="Arial"/>
          <w:b/>
        </w:rPr>
      </w:pPr>
    </w:p>
    <w:p w:rsidR="00DF0DF5" w:rsidRDefault="00DF0DF5" w:rsidP="003A612E">
      <w:pPr>
        <w:rPr>
          <w:rFonts w:ascii="Arial" w:hAnsi="Arial" w:cs="Arial"/>
          <w:b/>
        </w:rPr>
      </w:pPr>
      <w:r w:rsidRPr="009E0600">
        <w:rPr>
          <w:rFonts w:ascii="Arial" w:hAnsi="Arial" w:cs="Arial"/>
          <w:b/>
        </w:rPr>
        <w:lastRenderedPageBreak/>
        <w:t xml:space="preserve">How are we reflecting the implications in our long-term workforce planning? </w:t>
      </w:r>
    </w:p>
    <w:p w:rsidR="009E0600" w:rsidRPr="009E0600" w:rsidRDefault="009E0600" w:rsidP="003A612E">
      <w:pPr>
        <w:rPr>
          <w:rFonts w:ascii="Arial" w:hAnsi="Arial" w:cs="Arial"/>
          <w:b/>
        </w:rPr>
      </w:pPr>
    </w:p>
    <w:p w:rsidR="00DF0DF5" w:rsidRPr="009E0600" w:rsidRDefault="00DF0DF5" w:rsidP="003A612E">
      <w:pPr>
        <w:rPr>
          <w:rFonts w:ascii="Arial" w:hAnsi="Arial" w:cs="Arial"/>
        </w:rPr>
      </w:pPr>
      <w:r w:rsidRPr="009E0600">
        <w:rPr>
          <w:rFonts w:ascii="Arial" w:hAnsi="Arial" w:cs="Arial"/>
        </w:rPr>
        <w:t xml:space="preserve">Whilst there is work specifically underway it is important the longer term impacts are considered in wider workforce planning; with the expansion being one area of potential risk.  In terms of the response to the challenges; there is work at a regional and national level to support the management of some of these issues e.g. regional appointments in addition to local workforce plans and actions.  Detailed work force plans are in development at present.  </w:t>
      </w:r>
    </w:p>
    <w:p w:rsidR="00DF0DF5" w:rsidRPr="009E0600" w:rsidRDefault="00DF0DF5" w:rsidP="003A612E">
      <w:pPr>
        <w:rPr>
          <w:rFonts w:ascii="Arial" w:hAnsi="Arial" w:cs="Arial"/>
          <w:b/>
          <w:u w:val="single"/>
        </w:rPr>
      </w:pPr>
    </w:p>
    <w:p w:rsidR="00DF0DF5" w:rsidRPr="009E0600" w:rsidRDefault="00722F08" w:rsidP="003A612E">
      <w:pPr>
        <w:rPr>
          <w:rFonts w:ascii="Arial" w:hAnsi="Arial" w:cs="Arial"/>
          <w:b/>
        </w:rPr>
      </w:pPr>
      <w:r w:rsidRPr="00722F08">
        <w:rPr>
          <w:rFonts w:ascii="Arial" w:hAnsi="Arial" w:cs="Arial"/>
          <w:b/>
        </w:rPr>
        <w:t xml:space="preserve">Financial </w:t>
      </w:r>
    </w:p>
    <w:p w:rsidR="00DF0DF5" w:rsidRPr="009E0600" w:rsidRDefault="00DF0DF5" w:rsidP="003A612E">
      <w:pPr>
        <w:rPr>
          <w:rFonts w:ascii="Arial" w:hAnsi="Arial" w:cs="Arial"/>
          <w:b/>
        </w:rPr>
      </w:pPr>
    </w:p>
    <w:p w:rsidR="00DF0DF5" w:rsidRDefault="00DF0DF5" w:rsidP="003A612E">
      <w:pPr>
        <w:rPr>
          <w:rFonts w:ascii="Arial" w:hAnsi="Arial" w:cs="Arial"/>
          <w:b/>
        </w:rPr>
      </w:pPr>
      <w:r w:rsidRPr="009E0600">
        <w:rPr>
          <w:rFonts w:ascii="Arial" w:hAnsi="Arial" w:cs="Arial"/>
          <w:b/>
        </w:rPr>
        <w:t>How are we reflecting the implications of EU withdrawal in our long-term financial planning?</w:t>
      </w:r>
    </w:p>
    <w:p w:rsidR="009E0600" w:rsidRPr="009E0600" w:rsidRDefault="009E0600" w:rsidP="003A612E">
      <w:pPr>
        <w:rPr>
          <w:rFonts w:ascii="Arial" w:hAnsi="Arial" w:cs="Arial"/>
          <w:b/>
        </w:rPr>
      </w:pPr>
    </w:p>
    <w:p w:rsidR="00DF0DF5" w:rsidRPr="009E0600" w:rsidRDefault="00DF0DF5" w:rsidP="003A612E">
      <w:pPr>
        <w:rPr>
          <w:rFonts w:ascii="Arial" w:hAnsi="Arial" w:cs="Arial"/>
        </w:rPr>
      </w:pPr>
      <w:r w:rsidRPr="009E0600">
        <w:rPr>
          <w:rFonts w:ascii="Arial" w:hAnsi="Arial" w:cs="Arial"/>
        </w:rPr>
        <w:t>Finance is working to identify both in current and next financial year the cost implications of price increases incurred as a direct result of EU withdrawal.   This will include cost implications from procurement perspective of which the details is not known at present.   In addition to this, from a short-term financial planning perspective we are identifying pharmacy and supplies inflation increases associated with this and linking into discussion with the Corporate Finance network to ensure a consistent level of approach in what we are assuming.</w:t>
      </w:r>
    </w:p>
    <w:p w:rsidR="00DF0DF5" w:rsidRDefault="00DF0DF5" w:rsidP="003A612E">
      <w:pPr>
        <w:rPr>
          <w:rFonts w:ascii="Arial" w:hAnsi="Arial" w:cs="Arial"/>
          <w:b/>
          <w:u w:val="single"/>
        </w:rPr>
      </w:pPr>
    </w:p>
    <w:p w:rsidR="009E0600" w:rsidRPr="009E0600" w:rsidRDefault="009E0600" w:rsidP="003A612E">
      <w:pPr>
        <w:rPr>
          <w:rFonts w:ascii="Arial" w:hAnsi="Arial" w:cs="Arial"/>
          <w:b/>
          <w:u w:val="single"/>
        </w:rPr>
      </w:pPr>
    </w:p>
    <w:p w:rsidR="00DF0DF5" w:rsidRPr="009E0600" w:rsidRDefault="00722F08" w:rsidP="003A612E">
      <w:pPr>
        <w:rPr>
          <w:rFonts w:ascii="Arial" w:hAnsi="Arial" w:cs="Arial"/>
          <w:b/>
        </w:rPr>
      </w:pPr>
      <w:r w:rsidRPr="00722F08">
        <w:rPr>
          <w:rFonts w:ascii="Arial" w:hAnsi="Arial" w:cs="Arial"/>
          <w:b/>
        </w:rPr>
        <w:t xml:space="preserve">Medicine and Medical Supplies </w:t>
      </w:r>
    </w:p>
    <w:p w:rsidR="00DF0DF5" w:rsidRPr="009E0600" w:rsidRDefault="00DF0DF5" w:rsidP="003A612E">
      <w:pPr>
        <w:rPr>
          <w:rFonts w:ascii="Arial" w:hAnsi="Arial" w:cs="Arial"/>
          <w:b/>
        </w:rPr>
      </w:pPr>
    </w:p>
    <w:p w:rsidR="00DF0DF5" w:rsidRDefault="00DF0DF5" w:rsidP="003A612E">
      <w:pPr>
        <w:rPr>
          <w:rFonts w:ascii="Arial" w:hAnsi="Arial" w:cs="Arial"/>
          <w:b/>
        </w:rPr>
      </w:pPr>
      <w:r w:rsidRPr="009E0600">
        <w:rPr>
          <w:rFonts w:ascii="Arial" w:hAnsi="Arial" w:cs="Arial"/>
          <w:b/>
        </w:rPr>
        <w:t xml:space="preserve">What arrangements have been made to secure delivery of medicines and medical supplies? </w:t>
      </w:r>
    </w:p>
    <w:p w:rsidR="009E0600" w:rsidRPr="009E0600" w:rsidRDefault="009E0600" w:rsidP="003A612E">
      <w:pPr>
        <w:rPr>
          <w:rFonts w:ascii="Arial" w:hAnsi="Arial" w:cs="Arial"/>
          <w:b/>
        </w:rPr>
      </w:pPr>
    </w:p>
    <w:p w:rsidR="00DF0DF5" w:rsidRPr="009E0600" w:rsidRDefault="00DF0DF5" w:rsidP="003A612E">
      <w:pPr>
        <w:rPr>
          <w:rFonts w:ascii="Arial" w:hAnsi="Arial" w:cs="Arial"/>
        </w:rPr>
      </w:pPr>
      <w:r w:rsidRPr="009E0600">
        <w:rPr>
          <w:rFonts w:ascii="Arial" w:hAnsi="Arial" w:cs="Arial"/>
        </w:rPr>
        <w:t xml:space="preserve">Over two thirds of our medicines and supplies are from outwith the UK, with the majority of these within the EU.  The UK and Scottish Government have been leading work nationally to prepare contingencies for the event of a no deal.  In response to this suppliers have been asked to increase stock levels within the UK to ensure a minimum of 6 weeks supply within the UK; with warehouse space provided to support this.  To mitigate delays on goods coming into the country contingency </w:t>
      </w:r>
      <w:r w:rsidRPr="009E0600">
        <w:rPr>
          <w:rFonts w:ascii="Arial" w:hAnsi="Arial" w:cs="Arial"/>
          <w:shd w:val="clear" w:color="auto" w:fill="FFFFFF"/>
        </w:rPr>
        <w:t>arrangements are being made for dedicated supply routes (sea and air freight)</w:t>
      </w:r>
      <w:r w:rsidRPr="009E0600">
        <w:rPr>
          <w:rFonts w:ascii="Arial" w:hAnsi="Arial" w:cs="Arial"/>
        </w:rPr>
        <w:t xml:space="preserve">; e.g. short life medicines will be delivered via air.    Our Head of Procurement has confirmed that over 90% of our contracts are via national procurement and covered by these contingency arrangements with no areas to escalate as a concern.  The hotel has locally sourced contracts for key supplies and no issues to highlight from them at present.  </w:t>
      </w:r>
    </w:p>
    <w:p w:rsidR="00DF0DF5" w:rsidRPr="009E0600" w:rsidRDefault="00DF0DF5" w:rsidP="003A612E">
      <w:pPr>
        <w:rPr>
          <w:rFonts w:ascii="Arial" w:hAnsi="Arial" w:cs="Arial"/>
          <w:shd w:val="clear" w:color="auto" w:fill="FFFFFF"/>
        </w:rPr>
      </w:pPr>
    </w:p>
    <w:p w:rsidR="00DF0DF5" w:rsidRPr="009E0600" w:rsidRDefault="00DF0DF5" w:rsidP="003A612E">
      <w:pPr>
        <w:rPr>
          <w:rFonts w:ascii="Arial" w:hAnsi="Arial" w:cs="Arial"/>
          <w:shd w:val="clear" w:color="auto" w:fill="FFFFFF"/>
        </w:rPr>
      </w:pPr>
      <w:r w:rsidRPr="009E0600">
        <w:rPr>
          <w:rFonts w:ascii="Arial" w:hAnsi="Arial" w:cs="Arial"/>
          <w:shd w:val="clear" w:color="auto" w:fill="FFFFFF"/>
        </w:rPr>
        <w:t xml:space="preserve">Legislation has been laid and is expected to come into force in early February 2019 to enable community pharmacies to dispense an alternative medicine in accordance with a Significant Shortage Protocol (SSP), rather than the prescription, and without having to contact a GP in a significant shortage scenario. The Scottish Government medicines policy team is leading discussions with the Department of Health, supported by a sub-group of the </w:t>
      </w:r>
      <w:proofErr w:type="spellStart"/>
      <w:r w:rsidRPr="009E0600">
        <w:rPr>
          <w:rFonts w:ascii="Arial" w:hAnsi="Arial" w:cs="Arial"/>
          <w:shd w:val="clear" w:color="auto" w:fill="FFFFFF"/>
        </w:rPr>
        <w:t>DoPs</w:t>
      </w:r>
      <w:proofErr w:type="spellEnd"/>
      <w:r w:rsidRPr="009E0600">
        <w:rPr>
          <w:rFonts w:ascii="Arial" w:hAnsi="Arial" w:cs="Arial"/>
          <w:shd w:val="clear" w:color="auto" w:fill="FFFFFF"/>
        </w:rPr>
        <w:t xml:space="preserve"> and NSS. The Chief Pharmaceutical Officer provided a written update, which is appended with more details.    </w:t>
      </w:r>
    </w:p>
    <w:p w:rsidR="00DF0DF5" w:rsidRPr="009E0600" w:rsidRDefault="00DF0DF5" w:rsidP="003A612E">
      <w:pPr>
        <w:rPr>
          <w:rFonts w:ascii="Arial" w:hAnsi="Arial" w:cs="Arial"/>
        </w:rPr>
      </w:pPr>
    </w:p>
    <w:p w:rsidR="00DF0DF5" w:rsidRPr="009E0600" w:rsidRDefault="00DF0DF5" w:rsidP="003A612E">
      <w:pPr>
        <w:rPr>
          <w:rFonts w:ascii="Arial" w:hAnsi="Arial" w:cs="Arial"/>
        </w:rPr>
      </w:pPr>
      <w:r w:rsidRPr="009E0600">
        <w:rPr>
          <w:rFonts w:ascii="Arial" w:hAnsi="Arial" w:cs="Arial"/>
        </w:rPr>
        <w:lastRenderedPageBreak/>
        <w:t xml:space="preserve">Locally there has been review of processes for dealing with medicines shortages and work is ongoing to ensure our stock management is as tight as possible. All boards have been advised not to increase medicine stock holdings as this could cause shortages in other areas. In terms of medical devices; supplies of parts are required to support maintenance of equipment however given the sheer range and number of parts involved it is not possible to boost local supply so there may be delays to maintenance/ repair of items whilst parts are awaited however contingencies are in place around key pieces of equipment.  </w:t>
      </w:r>
    </w:p>
    <w:p w:rsidR="00DF0DF5" w:rsidRPr="009E0600" w:rsidRDefault="00DF0DF5" w:rsidP="003A612E">
      <w:pPr>
        <w:rPr>
          <w:rFonts w:ascii="Arial" w:hAnsi="Arial" w:cs="Arial"/>
          <w:b/>
        </w:rPr>
      </w:pPr>
    </w:p>
    <w:p w:rsidR="00DF0DF5" w:rsidRDefault="00DF0DF5" w:rsidP="003A612E">
      <w:pPr>
        <w:rPr>
          <w:rFonts w:ascii="Arial" w:hAnsi="Arial" w:cs="Arial"/>
          <w:b/>
        </w:rPr>
      </w:pPr>
      <w:r w:rsidRPr="009E0600">
        <w:rPr>
          <w:rFonts w:ascii="Arial" w:hAnsi="Arial" w:cs="Arial"/>
          <w:b/>
        </w:rPr>
        <w:t xml:space="preserve">What arrangements are in place to support supply and delivery of other goods/ supplies? </w:t>
      </w:r>
    </w:p>
    <w:p w:rsidR="009E0600" w:rsidRPr="009E0600" w:rsidRDefault="009E0600" w:rsidP="003A612E">
      <w:pPr>
        <w:rPr>
          <w:rFonts w:ascii="Arial" w:hAnsi="Arial" w:cs="Arial"/>
          <w:b/>
        </w:rPr>
      </w:pPr>
    </w:p>
    <w:p w:rsidR="00DF0DF5" w:rsidRPr="009E0600" w:rsidRDefault="00DF0DF5" w:rsidP="003A612E">
      <w:pPr>
        <w:rPr>
          <w:rFonts w:ascii="Arial" w:hAnsi="Arial" w:cs="Arial"/>
        </w:rPr>
      </w:pPr>
      <w:r w:rsidRPr="009E0600">
        <w:rPr>
          <w:rFonts w:ascii="Arial" w:hAnsi="Arial" w:cs="Arial"/>
        </w:rPr>
        <w:t xml:space="preserve">Similar to above, UK and Scottish Government have been supporting work with suppliers contacted and ask to increase UK supplies.  </w:t>
      </w:r>
    </w:p>
    <w:p w:rsidR="00DF0DF5" w:rsidRPr="009E0600" w:rsidRDefault="00DF0DF5" w:rsidP="003A612E">
      <w:pPr>
        <w:rPr>
          <w:rFonts w:ascii="Arial" w:hAnsi="Arial" w:cs="Arial"/>
        </w:rPr>
      </w:pPr>
    </w:p>
    <w:p w:rsidR="00DF0DF5" w:rsidRPr="009E0600" w:rsidRDefault="00DF0DF5" w:rsidP="003A612E">
      <w:pPr>
        <w:rPr>
          <w:rFonts w:ascii="Arial" w:hAnsi="Arial" w:cs="Arial"/>
        </w:rPr>
      </w:pPr>
      <w:r w:rsidRPr="009E0600">
        <w:rPr>
          <w:rFonts w:ascii="Arial" w:hAnsi="Arial" w:cs="Arial"/>
        </w:rPr>
        <w:t xml:space="preserve">Procurement </w:t>
      </w:r>
      <w:proofErr w:type="gramStart"/>
      <w:r w:rsidRPr="009E0600">
        <w:rPr>
          <w:rFonts w:ascii="Arial" w:hAnsi="Arial" w:cs="Arial"/>
        </w:rPr>
        <w:t>have</w:t>
      </w:r>
      <w:proofErr w:type="gramEnd"/>
      <w:r w:rsidRPr="009E0600">
        <w:rPr>
          <w:rFonts w:ascii="Arial" w:hAnsi="Arial" w:cs="Arial"/>
        </w:rPr>
        <w:t xml:space="preserve"> been working to review suppliers; over 70% of our supplies are outwith UK and potentially affected.  Contact is being made with all suppliers to confirm their contingency arrangements and where required to consider alternative more local suppliers that can support requirements. (</w:t>
      </w:r>
      <w:proofErr w:type="gramStart"/>
      <w:r w:rsidRPr="009E0600">
        <w:rPr>
          <w:rFonts w:ascii="Arial" w:hAnsi="Arial" w:cs="Arial"/>
        </w:rPr>
        <w:t>more</w:t>
      </w:r>
      <w:proofErr w:type="gramEnd"/>
      <w:r w:rsidRPr="009E0600">
        <w:rPr>
          <w:rFonts w:ascii="Arial" w:hAnsi="Arial" w:cs="Arial"/>
        </w:rPr>
        <w:t xml:space="preserve"> info awaited from BL) </w:t>
      </w:r>
    </w:p>
    <w:p w:rsidR="00DF0DF5" w:rsidRDefault="00DF0DF5" w:rsidP="003A612E">
      <w:pPr>
        <w:outlineLvl w:val="0"/>
        <w:rPr>
          <w:rFonts w:ascii="Arial" w:hAnsi="Arial" w:cs="Arial"/>
          <w:u w:val="single"/>
        </w:rPr>
      </w:pPr>
    </w:p>
    <w:p w:rsidR="008444E1" w:rsidRPr="009E0600" w:rsidRDefault="008444E1" w:rsidP="003A612E">
      <w:pPr>
        <w:outlineLvl w:val="0"/>
        <w:rPr>
          <w:rFonts w:ascii="Arial" w:hAnsi="Arial" w:cs="Arial"/>
          <w:u w:val="single"/>
        </w:rPr>
      </w:pPr>
    </w:p>
    <w:p w:rsidR="00DF0DF5" w:rsidRPr="009E0600" w:rsidRDefault="00722F08" w:rsidP="003A612E">
      <w:pPr>
        <w:outlineLvl w:val="0"/>
        <w:rPr>
          <w:rFonts w:ascii="Arial" w:hAnsi="Arial" w:cs="Arial"/>
          <w:b/>
        </w:rPr>
      </w:pPr>
      <w:r w:rsidRPr="00722F08">
        <w:rPr>
          <w:rFonts w:ascii="Arial" w:hAnsi="Arial" w:cs="Arial"/>
          <w:b/>
        </w:rPr>
        <w:t xml:space="preserve">Monitoring of Preparedness &amp; Escalation of any Risks  </w:t>
      </w:r>
    </w:p>
    <w:p w:rsidR="00DF0DF5" w:rsidRPr="009E0600" w:rsidRDefault="00DF0DF5" w:rsidP="003A612E">
      <w:pPr>
        <w:outlineLvl w:val="0"/>
        <w:rPr>
          <w:rFonts w:ascii="Arial" w:hAnsi="Arial" w:cs="Arial"/>
          <w:b/>
          <w:u w:val="single"/>
        </w:rPr>
      </w:pPr>
    </w:p>
    <w:p w:rsidR="00DF0DF5" w:rsidRPr="009E0600" w:rsidRDefault="00DF0DF5" w:rsidP="003A612E">
      <w:pPr>
        <w:outlineLvl w:val="0"/>
        <w:rPr>
          <w:rFonts w:ascii="Arial" w:hAnsi="Arial" w:cs="Arial"/>
        </w:rPr>
      </w:pPr>
      <w:r w:rsidRPr="009E0600">
        <w:rPr>
          <w:rFonts w:ascii="Arial" w:hAnsi="Arial" w:cs="Arial"/>
        </w:rPr>
        <w:t>It is proposed that the SLWG meets with wider Executive Team input in mid February and the first week in March to assess the position and contingency arrangements.  As soon as the arrangements for withdrawal are confirmed (including no deal) there will be firmer plans agreed in relation to further meetings and actions required.  If there are any immediate risks identified then an Extra-Ordinary Strategic Risk Committee will be convened with the required input to discuss and recommend any additional action needed in response with timely communication to the Chair and Board members. At the mid March meeting there will also be agreement on the plans for monitoring post 29</w:t>
      </w:r>
      <w:r w:rsidRPr="009E0600">
        <w:rPr>
          <w:rFonts w:ascii="Arial" w:hAnsi="Arial" w:cs="Arial"/>
          <w:vertAlign w:val="superscript"/>
        </w:rPr>
        <w:t>th</w:t>
      </w:r>
      <w:r w:rsidRPr="009E0600">
        <w:rPr>
          <w:rFonts w:ascii="Arial" w:hAnsi="Arial" w:cs="Arial"/>
        </w:rPr>
        <w:t xml:space="preserve"> March and this will be communicated in a further update.  </w:t>
      </w:r>
    </w:p>
    <w:p w:rsidR="00DF0DF5" w:rsidRDefault="00DF0DF5" w:rsidP="003A612E">
      <w:pPr>
        <w:outlineLvl w:val="0"/>
        <w:rPr>
          <w:rFonts w:ascii="Arial" w:hAnsi="Arial" w:cs="Arial"/>
        </w:rPr>
      </w:pPr>
    </w:p>
    <w:p w:rsidR="008444E1" w:rsidRPr="009E0600" w:rsidRDefault="008444E1" w:rsidP="003A612E">
      <w:pPr>
        <w:outlineLvl w:val="0"/>
        <w:rPr>
          <w:rFonts w:ascii="Arial" w:hAnsi="Arial" w:cs="Arial"/>
        </w:rPr>
      </w:pPr>
    </w:p>
    <w:p w:rsidR="00DF0DF5" w:rsidRDefault="00722F08" w:rsidP="003A612E">
      <w:pPr>
        <w:outlineLvl w:val="0"/>
        <w:rPr>
          <w:rFonts w:ascii="Arial" w:hAnsi="Arial" w:cs="Arial"/>
          <w:b/>
        </w:rPr>
      </w:pPr>
      <w:r w:rsidRPr="00722F08">
        <w:rPr>
          <w:rFonts w:ascii="Arial" w:hAnsi="Arial" w:cs="Arial"/>
          <w:b/>
        </w:rPr>
        <w:t xml:space="preserve">Level of Risk </w:t>
      </w:r>
    </w:p>
    <w:p w:rsidR="009E0600" w:rsidRPr="009E0600" w:rsidRDefault="009E0600" w:rsidP="003A612E">
      <w:pPr>
        <w:outlineLvl w:val="0"/>
        <w:rPr>
          <w:rFonts w:ascii="Arial" w:hAnsi="Arial" w:cs="Arial"/>
          <w:b/>
        </w:rPr>
      </w:pPr>
    </w:p>
    <w:p w:rsidR="00DF0DF5" w:rsidRPr="009E0600" w:rsidRDefault="00DF0DF5" w:rsidP="003A612E">
      <w:pPr>
        <w:outlineLvl w:val="0"/>
        <w:rPr>
          <w:rFonts w:ascii="Arial" w:hAnsi="Arial" w:cs="Arial"/>
        </w:rPr>
      </w:pPr>
      <w:r w:rsidRPr="009E0600">
        <w:rPr>
          <w:rFonts w:ascii="Arial" w:hAnsi="Arial" w:cs="Arial"/>
        </w:rPr>
        <w:t xml:space="preserve">The level of risk has been debated at Senior Management Team and Audit &amp; Risk Committee.  The risk is currently at a medium level; whilst there is acknowledgement of the contingencies in place which should mitigate any immediate impact on service delivery; given the lack of clarity on the withdrawal agreement it was felt the likelihood of this should increase from a 2 (unlikely) to a 4 (possible) which would raise the overall level of risk to a high.  </w:t>
      </w:r>
    </w:p>
    <w:p w:rsidR="00DF0DF5" w:rsidRDefault="00DF0DF5" w:rsidP="003A612E">
      <w:pPr>
        <w:outlineLvl w:val="0"/>
        <w:rPr>
          <w:rFonts w:ascii="Arial" w:hAnsi="Arial" w:cs="Arial"/>
          <w:u w:val="single"/>
        </w:rPr>
      </w:pPr>
    </w:p>
    <w:p w:rsidR="008444E1" w:rsidRPr="009E0600" w:rsidRDefault="008444E1" w:rsidP="003A612E">
      <w:pPr>
        <w:outlineLvl w:val="0"/>
        <w:rPr>
          <w:rFonts w:ascii="Arial" w:hAnsi="Arial" w:cs="Arial"/>
          <w:u w:val="single"/>
        </w:rPr>
      </w:pPr>
    </w:p>
    <w:p w:rsidR="00DF0DF5" w:rsidRPr="009E0600" w:rsidRDefault="00DF0DF5" w:rsidP="003A612E">
      <w:pPr>
        <w:pStyle w:val="BodyText2"/>
        <w:pBdr>
          <w:top w:val="single" w:sz="4" w:space="0" w:color="auto"/>
          <w:left w:val="single" w:sz="4" w:space="4" w:color="auto"/>
          <w:bottom w:val="single" w:sz="4" w:space="1" w:color="auto"/>
          <w:right w:val="single" w:sz="4" w:space="4" w:color="auto"/>
        </w:pBdr>
        <w:shd w:val="clear" w:color="auto" w:fill="D9D9D9"/>
        <w:spacing w:after="0" w:line="240" w:lineRule="auto"/>
        <w:rPr>
          <w:rFonts w:ascii="Arial" w:hAnsi="Arial" w:cs="Arial"/>
          <w:b/>
          <w:lang w:eastAsia="en-GB"/>
        </w:rPr>
      </w:pPr>
      <w:r w:rsidRPr="009E0600">
        <w:rPr>
          <w:rFonts w:ascii="Arial" w:hAnsi="Arial" w:cs="Arial"/>
          <w:b/>
          <w:lang w:eastAsia="en-GB"/>
        </w:rPr>
        <w:t xml:space="preserve">4.  Recommendations </w:t>
      </w:r>
    </w:p>
    <w:p w:rsidR="00DF0DF5" w:rsidRPr="009E0600" w:rsidRDefault="00DF0DF5" w:rsidP="00DF0DF5">
      <w:pPr>
        <w:rPr>
          <w:rFonts w:ascii="Arial" w:hAnsi="Arial" w:cs="Arial"/>
        </w:rPr>
      </w:pPr>
    </w:p>
    <w:p w:rsidR="00DF0DF5" w:rsidRPr="009E0600" w:rsidRDefault="00DF0DF5" w:rsidP="003A612E">
      <w:pPr>
        <w:rPr>
          <w:rFonts w:ascii="Arial" w:hAnsi="Arial" w:cs="Arial"/>
        </w:rPr>
      </w:pPr>
      <w:r w:rsidRPr="009E0600">
        <w:rPr>
          <w:rFonts w:ascii="Arial" w:hAnsi="Arial" w:cs="Arial"/>
        </w:rPr>
        <w:t xml:space="preserve">Board Members are asked to </w:t>
      </w:r>
      <w:r w:rsidRPr="009E0600">
        <w:rPr>
          <w:rFonts w:ascii="Arial" w:hAnsi="Arial" w:cs="Arial"/>
          <w:b/>
        </w:rPr>
        <w:t>note</w:t>
      </w:r>
      <w:r w:rsidRPr="009E0600">
        <w:rPr>
          <w:rFonts w:ascii="Arial" w:hAnsi="Arial" w:cs="Arial"/>
        </w:rPr>
        <w:t xml:space="preserve"> the update in relation to preparations for EU Withdrawal and </w:t>
      </w:r>
      <w:r w:rsidRPr="009E0600">
        <w:rPr>
          <w:rFonts w:ascii="Arial" w:hAnsi="Arial" w:cs="Arial"/>
          <w:b/>
        </w:rPr>
        <w:t>discuss</w:t>
      </w:r>
      <w:r w:rsidRPr="009E0600">
        <w:rPr>
          <w:rFonts w:ascii="Arial" w:hAnsi="Arial" w:cs="Arial"/>
        </w:rPr>
        <w:t xml:space="preserve"> the recommendation to increase the risk rating.  </w:t>
      </w:r>
    </w:p>
    <w:p w:rsidR="00DF0DF5" w:rsidRDefault="00DF0DF5" w:rsidP="00DF0DF5">
      <w:pPr>
        <w:jc w:val="both"/>
        <w:outlineLvl w:val="0"/>
        <w:rPr>
          <w:rFonts w:ascii="Arial" w:hAnsi="Arial" w:cs="Arial"/>
          <w:u w:val="single"/>
        </w:rPr>
      </w:pPr>
    </w:p>
    <w:p w:rsidR="008444E1" w:rsidRPr="009E0600" w:rsidRDefault="008444E1" w:rsidP="00DF0DF5">
      <w:pPr>
        <w:jc w:val="both"/>
        <w:outlineLvl w:val="0"/>
        <w:rPr>
          <w:rFonts w:ascii="Arial" w:hAnsi="Arial" w:cs="Arial"/>
          <w:u w:val="single"/>
        </w:rPr>
      </w:pPr>
    </w:p>
    <w:p w:rsidR="00DF0DF5" w:rsidRPr="009E0600" w:rsidRDefault="00DF0DF5" w:rsidP="00DF0DF5">
      <w:pPr>
        <w:pStyle w:val="BodyText2"/>
        <w:pBdr>
          <w:top w:val="single" w:sz="4" w:space="0" w:color="auto"/>
          <w:left w:val="single" w:sz="4" w:space="4" w:color="auto"/>
          <w:bottom w:val="single" w:sz="4" w:space="1" w:color="auto"/>
          <w:right w:val="single" w:sz="4" w:space="4" w:color="auto"/>
        </w:pBdr>
        <w:shd w:val="clear" w:color="auto" w:fill="D9D9D9"/>
        <w:spacing w:after="0" w:line="240" w:lineRule="auto"/>
        <w:jc w:val="both"/>
        <w:rPr>
          <w:rFonts w:ascii="Arial" w:hAnsi="Arial" w:cs="Arial"/>
          <w:b/>
          <w:lang w:eastAsia="en-GB"/>
        </w:rPr>
      </w:pPr>
      <w:r w:rsidRPr="009E0600">
        <w:rPr>
          <w:rFonts w:ascii="Arial" w:hAnsi="Arial" w:cs="Arial"/>
          <w:b/>
          <w:lang w:eastAsia="en-GB"/>
        </w:rPr>
        <w:lastRenderedPageBreak/>
        <w:t xml:space="preserve">5.  Additional Information: </w:t>
      </w:r>
    </w:p>
    <w:p w:rsidR="00DF0DF5" w:rsidRDefault="00DF0DF5" w:rsidP="00DF0DF5">
      <w:pPr>
        <w:rPr>
          <w:rFonts w:ascii="Arial" w:hAnsi="Arial" w:cs="Arial"/>
        </w:rPr>
      </w:pPr>
    </w:p>
    <w:p w:rsidR="00DF0DF5" w:rsidRPr="009E0600" w:rsidRDefault="00DF0DF5" w:rsidP="00DF0DF5">
      <w:r w:rsidRPr="009E0600">
        <w:t xml:space="preserve">  </w:t>
      </w:r>
    </w:p>
    <w:p w:rsidR="00DF0DF5" w:rsidRPr="009E0600" w:rsidRDefault="00DF0DF5" w:rsidP="00DF0DF5">
      <w:pPr>
        <w:rPr>
          <w:rFonts w:ascii="Arial" w:hAnsi="Arial" w:cs="Arial"/>
          <w:b/>
        </w:rPr>
      </w:pPr>
      <w:r w:rsidRPr="009E0600">
        <w:rPr>
          <w:rFonts w:ascii="Arial" w:hAnsi="Arial" w:cs="Arial"/>
          <w:b/>
        </w:rPr>
        <w:t>Chief Pharmaceuticals Officer Letter</w:t>
      </w:r>
      <w:r w:rsidR="009E0600">
        <w:rPr>
          <w:rFonts w:ascii="Arial" w:hAnsi="Arial" w:cs="Arial"/>
          <w:b/>
        </w:rPr>
        <w:t xml:space="preserve"> –</w:t>
      </w:r>
      <w:r w:rsidR="009E0600" w:rsidRPr="009E0600">
        <w:rPr>
          <w:rFonts w:ascii="Arial" w:hAnsi="Arial" w:cs="Arial"/>
          <w:b/>
        </w:rPr>
        <w:t xml:space="preserve"> </w:t>
      </w:r>
      <w:r w:rsidR="009E0600">
        <w:rPr>
          <w:rFonts w:ascii="Arial" w:hAnsi="Arial" w:cs="Arial"/>
          <w:b/>
        </w:rPr>
        <w:t xml:space="preserve">see </w:t>
      </w:r>
      <w:r w:rsidR="009E0600" w:rsidRPr="009E0600">
        <w:rPr>
          <w:rFonts w:ascii="Arial" w:hAnsi="Arial" w:cs="Arial"/>
          <w:b/>
        </w:rPr>
        <w:t>Item 6.4b</w:t>
      </w:r>
    </w:p>
    <w:p w:rsidR="00DF0DF5" w:rsidRPr="009E0600" w:rsidRDefault="00DF0DF5" w:rsidP="00DF0DF5">
      <w:pPr>
        <w:rPr>
          <w:rFonts w:ascii="Arial" w:hAnsi="Arial" w:cs="Arial"/>
          <w:b/>
        </w:rPr>
      </w:pPr>
      <w:r w:rsidRPr="009E0600">
        <w:rPr>
          <w:rFonts w:ascii="Arial" w:hAnsi="Arial" w:cs="Arial"/>
          <w:b/>
        </w:rPr>
        <w:t>Update to CEO December 2018</w:t>
      </w:r>
      <w:r w:rsidR="009E0600">
        <w:rPr>
          <w:rFonts w:ascii="Arial" w:hAnsi="Arial" w:cs="Arial"/>
          <w:b/>
        </w:rPr>
        <w:t xml:space="preserve"> – see Item 6</w:t>
      </w:r>
      <w:r w:rsidR="009E0600" w:rsidRPr="009E0600">
        <w:rPr>
          <w:rFonts w:ascii="Arial" w:hAnsi="Arial" w:cs="Arial"/>
          <w:b/>
        </w:rPr>
        <w:t>.4c</w:t>
      </w:r>
    </w:p>
    <w:p w:rsidR="00DF0DF5" w:rsidRPr="009E0600" w:rsidRDefault="00DF0DF5" w:rsidP="00DF0DF5">
      <w:pPr>
        <w:rPr>
          <w:rFonts w:ascii="Arial" w:hAnsi="Arial" w:cs="Arial"/>
          <w:b/>
        </w:rPr>
      </w:pPr>
      <w:r w:rsidRPr="009E0600">
        <w:rPr>
          <w:rFonts w:ascii="Arial" w:hAnsi="Arial" w:cs="Arial"/>
          <w:b/>
        </w:rPr>
        <w:t>SG Comms Plan</w:t>
      </w:r>
      <w:r w:rsidR="009E0600">
        <w:rPr>
          <w:rFonts w:ascii="Arial" w:hAnsi="Arial" w:cs="Arial"/>
          <w:b/>
        </w:rPr>
        <w:t xml:space="preserve"> – see Item </w:t>
      </w:r>
      <w:r w:rsidR="009E0600" w:rsidRPr="009E0600">
        <w:rPr>
          <w:rFonts w:ascii="Arial" w:hAnsi="Arial" w:cs="Arial"/>
          <w:b/>
        </w:rPr>
        <w:t>6.4d</w:t>
      </w:r>
    </w:p>
    <w:p w:rsidR="00DF0DF5" w:rsidRPr="009E0600" w:rsidRDefault="00DF0DF5" w:rsidP="00DF0DF5">
      <w:pPr>
        <w:rPr>
          <w:rFonts w:ascii="Arial" w:hAnsi="Arial" w:cs="Arial"/>
        </w:rPr>
      </w:pPr>
    </w:p>
    <w:p w:rsidR="00DF0DF5" w:rsidRPr="009E0600" w:rsidRDefault="00DF0DF5" w:rsidP="00FE3A34">
      <w:pPr>
        <w:pStyle w:val="BodyTextIndent"/>
        <w:ind w:left="0" w:right="183" w:firstLine="0"/>
        <w:rPr>
          <w:rFonts w:ascii="Arial" w:hAnsi="Arial" w:cs="Arial"/>
          <w:b/>
          <w:bCs/>
        </w:rPr>
      </w:pPr>
    </w:p>
    <w:sectPr w:rsidR="00DF0DF5" w:rsidRPr="009E0600" w:rsidSect="005B69F4">
      <w:footerReference w:type="default" r:id="rId9"/>
      <w:headerReference w:type="first" r:id="rId10"/>
      <w:footerReference w:type="first" r:id="rId11"/>
      <w:pgSz w:w="11906" w:h="16838"/>
      <w:pgMar w:top="1440" w:right="1440" w:bottom="1440" w:left="1440" w:header="709" w:footer="43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600" w:rsidRDefault="009E0600">
      <w:r>
        <w:separator/>
      </w:r>
    </w:p>
  </w:endnote>
  <w:endnote w:type="continuationSeparator" w:id="0">
    <w:p w:rsidR="009E0600" w:rsidRDefault="009E06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600" w:rsidRPr="00513DB0" w:rsidRDefault="009E0600" w:rsidP="00C24B4E">
    <w:pPr>
      <w:jc w:val="center"/>
      <w:rPr>
        <w:rFonts w:ascii="Arial" w:hAnsi="Arial" w:cs="Arial"/>
        <w:sz w:val="20"/>
        <w:szCs w:val="20"/>
      </w:rPr>
    </w:pPr>
    <w:r>
      <w:rPr>
        <w:rStyle w:val="PageNumber"/>
        <w:rFonts w:ascii="Arial" w:hAnsi="Arial" w:cs="Arial"/>
      </w:rPr>
      <w:t>___________________________________________________________________</w:t>
    </w:r>
    <w:r w:rsidR="00722F08" w:rsidRPr="00513DB0">
      <w:rPr>
        <w:rStyle w:val="PageNumber"/>
        <w:rFonts w:ascii="Arial" w:hAnsi="Arial" w:cs="Arial"/>
      </w:rPr>
      <w:fldChar w:fldCharType="begin"/>
    </w:r>
    <w:r w:rsidRPr="00513DB0">
      <w:rPr>
        <w:rStyle w:val="PageNumber"/>
        <w:rFonts w:ascii="Arial" w:hAnsi="Arial" w:cs="Arial"/>
      </w:rPr>
      <w:instrText xml:space="preserve"> PAGE </w:instrText>
    </w:r>
    <w:r w:rsidR="00722F08" w:rsidRPr="00513DB0">
      <w:rPr>
        <w:rStyle w:val="PageNumber"/>
        <w:rFonts w:ascii="Arial" w:hAnsi="Arial" w:cs="Arial"/>
      </w:rPr>
      <w:fldChar w:fldCharType="separate"/>
    </w:r>
    <w:r w:rsidR="00492BEE">
      <w:rPr>
        <w:rStyle w:val="PageNumber"/>
        <w:rFonts w:ascii="Arial" w:hAnsi="Arial" w:cs="Arial"/>
        <w:noProof/>
      </w:rPr>
      <w:t>5</w:t>
    </w:r>
    <w:r w:rsidR="00722F08" w:rsidRPr="00513DB0">
      <w:rPr>
        <w:rStyle w:val="PageNumber"/>
        <w:rFonts w:ascii="Arial" w:hAnsi="Arial" w:cs="Arial"/>
      </w:rPr>
      <w:fldChar w:fldCharType="end"/>
    </w:r>
  </w:p>
  <w:p w:rsidR="009E0600" w:rsidRDefault="009E0600" w:rsidP="00C24B4E">
    <w:pPr>
      <w:ind w:right="184"/>
      <w:jc w:val="center"/>
      <w:rPr>
        <w:rFonts w:ascii="Arial" w:hAnsi="Arial" w:cs="Arial"/>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600" w:rsidRPr="00513DB0" w:rsidRDefault="009E0600" w:rsidP="005B69F4">
    <w:pPr>
      <w:jc w:val="center"/>
      <w:rPr>
        <w:rFonts w:ascii="Arial" w:hAnsi="Arial" w:cs="Arial"/>
        <w:sz w:val="20"/>
        <w:szCs w:val="20"/>
      </w:rPr>
    </w:pPr>
    <w:r>
      <w:rPr>
        <w:rStyle w:val="PageNumber"/>
        <w:rFonts w:ascii="Arial" w:hAnsi="Arial" w:cs="Arial"/>
      </w:rPr>
      <w:t>___________________________________________________________________</w:t>
    </w:r>
    <w:r>
      <w:rPr>
        <w:rStyle w:val="PageNumber"/>
        <w:rFonts w:ascii="Arial" w:hAnsi="Arial" w:cs="Arial"/>
      </w:rPr>
      <w:br/>
    </w:r>
    <w:r>
      <w:rPr>
        <w:rStyle w:val="PageNumber"/>
        <w:rFonts w:ascii="Arial" w:hAnsi="Arial" w:cs="Arial"/>
      </w:rPr>
      <w:br/>
    </w:r>
    <w:r w:rsidR="00722F08" w:rsidRPr="00513DB0">
      <w:rPr>
        <w:rStyle w:val="PageNumber"/>
        <w:rFonts w:ascii="Arial" w:hAnsi="Arial" w:cs="Arial"/>
      </w:rPr>
      <w:fldChar w:fldCharType="begin"/>
    </w:r>
    <w:r w:rsidRPr="00513DB0">
      <w:rPr>
        <w:rStyle w:val="PageNumber"/>
        <w:rFonts w:ascii="Arial" w:hAnsi="Arial" w:cs="Arial"/>
      </w:rPr>
      <w:instrText xml:space="preserve"> PAGE </w:instrText>
    </w:r>
    <w:r w:rsidR="00722F08" w:rsidRPr="00513DB0">
      <w:rPr>
        <w:rStyle w:val="PageNumber"/>
        <w:rFonts w:ascii="Arial" w:hAnsi="Arial" w:cs="Arial"/>
      </w:rPr>
      <w:fldChar w:fldCharType="separate"/>
    </w:r>
    <w:r w:rsidR="00492BEE">
      <w:rPr>
        <w:rStyle w:val="PageNumber"/>
        <w:rFonts w:ascii="Arial" w:hAnsi="Arial" w:cs="Arial"/>
        <w:noProof/>
      </w:rPr>
      <w:t>1</w:t>
    </w:r>
    <w:r w:rsidR="00722F08" w:rsidRPr="00513DB0">
      <w:rPr>
        <w:rStyle w:val="PageNumber"/>
        <w:rFonts w:ascii="Arial" w:hAnsi="Arial" w:cs="Arial"/>
      </w:rPr>
      <w:fldChar w:fldCharType="end"/>
    </w:r>
  </w:p>
  <w:p w:rsidR="009E0600" w:rsidRDefault="009E0600" w:rsidP="005B69F4">
    <w:pPr>
      <w:ind w:right="184"/>
      <w:jc w:val="center"/>
      <w:rPr>
        <w:rFonts w:ascii="Arial" w:hAnsi="Arial" w:cs="Arial"/>
        <w:sz w:val="20"/>
        <w:szCs w:val="20"/>
      </w:rPr>
    </w:pPr>
    <w:r>
      <w:rPr>
        <w:rFonts w:ascii="Arial" w:hAnsi="Arial" w:cs="Arial"/>
        <w:noProof/>
        <w:sz w:val="18"/>
        <w:szCs w:val="18"/>
        <w:lang w:eastAsia="en-GB"/>
      </w:rPr>
      <w:drawing>
        <wp:anchor distT="0" distB="0" distL="114300" distR="114300" simplePos="0" relativeHeight="251657728" behindDoc="0" locked="0" layoutInCell="1" allowOverlap="1">
          <wp:simplePos x="0" y="0"/>
          <wp:positionH relativeFrom="column">
            <wp:posOffset>5442585</wp:posOffset>
          </wp:positionH>
          <wp:positionV relativeFrom="paragraph">
            <wp:posOffset>118745</wp:posOffset>
          </wp:positionV>
          <wp:extent cx="518160" cy="340995"/>
          <wp:effectExtent l="19050" t="0" r="0" b="0"/>
          <wp:wrapNone/>
          <wp:docPr id="3" name="Picture 1" descr="nhs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scotland"/>
                  <pic:cNvPicPr>
                    <a:picLocks noChangeAspect="1" noChangeArrowheads="1"/>
                  </pic:cNvPicPr>
                </pic:nvPicPr>
                <pic:blipFill>
                  <a:blip r:embed="rId1"/>
                  <a:srcRect/>
                  <a:stretch>
                    <a:fillRect/>
                  </a:stretch>
                </pic:blipFill>
                <pic:spPr bwMode="auto">
                  <a:xfrm>
                    <a:off x="0" y="0"/>
                    <a:ext cx="518160" cy="340995"/>
                  </a:xfrm>
                  <a:prstGeom prst="rect">
                    <a:avLst/>
                  </a:prstGeom>
                  <a:noFill/>
                  <a:ln w="9525">
                    <a:noFill/>
                    <a:miter lim="800000"/>
                    <a:headEnd/>
                    <a:tailEnd/>
                  </a:ln>
                </pic:spPr>
              </pic:pic>
            </a:graphicData>
          </a:graphic>
        </wp:anchor>
      </w:drawing>
    </w:r>
  </w:p>
  <w:p w:rsidR="009E0600" w:rsidRPr="008F5DB5" w:rsidRDefault="009E0600" w:rsidP="005B69F4">
    <w:pPr>
      <w:pStyle w:val="Title"/>
      <w:ind w:right="184"/>
      <w:jc w:val="left"/>
      <w:outlineLvl w:val="0"/>
      <w:rPr>
        <w:rFonts w:ascii="Arial" w:hAnsi="Arial" w:cs="Arial"/>
        <w:sz w:val="18"/>
        <w:szCs w:val="18"/>
      </w:rPr>
    </w:pPr>
    <w:r>
      <w:rPr>
        <w:rFonts w:ascii="Arial" w:hAnsi="Arial" w:cs="Arial"/>
        <w:sz w:val="18"/>
        <w:szCs w:val="18"/>
      </w:rPr>
      <w:t>T</w:t>
    </w:r>
    <w:r w:rsidRPr="008F5DB5">
      <w:rPr>
        <w:rFonts w:ascii="Arial" w:hAnsi="Arial" w:cs="Arial"/>
        <w:sz w:val="18"/>
        <w:szCs w:val="18"/>
      </w:rPr>
      <w:t xml:space="preserve">he Golden Jubilee Foundation is the </w:t>
    </w:r>
    <w:r>
      <w:rPr>
        <w:rFonts w:ascii="Arial" w:hAnsi="Arial" w:cs="Arial"/>
        <w:sz w:val="18"/>
        <w:szCs w:val="18"/>
      </w:rPr>
      <w:t>new brand</w:t>
    </w:r>
    <w:r w:rsidRPr="008F5DB5">
      <w:rPr>
        <w:rFonts w:ascii="Arial" w:hAnsi="Arial" w:cs="Arial"/>
        <w:sz w:val="18"/>
        <w:szCs w:val="18"/>
      </w:rPr>
      <w:t xml:space="preserve"> name for the NHS National Waiting Times Centre</w:t>
    </w:r>
    <w:r>
      <w:rPr>
        <w:rFonts w:ascii="Arial" w:hAnsi="Arial" w:cs="Arial"/>
        <w:sz w:val="18"/>
        <w:szCs w:val="18"/>
      </w:rPr>
      <w:t>.</w:t>
    </w:r>
  </w:p>
  <w:p w:rsidR="009E0600" w:rsidRPr="005B69F4" w:rsidRDefault="009E0600" w:rsidP="005B69F4">
    <w:pPr>
      <w:pStyle w:val="Title"/>
      <w:ind w:right="184"/>
      <w:jc w:val="left"/>
      <w:outlineLvl w:val="0"/>
      <w:rPr>
        <w:rFonts w:ascii="Arial" w:hAnsi="Arial" w:cs="Arial"/>
        <w:sz w:val="18"/>
        <w:szCs w:val="18"/>
      </w:rPr>
    </w:pPr>
    <w:r>
      <w:rPr>
        <w:rFonts w:ascii="Arial" w:hAnsi="Arial" w:cs="Arial"/>
        <w:sz w:val="18"/>
        <w:szCs w:val="18"/>
      </w:rPr>
      <w:t>Golden Jubilee National Hospital Charity Number: SC045146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600" w:rsidRDefault="009E0600">
      <w:r>
        <w:separator/>
      </w:r>
    </w:p>
  </w:footnote>
  <w:footnote w:type="continuationSeparator" w:id="0">
    <w:p w:rsidR="009E0600" w:rsidRDefault="009E06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600" w:rsidRPr="00CF6461" w:rsidRDefault="009E0600" w:rsidP="00CF6461">
    <w:pPr>
      <w:pStyle w:val="Header"/>
      <w:jc w:val="right"/>
      <w:rPr>
        <w:rFonts w:ascii="Arial" w:hAnsi="Arial" w:cs="Arial"/>
        <w:b/>
        <w:color w:val="0070C0"/>
        <w:sz w:val="28"/>
        <w:szCs w:val="28"/>
      </w:rPr>
    </w:pPr>
    <w:r>
      <w:rPr>
        <w:rFonts w:ascii="Arial" w:hAnsi="Arial" w:cs="Arial"/>
        <w:b/>
        <w:color w:val="0070C0"/>
        <w:sz w:val="28"/>
        <w:szCs w:val="28"/>
      </w:rPr>
      <w:t>Item 6.4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4154"/>
    <w:multiLevelType w:val="hybridMultilevel"/>
    <w:tmpl w:val="42D44F46"/>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7946D38"/>
    <w:multiLevelType w:val="hybridMultilevel"/>
    <w:tmpl w:val="A70E37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ABC01A4"/>
    <w:multiLevelType w:val="hybridMultilevel"/>
    <w:tmpl w:val="471C724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0B445B94"/>
    <w:multiLevelType w:val="hybridMultilevel"/>
    <w:tmpl w:val="230E41FC"/>
    <w:lvl w:ilvl="0" w:tplc="126654E0">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4">
    <w:nsid w:val="0F3C1D2C"/>
    <w:multiLevelType w:val="hybridMultilevel"/>
    <w:tmpl w:val="ACC69AE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101F2008"/>
    <w:multiLevelType w:val="hybridMultilevel"/>
    <w:tmpl w:val="BE1E0FE2"/>
    <w:lvl w:ilvl="0" w:tplc="675A861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CE07E74"/>
    <w:multiLevelType w:val="hybridMultilevel"/>
    <w:tmpl w:val="EA660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EA1059A"/>
    <w:multiLevelType w:val="hybridMultilevel"/>
    <w:tmpl w:val="25B2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0920099"/>
    <w:multiLevelType w:val="hybridMultilevel"/>
    <w:tmpl w:val="2EA2638E"/>
    <w:lvl w:ilvl="0" w:tplc="91EA5A9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1F656EC"/>
    <w:multiLevelType w:val="hybridMultilevel"/>
    <w:tmpl w:val="67220760"/>
    <w:lvl w:ilvl="0" w:tplc="7A4E639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47D53D0"/>
    <w:multiLevelType w:val="hybridMultilevel"/>
    <w:tmpl w:val="28361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57F0AA9"/>
    <w:multiLevelType w:val="hybridMultilevel"/>
    <w:tmpl w:val="120A69AC"/>
    <w:lvl w:ilvl="0" w:tplc="5B2628E4">
      <w:start w:val="2"/>
      <w:numFmt w:val="decimal"/>
      <w:lvlText w:val="%1."/>
      <w:lvlJc w:val="left"/>
      <w:pPr>
        <w:tabs>
          <w:tab w:val="num" w:pos="720"/>
        </w:tabs>
        <w:ind w:left="720" w:hanging="360"/>
      </w:pPr>
      <w:rPr>
        <w:rFonts w:hint="default"/>
      </w:rPr>
    </w:lvl>
    <w:lvl w:ilvl="1" w:tplc="08090001">
      <w:start w:val="1"/>
      <w:numFmt w:val="bullet"/>
      <w:lvlText w:val=""/>
      <w:lvlJc w:val="left"/>
      <w:pPr>
        <w:tabs>
          <w:tab w:val="num" w:pos="720"/>
        </w:tabs>
        <w:ind w:left="720" w:hanging="360"/>
      </w:pPr>
      <w:rPr>
        <w:rFonts w:ascii="Symbol" w:hAnsi="Symbol" w:hint="default"/>
      </w:rPr>
    </w:lvl>
    <w:lvl w:ilvl="2" w:tplc="0AAA6108">
      <w:numFmt w:val="bullet"/>
      <w:lvlText w:val="-"/>
      <w:lvlJc w:val="left"/>
      <w:pPr>
        <w:tabs>
          <w:tab w:val="num" w:pos="1620"/>
        </w:tabs>
        <w:ind w:left="1620" w:hanging="360"/>
      </w:pPr>
      <w:rPr>
        <w:rFonts w:ascii="Arial" w:eastAsia="Times New Roman" w:hAnsi="Arial" w:cs="Arial" w:hint="default"/>
      </w:r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2">
    <w:nsid w:val="3DEF2EB4"/>
    <w:multiLevelType w:val="hybridMultilevel"/>
    <w:tmpl w:val="E0B658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5CC6891"/>
    <w:multiLevelType w:val="hybridMultilevel"/>
    <w:tmpl w:val="C46AB6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57F76F0A"/>
    <w:multiLevelType w:val="hybridMultilevel"/>
    <w:tmpl w:val="328EBF3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nsid w:val="604A4B09"/>
    <w:multiLevelType w:val="hybridMultilevel"/>
    <w:tmpl w:val="CE38D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7B60B4F"/>
    <w:multiLevelType w:val="hybridMultilevel"/>
    <w:tmpl w:val="14D822F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nsid w:val="6DF35F55"/>
    <w:multiLevelType w:val="hybridMultilevel"/>
    <w:tmpl w:val="0220E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E6F6036"/>
    <w:multiLevelType w:val="hybridMultilevel"/>
    <w:tmpl w:val="FE882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nsid w:val="7E821FC7"/>
    <w:multiLevelType w:val="hybridMultilevel"/>
    <w:tmpl w:val="BC90876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6"/>
  </w:num>
  <w:num w:numId="2">
    <w:abstractNumId w:val="19"/>
  </w:num>
  <w:num w:numId="3">
    <w:abstractNumId w:val="14"/>
  </w:num>
  <w:num w:numId="4">
    <w:abstractNumId w:val="2"/>
  </w:num>
  <w:num w:numId="5">
    <w:abstractNumId w:val="4"/>
  </w:num>
  <w:num w:numId="6">
    <w:abstractNumId w:val="11"/>
  </w:num>
  <w:num w:numId="7">
    <w:abstractNumId w:val="18"/>
  </w:num>
  <w:num w:numId="8">
    <w:abstractNumId w:val="0"/>
  </w:num>
  <w:num w:numId="9">
    <w:abstractNumId w:val="17"/>
  </w:num>
  <w:num w:numId="10">
    <w:abstractNumId w:val="9"/>
  </w:num>
  <w:num w:numId="11">
    <w:abstractNumId w:val="8"/>
  </w:num>
  <w:num w:numId="12">
    <w:abstractNumId w:val="15"/>
  </w:num>
  <w:num w:numId="13">
    <w:abstractNumId w:val="6"/>
  </w:num>
  <w:num w:numId="14">
    <w:abstractNumId w:val="5"/>
  </w:num>
  <w:num w:numId="15">
    <w:abstractNumId w:val="10"/>
  </w:num>
  <w:num w:numId="16">
    <w:abstractNumId w:val="7"/>
  </w:num>
  <w:num w:numId="17">
    <w:abstractNumId w:val="13"/>
  </w:num>
  <w:num w:numId="18">
    <w:abstractNumId w:val="3"/>
  </w:num>
  <w:num w:numId="19">
    <w:abstractNumId w:val="12"/>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3"/>
  <w:proofState w:spelling="clean" w:grammar="clean"/>
  <w:stylePaneFormatFilter w:val="3F01"/>
  <w:trackRevisions/>
  <w:defaultTabStop w:val="720"/>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rsids>
    <w:rsidRoot w:val="00A2577B"/>
    <w:rsid w:val="00061CDE"/>
    <w:rsid w:val="00075AAA"/>
    <w:rsid w:val="00097EAE"/>
    <w:rsid w:val="000B5923"/>
    <w:rsid w:val="000D0952"/>
    <w:rsid w:val="00115F97"/>
    <w:rsid w:val="001175E5"/>
    <w:rsid w:val="001521AB"/>
    <w:rsid w:val="002253CC"/>
    <w:rsid w:val="002A42DD"/>
    <w:rsid w:val="002B4A23"/>
    <w:rsid w:val="002C2B87"/>
    <w:rsid w:val="0031078B"/>
    <w:rsid w:val="003A612E"/>
    <w:rsid w:val="003E423D"/>
    <w:rsid w:val="003F19CA"/>
    <w:rsid w:val="004512CE"/>
    <w:rsid w:val="00492BEE"/>
    <w:rsid w:val="00513DB0"/>
    <w:rsid w:val="005239DB"/>
    <w:rsid w:val="00526532"/>
    <w:rsid w:val="005B4BA8"/>
    <w:rsid w:val="005B69F4"/>
    <w:rsid w:val="005F02B7"/>
    <w:rsid w:val="0060634D"/>
    <w:rsid w:val="00661EF1"/>
    <w:rsid w:val="006A1357"/>
    <w:rsid w:val="006D6F99"/>
    <w:rsid w:val="006F2D95"/>
    <w:rsid w:val="00711E7A"/>
    <w:rsid w:val="00722F08"/>
    <w:rsid w:val="007B4090"/>
    <w:rsid w:val="00815350"/>
    <w:rsid w:val="00825B2D"/>
    <w:rsid w:val="008444E1"/>
    <w:rsid w:val="00844E0E"/>
    <w:rsid w:val="008A07AE"/>
    <w:rsid w:val="008C26A2"/>
    <w:rsid w:val="0093700B"/>
    <w:rsid w:val="00937BE5"/>
    <w:rsid w:val="009742FA"/>
    <w:rsid w:val="00974594"/>
    <w:rsid w:val="009E0600"/>
    <w:rsid w:val="009E6A39"/>
    <w:rsid w:val="00A2577B"/>
    <w:rsid w:val="00A3124D"/>
    <w:rsid w:val="00A560AF"/>
    <w:rsid w:val="00C0017D"/>
    <w:rsid w:val="00C24B4E"/>
    <w:rsid w:val="00C36974"/>
    <w:rsid w:val="00C956E2"/>
    <w:rsid w:val="00CA6DDF"/>
    <w:rsid w:val="00CE4B72"/>
    <w:rsid w:val="00CF6461"/>
    <w:rsid w:val="00D05F2C"/>
    <w:rsid w:val="00D306B6"/>
    <w:rsid w:val="00D92AA6"/>
    <w:rsid w:val="00DD7115"/>
    <w:rsid w:val="00DE5902"/>
    <w:rsid w:val="00DF0DF5"/>
    <w:rsid w:val="00DF5E21"/>
    <w:rsid w:val="00E24BFC"/>
    <w:rsid w:val="00E95856"/>
    <w:rsid w:val="00EA4869"/>
    <w:rsid w:val="00EB7C07"/>
    <w:rsid w:val="00ED7175"/>
    <w:rsid w:val="00F12826"/>
    <w:rsid w:val="00F459C0"/>
    <w:rsid w:val="00F7206C"/>
    <w:rsid w:val="00FD5E76"/>
    <w:rsid w:val="00FE14F0"/>
    <w:rsid w:val="00FE3A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577B"/>
    <w:rPr>
      <w:sz w:val="24"/>
      <w:szCs w:val="24"/>
      <w:lang w:eastAsia="en-US"/>
    </w:rPr>
  </w:style>
  <w:style w:type="paragraph" w:styleId="Heading1">
    <w:name w:val="heading 1"/>
    <w:basedOn w:val="Normal"/>
    <w:next w:val="Normal"/>
    <w:link w:val="Heading1Char"/>
    <w:qFormat/>
    <w:rsid w:val="00A2577B"/>
    <w:pPr>
      <w:keepNext/>
      <w:outlineLvl w:val="0"/>
    </w:pPr>
    <w:rPr>
      <w:b/>
      <w:bCs/>
      <w:sz w:val="32"/>
      <w:szCs w:val="32"/>
    </w:rPr>
  </w:style>
  <w:style w:type="paragraph" w:styleId="Heading2">
    <w:name w:val="heading 2"/>
    <w:basedOn w:val="Normal"/>
    <w:next w:val="Normal"/>
    <w:link w:val="Heading2Char"/>
    <w:qFormat/>
    <w:rsid w:val="001175E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175E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2577B"/>
    <w:pPr>
      <w:tabs>
        <w:tab w:val="center" w:pos="4153"/>
        <w:tab w:val="right" w:pos="8306"/>
      </w:tabs>
    </w:pPr>
  </w:style>
  <w:style w:type="character" w:styleId="PageNumber">
    <w:name w:val="page number"/>
    <w:basedOn w:val="DefaultParagraphFont"/>
    <w:rsid w:val="00A2577B"/>
  </w:style>
  <w:style w:type="paragraph" w:styleId="BodyTextIndent">
    <w:name w:val="Body Text Indent"/>
    <w:basedOn w:val="Normal"/>
    <w:link w:val="BodyTextIndentChar"/>
    <w:rsid w:val="00A2577B"/>
    <w:pPr>
      <w:ind w:left="720" w:hanging="720"/>
    </w:pPr>
  </w:style>
  <w:style w:type="paragraph" w:styleId="DocumentMap">
    <w:name w:val="Document Map"/>
    <w:basedOn w:val="Normal"/>
    <w:semiHidden/>
    <w:rsid w:val="003E423D"/>
    <w:pPr>
      <w:shd w:val="clear" w:color="auto" w:fill="000080"/>
    </w:pPr>
    <w:rPr>
      <w:rFonts w:ascii="Tahoma" w:hAnsi="Tahoma" w:cs="Tahoma"/>
      <w:sz w:val="20"/>
      <w:szCs w:val="20"/>
    </w:rPr>
  </w:style>
  <w:style w:type="paragraph" w:styleId="Title">
    <w:name w:val="Title"/>
    <w:basedOn w:val="Normal"/>
    <w:link w:val="TitleChar"/>
    <w:qFormat/>
    <w:rsid w:val="00513DB0"/>
    <w:pPr>
      <w:overflowPunct w:val="0"/>
      <w:autoSpaceDE w:val="0"/>
      <w:autoSpaceDN w:val="0"/>
      <w:adjustRightInd w:val="0"/>
      <w:jc w:val="center"/>
      <w:textAlignment w:val="baseline"/>
    </w:pPr>
    <w:rPr>
      <w:b/>
      <w:sz w:val="22"/>
      <w:szCs w:val="20"/>
    </w:rPr>
  </w:style>
  <w:style w:type="paragraph" w:styleId="Header">
    <w:name w:val="header"/>
    <w:basedOn w:val="Normal"/>
    <w:rsid w:val="00513DB0"/>
    <w:pPr>
      <w:tabs>
        <w:tab w:val="center" w:pos="4153"/>
        <w:tab w:val="right" w:pos="8306"/>
      </w:tabs>
    </w:pPr>
  </w:style>
  <w:style w:type="character" w:customStyle="1" w:styleId="TitleChar">
    <w:name w:val="Title Char"/>
    <w:basedOn w:val="DefaultParagraphFont"/>
    <w:link w:val="Title"/>
    <w:rsid w:val="00526532"/>
    <w:rPr>
      <w:b/>
      <w:sz w:val="22"/>
      <w:lang w:eastAsia="en-US"/>
    </w:rPr>
  </w:style>
  <w:style w:type="paragraph" w:styleId="BodyTextIndent3">
    <w:name w:val="Body Text Indent 3"/>
    <w:basedOn w:val="Normal"/>
    <w:link w:val="BodyTextIndent3Char"/>
    <w:rsid w:val="00FE3A34"/>
    <w:pPr>
      <w:spacing w:after="120"/>
      <w:ind w:left="283"/>
    </w:pPr>
    <w:rPr>
      <w:sz w:val="16"/>
      <w:szCs w:val="16"/>
    </w:rPr>
  </w:style>
  <w:style w:type="character" w:customStyle="1" w:styleId="BodyTextIndent3Char">
    <w:name w:val="Body Text Indent 3 Char"/>
    <w:basedOn w:val="DefaultParagraphFont"/>
    <w:link w:val="BodyTextIndent3"/>
    <w:rsid w:val="00FE3A34"/>
    <w:rPr>
      <w:sz w:val="16"/>
      <w:szCs w:val="16"/>
      <w:lang w:eastAsia="en-US"/>
    </w:rPr>
  </w:style>
  <w:style w:type="paragraph" w:styleId="ListParagraph">
    <w:name w:val="List Paragraph"/>
    <w:basedOn w:val="Normal"/>
    <w:uiPriority w:val="34"/>
    <w:qFormat/>
    <w:rsid w:val="00FE3A34"/>
    <w:pPr>
      <w:ind w:left="720"/>
    </w:pPr>
  </w:style>
  <w:style w:type="character" w:customStyle="1" w:styleId="Heading1Char">
    <w:name w:val="Heading 1 Char"/>
    <w:basedOn w:val="DefaultParagraphFont"/>
    <w:link w:val="Heading1"/>
    <w:rsid w:val="005B69F4"/>
    <w:rPr>
      <w:b/>
      <w:bCs/>
      <w:sz w:val="32"/>
      <w:szCs w:val="32"/>
      <w:lang w:eastAsia="en-US"/>
    </w:rPr>
  </w:style>
  <w:style w:type="character" w:customStyle="1" w:styleId="Heading2Char">
    <w:name w:val="Heading 2 Char"/>
    <w:basedOn w:val="DefaultParagraphFont"/>
    <w:link w:val="Heading2"/>
    <w:rsid w:val="005B69F4"/>
    <w:rPr>
      <w:rFonts w:ascii="Arial" w:hAnsi="Arial" w:cs="Arial"/>
      <w:b/>
      <w:bCs/>
      <w:i/>
      <w:iCs/>
      <w:sz w:val="28"/>
      <w:szCs w:val="28"/>
      <w:lang w:eastAsia="en-US"/>
    </w:rPr>
  </w:style>
  <w:style w:type="character" w:customStyle="1" w:styleId="BodyTextIndentChar">
    <w:name w:val="Body Text Indent Char"/>
    <w:basedOn w:val="DefaultParagraphFont"/>
    <w:link w:val="BodyTextIndent"/>
    <w:rsid w:val="005B69F4"/>
    <w:rPr>
      <w:sz w:val="24"/>
      <w:szCs w:val="24"/>
      <w:lang w:eastAsia="en-US"/>
    </w:rPr>
  </w:style>
  <w:style w:type="table" w:styleId="TableGrid">
    <w:name w:val="Table Grid"/>
    <w:basedOn w:val="TableNormal"/>
    <w:rsid w:val="005B4B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B4090"/>
    <w:rPr>
      <w:rFonts w:ascii="Tahoma" w:hAnsi="Tahoma" w:cs="Tahoma"/>
      <w:sz w:val="16"/>
      <w:szCs w:val="16"/>
    </w:rPr>
  </w:style>
  <w:style w:type="character" w:customStyle="1" w:styleId="BalloonTextChar">
    <w:name w:val="Balloon Text Char"/>
    <w:basedOn w:val="DefaultParagraphFont"/>
    <w:link w:val="BalloonText"/>
    <w:rsid w:val="007B4090"/>
    <w:rPr>
      <w:rFonts w:ascii="Tahoma" w:hAnsi="Tahoma" w:cs="Tahoma"/>
      <w:sz w:val="16"/>
      <w:szCs w:val="16"/>
      <w:lang w:eastAsia="en-US"/>
    </w:rPr>
  </w:style>
  <w:style w:type="paragraph" w:styleId="BodyText2">
    <w:name w:val="Body Text 2"/>
    <w:basedOn w:val="Normal"/>
    <w:link w:val="BodyText2Char"/>
    <w:rsid w:val="00DF0DF5"/>
    <w:pPr>
      <w:spacing w:after="120" w:line="480" w:lineRule="auto"/>
    </w:pPr>
  </w:style>
  <w:style w:type="character" w:customStyle="1" w:styleId="BodyText2Char">
    <w:name w:val="Body Text 2 Char"/>
    <w:basedOn w:val="DefaultParagraphFont"/>
    <w:link w:val="BodyText2"/>
    <w:rsid w:val="00DF0DF5"/>
    <w:rPr>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5B771D-EDAD-489A-B482-C16EE2BD5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1275</Words>
  <Characters>6776</Characters>
  <Application>Microsoft Office Word</Application>
  <DocSecurity>0</DocSecurity>
  <Lines>616</Lines>
  <Paragraphs>670</Paragraphs>
  <ScaleCrop>false</ScaleCrop>
  <HeadingPairs>
    <vt:vector size="2" baseType="variant">
      <vt:variant>
        <vt:lpstr>Title</vt:lpstr>
      </vt:variant>
      <vt:variant>
        <vt:i4>1</vt:i4>
      </vt:variant>
    </vt:vector>
  </HeadingPairs>
  <TitlesOfParts>
    <vt:vector size="1" baseType="lpstr">
      <vt:lpstr>The NHS National Waiting Times Centre Board</vt:lpstr>
    </vt:vector>
  </TitlesOfParts>
  <Company>GJNH</Company>
  <LinksUpToDate>false</LinksUpToDate>
  <CharactersWithSpaces>7381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NHS National Waiting Times Centre Board</dc:title>
  <dc:creator>Sandie Scott</dc:creator>
  <cp:lastModifiedBy>McGuinnessC1</cp:lastModifiedBy>
  <cp:revision>4</cp:revision>
  <dcterms:created xsi:type="dcterms:W3CDTF">2019-02-06T11:07:00Z</dcterms:created>
  <dcterms:modified xsi:type="dcterms:W3CDTF">2019-02-07T16:26:00Z</dcterms:modified>
</cp:coreProperties>
</file>