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96BEC" w:rsidRDefault="004512CE" w:rsidP="00F96BEC">
      <w:pPr>
        <w:ind w:left="-540" w:right="183"/>
        <w:contextualSpacing/>
        <w:jc w:val="right"/>
        <w:rPr>
          <w:rFonts w:ascii="Arial" w:hAnsi="Arial" w:cs="Arial"/>
          <w:b/>
          <w:bCs/>
          <w:color w:val="365F91"/>
        </w:rPr>
      </w:pPr>
      <w:r w:rsidRPr="00F96BEC">
        <w:rPr>
          <w:rFonts w:ascii="Arial" w:hAnsi="Arial" w:cs="Arial"/>
          <w:b/>
          <w:bCs/>
          <w:color w:val="365F91"/>
        </w:rPr>
        <w:t xml:space="preserve">Ref: </w:t>
      </w:r>
      <w:r w:rsidR="002A42DD" w:rsidRPr="00F96BEC">
        <w:rPr>
          <w:rFonts w:ascii="Arial" w:hAnsi="Arial" w:cs="Arial"/>
          <w:b/>
          <w:bCs/>
          <w:color w:val="365F91"/>
        </w:rPr>
        <w:t>GJF</w:t>
      </w:r>
      <w:r w:rsidR="00513DB0" w:rsidRPr="00F96BEC">
        <w:rPr>
          <w:rFonts w:ascii="Arial" w:hAnsi="Arial" w:cs="Arial"/>
          <w:b/>
          <w:bCs/>
          <w:color w:val="365F91"/>
        </w:rPr>
        <w:t>/</w:t>
      </w:r>
      <w:r w:rsidR="00F96BEC">
        <w:rPr>
          <w:rFonts w:ascii="Arial" w:hAnsi="Arial" w:cs="Arial"/>
          <w:b/>
          <w:bCs/>
          <w:color w:val="365F91"/>
        </w:rPr>
        <w:t>2017</w:t>
      </w:r>
      <w:r w:rsidR="00513DB0" w:rsidRPr="00F96BEC">
        <w:rPr>
          <w:rFonts w:ascii="Arial" w:hAnsi="Arial" w:cs="Arial"/>
          <w:b/>
          <w:bCs/>
          <w:color w:val="365F91"/>
        </w:rPr>
        <w:t>/</w:t>
      </w:r>
      <w:r w:rsidR="00F96BEC">
        <w:rPr>
          <w:rFonts w:ascii="Arial" w:hAnsi="Arial" w:cs="Arial"/>
          <w:b/>
          <w:bCs/>
          <w:color w:val="365F91"/>
        </w:rPr>
        <w:t>05</w:t>
      </w:r>
      <w:r w:rsidR="00513DB0" w:rsidRPr="00F96BEC">
        <w:rPr>
          <w:rFonts w:ascii="Arial" w:hAnsi="Arial" w:cs="Arial"/>
          <w:b/>
          <w:bCs/>
          <w:color w:val="365F91"/>
        </w:rPr>
        <w:t>/</w:t>
      </w:r>
      <w:r w:rsidR="00F96BEC">
        <w:rPr>
          <w:rFonts w:ascii="Arial" w:hAnsi="Arial" w:cs="Arial"/>
          <w:b/>
          <w:bCs/>
          <w:color w:val="365F91"/>
        </w:rPr>
        <w:t>12</w:t>
      </w:r>
    </w:p>
    <w:p w:rsidR="00513DB0" w:rsidRPr="00F96BEC" w:rsidRDefault="0048410D" w:rsidP="00F96BEC">
      <w:pPr>
        <w:pStyle w:val="Heading1"/>
        <w:ind w:right="183"/>
        <w:contextualSpacing/>
        <w:rPr>
          <w:rFonts w:ascii="Arial" w:hAnsi="Arial" w:cs="Arial"/>
          <w:sz w:val="24"/>
          <w:szCs w:val="24"/>
        </w:rPr>
      </w:pPr>
      <w:r w:rsidRPr="00F96BEC">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388110" cy="138811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A2577B" w:rsidRPr="00F96BEC" w:rsidRDefault="0093700B" w:rsidP="00F96BEC">
      <w:pPr>
        <w:pStyle w:val="Heading1"/>
        <w:ind w:right="183"/>
        <w:contextualSpacing/>
        <w:rPr>
          <w:rFonts w:ascii="Arial" w:hAnsi="Arial" w:cs="Arial"/>
          <w:b w:val="0"/>
          <w:sz w:val="24"/>
          <w:szCs w:val="24"/>
        </w:rPr>
      </w:pPr>
      <w:r w:rsidRPr="00F96BEC">
        <w:rPr>
          <w:rFonts w:ascii="Arial" w:hAnsi="Arial" w:cs="Arial"/>
          <w:sz w:val="24"/>
          <w:szCs w:val="24"/>
        </w:rPr>
        <w:t xml:space="preserve">Board </w:t>
      </w:r>
      <w:r w:rsidR="00513DB0" w:rsidRPr="00F96BEC">
        <w:rPr>
          <w:rFonts w:ascii="Arial" w:hAnsi="Arial" w:cs="Arial"/>
          <w:sz w:val="24"/>
          <w:szCs w:val="24"/>
        </w:rPr>
        <w:t>M</w:t>
      </w:r>
      <w:r w:rsidR="00A2577B" w:rsidRPr="00F96BEC">
        <w:rPr>
          <w:rFonts w:ascii="Arial" w:hAnsi="Arial" w:cs="Arial"/>
          <w:sz w:val="24"/>
          <w:szCs w:val="24"/>
        </w:rPr>
        <w:t>eeting</w:t>
      </w:r>
      <w:r w:rsidR="00A2577B" w:rsidRPr="00F96BEC">
        <w:rPr>
          <w:rFonts w:ascii="Arial" w:hAnsi="Arial" w:cs="Arial"/>
          <w:b w:val="0"/>
          <w:sz w:val="24"/>
          <w:szCs w:val="24"/>
        </w:rPr>
        <w:t>:</w:t>
      </w:r>
      <w:r w:rsidR="00A2577B" w:rsidRPr="00F96BEC">
        <w:rPr>
          <w:rFonts w:ascii="Arial" w:hAnsi="Arial" w:cs="Arial"/>
          <w:b w:val="0"/>
          <w:sz w:val="24"/>
          <w:szCs w:val="24"/>
        </w:rPr>
        <w:tab/>
      </w:r>
      <w:r w:rsidR="003E423D" w:rsidRPr="00F96BEC">
        <w:rPr>
          <w:rFonts w:ascii="Arial" w:hAnsi="Arial" w:cs="Arial"/>
          <w:b w:val="0"/>
          <w:sz w:val="24"/>
          <w:szCs w:val="24"/>
        </w:rPr>
        <w:tab/>
      </w:r>
      <w:r w:rsidR="00F96BEC">
        <w:rPr>
          <w:rFonts w:ascii="Arial" w:hAnsi="Arial" w:cs="Arial"/>
          <w:b w:val="0"/>
          <w:sz w:val="24"/>
          <w:szCs w:val="24"/>
        </w:rPr>
        <w:t>11 May 2017</w:t>
      </w:r>
    </w:p>
    <w:p w:rsidR="001175E5" w:rsidRPr="00F96BEC" w:rsidRDefault="001175E5" w:rsidP="00F96BEC">
      <w:pPr>
        <w:ind w:right="183"/>
        <w:contextualSpacing/>
        <w:rPr>
          <w:rFonts w:ascii="Arial" w:hAnsi="Arial" w:cs="Arial"/>
        </w:rPr>
      </w:pPr>
    </w:p>
    <w:p w:rsidR="00A2577B" w:rsidRPr="00F96BEC" w:rsidRDefault="00A2577B" w:rsidP="00F96BEC">
      <w:pPr>
        <w:ind w:right="183"/>
        <w:contextualSpacing/>
        <w:rPr>
          <w:rFonts w:ascii="Arial" w:hAnsi="Arial" w:cs="Arial"/>
        </w:rPr>
      </w:pPr>
      <w:r w:rsidRPr="00F96BEC">
        <w:rPr>
          <w:rFonts w:ascii="Arial" w:hAnsi="Arial" w:cs="Arial"/>
          <w:b/>
          <w:bCs/>
        </w:rPr>
        <w:t xml:space="preserve">Subject: </w:t>
      </w:r>
      <w:r w:rsidRPr="00F96BEC">
        <w:rPr>
          <w:rFonts w:ascii="Arial" w:hAnsi="Arial" w:cs="Arial"/>
          <w:b/>
          <w:bCs/>
        </w:rPr>
        <w:tab/>
      </w:r>
      <w:r w:rsidRPr="00F96BEC">
        <w:rPr>
          <w:rFonts w:ascii="Arial" w:hAnsi="Arial" w:cs="Arial"/>
          <w:b/>
          <w:bCs/>
        </w:rPr>
        <w:tab/>
      </w:r>
      <w:r w:rsidR="00513DB0" w:rsidRPr="00F96BEC">
        <w:rPr>
          <w:rFonts w:ascii="Arial" w:hAnsi="Arial" w:cs="Arial"/>
          <w:b/>
          <w:bCs/>
        </w:rPr>
        <w:tab/>
      </w:r>
      <w:r w:rsidR="00F96BEC" w:rsidRPr="00F96BEC">
        <w:rPr>
          <w:rFonts w:ascii="Arial" w:hAnsi="Arial" w:cs="Arial"/>
          <w:bCs/>
        </w:rPr>
        <w:t>Business Update</w:t>
      </w:r>
      <w:r w:rsidR="00F96BEC">
        <w:rPr>
          <w:rFonts w:ascii="Arial" w:hAnsi="Arial" w:cs="Arial"/>
          <w:bCs/>
        </w:rPr>
        <w:t xml:space="preserve"> – March 2017</w:t>
      </w:r>
    </w:p>
    <w:p w:rsidR="00A2577B" w:rsidRPr="00F96BEC" w:rsidRDefault="00A2577B" w:rsidP="00F96BEC">
      <w:pPr>
        <w:ind w:right="183"/>
        <w:contextualSpacing/>
        <w:rPr>
          <w:rFonts w:ascii="Arial" w:hAnsi="Arial" w:cs="Arial"/>
          <w:b/>
          <w:bCs/>
        </w:rPr>
      </w:pPr>
      <w:r w:rsidRPr="00F96BEC">
        <w:rPr>
          <w:rFonts w:ascii="Arial" w:hAnsi="Arial" w:cs="Arial"/>
          <w:b/>
          <w:bCs/>
        </w:rPr>
        <w:tab/>
      </w:r>
    </w:p>
    <w:p w:rsidR="00FE14F0" w:rsidRDefault="00A2577B" w:rsidP="00F96BEC">
      <w:pPr>
        <w:ind w:left="2880" w:right="183" w:hanging="2880"/>
        <w:contextualSpacing/>
        <w:rPr>
          <w:rFonts w:ascii="Arial" w:hAnsi="Arial" w:cs="Arial"/>
        </w:rPr>
      </w:pPr>
      <w:r w:rsidRPr="00F96BEC">
        <w:rPr>
          <w:rFonts w:ascii="Arial" w:hAnsi="Arial" w:cs="Arial"/>
          <w:b/>
          <w:bCs/>
        </w:rPr>
        <w:t>Recommendation:</w:t>
      </w:r>
      <w:r w:rsidRPr="00F96BEC">
        <w:rPr>
          <w:rFonts w:ascii="Arial" w:hAnsi="Arial" w:cs="Arial"/>
          <w:b/>
          <w:bCs/>
        </w:rPr>
        <w:tab/>
      </w:r>
      <w:r w:rsidR="0093700B" w:rsidRPr="00F96BEC">
        <w:rPr>
          <w:rFonts w:ascii="Arial" w:hAnsi="Arial" w:cs="Arial"/>
        </w:rPr>
        <w:t>Board m</w:t>
      </w:r>
      <w:r w:rsidR="001175E5" w:rsidRPr="00F96BEC">
        <w:rPr>
          <w:rFonts w:ascii="Arial" w:hAnsi="Arial" w:cs="Arial"/>
        </w:rPr>
        <w:t>embers are asked to</w:t>
      </w:r>
      <w:r w:rsidR="00F96BEC">
        <w:rPr>
          <w:rFonts w:ascii="Arial" w:hAnsi="Arial" w:cs="Arial"/>
        </w:rPr>
        <w:t xml:space="preserve"> note the report</w:t>
      </w:r>
      <w:r w:rsidR="00FE14F0" w:rsidRPr="00F96BEC">
        <w:rPr>
          <w:rFonts w:ascii="Arial" w:hAnsi="Arial" w:cs="Arial"/>
        </w:rPr>
        <w:t>.</w:t>
      </w:r>
    </w:p>
    <w:p w:rsidR="00F96BEC" w:rsidRDefault="00F96BEC" w:rsidP="00F96BEC">
      <w:pPr>
        <w:ind w:left="2880" w:right="183" w:hanging="2880"/>
        <w:contextualSpacing/>
        <w:rPr>
          <w:rFonts w:ascii="Arial" w:hAnsi="Arial" w:cs="Arial"/>
        </w:rPr>
      </w:pPr>
    </w:p>
    <w:p w:rsidR="00F96BEC" w:rsidRPr="00F96BEC" w:rsidRDefault="00F96BEC" w:rsidP="00F96BEC">
      <w:pPr>
        <w:ind w:left="2880" w:right="183" w:hanging="2880"/>
        <w:contextualSpacing/>
        <w:rPr>
          <w:rFonts w:ascii="Arial" w:hAnsi="Arial" w:cs="Arial"/>
        </w:rPr>
      </w:pPr>
    </w:p>
    <w:p w:rsidR="00A2577B" w:rsidRPr="00F96BEC" w:rsidRDefault="00513DB0" w:rsidP="00F96BEC">
      <w:pPr>
        <w:ind w:right="-46"/>
        <w:contextualSpacing/>
        <w:rPr>
          <w:rFonts w:ascii="Arial" w:hAnsi="Arial" w:cs="Arial"/>
          <w:b/>
          <w:bCs/>
        </w:rPr>
      </w:pPr>
      <w:r w:rsidRPr="00F96BEC">
        <w:rPr>
          <w:rFonts w:ascii="Arial" w:hAnsi="Arial" w:cs="Arial"/>
          <w:b/>
          <w:bCs/>
        </w:rPr>
        <w:t>________________________________________</w:t>
      </w:r>
      <w:r w:rsidR="00C24B4E" w:rsidRPr="00F96BEC">
        <w:rPr>
          <w:rFonts w:ascii="Arial" w:hAnsi="Arial" w:cs="Arial"/>
          <w:b/>
          <w:bCs/>
        </w:rPr>
        <w:t>__________________________</w:t>
      </w:r>
    </w:p>
    <w:p w:rsidR="001175E5" w:rsidRPr="00F96BEC" w:rsidRDefault="001175E5" w:rsidP="00F96BEC">
      <w:pPr>
        <w:pStyle w:val="BodyTextIndent"/>
        <w:ind w:left="0" w:right="183" w:firstLine="0"/>
        <w:contextualSpacing/>
        <w:rPr>
          <w:rFonts w:ascii="Arial" w:hAnsi="Arial" w:cs="Arial"/>
          <w:b/>
          <w:bCs/>
        </w:rPr>
      </w:pPr>
    </w:p>
    <w:p w:rsidR="0048410D" w:rsidRPr="00F96BEC" w:rsidRDefault="0048410D" w:rsidP="00F96BEC">
      <w:pPr>
        <w:ind w:left="-360" w:firstLine="360"/>
        <w:contextualSpacing/>
        <w:rPr>
          <w:rFonts w:ascii="Arial" w:hAnsi="Arial" w:cs="Arial"/>
          <w:b/>
        </w:rPr>
      </w:pPr>
      <w:r w:rsidRPr="00F96BEC">
        <w:rPr>
          <w:rFonts w:ascii="Arial" w:hAnsi="Arial" w:cs="Arial"/>
          <w:b/>
        </w:rPr>
        <w:t>1.</w:t>
      </w:r>
      <w:r w:rsidRPr="00F96BEC">
        <w:rPr>
          <w:rFonts w:ascii="Arial" w:hAnsi="Arial" w:cs="Arial"/>
          <w:b/>
        </w:rPr>
        <w:tab/>
        <w:t>Background</w:t>
      </w:r>
    </w:p>
    <w:p w:rsidR="0048410D" w:rsidRPr="00F96BEC" w:rsidRDefault="0048410D" w:rsidP="00F96BEC">
      <w:pPr>
        <w:ind w:left="-360"/>
        <w:contextualSpacing/>
        <w:rPr>
          <w:rFonts w:ascii="Arial" w:hAnsi="Arial" w:cs="Arial"/>
          <w:b/>
        </w:rPr>
      </w:pPr>
    </w:p>
    <w:p w:rsidR="0048410D" w:rsidRPr="00F96BEC" w:rsidRDefault="0048410D" w:rsidP="00F96BEC">
      <w:pPr>
        <w:ind w:left="720" w:right="180"/>
        <w:contextualSpacing/>
        <w:rPr>
          <w:rFonts w:ascii="Arial" w:hAnsi="Arial" w:cs="Arial"/>
        </w:rPr>
      </w:pPr>
      <w:r w:rsidRPr="00F96BEC">
        <w:rPr>
          <w:rFonts w:ascii="Arial" w:hAnsi="Arial" w:cs="Arial"/>
        </w:rPr>
        <w:t xml:space="preserve">Patient activity is reported on a monthly basis, both by month and year to date.  Data 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F96BEC">
        <w:rPr>
          <w:rFonts w:ascii="Arial" w:hAnsi="Arial" w:cs="Arial"/>
        </w:rPr>
        <w:t>the Golden Jubilee National Hospital (</w:t>
      </w:r>
      <w:r w:rsidRPr="00F96BEC">
        <w:rPr>
          <w:rFonts w:ascii="Arial" w:hAnsi="Arial" w:cs="Arial"/>
        </w:rPr>
        <w:t>GJNH</w:t>
      </w:r>
      <w:r w:rsidR="00F96BEC">
        <w:rPr>
          <w:rFonts w:ascii="Arial" w:hAnsi="Arial" w:cs="Arial"/>
        </w:rPr>
        <w:t>)</w:t>
      </w:r>
      <w:r w:rsidRPr="00F96BEC">
        <w:rPr>
          <w:rFonts w:ascii="Arial" w:hAnsi="Arial" w:cs="Arial"/>
        </w:rPr>
        <w:t xml:space="preserve"> in numbers of procedures.  </w:t>
      </w:r>
    </w:p>
    <w:p w:rsidR="0048410D" w:rsidRPr="00F96BEC" w:rsidRDefault="0048410D" w:rsidP="00F96BEC">
      <w:pPr>
        <w:ind w:left="720" w:right="180"/>
        <w:contextualSpacing/>
        <w:rPr>
          <w:rFonts w:ascii="Arial" w:hAnsi="Arial" w:cs="Arial"/>
        </w:rPr>
      </w:pPr>
    </w:p>
    <w:p w:rsidR="0048410D" w:rsidRPr="00F96BEC" w:rsidRDefault="0048410D" w:rsidP="00F96BEC">
      <w:pPr>
        <w:ind w:left="720" w:right="180"/>
        <w:contextualSpacing/>
        <w:rPr>
          <w:rFonts w:ascii="Arial" w:hAnsi="Arial" w:cs="Arial"/>
        </w:rPr>
      </w:pPr>
      <w:r w:rsidRPr="00F96BEC">
        <w:rPr>
          <w:rFonts w:ascii="Arial" w:hAnsi="Arial" w:cs="Arial"/>
        </w:rPr>
        <w:t>Appendix A is provided for information purposes and reflects the number of patients treated against an annual plan of 14,946 (patients).</w:t>
      </w:r>
    </w:p>
    <w:p w:rsidR="0048410D" w:rsidRPr="00F96BEC" w:rsidRDefault="0048410D" w:rsidP="00F96BEC">
      <w:pPr>
        <w:ind w:left="720" w:right="180"/>
        <w:contextualSpacing/>
        <w:rPr>
          <w:rFonts w:ascii="Arial" w:hAnsi="Arial" w:cs="Arial"/>
        </w:rPr>
      </w:pPr>
    </w:p>
    <w:p w:rsidR="0048410D" w:rsidRPr="00F96BEC" w:rsidRDefault="0048410D" w:rsidP="00F96BEC">
      <w:pPr>
        <w:ind w:left="720" w:right="180"/>
        <w:contextualSpacing/>
        <w:rPr>
          <w:rFonts w:ascii="Arial" w:hAnsi="Arial" w:cs="Arial"/>
        </w:rPr>
      </w:pPr>
      <w:r w:rsidRPr="00F96BEC">
        <w:rPr>
          <w:rFonts w:ascii="Arial" w:hAnsi="Arial" w:cs="Arial"/>
        </w:rPr>
        <w:t>Appendix B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48410D" w:rsidRPr="00F96BEC" w:rsidRDefault="0048410D" w:rsidP="00F96BEC">
      <w:pPr>
        <w:ind w:left="720" w:right="180"/>
        <w:contextualSpacing/>
        <w:rPr>
          <w:rFonts w:ascii="Arial" w:hAnsi="Arial" w:cs="Arial"/>
        </w:rPr>
      </w:pPr>
    </w:p>
    <w:p w:rsidR="0048410D" w:rsidRPr="00F96BEC" w:rsidRDefault="0048410D" w:rsidP="00F96BEC">
      <w:pPr>
        <w:ind w:left="720" w:right="180"/>
        <w:contextualSpacing/>
        <w:rPr>
          <w:rFonts w:ascii="Arial" w:hAnsi="Arial" w:cs="Arial"/>
        </w:rPr>
      </w:pPr>
      <w:r w:rsidRPr="00F96BEC">
        <w:rPr>
          <w:rFonts w:ascii="Arial" w:hAnsi="Arial" w:cs="Arial"/>
        </w:rPr>
        <w:t>Referring Boards receive a monthly monitoring document which provides them with a detailed breakdown of the number of patients referred, their complexity and the number of theatre slots used to treat them.</w:t>
      </w:r>
    </w:p>
    <w:p w:rsidR="0048410D" w:rsidRPr="00F96BEC" w:rsidRDefault="0048410D" w:rsidP="00F96BEC">
      <w:pPr>
        <w:ind w:right="180"/>
        <w:contextualSpacing/>
        <w:rPr>
          <w:rFonts w:ascii="Arial" w:hAnsi="Arial" w:cs="Arial"/>
        </w:rPr>
      </w:pPr>
    </w:p>
    <w:p w:rsidR="0048410D" w:rsidRPr="00F96BEC" w:rsidRDefault="0048410D" w:rsidP="00F96BEC">
      <w:pPr>
        <w:numPr>
          <w:ilvl w:val="0"/>
          <w:numId w:val="6"/>
        </w:numPr>
        <w:tabs>
          <w:tab w:val="clear" w:pos="720"/>
          <w:tab w:val="num" w:pos="-360"/>
        </w:tabs>
        <w:ind w:left="-360" w:firstLine="360"/>
        <w:contextualSpacing/>
        <w:rPr>
          <w:rFonts w:ascii="Arial" w:hAnsi="Arial" w:cs="Arial"/>
          <w:b/>
        </w:rPr>
      </w:pPr>
      <w:r w:rsidRPr="00F96BEC">
        <w:rPr>
          <w:rFonts w:ascii="Arial" w:hAnsi="Arial" w:cs="Arial"/>
          <w:b/>
        </w:rPr>
        <w:t>Operational Governance</w:t>
      </w:r>
    </w:p>
    <w:p w:rsidR="0048410D" w:rsidRPr="00F96BEC" w:rsidRDefault="0048410D" w:rsidP="00F96BEC">
      <w:pPr>
        <w:ind w:left="-360"/>
        <w:contextualSpacing/>
        <w:rPr>
          <w:rFonts w:ascii="Arial" w:hAnsi="Arial" w:cs="Arial"/>
        </w:rPr>
      </w:pPr>
    </w:p>
    <w:p w:rsidR="0048410D" w:rsidRPr="00F96BEC" w:rsidRDefault="00F96BEC" w:rsidP="00F96BEC">
      <w:pPr>
        <w:ind w:left="720" w:hanging="720"/>
        <w:contextualSpacing/>
        <w:rPr>
          <w:rFonts w:ascii="Arial" w:hAnsi="Arial" w:cs="Arial"/>
          <w:b/>
        </w:rPr>
      </w:pPr>
      <w:r>
        <w:rPr>
          <w:rFonts w:ascii="Arial" w:hAnsi="Arial" w:cs="Arial"/>
          <w:b/>
        </w:rPr>
        <w:t>2.1</w:t>
      </w:r>
      <w:r>
        <w:rPr>
          <w:rFonts w:ascii="Arial" w:hAnsi="Arial" w:cs="Arial"/>
          <w:b/>
        </w:rPr>
        <w:tab/>
      </w:r>
      <w:r w:rsidR="0048410D" w:rsidRPr="00F96BEC">
        <w:rPr>
          <w:rFonts w:ascii="Arial" w:hAnsi="Arial" w:cs="Arial"/>
          <w:b/>
        </w:rPr>
        <w:t>In</w:t>
      </w:r>
      <w:r>
        <w:rPr>
          <w:rFonts w:ascii="Arial" w:hAnsi="Arial" w:cs="Arial"/>
          <w:b/>
        </w:rPr>
        <w:t>p</w:t>
      </w:r>
      <w:r w:rsidR="0048410D" w:rsidRPr="00F96BEC">
        <w:rPr>
          <w:rFonts w:ascii="Arial" w:hAnsi="Arial" w:cs="Arial"/>
          <w:b/>
        </w:rPr>
        <w:t>atient/Day Case/Diagnostic Imaging Activity Analysis March 2017</w:t>
      </w:r>
    </w:p>
    <w:p w:rsidR="0048410D" w:rsidRPr="00F96BEC" w:rsidRDefault="0048410D" w:rsidP="00F96BEC">
      <w:pPr>
        <w:ind w:left="360" w:firstLine="360"/>
        <w:contextualSpacing/>
        <w:rPr>
          <w:rFonts w:ascii="Arial" w:hAnsi="Arial" w:cs="Arial"/>
          <w:b/>
        </w:rPr>
      </w:pPr>
    </w:p>
    <w:p w:rsidR="0048410D" w:rsidRPr="00F96BEC" w:rsidRDefault="0048410D" w:rsidP="00F96BEC">
      <w:pPr>
        <w:ind w:left="720"/>
        <w:contextualSpacing/>
        <w:rPr>
          <w:rFonts w:ascii="Arial" w:hAnsi="Arial" w:cs="Arial"/>
        </w:rPr>
      </w:pPr>
      <w:r w:rsidRPr="00F96BEC">
        <w:rPr>
          <w:rFonts w:ascii="Arial" w:hAnsi="Arial" w:cs="Arial"/>
        </w:rPr>
        <w:t>Activity for inpatients/day case procedures measured against a projection of 14,946 (which excludes cardiothoracic/cardiology activity) was ahead of plan by 8.6% for the month of March and ahead of the full year to date plan by 0.2% when activity is adjusted to reflect complexity (Appendix B).</w:t>
      </w:r>
    </w:p>
    <w:p w:rsidR="0048410D" w:rsidRPr="00F96BEC" w:rsidRDefault="0048410D" w:rsidP="00F96BEC">
      <w:pPr>
        <w:contextualSpacing/>
        <w:rPr>
          <w:rFonts w:ascii="Arial" w:hAnsi="Arial" w:cs="Arial"/>
        </w:rPr>
      </w:pPr>
    </w:p>
    <w:p w:rsidR="0048410D" w:rsidRPr="00F96BEC" w:rsidRDefault="00F96BEC" w:rsidP="00F96BEC">
      <w:pPr>
        <w:pStyle w:val="BodyTextIndent3"/>
        <w:spacing w:after="0"/>
        <w:ind w:left="720" w:hanging="720"/>
        <w:contextualSpacing/>
        <w:rPr>
          <w:rFonts w:ascii="Arial" w:hAnsi="Arial" w:cs="Arial"/>
          <w:b/>
          <w:sz w:val="24"/>
          <w:szCs w:val="24"/>
        </w:rPr>
      </w:pPr>
      <w:r>
        <w:rPr>
          <w:rFonts w:ascii="Arial" w:hAnsi="Arial" w:cs="Arial"/>
          <w:b/>
          <w:sz w:val="24"/>
          <w:szCs w:val="24"/>
        </w:rPr>
        <w:t>2.2</w:t>
      </w:r>
      <w:r>
        <w:rPr>
          <w:rFonts w:ascii="Arial" w:hAnsi="Arial" w:cs="Arial"/>
          <w:b/>
          <w:sz w:val="24"/>
          <w:szCs w:val="24"/>
        </w:rPr>
        <w:tab/>
      </w:r>
      <w:r w:rsidR="0048410D" w:rsidRPr="00F96BEC">
        <w:rPr>
          <w:rFonts w:ascii="Arial" w:hAnsi="Arial" w:cs="Arial"/>
          <w:b/>
          <w:sz w:val="24"/>
          <w:szCs w:val="24"/>
        </w:rPr>
        <w:t>Diagnostic Imaging</w:t>
      </w:r>
    </w:p>
    <w:p w:rsidR="0048410D" w:rsidRPr="00F96BEC" w:rsidRDefault="0048410D" w:rsidP="00F96BEC">
      <w:pPr>
        <w:pStyle w:val="BodyTextIndent3"/>
        <w:spacing w:after="0"/>
        <w:ind w:left="720"/>
        <w:contextualSpacing/>
        <w:rPr>
          <w:rFonts w:ascii="Arial" w:hAnsi="Arial" w:cs="Arial"/>
          <w:sz w:val="24"/>
          <w:szCs w:val="24"/>
        </w:rPr>
      </w:pPr>
    </w:p>
    <w:p w:rsid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In order to meet the demands of referring Boards, agreement has been reached for the mobile MRI scanner to remain on site at GJNH for the full year.  The activity associated with the mobile unit is included in full year target number.  Additionally, throughout the year</w:t>
      </w:r>
      <w:r w:rsidR="00F96BEC">
        <w:rPr>
          <w:rFonts w:ascii="Arial" w:hAnsi="Arial" w:cs="Arial"/>
          <w:sz w:val="24"/>
          <w:szCs w:val="24"/>
        </w:rPr>
        <w:t>,</w:t>
      </w:r>
      <w:r w:rsidRPr="00F96BEC">
        <w:rPr>
          <w:rFonts w:ascii="Arial" w:hAnsi="Arial" w:cs="Arial"/>
          <w:sz w:val="24"/>
          <w:szCs w:val="24"/>
        </w:rPr>
        <w:t xml:space="preserve"> additional CT scans have been made available to referring Boards by extending the working day.  Activity has remained high and for the month of March.  </w:t>
      </w: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lastRenderedPageBreak/>
        <w:t xml:space="preserve">Diagnostic Imaging significantly exceeded the plan by 451 examinations and was ahead of the full year plan by 3,023 examinations (13.2%).  </w:t>
      </w:r>
    </w:p>
    <w:p w:rsidR="0048410D" w:rsidRPr="00F96BEC" w:rsidRDefault="0048410D" w:rsidP="00F96BEC">
      <w:pPr>
        <w:pStyle w:val="BodyTextIndent3"/>
        <w:spacing w:after="0"/>
        <w:ind w:left="0"/>
        <w:contextualSpacing/>
        <w:rPr>
          <w:rFonts w:ascii="Arial" w:hAnsi="Arial" w:cs="Arial"/>
          <w:sz w:val="24"/>
          <w:szCs w:val="24"/>
        </w:rPr>
      </w:pPr>
    </w:p>
    <w:p w:rsidR="0048410D"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There was a 14.4% increase in diagnostic imaging activity since 2015/16.  The following graph indicates the growth in Diagnostic Imaging since 2011/12 to date.</w:t>
      </w:r>
    </w:p>
    <w:p w:rsidR="00F96BEC" w:rsidRPr="00F96BEC" w:rsidRDefault="00F96BEC" w:rsidP="00F96BEC">
      <w:pPr>
        <w:pStyle w:val="BodyTextIndent3"/>
        <w:spacing w:after="0"/>
        <w:ind w:left="720"/>
        <w:contextualSpacing/>
        <w:rPr>
          <w:rFonts w:ascii="Arial" w:hAnsi="Arial" w:cs="Arial"/>
          <w:sz w:val="24"/>
          <w:szCs w:val="24"/>
        </w:rPr>
      </w:pPr>
    </w:p>
    <w:p w:rsidR="0048410D" w:rsidRPr="00F96BEC" w:rsidRDefault="00F96BEC" w:rsidP="00F96BEC">
      <w:pPr>
        <w:pStyle w:val="BodyTextIndent3"/>
        <w:spacing w:after="0"/>
        <w:ind w:left="0" w:firstLine="709"/>
        <w:contextualSpacing/>
        <w:rPr>
          <w:rFonts w:ascii="Arial" w:hAnsi="Arial" w:cs="Arial"/>
          <w:sz w:val="24"/>
          <w:szCs w:val="24"/>
        </w:rPr>
      </w:pPr>
      <w:r w:rsidRPr="00F96BEC">
        <w:rPr>
          <w:rFonts w:ascii="Arial" w:hAnsi="Arial" w:cs="Arial"/>
          <w:noProof/>
          <w:sz w:val="24"/>
          <w:szCs w:val="24"/>
          <w:lang w:eastAsia="en-GB"/>
        </w:rPr>
        <w:drawing>
          <wp:inline distT="0" distB="0" distL="0" distR="0">
            <wp:extent cx="4572889" cy="2746629"/>
            <wp:effectExtent l="12192" t="6096" r="5969" b="0"/>
            <wp:docPr id="1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8410D" w:rsidRPr="00F96BEC" w:rsidRDefault="0048410D" w:rsidP="00F96BEC">
      <w:pPr>
        <w:pStyle w:val="BodyTextIndent3"/>
        <w:spacing w:after="0"/>
        <w:ind w:left="0"/>
        <w:contextualSpacing/>
        <w:rPr>
          <w:rFonts w:ascii="Arial" w:hAnsi="Arial" w:cs="Arial"/>
          <w:sz w:val="24"/>
          <w:szCs w:val="24"/>
        </w:rPr>
      </w:pPr>
    </w:p>
    <w:p w:rsidR="0048410D" w:rsidRPr="00F96BEC" w:rsidRDefault="0048410D" w:rsidP="00F96BEC">
      <w:pPr>
        <w:contextualSpacing/>
        <w:rPr>
          <w:rFonts w:ascii="Arial" w:hAnsi="Arial" w:cs="Arial"/>
        </w:rPr>
      </w:pPr>
    </w:p>
    <w:p w:rsidR="0048410D" w:rsidRPr="00F96BEC" w:rsidRDefault="0048410D" w:rsidP="00F96BEC">
      <w:pPr>
        <w:ind w:left="709"/>
        <w:contextualSpacing/>
        <w:rPr>
          <w:rFonts w:ascii="Arial" w:hAnsi="Arial" w:cs="Arial"/>
        </w:rPr>
      </w:pPr>
      <w:r w:rsidRPr="00F96BEC">
        <w:rPr>
          <w:rFonts w:ascii="Arial" w:hAnsi="Arial" w:cs="Arial"/>
        </w:rPr>
        <w:t>Measured against a total activity projection of 37,871, the combined inpatient/day case and imaging activity at the end of March was 8.1% ahead of the full year plan when adjusted to reflect complexity (Appendix B).</w:t>
      </w:r>
    </w:p>
    <w:p w:rsidR="0048410D" w:rsidRPr="00F96BEC" w:rsidRDefault="0048410D" w:rsidP="00F96BEC">
      <w:pPr>
        <w:contextualSpacing/>
        <w:rPr>
          <w:rFonts w:ascii="Arial" w:hAnsi="Arial" w:cs="Arial"/>
        </w:rPr>
      </w:pPr>
    </w:p>
    <w:p w:rsidR="0048410D" w:rsidRPr="00F96BEC" w:rsidRDefault="0048410D" w:rsidP="00F96BEC">
      <w:pPr>
        <w:numPr>
          <w:ilvl w:val="0"/>
          <w:numId w:val="6"/>
        </w:numPr>
        <w:tabs>
          <w:tab w:val="clear" w:pos="720"/>
          <w:tab w:val="num" w:pos="0"/>
        </w:tabs>
        <w:ind w:left="-360" w:firstLine="360"/>
        <w:contextualSpacing/>
        <w:rPr>
          <w:rFonts w:ascii="Arial" w:hAnsi="Arial" w:cs="Arial"/>
          <w:b/>
        </w:rPr>
      </w:pPr>
      <w:r w:rsidRPr="00F96BEC">
        <w:rPr>
          <w:rFonts w:ascii="Arial" w:hAnsi="Arial" w:cs="Arial"/>
          <w:b/>
        </w:rPr>
        <w:t>Analysis of Performance Against Plan at End March 2017</w:t>
      </w:r>
    </w:p>
    <w:p w:rsidR="0048410D" w:rsidRPr="00F96BEC" w:rsidRDefault="0048410D" w:rsidP="00F96BEC">
      <w:pPr>
        <w:pStyle w:val="BodyTextIndent3"/>
        <w:spacing w:after="0"/>
        <w:ind w:left="0" w:right="-360"/>
        <w:contextualSpacing/>
        <w:rPr>
          <w:rFonts w:ascii="Arial" w:hAnsi="Arial" w:cs="Arial"/>
          <w:sz w:val="24"/>
          <w:szCs w:val="24"/>
        </w:rPr>
      </w:pPr>
    </w:p>
    <w:p w:rsidR="0048410D" w:rsidRPr="00F96BEC" w:rsidRDefault="00F96BEC" w:rsidP="00F96BEC">
      <w:pPr>
        <w:pStyle w:val="BodyTextIndent3"/>
        <w:spacing w:after="0"/>
        <w:ind w:left="720" w:right="-360" w:hanging="720"/>
        <w:contextualSpacing/>
        <w:rPr>
          <w:rFonts w:ascii="Arial" w:hAnsi="Arial" w:cs="Arial"/>
          <w:b/>
          <w:sz w:val="24"/>
          <w:szCs w:val="24"/>
        </w:rPr>
      </w:pPr>
      <w:r>
        <w:rPr>
          <w:rFonts w:ascii="Arial" w:hAnsi="Arial" w:cs="Arial"/>
          <w:b/>
          <w:sz w:val="24"/>
          <w:szCs w:val="24"/>
        </w:rPr>
        <w:t>3.1</w:t>
      </w:r>
      <w:r>
        <w:rPr>
          <w:rFonts w:ascii="Arial" w:hAnsi="Arial" w:cs="Arial"/>
          <w:b/>
          <w:sz w:val="24"/>
          <w:szCs w:val="24"/>
        </w:rPr>
        <w:tab/>
        <w:t>Orthopaedic Surgery</w:t>
      </w:r>
    </w:p>
    <w:p w:rsidR="0048410D" w:rsidRPr="00F96BEC" w:rsidRDefault="0048410D" w:rsidP="00F96BEC">
      <w:pPr>
        <w:pStyle w:val="BodyTextIndent3"/>
        <w:spacing w:after="0"/>
        <w:ind w:left="720" w:right="-360"/>
        <w:contextualSpacing/>
        <w:rPr>
          <w:rFonts w:ascii="Arial" w:hAnsi="Arial" w:cs="Arial"/>
          <w:sz w:val="24"/>
          <w:szCs w:val="24"/>
        </w:rPr>
      </w:pP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 xml:space="preserve">The annual target for orthopaedic joint replacements for 2016/17 is based on 3,700 primary joint replacements.  This number is calculated on the basis of one patient to one theatre slot.  Each session equals two primary joint theatre slots.  However, based on experience over the recent years, we have made the assumption that the number of complex joint replacements likely to be referred for treatment would be approximately 9%.  These procedures typically take the equivalent theatre space of 1.5 - 2 primary joint replacements.  </w:t>
      </w:r>
    </w:p>
    <w:p w:rsidR="0048410D" w:rsidRPr="00F96BEC" w:rsidRDefault="0048410D" w:rsidP="00F96BEC">
      <w:pPr>
        <w:pStyle w:val="BodyTextIndent3"/>
        <w:spacing w:after="0"/>
        <w:ind w:left="720"/>
        <w:contextualSpacing/>
        <w:rPr>
          <w:rFonts w:ascii="Arial" w:hAnsi="Arial" w:cs="Arial"/>
          <w:sz w:val="24"/>
          <w:szCs w:val="24"/>
        </w:rPr>
      </w:pP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 xml:space="preserve">In addition to the 3,700 primary joint replacements, there </w:t>
      </w:r>
      <w:proofErr w:type="gramStart"/>
      <w:r w:rsidRPr="00F96BEC">
        <w:rPr>
          <w:rFonts w:ascii="Arial" w:hAnsi="Arial" w:cs="Arial"/>
          <w:sz w:val="24"/>
          <w:szCs w:val="24"/>
        </w:rPr>
        <w:t>is</w:t>
      </w:r>
      <w:proofErr w:type="gramEnd"/>
      <w:r w:rsidRPr="00F96BEC">
        <w:rPr>
          <w:rFonts w:ascii="Arial" w:hAnsi="Arial" w:cs="Arial"/>
          <w:sz w:val="24"/>
          <w:szCs w:val="24"/>
        </w:rPr>
        <w:t xml:space="preserve"> a target number of 1020 orthopaedic non joint procedures and 456 foot and ankle procedures for the year.  This equates to a total of 5176 orthopaedic theatre slots per annum (as documented in Appendix B).</w:t>
      </w:r>
    </w:p>
    <w:p w:rsidR="0048410D" w:rsidRPr="00F96BEC" w:rsidRDefault="0048410D" w:rsidP="00F96BEC">
      <w:pPr>
        <w:pStyle w:val="BodyTextIndent3"/>
        <w:spacing w:after="0"/>
        <w:ind w:left="720"/>
        <w:contextualSpacing/>
        <w:rPr>
          <w:rFonts w:ascii="Arial" w:hAnsi="Arial" w:cs="Arial"/>
          <w:sz w:val="24"/>
          <w:szCs w:val="24"/>
        </w:rPr>
      </w:pP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 xml:space="preserve">At the end of March, orthopaedic joint activity was ahead of the year to date plan by 223 primary joint replacements and 299 foot and ankle procedures.  However, orthopaedic ‘other’ activity was behind plan by 343 procedures.  </w:t>
      </w:r>
      <w:r w:rsidRPr="00F96BEC">
        <w:rPr>
          <w:rFonts w:ascii="Arial" w:hAnsi="Arial" w:cs="Arial"/>
          <w:sz w:val="24"/>
          <w:szCs w:val="24"/>
        </w:rPr>
        <w:lastRenderedPageBreak/>
        <w:t>Throughout 2016 there has been a higher than expected demand for foot and ankle surgery which will be offset against the lower than expected ‘orthopaedic other’ activity.  Overall, orthopaedic surgery exceeded the full year plan by 3.5%.</w:t>
      </w:r>
    </w:p>
    <w:p w:rsidR="0048410D" w:rsidRPr="00F96BEC" w:rsidRDefault="0048410D" w:rsidP="00F96BEC">
      <w:pPr>
        <w:pStyle w:val="BodyTextIndent3"/>
        <w:spacing w:after="0"/>
        <w:ind w:left="720"/>
        <w:contextualSpacing/>
        <w:rPr>
          <w:rFonts w:ascii="Arial" w:hAnsi="Arial" w:cs="Arial"/>
          <w:sz w:val="24"/>
          <w:szCs w:val="24"/>
        </w:rPr>
      </w:pP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The orthopaedic theatres operated at maximum capacity in 2016/17.  However, the team took every opportunity to deliver additional activity. The following chart demonstrates growth in Orthopaedic Surgery:</w:t>
      </w:r>
    </w:p>
    <w:p w:rsidR="0048410D" w:rsidRPr="00F96BEC" w:rsidRDefault="0048410D" w:rsidP="00F96BEC">
      <w:pPr>
        <w:pStyle w:val="BodyTextIndent3"/>
        <w:spacing w:after="0"/>
        <w:ind w:left="0"/>
        <w:contextualSpacing/>
        <w:rPr>
          <w:rFonts w:ascii="Arial" w:hAnsi="Arial" w:cs="Arial"/>
          <w:sz w:val="24"/>
          <w:szCs w:val="24"/>
        </w:rPr>
      </w:pPr>
    </w:p>
    <w:p w:rsidR="0048410D" w:rsidRPr="00F96BEC" w:rsidRDefault="0048410D" w:rsidP="00F96BEC">
      <w:pPr>
        <w:pStyle w:val="BodyTextIndent3"/>
        <w:spacing w:after="0"/>
        <w:ind w:left="0" w:firstLine="709"/>
        <w:contextualSpacing/>
        <w:rPr>
          <w:rFonts w:ascii="Arial" w:hAnsi="Arial" w:cs="Arial"/>
          <w:sz w:val="24"/>
          <w:szCs w:val="24"/>
        </w:rPr>
      </w:pPr>
      <w:r w:rsidRPr="00F96BEC">
        <w:rPr>
          <w:rFonts w:ascii="Arial" w:hAnsi="Arial" w:cs="Arial"/>
          <w:noProof/>
          <w:sz w:val="24"/>
          <w:szCs w:val="24"/>
          <w:lang w:eastAsia="en-GB"/>
        </w:rPr>
        <w:drawing>
          <wp:inline distT="0" distB="0" distL="0" distR="0">
            <wp:extent cx="4964769" cy="2746629"/>
            <wp:effectExtent l="12192" t="6096" r="4614" b="0"/>
            <wp:docPr id="8"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410D" w:rsidRPr="00F96BEC" w:rsidRDefault="0048410D" w:rsidP="00F96BEC">
      <w:pPr>
        <w:pStyle w:val="BodyTextIndent3"/>
        <w:spacing w:after="0"/>
        <w:ind w:left="0"/>
        <w:contextualSpacing/>
        <w:rPr>
          <w:rFonts w:ascii="Arial" w:hAnsi="Arial" w:cs="Arial"/>
          <w:b/>
          <w:sz w:val="24"/>
          <w:szCs w:val="24"/>
        </w:rPr>
      </w:pPr>
    </w:p>
    <w:p w:rsidR="0048410D" w:rsidRPr="00F96BEC" w:rsidRDefault="00F96BEC" w:rsidP="00F96BEC">
      <w:pPr>
        <w:pStyle w:val="BodyTextIndent3"/>
        <w:spacing w:after="0"/>
        <w:ind w:left="709" w:hanging="709"/>
        <w:contextualSpacing/>
        <w:rPr>
          <w:rFonts w:ascii="Arial" w:hAnsi="Arial" w:cs="Arial"/>
          <w:b/>
          <w:sz w:val="24"/>
          <w:szCs w:val="24"/>
        </w:rPr>
      </w:pPr>
      <w:r>
        <w:rPr>
          <w:rFonts w:ascii="Arial" w:hAnsi="Arial" w:cs="Arial"/>
          <w:b/>
          <w:sz w:val="24"/>
          <w:szCs w:val="24"/>
        </w:rPr>
        <w:t>3.2</w:t>
      </w:r>
      <w:r>
        <w:rPr>
          <w:rFonts w:ascii="Arial" w:hAnsi="Arial" w:cs="Arial"/>
          <w:b/>
          <w:sz w:val="24"/>
          <w:szCs w:val="24"/>
        </w:rPr>
        <w:tab/>
      </w:r>
      <w:r w:rsidR="0048410D" w:rsidRPr="00F96BEC">
        <w:rPr>
          <w:rFonts w:ascii="Arial" w:hAnsi="Arial" w:cs="Arial"/>
          <w:b/>
          <w:sz w:val="24"/>
          <w:szCs w:val="24"/>
        </w:rPr>
        <w:t>Ophthalmic Surgery</w:t>
      </w:r>
    </w:p>
    <w:p w:rsidR="0048410D" w:rsidRPr="00F96BEC" w:rsidRDefault="0048410D" w:rsidP="00F96BEC">
      <w:pPr>
        <w:pStyle w:val="BodyTextIndent3"/>
        <w:spacing w:after="0"/>
        <w:ind w:left="709"/>
        <w:contextualSpacing/>
        <w:rPr>
          <w:rFonts w:ascii="Arial" w:hAnsi="Arial" w:cs="Arial"/>
          <w:sz w:val="24"/>
          <w:szCs w:val="24"/>
        </w:rPr>
      </w:pPr>
    </w:p>
    <w:p w:rsidR="0048410D" w:rsidRPr="00F96BEC" w:rsidRDefault="0048410D" w:rsidP="00F96BEC">
      <w:pPr>
        <w:pStyle w:val="BodyTextIndent3"/>
        <w:spacing w:after="0"/>
        <w:ind w:left="709"/>
        <w:contextualSpacing/>
        <w:rPr>
          <w:rFonts w:ascii="Arial" w:hAnsi="Arial" w:cs="Arial"/>
          <w:sz w:val="24"/>
          <w:szCs w:val="24"/>
        </w:rPr>
      </w:pPr>
      <w:r w:rsidRPr="00F96BEC">
        <w:rPr>
          <w:rFonts w:ascii="Arial" w:hAnsi="Arial" w:cs="Arial"/>
          <w:sz w:val="24"/>
          <w:szCs w:val="24"/>
        </w:rPr>
        <w:t>Ophthalmology activity was slightly behind plan for the month by 7 procedures and 206 procedures year to date.  Although slightly behind the year to date plan, the Ophthalmology programme delivered 14% more cataract procedures in 2016/17 than in the previous year.</w:t>
      </w:r>
    </w:p>
    <w:p w:rsidR="0048410D" w:rsidRPr="00F96BEC" w:rsidRDefault="0048410D" w:rsidP="00F96BEC">
      <w:pPr>
        <w:pStyle w:val="BodyTextIndent3"/>
        <w:spacing w:after="0"/>
        <w:ind w:left="709"/>
        <w:contextualSpacing/>
        <w:rPr>
          <w:rFonts w:ascii="Arial" w:hAnsi="Arial" w:cs="Arial"/>
          <w:sz w:val="24"/>
          <w:szCs w:val="24"/>
        </w:rPr>
      </w:pPr>
    </w:p>
    <w:p w:rsidR="0048410D" w:rsidRPr="00F96BEC" w:rsidRDefault="0048410D" w:rsidP="00F96BEC">
      <w:pPr>
        <w:pStyle w:val="BodyTextIndent3"/>
        <w:spacing w:after="0"/>
        <w:ind w:left="709"/>
        <w:contextualSpacing/>
        <w:rPr>
          <w:rFonts w:ascii="Arial" w:hAnsi="Arial" w:cs="Arial"/>
          <w:sz w:val="24"/>
          <w:szCs w:val="24"/>
        </w:rPr>
      </w:pPr>
      <w:r w:rsidRPr="00F96BEC">
        <w:rPr>
          <w:rFonts w:ascii="Arial" w:hAnsi="Arial" w:cs="Arial"/>
          <w:sz w:val="24"/>
          <w:szCs w:val="24"/>
        </w:rPr>
        <w:t xml:space="preserve">The following chart demonstrates the actual and projected growth in Ophthalmic Surgery: </w:t>
      </w:r>
    </w:p>
    <w:p w:rsidR="0048410D" w:rsidRPr="00F96BEC" w:rsidRDefault="0048410D" w:rsidP="00F96BEC">
      <w:pPr>
        <w:pStyle w:val="BodyTextIndent3"/>
        <w:spacing w:after="0"/>
        <w:ind w:left="0" w:firstLine="709"/>
        <w:contextualSpacing/>
        <w:rPr>
          <w:rFonts w:ascii="Arial" w:hAnsi="Arial" w:cs="Arial"/>
          <w:sz w:val="24"/>
          <w:szCs w:val="24"/>
        </w:rPr>
      </w:pPr>
      <w:r w:rsidRPr="00F96BEC">
        <w:rPr>
          <w:rFonts w:ascii="Arial" w:hAnsi="Arial" w:cs="Arial"/>
          <w:noProof/>
          <w:sz w:val="24"/>
          <w:szCs w:val="24"/>
          <w:lang w:eastAsia="en-GB"/>
        </w:rPr>
        <w:drawing>
          <wp:inline distT="0" distB="0" distL="0" distR="0">
            <wp:extent cx="4967952" cy="2571230"/>
            <wp:effectExtent l="19050" t="0" r="23148" b="520"/>
            <wp:docPr id="7"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8410D" w:rsidRPr="00F96BEC" w:rsidRDefault="00F96BEC" w:rsidP="00F96BEC">
      <w:pPr>
        <w:pStyle w:val="BodyTextIndent3"/>
        <w:spacing w:after="0"/>
        <w:ind w:left="720" w:hanging="720"/>
        <w:contextualSpacing/>
        <w:rPr>
          <w:rFonts w:ascii="Arial" w:hAnsi="Arial" w:cs="Arial"/>
          <w:b/>
          <w:sz w:val="24"/>
          <w:szCs w:val="24"/>
        </w:rPr>
      </w:pPr>
      <w:r>
        <w:rPr>
          <w:rFonts w:ascii="Arial" w:hAnsi="Arial" w:cs="Arial"/>
          <w:b/>
          <w:sz w:val="24"/>
          <w:szCs w:val="24"/>
        </w:rPr>
        <w:lastRenderedPageBreak/>
        <w:t>3.3</w:t>
      </w:r>
      <w:r>
        <w:rPr>
          <w:rFonts w:ascii="Arial" w:hAnsi="Arial" w:cs="Arial"/>
          <w:b/>
          <w:sz w:val="24"/>
          <w:szCs w:val="24"/>
        </w:rPr>
        <w:tab/>
      </w:r>
      <w:r w:rsidR="0048410D" w:rsidRPr="00F96BEC">
        <w:rPr>
          <w:rFonts w:ascii="Arial" w:hAnsi="Arial" w:cs="Arial"/>
          <w:b/>
          <w:sz w:val="24"/>
          <w:szCs w:val="24"/>
        </w:rPr>
        <w:t>General Surgery</w:t>
      </w:r>
    </w:p>
    <w:p w:rsidR="0048410D" w:rsidRPr="00F96BEC" w:rsidRDefault="0048410D" w:rsidP="00F96BEC">
      <w:pPr>
        <w:pStyle w:val="BodyTextIndent3"/>
        <w:spacing w:after="0"/>
        <w:ind w:left="720"/>
        <w:contextualSpacing/>
        <w:rPr>
          <w:rFonts w:ascii="Arial" w:hAnsi="Arial" w:cs="Arial"/>
          <w:b/>
          <w:sz w:val="24"/>
          <w:szCs w:val="24"/>
        </w:rPr>
      </w:pP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 xml:space="preserve">General surgery has again performed ahead of plan by 22 procedures in the month of March and was 241 procedures ahead of plan at the year end.  Weekend operating lists continued in March to support Boards who are challenged with the delivery of the 12 week waiting time guarantee.  </w:t>
      </w:r>
      <w:r w:rsidR="00F96BEC">
        <w:rPr>
          <w:rFonts w:ascii="Arial" w:hAnsi="Arial" w:cs="Arial"/>
          <w:sz w:val="24"/>
          <w:szCs w:val="24"/>
        </w:rPr>
        <w:t>At the year-</w:t>
      </w:r>
      <w:r w:rsidRPr="00F96BEC">
        <w:rPr>
          <w:rFonts w:ascii="Arial" w:hAnsi="Arial" w:cs="Arial"/>
          <w:sz w:val="24"/>
          <w:szCs w:val="24"/>
        </w:rPr>
        <w:t>end General Surgery performed 35% ahead of plan.</w:t>
      </w:r>
    </w:p>
    <w:p w:rsidR="0048410D" w:rsidRPr="00F96BEC" w:rsidRDefault="0048410D" w:rsidP="00F96BEC">
      <w:pPr>
        <w:pStyle w:val="BodyTextIndent3"/>
        <w:spacing w:after="0"/>
        <w:ind w:left="720"/>
        <w:contextualSpacing/>
        <w:rPr>
          <w:rFonts w:ascii="Arial" w:hAnsi="Arial" w:cs="Arial"/>
          <w:sz w:val="24"/>
          <w:szCs w:val="24"/>
        </w:rPr>
      </w:pPr>
    </w:p>
    <w:p w:rsidR="0048410D" w:rsidRPr="00F96BEC" w:rsidRDefault="00F96BEC" w:rsidP="00F96BEC">
      <w:pPr>
        <w:pStyle w:val="BodyTextIndent3"/>
        <w:spacing w:after="0"/>
        <w:ind w:left="720" w:hanging="720"/>
        <w:contextualSpacing/>
        <w:rPr>
          <w:rFonts w:ascii="Arial" w:hAnsi="Arial" w:cs="Arial"/>
          <w:b/>
          <w:sz w:val="24"/>
          <w:szCs w:val="24"/>
        </w:rPr>
      </w:pPr>
      <w:r>
        <w:rPr>
          <w:rFonts w:ascii="Arial" w:hAnsi="Arial" w:cs="Arial"/>
          <w:b/>
          <w:sz w:val="24"/>
          <w:szCs w:val="24"/>
        </w:rPr>
        <w:t>3.4</w:t>
      </w:r>
      <w:r>
        <w:rPr>
          <w:rFonts w:ascii="Arial" w:hAnsi="Arial" w:cs="Arial"/>
          <w:b/>
          <w:sz w:val="24"/>
          <w:szCs w:val="24"/>
        </w:rPr>
        <w:tab/>
      </w:r>
      <w:r w:rsidR="0048410D" w:rsidRPr="00F96BEC">
        <w:rPr>
          <w:rFonts w:ascii="Arial" w:hAnsi="Arial" w:cs="Arial"/>
          <w:b/>
          <w:sz w:val="24"/>
          <w:szCs w:val="24"/>
        </w:rPr>
        <w:t>Plastic Surgery</w:t>
      </w:r>
    </w:p>
    <w:p w:rsidR="0048410D" w:rsidRPr="00F96BEC" w:rsidRDefault="0048410D" w:rsidP="00F96BEC">
      <w:pPr>
        <w:pStyle w:val="BodyTextIndent3"/>
        <w:spacing w:after="0"/>
        <w:ind w:left="720"/>
        <w:contextualSpacing/>
        <w:rPr>
          <w:rFonts w:ascii="Arial" w:hAnsi="Arial" w:cs="Arial"/>
          <w:b/>
          <w:sz w:val="24"/>
          <w:szCs w:val="24"/>
        </w:rPr>
      </w:pP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 xml:space="preserve">For reporting purposes Plastic Surgery has been split and will be monitored throughout 2016/17 as hand surgery, minor plastic surgery and major plastic surgery. </w:t>
      </w:r>
    </w:p>
    <w:p w:rsidR="0048410D" w:rsidRPr="00F96BEC" w:rsidRDefault="0048410D" w:rsidP="00F96BEC">
      <w:pPr>
        <w:pStyle w:val="BodyTextIndent3"/>
        <w:spacing w:after="0"/>
        <w:ind w:left="720"/>
        <w:contextualSpacing/>
        <w:rPr>
          <w:rFonts w:ascii="Arial" w:hAnsi="Arial" w:cs="Arial"/>
          <w:sz w:val="24"/>
          <w:szCs w:val="24"/>
        </w:rPr>
      </w:pP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 xml:space="preserve">The delivery of hand surgery activity in the month exceeded our plan for March by 14 procedures and at the end of March was 203 procedures ahead of the full year plan year.  The lack of Plastic Surgeon availability has continued throughout the year and as a consequence, minor plastic surgery was 131 procedures behind the full year plan and major plastic surgery was significantly behind plan by 241 procedures at the year end.  Despite best efforts, this shortfall was accumulated throughout the year. </w:t>
      </w:r>
    </w:p>
    <w:p w:rsidR="0048410D" w:rsidRPr="00F96BEC" w:rsidRDefault="0048410D" w:rsidP="00F96BEC">
      <w:pPr>
        <w:pStyle w:val="BodyTextIndent3"/>
        <w:spacing w:after="0"/>
        <w:ind w:left="0"/>
        <w:contextualSpacing/>
        <w:rPr>
          <w:rFonts w:ascii="Arial" w:hAnsi="Arial" w:cs="Arial"/>
          <w:sz w:val="24"/>
          <w:szCs w:val="24"/>
        </w:rPr>
      </w:pPr>
    </w:p>
    <w:p w:rsidR="0048410D" w:rsidRPr="00F96BEC" w:rsidRDefault="00F96BEC" w:rsidP="00F96BEC">
      <w:pPr>
        <w:pStyle w:val="BodyTextIndent3"/>
        <w:spacing w:after="0"/>
        <w:ind w:left="720" w:hanging="720"/>
        <w:contextualSpacing/>
        <w:rPr>
          <w:rFonts w:ascii="Arial" w:hAnsi="Arial" w:cs="Arial"/>
          <w:b/>
          <w:sz w:val="24"/>
          <w:szCs w:val="24"/>
        </w:rPr>
      </w:pPr>
      <w:r>
        <w:rPr>
          <w:rFonts w:ascii="Arial" w:hAnsi="Arial" w:cs="Arial"/>
          <w:b/>
          <w:sz w:val="24"/>
          <w:szCs w:val="24"/>
        </w:rPr>
        <w:t>3.5</w:t>
      </w:r>
      <w:r>
        <w:rPr>
          <w:rFonts w:ascii="Arial" w:hAnsi="Arial" w:cs="Arial"/>
          <w:b/>
          <w:sz w:val="24"/>
          <w:szCs w:val="24"/>
        </w:rPr>
        <w:tab/>
      </w:r>
      <w:r w:rsidR="0048410D" w:rsidRPr="00F96BEC">
        <w:rPr>
          <w:rFonts w:ascii="Arial" w:hAnsi="Arial" w:cs="Arial"/>
          <w:b/>
          <w:sz w:val="24"/>
          <w:szCs w:val="24"/>
        </w:rPr>
        <w:t>Endoscopy</w:t>
      </w:r>
    </w:p>
    <w:p w:rsidR="0048410D" w:rsidRPr="00F96BEC" w:rsidRDefault="0048410D" w:rsidP="00F96BEC">
      <w:pPr>
        <w:pStyle w:val="BodyTextIndent3"/>
        <w:spacing w:after="0"/>
        <w:ind w:left="720"/>
        <w:contextualSpacing/>
        <w:rPr>
          <w:rFonts w:ascii="Arial" w:hAnsi="Arial" w:cs="Arial"/>
          <w:b/>
          <w:sz w:val="24"/>
          <w:szCs w:val="24"/>
        </w:rPr>
      </w:pP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The endoscopy service performed ahead of plan in the month of March and d slightly exceeded the full year plan by 2 procedures.</w:t>
      </w:r>
    </w:p>
    <w:p w:rsidR="0048410D" w:rsidRPr="00F96BEC" w:rsidRDefault="0048410D" w:rsidP="00F96BEC">
      <w:pPr>
        <w:pStyle w:val="BodyTextIndent3"/>
        <w:spacing w:after="0"/>
        <w:ind w:left="720"/>
        <w:contextualSpacing/>
        <w:rPr>
          <w:rFonts w:ascii="Arial" w:hAnsi="Arial" w:cs="Arial"/>
          <w:sz w:val="24"/>
          <w:szCs w:val="24"/>
        </w:rPr>
      </w:pPr>
      <w:r w:rsidRPr="00F96BEC">
        <w:rPr>
          <w:rFonts w:ascii="Arial" w:hAnsi="Arial" w:cs="Arial"/>
          <w:sz w:val="24"/>
          <w:szCs w:val="24"/>
        </w:rPr>
        <w:t xml:space="preserve"> </w:t>
      </w:r>
    </w:p>
    <w:p w:rsidR="0048410D" w:rsidRPr="00F96BEC" w:rsidRDefault="00F96BEC" w:rsidP="00F96BEC">
      <w:pPr>
        <w:pStyle w:val="BodyTextIndent3"/>
        <w:spacing w:after="0"/>
        <w:ind w:left="720" w:right="-360" w:hanging="720"/>
        <w:contextualSpacing/>
        <w:rPr>
          <w:rFonts w:ascii="Arial" w:hAnsi="Arial" w:cs="Arial"/>
          <w:b/>
          <w:sz w:val="24"/>
          <w:szCs w:val="24"/>
        </w:rPr>
      </w:pPr>
      <w:r>
        <w:rPr>
          <w:rFonts w:ascii="Arial" w:hAnsi="Arial" w:cs="Arial"/>
          <w:b/>
          <w:sz w:val="24"/>
          <w:szCs w:val="24"/>
        </w:rPr>
        <w:t>4</w:t>
      </w:r>
      <w:r>
        <w:rPr>
          <w:rFonts w:ascii="Arial" w:hAnsi="Arial" w:cs="Arial"/>
          <w:b/>
          <w:sz w:val="24"/>
          <w:szCs w:val="24"/>
        </w:rPr>
        <w:tab/>
      </w:r>
      <w:r w:rsidR="0048410D" w:rsidRPr="00F96BEC">
        <w:rPr>
          <w:rFonts w:ascii="Arial" w:hAnsi="Arial" w:cs="Arial"/>
          <w:b/>
          <w:sz w:val="24"/>
          <w:szCs w:val="24"/>
        </w:rPr>
        <w:t>Situation at End March 2017:</w:t>
      </w:r>
    </w:p>
    <w:p w:rsidR="0048410D" w:rsidRPr="00F96BEC" w:rsidRDefault="0048410D" w:rsidP="00F96BEC">
      <w:pPr>
        <w:pStyle w:val="BodyTextIndent3"/>
        <w:spacing w:after="0"/>
        <w:ind w:left="720" w:right="-360"/>
        <w:contextualSpacing/>
        <w:rPr>
          <w:rFonts w:ascii="Arial" w:hAnsi="Arial" w:cs="Arial"/>
          <w:b/>
          <w:sz w:val="24"/>
          <w:szCs w:val="24"/>
        </w:rPr>
      </w:pPr>
    </w:p>
    <w:p w:rsidR="0048410D" w:rsidRPr="00F96BEC" w:rsidRDefault="0048410D" w:rsidP="00F96BEC">
      <w:pPr>
        <w:pStyle w:val="BodyTextIndent3"/>
        <w:numPr>
          <w:ilvl w:val="0"/>
          <w:numId w:val="8"/>
        </w:numPr>
        <w:tabs>
          <w:tab w:val="clear" w:pos="720"/>
          <w:tab w:val="num" w:pos="1080"/>
        </w:tabs>
        <w:spacing w:after="0"/>
        <w:ind w:left="1080" w:right="-360"/>
        <w:contextualSpacing/>
        <w:rPr>
          <w:rFonts w:ascii="Arial" w:hAnsi="Arial" w:cs="Arial"/>
          <w:b/>
          <w:sz w:val="24"/>
          <w:szCs w:val="24"/>
        </w:rPr>
      </w:pPr>
      <w:r w:rsidRPr="00F96BEC">
        <w:rPr>
          <w:rFonts w:ascii="Arial" w:hAnsi="Arial" w:cs="Arial"/>
          <w:sz w:val="24"/>
          <w:szCs w:val="24"/>
        </w:rPr>
        <w:t>Inpatients/Day case activity at the end of March 2017 is 12% higher than at the end of March 2016.</w:t>
      </w:r>
    </w:p>
    <w:p w:rsidR="0048410D" w:rsidRPr="00F96BEC" w:rsidRDefault="0048410D" w:rsidP="00F96BEC">
      <w:pPr>
        <w:pStyle w:val="BodyTextIndent3"/>
        <w:numPr>
          <w:ilvl w:val="0"/>
          <w:numId w:val="8"/>
        </w:numPr>
        <w:tabs>
          <w:tab w:val="clear" w:pos="720"/>
          <w:tab w:val="num" w:pos="1080"/>
        </w:tabs>
        <w:spacing w:after="0"/>
        <w:ind w:left="1080" w:right="-360"/>
        <w:contextualSpacing/>
        <w:rPr>
          <w:rFonts w:ascii="Arial" w:hAnsi="Arial" w:cs="Arial"/>
          <w:b/>
          <w:sz w:val="24"/>
          <w:szCs w:val="24"/>
        </w:rPr>
      </w:pPr>
      <w:r w:rsidRPr="00F96BEC">
        <w:rPr>
          <w:rFonts w:ascii="Arial" w:hAnsi="Arial" w:cs="Arial"/>
          <w:sz w:val="24"/>
          <w:szCs w:val="24"/>
        </w:rPr>
        <w:t>Diagnostic imaging activity at the end of March 2016 is 14% higher than at the end of March 2016.</w:t>
      </w:r>
    </w:p>
    <w:p w:rsidR="0048410D" w:rsidRPr="00F96BEC" w:rsidRDefault="0048410D" w:rsidP="00F96BEC">
      <w:pPr>
        <w:pStyle w:val="BodyTextIndent3"/>
        <w:numPr>
          <w:ilvl w:val="0"/>
          <w:numId w:val="8"/>
        </w:numPr>
        <w:tabs>
          <w:tab w:val="clear" w:pos="720"/>
          <w:tab w:val="num" w:pos="1080"/>
        </w:tabs>
        <w:spacing w:after="0"/>
        <w:ind w:left="1080" w:right="-360"/>
        <w:contextualSpacing/>
        <w:rPr>
          <w:rFonts w:ascii="Arial" w:hAnsi="Arial" w:cs="Arial"/>
          <w:b/>
          <w:sz w:val="24"/>
          <w:szCs w:val="24"/>
        </w:rPr>
      </w:pPr>
      <w:r w:rsidRPr="00F96BEC">
        <w:rPr>
          <w:rFonts w:ascii="Arial" w:hAnsi="Arial" w:cs="Arial"/>
          <w:sz w:val="24"/>
          <w:szCs w:val="24"/>
        </w:rPr>
        <w:t xml:space="preserve">Collectively, (in patient/day case and imaging) activity for 2016/17 was 13.6% higher than in 2015/16.  </w:t>
      </w:r>
    </w:p>
    <w:p w:rsidR="0048410D" w:rsidRPr="00F96BEC" w:rsidRDefault="0048410D" w:rsidP="00F96BEC">
      <w:pPr>
        <w:pStyle w:val="BodyTextIndent3"/>
        <w:spacing w:after="0"/>
        <w:ind w:left="720" w:right="-360"/>
        <w:contextualSpacing/>
        <w:rPr>
          <w:rFonts w:ascii="Arial" w:hAnsi="Arial" w:cs="Arial"/>
          <w:b/>
          <w:sz w:val="24"/>
          <w:szCs w:val="24"/>
          <w:lang w:eastAsia="en-GB"/>
        </w:rPr>
      </w:pPr>
    </w:p>
    <w:p w:rsidR="0048410D" w:rsidRPr="00F96BEC" w:rsidRDefault="0048410D" w:rsidP="00F96BEC">
      <w:pPr>
        <w:pStyle w:val="BodyTextIndent3"/>
        <w:spacing w:after="0"/>
        <w:ind w:left="720" w:right="-360"/>
        <w:contextualSpacing/>
        <w:rPr>
          <w:rFonts w:ascii="Arial" w:hAnsi="Arial" w:cs="Arial"/>
          <w:b/>
          <w:sz w:val="24"/>
          <w:szCs w:val="24"/>
        </w:rPr>
      </w:pPr>
      <w:r w:rsidRPr="00F96BEC">
        <w:rPr>
          <w:rFonts w:ascii="Arial" w:hAnsi="Arial" w:cs="Arial"/>
          <w:sz w:val="24"/>
          <w:szCs w:val="24"/>
          <w:lang w:eastAsia="en-GB"/>
        </w:rPr>
        <w:t>The following chart demonstrates the total national waiting times activity growth over the past six years:</w:t>
      </w:r>
      <w:r w:rsidRPr="00F96BEC">
        <w:rPr>
          <w:rFonts w:ascii="Arial" w:hAnsi="Arial" w:cs="Arial"/>
          <w:b/>
          <w:noProof/>
          <w:sz w:val="24"/>
          <w:szCs w:val="24"/>
          <w:lang w:eastAsia="en-GB"/>
        </w:rPr>
        <w:drawing>
          <wp:inline distT="0" distB="0" distL="0" distR="0">
            <wp:extent cx="5288915" cy="2036618"/>
            <wp:effectExtent l="19050" t="0" r="26035" b="1732"/>
            <wp:docPr id="6"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8410D" w:rsidRPr="00F96BEC" w:rsidRDefault="0048410D" w:rsidP="00F96BEC">
      <w:pPr>
        <w:pStyle w:val="BodyTextIndent3"/>
        <w:spacing w:after="0"/>
        <w:ind w:left="0" w:right="-360"/>
        <w:contextualSpacing/>
        <w:rPr>
          <w:rFonts w:ascii="Arial" w:hAnsi="Arial" w:cs="Arial"/>
          <w:b/>
          <w:sz w:val="24"/>
          <w:szCs w:val="24"/>
        </w:rPr>
      </w:pPr>
    </w:p>
    <w:p w:rsidR="0048410D" w:rsidRPr="00F96BEC" w:rsidRDefault="0048410D" w:rsidP="00F96BEC">
      <w:pPr>
        <w:pStyle w:val="BodyTextIndent3"/>
        <w:numPr>
          <w:ilvl w:val="0"/>
          <w:numId w:val="7"/>
        </w:numPr>
        <w:tabs>
          <w:tab w:val="clear" w:pos="720"/>
          <w:tab w:val="num" w:pos="1069"/>
        </w:tabs>
        <w:spacing w:after="0"/>
        <w:ind w:left="1069" w:right="-360"/>
        <w:contextualSpacing/>
        <w:rPr>
          <w:rFonts w:ascii="Arial" w:hAnsi="Arial" w:cs="Arial"/>
          <w:b/>
          <w:sz w:val="24"/>
          <w:szCs w:val="24"/>
        </w:rPr>
      </w:pPr>
      <w:r w:rsidRPr="00F96BEC">
        <w:rPr>
          <w:rFonts w:ascii="Arial" w:hAnsi="Arial" w:cs="Arial"/>
          <w:sz w:val="24"/>
          <w:szCs w:val="24"/>
        </w:rPr>
        <w:t>Activity levels for all expansions implemented during the course of 2015/16 are embedded and have been sustained.  The full year effect of these expansions has been realised.</w:t>
      </w:r>
    </w:p>
    <w:p w:rsidR="0048410D" w:rsidRPr="00F96BEC" w:rsidRDefault="0048410D" w:rsidP="00F96BEC">
      <w:pPr>
        <w:pStyle w:val="BodyTextIndent3"/>
        <w:numPr>
          <w:ilvl w:val="0"/>
          <w:numId w:val="7"/>
        </w:numPr>
        <w:tabs>
          <w:tab w:val="clear" w:pos="720"/>
          <w:tab w:val="num" w:pos="1069"/>
        </w:tabs>
        <w:spacing w:after="0"/>
        <w:ind w:left="1069" w:right="-360"/>
        <w:contextualSpacing/>
        <w:rPr>
          <w:rFonts w:ascii="Arial" w:hAnsi="Arial" w:cs="Arial"/>
          <w:b/>
          <w:sz w:val="24"/>
          <w:szCs w:val="24"/>
        </w:rPr>
      </w:pPr>
      <w:r w:rsidRPr="00F96BEC">
        <w:rPr>
          <w:rFonts w:ascii="Arial" w:hAnsi="Arial" w:cs="Arial"/>
          <w:sz w:val="24"/>
          <w:szCs w:val="24"/>
        </w:rPr>
        <w:t xml:space="preserve">Activity for 2017/18 has been finalised with referring </w:t>
      </w:r>
      <w:r w:rsidR="00F96BEC">
        <w:rPr>
          <w:rFonts w:ascii="Arial" w:hAnsi="Arial" w:cs="Arial"/>
          <w:sz w:val="24"/>
          <w:szCs w:val="24"/>
        </w:rPr>
        <w:t>B</w:t>
      </w:r>
      <w:r w:rsidRPr="00F96BEC">
        <w:rPr>
          <w:rFonts w:ascii="Arial" w:hAnsi="Arial" w:cs="Arial"/>
          <w:sz w:val="24"/>
          <w:szCs w:val="24"/>
        </w:rPr>
        <w:t>oards. The increased activity associated with the expansion of the Ophthalmology programme has been incorporated into allocations and some other minor adjustments have been made to the three year plan to reflect the needs of some referring Boards.</w:t>
      </w:r>
    </w:p>
    <w:p w:rsidR="0048410D" w:rsidRPr="00F96BEC" w:rsidRDefault="0048410D" w:rsidP="00F96BEC">
      <w:pPr>
        <w:pStyle w:val="BodyTextIndent3"/>
        <w:numPr>
          <w:ilvl w:val="0"/>
          <w:numId w:val="7"/>
        </w:numPr>
        <w:tabs>
          <w:tab w:val="clear" w:pos="720"/>
          <w:tab w:val="num" w:pos="1069"/>
        </w:tabs>
        <w:spacing w:after="0"/>
        <w:ind w:left="1069" w:right="-360"/>
        <w:contextualSpacing/>
        <w:rPr>
          <w:rFonts w:ascii="Arial" w:hAnsi="Arial" w:cs="Arial"/>
          <w:sz w:val="24"/>
          <w:szCs w:val="24"/>
        </w:rPr>
      </w:pPr>
      <w:r w:rsidRPr="00F96BEC">
        <w:rPr>
          <w:rFonts w:ascii="Arial" w:hAnsi="Arial" w:cs="Arial"/>
          <w:sz w:val="24"/>
          <w:szCs w:val="24"/>
        </w:rPr>
        <w:t xml:space="preserve">Agreement has been reached to continue to provide an orthopaedic outreach service in Highland and Shetland throughout 2017/18, some of which will continue to involve initial consultation via </w:t>
      </w:r>
      <w:proofErr w:type="spellStart"/>
      <w:r w:rsidRPr="00F96BEC">
        <w:rPr>
          <w:rFonts w:ascii="Arial" w:hAnsi="Arial" w:cs="Arial"/>
          <w:sz w:val="24"/>
          <w:szCs w:val="24"/>
        </w:rPr>
        <w:t>telehealth</w:t>
      </w:r>
      <w:proofErr w:type="spellEnd"/>
      <w:r w:rsidRPr="00F96BEC">
        <w:rPr>
          <w:rFonts w:ascii="Arial" w:hAnsi="Arial" w:cs="Arial"/>
          <w:sz w:val="24"/>
          <w:szCs w:val="24"/>
        </w:rPr>
        <w:t>.</w:t>
      </w:r>
    </w:p>
    <w:p w:rsidR="0048410D" w:rsidRPr="00F96BEC" w:rsidRDefault="0048410D" w:rsidP="00F96BEC">
      <w:pPr>
        <w:pStyle w:val="BodyTextIndent3"/>
        <w:numPr>
          <w:ilvl w:val="0"/>
          <w:numId w:val="7"/>
        </w:numPr>
        <w:tabs>
          <w:tab w:val="clear" w:pos="720"/>
          <w:tab w:val="num" w:pos="1069"/>
        </w:tabs>
        <w:spacing w:after="0"/>
        <w:ind w:left="1069" w:right="-360"/>
        <w:contextualSpacing/>
        <w:rPr>
          <w:rFonts w:ascii="Arial" w:hAnsi="Arial" w:cs="Arial"/>
          <w:sz w:val="24"/>
          <w:szCs w:val="24"/>
        </w:rPr>
      </w:pPr>
      <w:r w:rsidRPr="00F96BEC">
        <w:rPr>
          <w:rFonts w:ascii="Arial" w:hAnsi="Arial" w:cs="Arial"/>
          <w:sz w:val="24"/>
          <w:szCs w:val="24"/>
        </w:rPr>
        <w:t xml:space="preserve">Agreement has been reached with NHS Fife to extend the Ophthalmology pilot which is testing initial consultation by </w:t>
      </w:r>
      <w:proofErr w:type="spellStart"/>
      <w:r w:rsidRPr="00F96BEC">
        <w:rPr>
          <w:rFonts w:ascii="Arial" w:hAnsi="Arial" w:cs="Arial"/>
          <w:sz w:val="24"/>
          <w:szCs w:val="24"/>
        </w:rPr>
        <w:t>telehealth</w:t>
      </w:r>
      <w:proofErr w:type="spellEnd"/>
      <w:r w:rsidRPr="00F96BEC">
        <w:rPr>
          <w:rFonts w:ascii="Arial" w:hAnsi="Arial" w:cs="Arial"/>
          <w:sz w:val="24"/>
          <w:szCs w:val="24"/>
        </w:rPr>
        <w:t xml:space="preserve"> for cataract patients.</w:t>
      </w:r>
    </w:p>
    <w:p w:rsidR="0048410D" w:rsidRPr="00F96BEC" w:rsidRDefault="0048410D" w:rsidP="00F96BEC">
      <w:pPr>
        <w:pStyle w:val="BodyTextIndent3"/>
        <w:numPr>
          <w:ilvl w:val="0"/>
          <w:numId w:val="7"/>
        </w:numPr>
        <w:tabs>
          <w:tab w:val="clear" w:pos="720"/>
          <w:tab w:val="num" w:pos="1069"/>
        </w:tabs>
        <w:spacing w:after="0"/>
        <w:ind w:left="1069" w:right="-360"/>
        <w:contextualSpacing/>
        <w:rPr>
          <w:rFonts w:ascii="Arial" w:hAnsi="Arial" w:cs="Arial"/>
          <w:sz w:val="24"/>
          <w:szCs w:val="24"/>
        </w:rPr>
      </w:pPr>
      <w:r w:rsidRPr="00F96BEC">
        <w:rPr>
          <w:rFonts w:ascii="Arial" w:hAnsi="Arial" w:cs="Arial"/>
          <w:sz w:val="24"/>
          <w:szCs w:val="24"/>
        </w:rPr>
        <w:t>Agreement has been reached to retain the mobile MRI Unit on site five days per week throughout 2017/18 while work progresses to install a third permanent scanner.</w:t>
      </w:r>
    </w:p>
    <w:p w:rsidR="0048410D" w:rsidRPr="00F96BEC" w:rsidRDefault="0048410D" w:rsidP="00F96BEC">
      <w:pPr>
        <w:pStyle w:val="BodyTextIndent3"/>
        <w:spacing w:after="0"/>
        <w:ind w:left="0" w:right="-360"/>
        <w:contextualSpacing/>
        <w:rPr>
          <w:rFonts w:ascii="Arial" w:hAnsi="Arial" w:cs="Arial"/>
          <w:sz w:val="24"/>
          <w:szCs w:val="24"/>
        </w:rPr>
      </w:pPr>
    </w:p>
    <w:p w:rsidR="0048410D" w:rsidRDefault="00F96BEC" w:rsidP="00F96BEC">
      <w:pPr>
        <w:pStyle w:val="BodyTextIndent3"/>
        <w:spacing w:after="0"/>
        <w:ind w:left="360" w:right="-360" w:hanging="360"/>
        <w:contextualSpacing/>
        <w:rPr>
          <w:rFonts w:ascii="Arial" w:hAnsi="Arial" w:cs="Arial"/>
          <w:b/>
          <w:sz w:val="24"/>
          <w:szCs w:val="24"/>
        </w:rPr>
      </w:pPr>
      <w:r>
        <w:rPr>
          <w:rFonts w:ascii="Arial" w:hAnsi="Arial" w:cs="Arial"/>
          <w:b/>
          <w:sz w:val="24"/>
          <w:szCs w:val="24"/>
        </w:rPr>
        <w:t>5</w:t>
      </w:r>
      <w:r>
        <w:rPr>
          <w:rFonts w:ascii="Arial" w:hAnsi="Arial" w:cs="Arial"/>
          <w:b/>
          <w:sz w:val="24"/>
          <w:szCs w:val="24"/>
        </w:rPr>
        <w:tab/>
      </w:r>
      <w:r>
        <w:rPr>
          <w:rFonts w:ascii="Arial" w:hAnsi="Arial" w:cs="Arial"/>
          <w:b/>
          <w:sz w:val="24"/>
          <w:szCs w:val="24"/>
        </w:rPr>
        <w:tab/>
      </w:r>
      <w:r w:rsidR="0048410D" w:rsidRPr="00F96BEC">
        <w:rPr>
          <w:rFonts w:ascii="Arial" w:hAnsi="Arial" w:cs="Arial"/>
          <w:b/>
          <w:sz w:val="24"/>
          <w:szCs w:val="24"/>
        </w:rPr>
        <w:t>Waiting Times Internal Audit Report</w:t>
      </w:r>
    </w:p>
    <w:p w:rsidR="00F96BEC" w:rsidRDefault="00F96BEC" w:rsidP="00F96BEC">
      <w:pPr>
        <w:pStyle w:val="BodyTextIndent3"/>
        <w:spacing w:after="0"/>
        <w:ind w:left="360" w:right="-360" w:hanging="360"/>
        <w:contextualSpacing/>
        <w:rPr>
          <w:rFonts w:ascii="Arial" w:hAnsi="Arial" w:cs="Arial"/>
          <w:b/>
          <w:sz w:val="24"/>
          <w:szCs w:val="24"/>
        </w:rPr>
      </w:pPr>
    </w:p>
    <w:p w:rsidR="0048410D" w:rsidRPr="00F96BEC" w:rsidRDefault="0048410D" w:rsidP="00F96BEC">
      <w:pPr>
        <w:pStyle w:val="BodyTextIndent3"/>
        <w:numPr>
          <w:ilvl w:val="0"/>
          <w:numId w:val="15"/>
        </w:numPr>
        <w:spacing w:after="0"/>
        <w:ind w:right="-360"/>
        <w:contextualSpacing/>
        <w:rPr>
          <w:rFonts w:ascii="Arial" w:hAnsi="Arial" w:cs="Arial"/>
          <w:sz w:val="24"/>
          <w:szCs w:val="24"/>
        </w:rPr>
      </w:pPr>
      <w:r w:rsidRPr="00F96BEC">
        <w:rPr>
          <w:rFonts w:ascii="Arial" w:hAnsi="Arial" w:cs="Arial"/>
          <w:sz w:val="24"/>
          <w:szCs w:val="24"/>
        </w:rPr>
        <w:lastRenderedPageBreak/>
        <w:t xml:space="preserve">The Waiting Times Internal Audit Reports has reported100% compliance throughout the year.   </w:t>
      </w:r>
    </w:p>
    <w:p w:rsidR="0048410D" w:rsidRPr="00F96BEC" w:rsidRDefault="0048410D" w:rsidP="00F96BEC">
      <w:pPr>
        <w:pStyle w:val="BodyTextIndent3"/>
        <w:spacing w:after="0"/>
        <w:ind w:left="360"/>
        <w:contextualSpacing/>
        <w:rPr>
          <w:rFonts w:ascii="Arial" w:hAnsi="Arial" w:cs="Arial"/>
          <w:sz w:val="24"/>
          <w:szCs w:val="24"/>
        </w:rPr>
      </w:pPr>
    </w:p>
    <w:p w:rsidR="00F96BEC" w:rsidRDefault="00F96BEC" w:rsidP="00F96BEC">
      <w:pPr>
        <w:pStyle w:val="BodyTextIndent3"/>
        <w:spacing w:after="0"/>
        <w:ind w:left="0" w:right="-360"/>
        <w:contextualSpacing/>
        <w:rPr>
          <w:rFonts w:ascii="Arial" w:hAnsi="Arial" w:cs="Arial"/>
          <w:b/>
          <w:sz w:val="24"/>
          <w:szCs w:val="24"/>
        </w:rPr>
      </w:pPr>
      <w:r>
        <w:rPr>
          <w:rFonts w:ascii="Arial" w:hAnsi="Arial" w:cs="Arial"/>
          <w:b/>
          <w:sz w:val="24"/>
          <w:szCs w:val="24"/>
        </w:rPr>
        <w:t>6</w:t>
      </w:r>
      <w:r>
        <w:rPr>
          <w:rFonts w:ascii="Arial" w:hAnsi="Arial" w:cs="Arial"/>
          <w:b/>
          <w:sz w:val="24"/>
          <w:szCs w:val="24"/>
        </w:rPr>
        <w:tab/>
        <w:t>Conclusion</w:t>
      </w:r>
    </w:p>
    <w:p w:rsidR="00F96BEC" w:rsidRDefault="00F96BEC" w:rsidP="00F96BEC">
      <w:pPr>
        <w:pStyle w:val="BodyTextIndent3"/>
        <w:spacing w:after="0"/>
        <w:ind w:left="0" w:right="-360"/>
        <w:contextualSpacing/>
        <w:rPr>
          <w:rFonts w:ascii="Arial" w:hAnsi="Arial" w:cs="Arial"/>
          <w:b/>
          <w:sz w:val="24"/>
          <w:szCs w:val="24"/>
        </w:rPr>
      </w:pPr>
    </w:p>
    <w:p w:rsidR="00F96BEC" w:rsidRPr="00F96BEC" w:rsidRDefault="00F96BEC" w:rsidP="00F96BEC">
      <w:pPr>
        <w:pStyle w:val="BodyTextIndent3"/>
        <w:spacing w:after="0"/>
        <w:ind w:left="0" w:right="-360"/>
        <w:contextualSpacing/>
        <w:rPr>
          <w:rFonts w:ascii="Arial" w:hAnsi="Arial" w:cs="Arial"/>
          <w:sz w:val="24"/>
          <w:szCs w:val="24"/>
        </w:rPr>
      </w:pPr>
      <w:r w:rsidRPr="00F96BEC">
        <w:rPr>
          <w:rFonts w:ascii="Arial" w:hAnsi="Arial" w:cs="Arial"/>
          <w:sz w:val="24"/>
          <w:szCs w:val="24"/>
        </w:rPr>
        <w:tab/>
        <w:t>The Board is asked to note the report.</w:t>
      </w:r>
    </w:p>
    <w:p w:rsidR="00F96BEC" w:rsidRDefault="00F96BEC" w:rsidP="00F96BEC">
      <w:pPr>
        <w:pStyle w:val="BodyTextIndent3"/>
        <w:spacing w:after="0"/>
        <w:ind w:left="0" w:right="-360"/>
        <w:contextualSpacing/>
        <w:rPr>
          <w:rFonts w:ascii="Arial" w:hAnsi="Arial" w:cs="Arial"/>
          <w:b/>
          <w:sz w:val="24"/>
          <w:szCs w:val="24"/>
        </w:rPr>
      </w:pPr>
    </w:p>
    <w:p w:rsidR="00F96BEC" w:rsidRDefault="00F96BEC" w:rsidP="00F96BEC">
      <w:pPr>
        <w:pStyle w:val="BodyTextIndent3"/>
        <w:spacing w:after="0"/>
        <w:ind w:left="0" w:right="-360"/>
        <w:contextualSpacing/>
        <w:rPr>
          <w:rFonts w:ascii="Arial" w:hAnsi="Arial" w:cs="Arial"/>
          <w:b/>
          <w:sz w:val="24"/>
          <w:szCs w:val="24"/>
        </w:rPr>
      </w:pPr>
    </w:p>
    <w:p w:rsidR="0048410D" w:rsidRPr="00F96BEC" w:rsidRDefault="0048410D" w:rsidP="00F96BEC">
      <w:pPr>
        <w:pStyle w:val="BodyTextIndent3"/>
        <w:spacing w:after="0"/>
        <w:ind w:left="0" w:right="-360"/>
        <w:contextualSpacing/>
        <w:rPr>
          <w:rFonts w:ascii="Arial" w:hAnsi="Arial" w:cs="Arial"/>
          <w:sz w:val="24"/>
          <w:szCs w:val="24"/>
        </w:rPr>
      </w:pPr>
      <w:r w:rsidRPr="00F96BEC">
        <w:rPr>
          <w:rFonts w:ascii="Arial" w:hAnsi="Arial" w:cs="Arial"/>
          <w:b/>
          <w:sz w:val="24"/>
          <w:szCs w:val="24"/>
        </w:rPr>
        <w:t>June Rogers</w:t>
      </w:r>
    </w:p>
    <w:p w:rsidR="0048410D" w:rsidRPr="00F96BEC" w:rsidRDefault="0048410D" w:rsidP="00F96BEC">
      <w:pPr>
        <w:pStyle w:val="BodyTextIndent3"/>
        <w:spacing w:after="0"/>
        <w:ind w:left="0" w:right="-360"/>
        <w:contextualSpacing/>
        <w:rPr>
          <w:rFonts w:ascii="Arial" w:hAnsi="Arial" w:cs="Arial"/>
          <w:b/>
          <w:sz w:val="24"/>
          <w:szCs w:val="24"/>
        </w:rPr>
      </w:pPr>
      <w:r w:rsidRPr="00F96BEC">
        <w:rPr>
          <w:rFonts w:ascii="Arial" w:hAnsi="Arial" w:cs="Arial"/>
          <w:b/>
          <w:sz w:val="24"/>
          <w:szCs w:val="24"/>
        </w:rPr>
        <w:t xml:space="preserve">Director of Operations </w:t>
      </w:r>
    </w:p>
    <w:p w:rsidR="0048410D" w:rsidRPr="00F96BEC" w:rsidRDefault="0048410D" w:rsidP="00F96BEC">
      <w:pPr>
        <w:pStyle w:val="BodyTextIndent3"/>
        <w:spacing w:after="0"/>
        <w:ind w:left="0" w:right="-360"/>
        <w:contextualSpacing/>
        <w:rPr>
          <w:rFonts w:ascii="Arial" w:hAnsi="Arial" w:cs="Arial"/>
          <w:b/>
          <w:sz w:val="24"/>
          <w:szCs w:val="24"/>
        </w:rPr>
      </w:pPr>
      <w:r w:rsidRPr="00F96BEC">
        <w:rPr>
          <w:rFonts w:ascii="Arial" w:hAnsi="Arial" w:cs="Arial"/>
          <w:b/>
          <w:sz w:val="24"/>
          <w:szCs w:val="24"/>
        </w:rPr>
        <w:t>26 April 2017</w:t>
      </w:r>
    </w:p>
    <w:p w:rsidR="00974594" w:rsidRPr="00F96BEC" w:rsidRDefault="00974594" w:rsidP="00F96BEC">
      <w:pPr>
        <w:pStyle w:val="BodyTextIndent"/>
        <w:ind w:left="540" w:right="183" w:firstLine="0"/>
        <w:contextualSpacing/>
        <w:rPr>
          <w:rFonts w:ascii="Arial" w:hAnsi="Arial" w:cs="Arial"/>
          <w:b/>
          <w:bCs/>
        </w:rPr>
      </w:pPr>
    </w:p>
    <w:sectPr w:rsidR="00974594" w:rsidRPr="00F96BEC" w:rsidSect="00F96BEC">
      <w:footerReference w:type="default" r:id="rId12"/>
      <w:footerReference w:type="first" r:id="rId13"/>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BE5" w:rsidRDefault="00937BE5">
      <w:r>
        <w:separator/>
      </w:r>
    </w:p>
  </w:endnote>
  <w:endnote w:type="continuationSeparator" w:id="0">
    <w:p w:rsidR="00937BE5" w:rsidRDefault="00937B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BEC" w:rsidRDefault="00F96BEC" w:rsidP="00F96BEC">
    <w:pPr>
      <w:jc w:val="center"/>
      <w:rPr>
        <w:rFonts w:ascii="Arial" w:hAnsi="Arial" w:cs="Arial"/>
        <w:sz w:val="20"/>
        <w:szCs w:val="20"/>
      </w:rPr>
    </w:pPr>
    <w:r>
      <w:rPr>
        <w:rFonts w:ascii="Arial" w:hAnsi="Arial" w:cs="Arial"/>
        <w:sz w:val="20"/>
        <w:szCs w:val="20"/>
      </w:rPr>
      <w:t>_________________________________________________________________________________</w:t>
    </w:r>
  </w:p>
  <w:p w:rsidR="00FE3A34" w:rsidRPr="00513DB0" w:rsidRDefault="00FE3A34" w:rsidP="00C24B4E">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F96BEC">
      <w:rPr>
        <w:rStyle w:val="PageNumber"/>
        <w:rFonts w:ascii="Arial" w:hAnsi="Arial" w:cs="Arial"/>
        <w:noProof/>
      </w:rPr>
      <w:t>5</w:t>
    </w:r>
    <w:r w:rsidRPr="00513DB0">
      <w:rPr>
        <w:rStyle w:val="PageNumber"/>
        <w:rFonts w:ascii="Arial" w:hAnsi="Arial" w:cs="Arial"/>
      </w:rPr>
      <w:fldChar w:fldCharType="end"/>
    </w:r>
  </w:p>
  <w:p w:rsidR="00FE3A34" w:rsidRDefault="00FE3A34"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BEC" w:rsidRPr="00513DB0" w:rsidRDefault="00F96BEC" w:rsidP="00F96BEC">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F96BEC" w:rsidRDefault="00F96BEC" w:rsidP="00F96BEC">
    <w:pPr>
      <w:jc w:val="center"/>
      <w:rPr>
        <w:rFonts w:ascii="Arial" w:hAnsi="Arial" w:cs="Arial"/>
        <w:sz w:val="20"/>
        <w:szCs w:val="20"/>
      </w:rPr>
    </w:pPr>
    <w:r>
      <w:rPr>
        <w:rFonts w:ascii="Arial" w:hAnsi="Arial" w:cs="Arial"/>
        <w:sz w:val="20"/>
        <w:szCs w:val="20"/>
      </w:rPr>
      <w:t>_________________________________________________________________________________</w:t>
    </w:r>
  </w:p>
  <w:p w:rsidR="00F96BEC" w:rsidRDefault="00F96BEC" w:rsidP="00F96BEC">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F96BEC" w:rsidRPr="008F5DB5" w:rsidRDefault="00F96BEC" w:rsidP="00F96BEC">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F96BEC" w:rsidRPr="00EA4869" w:rsidRDefault="00F96BEC" w:rsidP="00F96BEC">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p w:rsidR="00F96BEC" w:rsidRDefault="00F96B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BE5" w:rsidRDefault="00937BE5">
      <w:r>
        <w:separator/>
      </w:r>
    </w:p>
  </w:footnote>
  <w:footnote w:type="continuationSeparator" w:id="0">
    <w:p w:rsidR="00937BE5" w:rsidRDefault="00937B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D46FAD"/>
    <w:multiLevelType w:val="hybridMultilevel"/>
    <w:tmpl w:val="1A14CC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
    <w:nsid w:val="57761174"/>
    <w:multiLevelType w:val="hybridMultilevel"/>
    <w:tmpl w:val="DF30F36C"/>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1">
      <w:start w:val="1"/>
      <w:numFmt w:val="bullet"/>
      <w:lvlText w:val=""/>
      <w:lvlJc w:val="left"/>
      <w:pPr>
        <w:tabs>
          <w:tab w:val="num" w:pos="2520"/>
        </w:tabs>
        <w:ind w:left="2520" w:hanging="360"/>
      </w:pPr>
      <w:rPr>
        <w:rFonts w:ascii="Symbol" w:hAnsi="Symbol"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1"/>
  </w:num>
  <w:num w:numId="2">
    <w:abstractNumId w:val="14"/>
  </w:num>
  <w:num w:numId="3">
    <w:abstractNumId w:val="9"/>
  </w:num>
  <w:num w:numId="4">
    <w:abstractNumId w:val="1"/>
  </w:num>
  <w:num w:numId="5">
    <w:abstractNumId w:val="2"/>
  </w:num>
  <w:num w:numId="6">
    <w:abstractNumId w:val="7"/>
  </w:num>
  <w:num w:numId="7">
    <w:abstractNumId w:val="13"/>
  </w:num>
  <w:num w:numId="8">
    <w:abstractNumId w:val="0"/>
  </w:num>
  <w:num w:numId="9">
    <w:abstractNumId w:val="12"/>
  </w:num>
  <w:num w:numId="10">
    <w:abstractNumId w:val="6"/>
  </w:num>
  <w:num w:numId="11">
    <w:abstractNumId w:val="4"/>
  </w:num>
  <w:num w:numId="12">
    <w:abstractNumId w:val="10"/>
  </w:num>
  <w:num w:numId="13">
    <w:abstractNumId w:val="3"/>
  </w:num>
  <w:num w:numId="14">
    <w:abstractNumId w:val="8"/>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2A42DD"/>
    <w:rsid w:val="003E423D"/>
    <w:rsid w:val="003F19CA"/>
    <w:rsid w:val="004512CE"/>
    <w:rsid w:val="0048410D"/>
    <w:rsid w:val="00513DB0"/>
    <w:rsid w:val="00526532"/>
    <w:rsid w:val="005F02B7"/>
    <w:rsid w:val="0060634D"/>
    <w:rsid w:val="00661EF1"/>
    <w:rsid w:val="006A1357"/>
    <w:rsid w:val="006D6F99"/>
    <w:rsid w:val="00711E7A"/>
    <w:rsid w:val="00815350"/>
    <w:rsid w:val="00825B2D"/>
    <w:rsid w:val="00844E0E"/>
    <w:rsid w:val="008A07AE"/>
    <w:rsid w:val="008C26A2"/>
    <w:rsid w:val="0093700B"/>
    <w:rsid w:val="00937BE5"/>
    <w:rsid w:val="00974594"/>
    <w:rsid w:val="009E6A39"/>
    <w:rsid w:val="00A2577B"/>
    <w:rsid w:val="00A3124D"/>
    <w:rsid w:val="00C0017D"/>
    <w:rsid w:val="00C24B4E"/>
    <w:rsid w:val="00C36974"/>
    <w:rsid w:val="00C956E2"/>
    <w:rsid w:val="00CE4B72"/>
    <w:rsid w:val="00D306B6"/>
    <w:rsid w:val="00D92AA6"/>
    <w:rsid w:val="00DD7115"/>
    <w:rsid w:val="00DE5902"/>
    <w:rsid w:val="00E24BFC"/>
    <w:rsid w:val="00E95856"/>
    <w:rsid w:val="00EA4869"/>
    <w:rsid w:val="00EB7C07"/>
    <w:rsid w:val="00F12826"/>
    <w:rsid w:val="00F96BE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paragraph" w:styleId="BalloonText">
    <w:name w:val="Balloon Text"/>
    <w:basedOn w:val="Normal"/>
    <w:link w:val="BalloonTextChar"/>
    <w:rsid w:val="00F96BEC"/>
    <w:rPr>
      <w:rFonts w:ascii="Tahoma" w:hAnsi="Tahoma" w:cs="Tahoma"/>
      <w:sz w:val="16"/>
      <w:szCs w:val="16"/>
    </w:rPr>
  </w:style>
  <w:style w:type="character" w:customStyle="1" w:styleId="BalloonTextChar">
    <w:name w:val="Balloon Text Char"/>
    <w:basedOn w:val="DefaultParagraphFont"/>
    <w:link w:val="BalloonText"/>
    <w:rsid w:val="00F96BE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Book4"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wtc-filesrv\users\rogersj\JSMYTH\JSMYTH\JUNE\Ortho%20Graph%20Activity%202003%20-%202015-1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nwtc-filesrv\users\rogersj\JSMYTH\JSMYTH\JUNE\Ophtalmology%20Graph%202011-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5"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GB" sz="1200"/>
              <a:t>Diagnostic Imaging - Actual</a:t>
            </a:r>
          </a:p>
        </c:rich>
      </c:tx>
      <c:layout/>
    </c:title>
    <c:view3D>
      <c:rAngAx val="1"/>
    </c:view3D>
    <c:plotArea>
      <c:layout/>
      <c:bar3DChart>
        <c:barDir val="col"/>
        <c:grouping val="stacked"/>
        <c:ser>
          <c:idx val="0"/>
          <c:order val="0"/>
          <c:cat>
            <c:strRef>
              <c:f>[1]Sheet1!$A$2:$A$6</c:f>
              <c:strCache>
                <c:ptCount val="5"/>
                <c:pt idx="0">
                  <c:v>2011-12</c:v>
                </c:pt>
                <c:pt idx="1">
                  <c:v>2012-13</c:v>
                </c:pt>
                <c:pt idx="2">
                  <c:v>2013-14</c:v>
                </c:pt>
                <c:pt idx="3">
                  <c:v>2014-15</c:v>
                </c:pt>
                <c:pt idx="4">
                  <c:v>2016-17</c:v>
                </c:pt>
              </c:strCache>
            </c:strRef>
          </c:cat>
          <c:val>
            <c:numRef>
              <c:f>[1]Sheet1!$B$2:$B$6</c:f>
              <c:numCache>
                <c:formatCode>General</c:formatCode>
                <c:ptCount val="5"/>
                <c:pt idx="0">
                  <c:v>15071</c:v>
                </c:pt>
                <c:pt idx="1">
                  <c:v>16081</c:v>
                </c:pt>
                <c:pt idx="2">
                  <c:v>17761</c:v>
                </c:pt>
                <c:pt idx="3">
                  <c:v>20475</c:v>
                </c:pt>
                <c:pt idx="4">
                  <c:v>22681</c:v>
                </c:pt>
              </c:numCache>
            </c:numRef>
          </c:val>
        </c:ser>
        <c:dLbls>
          <c:showVal val="1"/>
        </c:dLbls>
        <c:shape val="box"/>
        <c:axId val="139666560"/>
        <c:axId val="139756672"/>
        <c:axId val="0"/>
      </c:bar3DChart>
      <c:catAx>
        <c:axId val="139666560"/>
        <c:scaling>
          <c:orientation val="minMax"/>
        </c:scaling>
        <c:axPos val="b"/>
        <c:tickLblPos val="nextTo"/>
        <c:crossAx val="139756672"/>
        <c:crosses val="autoZero"/>
        <c:auto val="1"/>
        <c:lblAlgn val="ctr"/>
        <c:lblOffset val="100"/>
      </c:catAx>
      <c:valAx>
        <c:axId val="139756672"/>
        <c:scaling>
          <c:orientation val="minMax"/>
        </c:scaling>
        <c:axPos val="l"/>
        <c:majorGridlines/>
        <c:numFmt formatCode="General" sourceLinked="1"/>
        <c:tickLblPos val="nextTo"/>
        <c:crossAx val="13966656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GB" sz="1200"/>
              <a:t>Orthopaedic Activity - Actual</a:t>
            </a:r>
          </a:p>
        </c:rich>
      </c:tx>
      <c:layout/>
    </c:title>
    <c:view3D>
      <c:rAngAx val="1"/>
    </c:view3D>
    <c:plotArea>
      <c:layout/>
      <c:bar3DChart>
        <c:barDir val="col"/>
        <c:grouping val="stacked"/>
        <c:ser>
          <c:idx val="0"/>
          <c:order val="0"/>
          <c:cat>
            <c:strRef>
              <c:f>Sheet1!$A$1:$A$7</c:f>
              <c:strCache>
                <c:ptCount val="7"/>
                <c:pt idx="0">
                  <c:v>2007/08</c:v>
                </c:pt>
                <c:pt idx="1">
                  <c:v>2009/10</c:v>
                </c:pt>
                <c:pt idx="2">
                  <c:v>2011/12</c:v>
                </c:pt>
                <c:pt idx="3">
                  <c:v>2013/14</c:v>
                </c:pt>
                <c:pt idx="4">
                  <c:v>2014/15</c:v>
                </c:pt>
                <c:pt idx="5">
                  <c:v>2015/16</c:v>
                </c:pt>
                <c:pt idx="6">
                  <c:v>2016/17</c:v>
                </c:pt>
              </c:strCache>
            </c:strRef>
          </c:cat>
          <c:val>
            <c:numRef>
              <c:f>Sheet1!$B$1:$B$7</c:f>
              <c:numCache>
                <c:formatCode>General</c:formatCode>
                <c:ptCount val="7"/>
                <c:pt idx="0">
                  <c:v>2214</c:v>
                </c:pt>
                <c:pt idx="1">
                  <c:v>3012</c:v>
                </c:pt>
                <c:pt idx="2">
                  <c:v>3312</c:v>
                </c:pt>
                <c:pt idx="3">
                  <c:v>4015</c:v>
                </c:pt>
                <c:pt idx="4">
                  <c:v>4460</c:v>
                </c:pt>
                <c:pt idx="5">
                  <c:v>5267</c:v>
                </c:pt>
                <c:pt idx="6">
                  <c:v>5355</c:v>
                </c:pt>
              </c:numCache>
            </c:numRef>
          </c:val>
        </c:ser>
        <c:dLbls>
          <c:showVal val="1"/>
        </c:dLbls>
        <c:shape val="box"/>
        <c:axId val="149133952"/>
        <c:axId val="149135744"/>
        <c:axId val="0"/>
      </c:bar3DChart>
      <c:catAx>
        <c:axId val="149133952"/>
        <c:scaling>
          <c:orientation val="minMax"/>
        </c:scaling>
        <c:axPos val="b"/>
        <c:tickLblPos val="nextTo"/>
        <c:crossAx val="149135744"/>
        <c:crosses val="autoZero"/>
        <c:auto val="1"/>
        <c:lblAlgn val="ctr"/>
        <c:lblOffset val="100"/>
      </c:catAx>
      <c:valAx>
        <c:axId val="149135744"/>
        <c:scaling>
          <c:orientation val="minMax"/>
        </c:scaling>
        <c:axPos val="l"/>
        <c:majorGridlines/>
        <c:numFmt formatCode="General" sourceLinked="1"/>
        <c:tickLblPos val="nextTo"/>
        <c:crossAx val="149133952"/>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GB" sz="1200"/>
              <a:t>Ophthalmology</a:t>
            </a:r>
            <a:r>
              <a:rPr lang="en-GB" sz="1200" baseline="0"/>
              <a:t> - Actual and Projected to 2017/18</a:t>
            </a:r>
            <a:endParaRPr lang="en-GB" sz="1200"/>
          </a:p>
        </c:rich>
      </c:tx>
      <c:layout/>
    </c:title>
    <c:view3D>
      <c:rAngAx val="1"/>
    </c:view3D>
    <c:plotArea>
      <c:layout/>
      <c:bar3DChart>
        <c:barDir val="col"/>
        <c:grouping val="stacked"/>
        <c:ser>
          <c:idx val="0"/>
          <c:order val="0"/>
          <c:cat>
            <c:strRef>
              <c:f>[1]Sheet1!$A$3:$A$9</c:f>
              <c:strCache>
                <c:ptCount val="7"/>
                <c:pt idx="0">
                  <c:v>2011-12</c:v>
                </c:pt>
                <c:pt idx="1">
                  <c:v>2012-13</c:v>
                </c:pt>
                <c:pt idx="2">
                  <c:v>2013-14</c:v>
                </c:pt>
                <c:pt idx="3">
                  <c:v>2014-15</c:v>
                </c:pt>
                <c:pt idx="4">
                  <c:v>2015-16</c:v>
                </c:pt>
                <c:pt idx="5">
                  <c:v>2016-17</c:v>
                </c:pt>
                <c:pt idx="6">
                  <c:v>2017-18</c:v>
                </c:pt>
              </c:strCache>
            </c:strRef>
          </c:cat>
          <c:val>
            <c:numRef>
              <c:f>[1]Sheet1!$B$3:$B$9</c:f>
              <c:numCache>
                <c:formatCode>General</c:formatCode>
                <c:ptCount val="7"/>
                <c:pt idx="0">
                  <c:v>951</c:v>
                </c:pt>
                <c:pt idx="1">
                  <c:v>1549</c:v>
                </c:pt>
                <c:pt idx="2">
                  <c:v>2499</c:v>
                </c:pt>
                <c:pt idx="3">
                  <c:v>4146</c:v>
                </c:pt>
                <c:pt idx="4">
                  <c:v>4800</c:v>
                </c:pt>
                <c:pt idx="5">
                  <c:v>5794</c:v>
                </c:pt>
                <c:pt idx="6">
                  <c:v>7600</c:v>
                </c:pt>
              </c:numCache>
            </c:numRef>
          </c:val>
        </c:ser>
        <c:dLbls>
          <c:showVal val="1"/>
        </c:dLbls>
        <c:gapWidth val="55"/>
        <c:gapDepth val="55"/>
        <c:shape val="box"/>
        <c:axId val="95057024"/>
        <c:axId val="95058560"/>
        <c:axId val="0"/>
      </c:bar3DChart>
      <c:catAx>
        <c:axId val="95057024"/>
        <c:scaling>
          <c:orientation val="minMax"/>
        </c:scaling>
        <c:axPos val="b"/>
        <c:majorTickMark val="none"/>
        <c:tickLblPos val="nextTo"/>
        <c:crossAx val="95058560"/>
        <c:crosses val="autoZero"/>
        <c:auto val="1"/>
        <c:lblAlgn val="ctr"/>
        <c:lblOffset val="100"/>
      </c:catAx>
      <c:valAx>
        <c:axId val="95058560"/>
        <c:scaling>
          <c:orientation val="minMax"/>
        </c:scaling>
        <c:axPos val="l"/>
        <c:majorGridlines/>
        <c:numFmt formatCode="General" sourceLinked="1"/>
        <c:majorTickMark val="none"/>
        <c:tickLblPos val="nextTo"/>
        <c:crossAx val="95057024"/>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GB" sz="1200"/>
              <a:t>Total IP/DC</a:t>
            </a:r>
            <a:r>
              <a:rPr lang="en-GB" sz="1200" baseline="0"/>
              <a:t> &amp; Imaging Activity</a:t>
            </a:r>
            <a:endParaRPr lang="en-GB" sz="1200"/>
          </a:p>
        </c:rich>
      </c:tx>
      <c:layout>
        <c:manualLayout>
          <c:xMode val="edge"/>
          <c:yMode val="edge"/>
          <c:x val="0.31214588801399828"/>
          <c:y val="3.703703703703709E-2"/>
        </c:manualLayout>
      </c:layout>
    </c:title>
    <c:view3D>
      <c:rAngAx val="1"/>
    </c:view3D>
    <c:plotArea>
      <c:layout/>
      <c:bar3DChart>
        <c:barDir val="col"/>
        <c:grouping val="stacked"/>
        <c:ser>
          <c:idx val="0"/>
          <c:order val="0"/>
          <c:dLbls>
            <c:dLbl>
              <c:idx val="0"/>
              <c:layout>
                <c:manualLayout>
                  <c:x val="1.3888888888888919E-2"/>
                  <c:y val="-0.24537037037037041"/>
                </c:manualLayout>
              </c:layout>
              <c:showVal val="1"/>
            </c:dLbl>
            <c:dLbl>
              <c:idx val="1"/>
              <c:layout>
                <c:manualLayout>
                  <c:x val="8.3333333333333471E-3"/>
                  <c:y val="-0.26388888888888973"/>
                </c:manualLayout>
              </c:layout>
              <c:showVal val="1"/>
            </c:dLbl>
            <c:dLbl>
              <c:idx val="2"/>
              <c:layout>
                <c:manualLayout>
                  <c:x val="1.3888888888888919E-2"/>
                  <c:y val="-0.29166666666666724"/>
                </c:manualLayout>
              </c:layout>
              <c:showVal val="1"/>
            </c:dLbl>
            <c:dLbl>
              <c:idx val="3"/>
              <c:layout>
                <c:manualLayout>
                  <c:x val="1.1111111111111125E-2"/>
                  <c:y val="-0.32870370370370416"/>
                </c:manualLayout>
              </c:layout>
              <c:showVal val="1"/>
            </c:dLbl>
            <c:dLbl>
              <c:idx val="4"/>
              <c:layout>
                <c:manualLayout>
                  <c:x val="8.3333333333333471E-3"/>
                  <c:y val="-0.37037037037037146"/>
                </c:manualLayout>
              </c:layout>
              <c:showVal val="1"/>
            </c:dLbl>
            <c:dLbl>
              <c:idx val="5"/>
              <c:layout>
                <c:manualLayout>
                  <c:x val="1.3888888888889023E-2"/>
                  <c:y val="-0.41203703703703703"/>
                </c:manualLayout>
              </c:layout>
              <c:showVal val="1"/>
            </c:dLbl>
            <c:showVal val="1"/>
          </c:dLbls>
          <c:cat>
            <c:strRef>
              <c:f>Sheet1!$A$2:$A$7</c:f>
              <c:strCache>
                <c:ptCount val="6"/>
                <c:pt idx="0">
                  <c:v>2011/12</c:v>
                </c:pt>
                <c:pt idx="1">
                  <c:v>2012/13</c:v>
                </c:pt>
                <c:pt idx="2">
                  <c:v>2013/14</c:v>
                </c:pt>
                <c:pt idx="3">
                  <c:v>2014/15</c:v>
                </c:pt>
                <c:pt idx="4">
                  <c:v>2015/16</c:v>
                </c:pt>
                <c:pt idx="5">
                  <c:v>2016/17</c:v>
                </c:pt>
              </c:strCache>
            </c:strRef>
          </c:cat>
          <c:val>
            <c:numRef>
              <c:f>Sheet1!$B$2:$B$7</c:f>
              <c:numCache>
                <c:formatCode>General</c:formatCode>
                <c:ptCount val="6"/>
                <c:pt idx="0">
                  <c:v>22012</c:v>
                </c:pt>
                <c:pt idx="1">
                  <c:v>23939</c:v>
                </c:pt>
                <c:pt idx="2">
                  <c:v>26975</c:v>
                </c:pt>
                <c:pt idx="3">
                  <c:v>32012</c:v>
                </c:pt>
                <c:pt idx="4">
                  <c:v>36015</c:v>
                </c:pt>
                <c:pt idx="5">
                  <c:v>40929</c:v>
                </c:pt>
              </c:numCache>
            </c:numRef>
          </c:val>
        </c:ser>
        <c:dLbls>
          <c:showVal val="1"/>
        </c:dLbls>
        <c:shape val="box"/>
        <c:axId val="79981568"/>
        <c:axId val="86942464"/>
        <c:axId val="0"/>
      </c:bar3DChart>
      <c:catAx>
        <c:axId val="79981568"/>
        <c:scaling>
          <c:orientation val="minMax"/>
        </c:scaling>
        <c:axPos val="b"/>
        <c:tickLblPos val="nextTo"/>
        <c:crossAx val="86942464"/>
        <c:crosses val="autoZero"/>
        <c:auto val="1"/>
        <c:lblAlgn val="ctr"/>
        <c:lblOffset val="100"/>
      </c:catAx>
      <c:valAx>
        <c:axId val="86942464"/>
        <c:scaling>
          <c:orientation val="minMax"/>
        </c:scaling>
        <c:axPos val="l"/>
        <c:majorGridlines/>
        <c:numFmt formatCode="General" sourceLinked="1"/>
        <c:tickLblPos val="nextTo"/>
        <c:crossAx val="799815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1170</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2017-05-04T14:57:00Z</dcterms:created>
  <dcterms:modified xsi:type="dcterms:W3CDTF">2017-05-04T15:07:00Z</dcterms:modified>
</cp:coreProperties>
</file>