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24B4E" w:rsidRDefault="004512CE" w:rsidP="00C24B4E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C24B4E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C24B4E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224FA9">
        <w:rPr>
          <w:rFonts w:ascii="Arial" w:hAnsi="Arial" w:cs="Arial"/>
          <w:b/>
          <w:bCs/>
          <w:color w:val="365F91"/>
          <w:sz w:val="20"/>
          <w:szCs w:val="20"/>
        </w:rPr>
        <w:t>2018/06/11</w:t>
      </w:r>
    </w:p>
    <w:p w:rsidR="00513DB0" w:rsidRDefault="00513DB0" w:rsidP="00C24B4E">
      <w:pPr>
        <w:pStyle w:val="Heading1"/>
        <w:ind w:right="183"/>
        <w:rPr>
          <w:rFonts w:ascii="Arial" w:hAnsi="Arial" w:cs="Arial"/>
          <w:sz w:val="24"/>
          <w:szCs w:val="24"/>
        </w:rPr>
      </w:pPr>
    </w:p>
    <w:p w:rsidR="00A2577B" w:rsidRPr="001175E5" w:rsidRDefault="00224FA9" w:rsidP="00C24B4E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21590</wp:posOffset>
            </wp:positionV>
            <wp:extent cx="1371600" cy="1371600"/>
            <wp:effectExtent l="19050" t="0" r="0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700B"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 xml:space="preserve">21 </w:t>
      </w:r>
      <w:r w:rsidR="00E01623">
        <w:rPr>
          <w:rFonts w:ascii="Arial" w:hAnsi="Arial" w:cs="Arial"/>
          <w:b w:val="0"/>
          <w:sz w:val="24"/>
          <w:szCs w:val="24"/>
        </w:rPr>
        <w:t xml:space="preserve">June 2018 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A2577B" w:rsidRPr="00224FA9" w:rsidRDefault="00A2577B" w:rsidP="00224FA9">
      <w:pPr>
        <w:ind w:left="2880" w:right="183" w:hanging="2880"/>
        <w:rPr>
          <w:rFonts w:ascii="Arial" w:hAnsi="Arial" w:cs="Arial"/>
          <w:bCs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="001653E4">
        <w:rPr>
          <w:rFonts w:ascii="Arial" w:hAnsi="Arial" w:cs="Arial"/>
          <w:bCs/>
        </w:rPr>
        <w:t xml:space="preserve">Business Continuity Policy </w:t>
      </w:r>
      <w:r w:rsidR="00224FA9">
        <w:rPr>
          <w:rFonts w:ascii="Arial" w:hAnsi="Arial" w:cs="Arial"/>
          <w:bCs/>
        </w:rPr>
        <w:t>and</w:t>
      </w:r>
      <w:r w:rsidR="001653E4">
        <w:rPr>
          <w:rFonts w:ascii="Arial" w:hAnsi="Arial" w:cs="Arial"/>
          <w:bCs/>
        </w:rPr>
        <w:t xml:space="preserve"> </w:t>
      </w:r>
      <w:r w:rsidR="00224FA9">
        <w:rPr>
          <w:rFonts w:ascii="Arial" w:hAnsi="Arial" w:cs="Arial"/>
          <w:bCs/>
        </w:rPr>
        <w:t xml:space="preserve">Major Incident </w:t>
      </w:r>
      <w:r w:rsidR="001653E4">
        <w:rPr>
          <w:rFonts w:ascii="Arial" w:hAnsi="Arial" w:cs="Arial"/>
          <w:bCs/>
        </w:rPr>
        <w:t xml:space="preserve">Procedure 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E01623" w:rsidRDefault="00A2577B" w:rsidP="00224FA9">
      <w:pPr>
        <w:ind w:left="2880" w:right="183" w:hanging="2880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93700B">
        <w:rPr>
          <w:rFonts w:ascii="Arial" w:hAnsi="Arial" w:cs="Arial"/>
        </w:rPr>
        <w:t>Board m</w:t>
      </w:r>
      <w:r w:rsidR="001175E5" w:rsidRPr="00C92710">
        <w:rPr>
          <w:rFonts w:ascii="Arial" w:hAnsi="Arial" w:cs="Arial"/>
        </w:rPr>
        <w:t xml:space="preserve">embers are asked to </w:t>
      </w:r>
      <w:r w:rsidR="00224FA9">
        <w:rPr>
          <w:rFonts w:ascii="Arial" w:hAnsi="Arial" w:cs="Arial"/>
        </w:rPr>
        <w:t xml:space="preserve">discuss and </w:t>
      </w:r>
      <w:r w:rsidR="00E01623">
        <w:rPr>
          <w:rFonts w:ascii="Arial" w:hAnsi="Arial" w:cs="Arial"/>
        </w:rPr>
        <w:t xml:space="preserve">approve </w:t>
      </w:r>
      <w:r w:rsidR="00224FA9">
        <w:rPr>
          <w:rFonts w:ascii="Arial" w:hAnsi="Arial" w:cs="Arial"/>
        </w:rPr>
        <w:t>the</w:t>
      </w:r>
      <w:r w:rsidR="00224FA9" w:rsidRPr="00224FA9">
        <w:rPr>
          <w:rFonts w:ascii="Arial" w:hAnsi="Arial" w:cs="Arial"/>
          <w:bCs/>
        </w:rPr>
        <w:t xml:space="preserve"> </w:t>
      </w:r>
      <w:r w:rsidR="00224FA9">
        <w:rPr>
          <w:rFonts w:ascii="Arial" w:hAnsi="Arial" w:cs="Arial"/>
          <w:bCs/>
        </w:rPr>
        <w:t>Business Continuity Policy and Major Incident Procedure</w:t>
      </w:r>
    </w:p>
    <w:p w:rsidR="00A2577B" w:rsidRPr="00E01623" w:rsidRDefault="00513DB0" w:rsidP="00E01623">
      <w:pPr>
        <w:ind w:right="1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____________________________________</w:t>
      </w:r>
      <w:r w:rsidR="00E01623">
        <w:rPr>
          <w:rFonts w:ascii="Arial" w:hAnsi="Arial" w:cs="Arial"/>
          <w:b/>
          <w:bCs/>
        </w:rPr>
        <w:t>_________</w:t>
      </w:r>
      <w:r w:rsidR="00C24B4E">
        <w:rPr>
          <w:rFonts w:ascii="Arial" w:hAnsi="Arial" w:cs="Arial"/>
          <w:b/>
          <w:bCs/>
        </w:rPr>
        <w:t>________________</w:t>
      </w:r>
      <w:r w:rsidR="00224FA9">
        <w:rPr>
          <w:rFonts w:ascii="Arial" w:hAnsi="Arial" w:cs="Arial"/>
          <w:b/>
          <w:bCs/>
        </w:rPr>
        <w:t>_____</w:t>
      </w: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1175E5" w:rsidRPr="001175E5" w:rsidRDefault="001175E5" w:rsidP="0015614F">
      <w:pPr>
        <w:pStyle w:val="Heading2"/>
        <w:spacing w:before="0" w:after="0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</w:r>
      <w:r w:rsidR="00E01623">
        <w:rPr>
          <w:i w:val="0"/>
          <w:sz w:val="24"/>
          <w:szCs w:val="24"/>
        </w:rPr>
        <w:t>Situation</w:t>
      </w:r>
    </w:p>
    <w:p w:rsidR="001175E5" w:rsidRPr="001175E5" w:rsidRDefault="001175E5" w:rsidP="0015614F">
      <w:pPr>
        <w:ind w:right="183"/>
        <w:rPr>
          <w:rFonts w:ascii="Arial" w:hAnsi="Arial" w:cs="Arial"/>
        </w:rPr>
      </w:pPr>
      <w:r w:rsidRPr="001175E5">
        <w:rPr>
          <w:rFonts w:ascii="Arial" w:hAnsi="Arial" w:cs="Arial"/>
          <w:b/>
          <w:bCs/>
        </w:rPr>
        <w:tab/>
      </w:r>
    </w:p>
    <w:p w:rsidR="001653E4" w:rsidRPr="001653E4" w:rsidRDefault="001653E4" w:rsidP="00224FA9">
      <w:pPr>
        <w:ind w:left="720" w:right="183"/>
        <w:rPr>
          <w:rFonts w:ascii="Arial" w:hAnsi="Arial" w:cs="Arial"/>
          <w:bCs/>
        </w:rPr>
      </w:pPr>
      <w:r w:rsidRPr="001653E4">
        <w:rPr>
          <w:rFonts w:ascii="Arial" w:hAnsi="Arial" w:cs="Arial"/>
          <w:bCs/>
        </w:rPr>
        <w:t>The Board</w:t>
      </w:r>
      <w:r w:rsidR="00224FA9">
        <w:rPr>
          <w:rFonts w:ascii="Arial" w:hAnsi="Arial" w:cs="Arial"/>
          <w:bCs/>
        </w:rPr>
        <w:t>’s Business</w:t>
      </w:r>
      <w:r w:rsidRPr="001653E4">
        <w:rPr>
          <w:rFonts w:ascii="Arial" w:hAnsi="Arial" w:cs="Arial"/>
          <w:bCs/>
        </w:rPr>
        <w:t xml:space="preserve"> Continuity Policy and Major Incident </w:t>
      </w:r>
      <w:r w:rsidR="00224FA9" w:rsidRPr="001653E4">
        <w:rPr>
          <w:rFonts w:ascii="Arial" w:hAnsi="Arial" w:cs="Arial"/>
          <w:bCs/>
        </w:rPr>
        <w:t xml:space="preserve">Procedure </w:t>
      </w:r>
      <w:r w:rsidRPr="001653E4">
        <w:rPr>
          <w:rFonts w:ascii="Arial" w:hAnsi="Arial" w:cs="Arial"/>
          <w:bCs/>
        </w:rPr>
        <w:t xml:space="preserve">have been revised and updated over the last year </w:t>
      </w:r>
      <w:r w:rsidR="00224FA9">
        <w:rPr>
          <w:rFonts w:ascii="Arial" w:hAnsi="Arial" w:cs="Arial"/>
          <w:bCs/>
        </w:rPr>
        <w:t>by</w:t>
      </w:r>
      <w:r w:rsidRPr="001653E4">
        <w:rPr>
          <w:rFonts w:ascii="Arial" w:hAnsi="Arial" w:cs="Arial"/>
          <w:bCs/>
        </w:rPr>
        <w:t xml:space="preserve"> the Resilience Group.  </w:t>
      </w:r>
    </w:p>
    <w:p w:rsidR="001175E5" w:rsidRPr="001653E4" w:rsidRDefault="001175E5" w:rsidP="0015614F">
      <w:pPr>
        <w:ind w:right="183"/>
        <w:rPr>
          <w:rFonts w:ascii="Arial" w:hAnsi="Arial" w:cs="Arial"/>
          <w:b/>
          <w:bCs/>
        </w:rPr>
      </w:pPr>
    </w:p>
    <w:p w:rsidR="001175E5" w:rsidRPr="001175E5" w:rsidRDefault="00E01623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1175E5" w:rsidRPr="001175E5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Background</w:t>
      </w:r>
    </w:p>
    <w:p w:rsidR="00E01623" w:rsidRPr="00E01623" w:rsidRDefault="00E01623" w:rsidP="00E01623">
      <w:pPr>
        <w:rPr>
          <w:rFonts w:ascii="Arial" w:hAnsi="Arial" w:cs="Arial"/>
        </w:rPr>
      </w:pPr>
    </w:p>
    <w:p w:rsidR="001653E4" w:rsidRPr="001653E4" w:rsidRDefault="001653E4" w:rsidP="00224FA9">
      <w:pPr>
        <w:ind w:left="720"/>
        <w:rPr>
          <w:rFonts w:ascii="Arial" w:hAnsi="Arial" w:cs="Arial"/>
        </w:rPr>
      </w:pPr>
      <w:r w:rsidRPr="001653E4">
        <w:rPr>
          <w:rFonts w:ascii="Arial" w:hAnsi="Arial" w:cs="Arial"/>
          <w:bCs/>
        </w:rPr>
        <w:t xml:space="preserve">The Business Continuity Policy and supporting Major Incident Procedure have been revised to take account of changes in the </w:t>
      </w:r>
      <w:r w:rsidR="00224FA9">
        <w:rPr>
          <w:rFonts w:ascii="Arial" w:hAnsi="Arial" w:cs="Arial"/>
          <w:bCs/>
        </w:rPr>
        <w:t xml:space="preserve">Golden Jubilee </w:t>
      </w:r>
      <w:r w:rsidRPr="001653E4">
        <w:rPr>
          <w:rFonts w:ascii="Arial" w:hAnsi="Arial" w:cs="Arial"/>
          <w:bCs/>
        </w:rPr>
        <w:t>Foundation</w:t>
      </w:r>
      <w:r w:rsidR="00224FA9">
        <w:rPr>
          <w:rFonts w:ascii="Arial" w:hAnsi="Arial" w:cs="Arial"/>
          <w:bCs/>
        </w:rPr>
        <w:t xml:space="preserve"> (GJF) as well as </w:t>
      </w:r>
      <w:r w:rsidR="00224FA9" w:rsidRPr="001653E4">
        <w:rPr>
          <w:rFonts w:ascii="Arial" w:hAnsi="Arial" w:cs="Arial"/>
          <w:bCs/>
        </w:rPr>
        <w:t>national guidance</w:t>
      </w:r>
      <w:r w:rsidR="00224FA9">
        <w:rPr>
          <w:rFonts w:ascii="Arial" w:hAnsi="Arial" w:cs="Arial"/>
          <w:bCs/>
        </w:rPr>
        <w:t>/</w:t>
      </w:r>
      <w:r w:rsidR="00224FA9" w:rsidRPr="001653E4">
        <w:rPr>
          <w:rFonts w:ascii="Arial" w:hAnsi="Arial" w:cs="Arial"/>
          <w:bCs/>
        </w:rPr>
        <w:t>standards</w:t>
      </w:r>
      <w:r w:rsidR="00224FA9">
        <w:rPr>
          <w:rFonts w:ascii="Arial" w:hAnsi="Arial" w:cs="Arial"/>
          <w:bCs/>
        </w:rPr>
        <w:t xml:space="preserve"> and </w:t>
      </w:r>
      <w:r w:rsidRPr="001653E4">
        <w:rPr>
          <w:rFonts w:ascii="Arial" w:hAnsi="Arial" w:cs="Arial"/>
          <w:bCs/>
        </w:rPr>
        <w:t xml:space="preserve">learning from </w:t>
      </w:r>
      <w:r w:rsidR="00224FA9">
        <w:rPr>
          <w:rFonts w:ascii="Arial" w:hAnsi="Arial" w:cs="Arial"/>
          <w:bCs/>
        </w:rPr>
        <w:t xml:space="preserve">recent </w:t>
      </w:r>
      <w:r w:rsidRPr="001653E4">
        <w:rPr>
          <w:rFonts w:ascii="Arial" w:hAnsi="Arial" w:cs="Arial"/>
          <w:bCs/>
        </w:rPr>
        <w:t>events</w:t>
      </w:r>
      <w:r w:rsidR="00224FA9">
        <w:rPr>
          <w:rFonts w:ascii="Arial" w:hAnsi="Arial" w:cs="Arial"/>
          <w:bCs/>
        </w:rPr>
        <w:t xml:space="preserve">. </w:t>
      </w:r>
      <w:r w:rsidRPr="001653E4">
        <w:rPr>
          <w:rFonts w:ascii="Arial" w:hAnsi="Arial" w:cs="Arial"/>
          <w:bCs/>
        </w:rPr>
        <w:t xml:space="preserve">Action cards have been significantly revised to support the Major Incident Procedure.    </w:t>
      </w:r>
    </w:p>
    <w:p w:rsidR="001653E4" w:rsidRPr="001653E4" w:rsidRDefault="001653E4" w:rsidP="00224FA9">
      <w:pPr>
        <w:ind w:left="720"/>
        <w:rPr>
          <w:rFonts w:ascii="Arial" w:hAnsi="Arial" w:cs="Arial"/>
        </w:rPr>
      </w:pPr>
    </w:p>
    <w:p w:rsidR="001653E4" w:rsidRPr="001653E4" w:rsidRDefault="001653E4" w:rsidP="00224FA9">
      <w:pPr>
        <w:ind w:left="720"/>
        <w:rPr>
          <w:rFonts w:ascii="Arial" w:hAnsi="Arial" w:cs="Arial"/>
        </w:rPr>
      </w:pPr>
      <w:r w:rsidRPr="001653E4">
        <w:rPr>
          <w:rFonts w:ascii="Arial" w:hAnsi="Arial" w:cs="Arial"/>
        </w:rPr>
        <w:t xml:space="preserve">The Major Incident </w:t>
      </w:r>
      <w:r w:rsidR="00224FA9" w:rsidRPr="001653E4">
        <w:rPr>
          <w:rFonts w:ascii="Arial" w:hAnsi="Arial" w:cs="Arial"/>
          <w:bCs/>
        </w:rPr>
        <w:t>Procedure</w:t>
      </w:r>
      <w:r w:rsidR="00224FA9" w:rsidRPr="001653E4">
        <w:rPr>
          <w:rFonts w:ascii="Arial" w:hAnsi="Arial" w:cs="Arial"/>
        </w:rPr>
        <w:t xml:space="preserve"> </w:t>
      </w:r>
      <w:r w:rsidRPr="001653E4">
        <w:rPr>
          <w:rFonts w:ascii="Arial" w:hAnsi="Arial" w:cs="Arial"/>
        </w:rPr>
        <w:t>will be tested via a desktop scenari</w:t>
      </w:r>
      <w:r w:rsidR="00224FA9">
        <w:rPr>
          <w:rFonts w:ascii="Arial" w:hAnsi="Arial" w:cs="Arial"/>
        </w:rPr>
        <w:t xml:space="preserve">o; this </w:t>
      </w:r>
      <w:r w:rsidRPr="001653E4">
        <w:rPr>
          <w:rFonts w:ascii="Arial" w:hAnsi="Arial" w:cs="Arial"/>
        </w:rPr>
        <w:t>is being arranged for Augus</w:t>
      </w:r>
      <w:r w:rsidR="00224FA9">
        <w:rPr>
          <w:rFonts w:ascii="Arial" w:hAnsi="Arial" w:cs="Arial"/>
        </w:rPr>
        <w:t>t/ September time with support from an external facilitator.</w:t>
      </w:r>
    </w:p>
    <w:p w:rsidR="001653E4" w:rsidRPr="001653E4" w:rsidRDefault="001653E4" w:rsidP="00224FA9">
      <w:pPr>
        <w:ind w:left="720"/>
        <w:rPr>
          <w:rFonts w:ascii="Arial" w:hAnsi="Arial" w:cs="Arial"/>
        </w:rPr>
      </w:pPr>
    </w:p>
    <w:p w:rsidR="001653E4" w:rsidRPr="001653E4" w:rsidRDefault="001653E4" w:rsidP="00224FA9">
      <w:pPr>
        <w:ind w:left="720"/>
        <w:rPr>
          <w:rFonts w:ascii="Arial" w:hAnsi="Arial" w:cs="Arial"/>
        </w:rPr>
      </w:pPr>
      <w:r w:rsidRPr="001653E4">
        <w:rPr>
          <w:rFonts w:ascii="Arial" w:hAnsi="Arial" w:cs="Arial"/>
        </w:rPr>
        <w:t>There are some actions ongoing to support implementation via the Resilience Group</w:t>
      </w:r>
      <w:r w:rsidR="00224FA9">
        <w:rPr>
          <w:rFonts w:ascii="Arial" w:hAnsi="Arial" w:cs="Arial"/>
        </w:rPr>
        <w:t xml:space="preserve">, </w:t>
      </w:r>
      <w:r w:rsidRPr="001653E4">
        <w:rPr>
          <w:rFonts w:ascii="Arial" w:hAnsi="Arial" w:cs="Arial"/>
        </w:rPr>
        <w:t xml:space="preserve">for example creating a corporate conference call account and instructions </w:t>
      </w:r>
      <w:r w:rsidR="00224FA9">
        <w:rPr>
          <w:rFonts w:ascii="Arial" w:hAnsi="Arial" w:cs="Arial"/>
        </w:rPr>
        <w:t>o</w:t>
      </w:r>
      <w:r w:rsidRPr="001653E4">
        <w:rPr>
          <w:rFonts w:ascii="Arial" w:hAnsi="Arial" w:cs="Arial"/>
        </w:rPr>
        <w:t xml:space="preserve">n how to set up for admin support role.  </w:t>
      </w:r>
    </w:p>
    <w:p w:rsidR="001653E4" w:rsidRPr="001653E4" w:rsidRDefault="001653E4" w:rsidP="00224FA9">
      <w:pPr>
        <w:ind w:left="720"/>
        <w:rPr>
          <w:rFonts w:ascii="Arial" w:hAnsi="Arial" w:cs="Arial"/>
        </w:rPr>
      </w:pPr>
    </w:p>
    <w:p w:rsidR="001653E4" w:rsidRPr="001653E4" w:rsidRDefault="001653E4" w:rsidP="00224FA9">
      <w:pPr>
        <w:ind w:left="720"/>
        <w:rPr>
          <w:rFonts w:ascii="Arial" w:hAnsi="Arial" w:cs="Arial"/>
        </w:rPr>
      </w:pPr>
      <w:r w:rsidRPr="001653E4">
        <w:rPr>
          <w:rFonts w:ascii="Arial" w:hAnsi="Arial" w:cs="Arial"/>
        </w:rPr>
        <w:t>All departments revised their plans in July 2017</w:t>
      </w:r>
      <w:r w:rsidR="00224FA9">
        <w:rPr>
          <w:rFonts w:ascii="Arial" w:hAnsi="Arial" w:cs="Arial"/>
        </w:rPr>
        <w:t>.</w:t>
      </w:r>
      <w:r w:rsidR="00224FA9" w:rsidRPr="00224FA9">
        <w:rPr>
          <w:rFonts w:ascii="Arial" w:hAnsi="Arial" w:cs="Arial"/>
        </w:rPr>
        <w:t xml:space="preserve"> </w:t>
      </w:r>
      <w:r w:rsidR="00224FA9">
        <w:rPr>
          <w:rFonts w:ascii="Arial" w:hAnsi="Arial" w:cs="Arial"/>
        </w:rPr>
        <w:t>As p</w:t>
      </w:r>
      <w:r w:rsidR="00224FA9" w:rsidRPr="001653E4">
        <w:rPr>
          <w:rFonts w:ascii="Arial" w:hAnsi="Arial" w:cs="Arial"/>
        </w:rPr>
        <w:t>lans should be reviewe</w:t>
      </w:r>
      <w:r w:rsidR="00224FA9">
        <w:rPr>
          <w:rFonts w:ascii="Arial" w:hAnsi="Arial" w:cs="Arial"/>
        </w:rPr>
        <w:t xml:space="preserve">d annually to ensure up to date, departments are being </w:t>
      </w:r>
      <w:r w:rsidRPr="001653E4">
        <w:rPr>
          <w:rFonts w:ascii="Arial" w:hAnsi="Arial" w:cs="Arial"/>
        </w:rPr>
        <w:t>asked to review again in light of recent severe weather and revised guidance</w:t>
      </w:r>
      <w:r w:rsidR="00224FA9">
        <w:rPr>
          <w:rFonts w:ascii="Arial" w:hAnsi="Arial" w:cs="Arial"/>
        </w:rPr>
        <w:t xml:space="preserve">. </w:t>
      </w:r>
      <w:r w:rsidRPr="001653E4">
        <w:rPr>
          <w:rFonts w:ascii="Arial" w:hAnsi="Arial" w:cs="Arial"/>
        </w:rPr>
        <w:t>Specific prompts for links to</w:t>
      </w:r>
      <w:r w:rsidR="00224FA9">
        <w:rPr>
          <w:rFonts w:ascii="Arial" w:hAnsi="Arial" w:cs="Arial"/>
        </w:rPr>
        <w:t xml:space="preserve"> Electronic Patient Record (</w:t>
      </w:r>
      <w:r w:rsidRPr="001653E4">
        <w:rPr>
          <w:rFonts w:ascii="Arial" w:hAnsi="Arial" w:cs="Arial"/>
        </w:rPr>
        <w:t>EPR</w:t>
      </w:r>
      <w:r w:rsidR="00224FA9">
        <w:rPr>
          <w:rFonts w:ascii="Arial" w:hAnsi="Arial" w:cs="Arial"/>
        </w:rPr>
        <w:t>)</w:t>
      </w:r>
      <w:r w:rsidRPr="001653E4">
        <w:rPr>
          <w:rFonts w:ascii="Arial" w:hAnsi="Arial" w:cs="Arial"/>
        </w:rPr>
        <w:t xml:space="preserve"> will</w:t>
      </w:r>
      <w:r w:rsidR="00224FA9">
        <w:rPr>
          <w:rFonts w:ascii="Arial" w:hAnsi="Arial" w:cs="Arial"/>
        </w:rPr>
        <w:t xml:space="preserve"> also</w:t>
      </w:r>
      <w:r w:rsidRPr="001653E4">
        <w:rPr>
          <w:rFonts w:ascii="Arial" w:hAnsi="Arial" w:cs="Arial"/>
        </w:rPr>
        <w:t xml:space="preserve"> be made in this year’s review. </w:t>
      </w:r>
    </w:p>
    <w:p w:rsidR="001653E4" w:rsidRPr="001653E4" w:rsidRDefault="001653E4" w:rsidP="00224FA9">
      <w:pPr>
        <w:ind w:left="720"/>
        <w:rPr>
          <w:rFonts w:ascii="Arial" w:hAnsi="Arial" w:cs="Arial"/>
        </w:rPr>
      </w:pPr>
    </w:p>
    <w:p w:rsidR="001653E4" w:rsidRPr="001653E4" w:rsidRDefault="001653E4" w:rsidP="00224FA9">
      <w:pPr>
        <w:ind w:left="720"/>
        <w:rPr>
          <w:rFonts w:ascii="Arial" w:hAnsi="Arial" w:cs="Arial"/>
        </w:rPr>
      </w:pPr>
      <w:r w:rsidRPr="001653E4">
        <w:rPr>
          <w:rFonts w:ascii="Arial" w:hAnsi="Arial" w:cs="Arial"/>
        </w:rPr>
        <w:t>Following department reviews and the desktop testing</w:t>
      </w:r>
      <w:r w:rsidR="00224FA9">
        <w:rPr>
          <w:rFonts w:ascii="Arial" w:hAnsi="Arial" w:cs="Arial"/>
        </w:rPr>
        <w:t>,</w:t>
      </w:r>
      <w:r w:rsidRPr="001653E4">
        <w:rPr>
          <w:rFonts w:ascii="Arial" w:hAnsi="Arial" w:cs="Arial"/>
        </w:rPr>
        <w:t xml:space="preserve"> the Resilience Group will meet again and complete the site wide plans. </w:t>
      </w:r>
    </w:p>
    <w:p w:rsidR="0015614F" w:rsidRDefault="0015614F" w:rsidP="0015614F">
      <w:pPr>
        <w:ind w:right="183"/>
        <w:rPr>
          <w:rFonts w:ascii="Arial" w:hAnsi="Arial" w:cs="Arial"/>
          <w:b/>
          <w:bCs/>
        </w:rPr>
      </w:pPr>
    </w:p>
    <w:p w:rsidR="001175E5" w:rsidRPr="001175E5" w:rsidRDefault="00E01623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1175E5" w:rsidRPr="001175E5">
        <w:rPr>
          <w:rFonts w:ascii="Arial" w:hAnsi="Arial" w:cs="Arial"/>
          <w:b/>
          <w:bCs/>
        </w:rPr>
        <w:tab/>
        <w:t>Conclusion</w:t>
      </w:r>
      <w:r w:rsidR="004512CE">
        <w:rPr>
          <w:rFonts w:ascii="Arial" w:hAnsi="Arial" w:cs="Arial"/>
          <w:b/>
          <w:bCs/>
        </w:rPr>
        <w:t>/Recommendation</w:t>
      </w:r>
    </w:p>
    <w:p w:rsidR="001175E5" w:rsidRDefault="001175E5" w:rsidP="0015614F">
      <w:pPr>
        <w:ind w:right="183"/>
        <w:rPr>
          <w:rFonts w:ascii="Arial" w:hAnsi="Arial" w:cs="Arial"/>
          <w:b/>
          <w:bCs/>
        </w:rPr>
      </w:pPr>
    </w:p>
    <w:p w:rsidR="0015614F" w:rsidRDefault="00224FA9" w:rsidP="00224FA9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</w:rPr>
        <w:t>Board m</w:t>
      </w:r>
      <w:r w:rsidRPr="00C92710">
        <w:rPr>
          <w:rFonts w:ascii="Arial" w:hAnsi="Arial" w:cs="Arial"/>
        </w:rPr>
        <w:t xml:space="preserve">embers are asked to </w:t>
      </w:r>
      <w:r>
        <w:rPr>
          <w:rFonts w:ascii="Arial" w:hAnsi="Arial" w:cs="Arial"/>
        </w:rPr>
        <w:t>discuss and approve the</w:t>
      </w:r>
      <w:r w:rsidRPr="00224FA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Business Continuity Policy and Major Incident Procedure.</w:t>
      </w:r>
    </w:p>
    <w:p w:rsidR="00224FA9" w:rsidRDefault="00224FA9" w:rsidP="0015614F">
      <w:pPr>
        <w:ind w:right="183"/>
        <w:rPr>
          <w:rFonts w:ascii="Arial" w:hAnsi="Arial" w:cs="Arial"/>
          <w:bCs/>
        </w:rPr>
      </w:pPr>
    </w:p>
    <w:p w:rsidR="00224FA9" w:rsidRDefault="00224FA9" w:rsidP="0015614F">
      <w:pPr>
        <w:ind w:right="183"/>
        <w:rPr>
          <w:rFonts w:ascii="Arial" w:hAnsi="Arial" w:cs="Arial"/>
          <w:bCs/>
        </w:rPr>
      </w:pPr>
    </w:p>
    <w:p w:rsidR="00224FA9" w:rsidRPr="00E01623" w:rsidRDefault="00224FA9" w:rsidP="0015614F">
      <w:pPr>
        <w:ind w:right="183"/>
        <w:rPr>
          <w:rFonts w:ascii="Arial" w:hAnsi="Arial" w:cs="Arial"/>
          <w:bCs/>
        </w:rPr>
      </w:pPr>
    </w:p>
    <w:p w:rsidR="001175E5" w:rsidRPr="00C92710" w:rsidRDefault="00E01623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Anne Marie Cavanagh </w:t>
      </w:r>
    </w:p>
    <w:p w:rsidR="008965B7" w:rsidRPr="00C92710" w:rsidRDefault="008965B7" w:rsidP="008965B7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Executive Nurse Director </w:t>
      </w:r>
    </w:p>
    <w:p w:rsidR="001175E5" w:rsidRPr="00C92710" w:rsidRDefault="00E01623" w:rsidP="0015614F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June 2018 </w:t>
      </w:r>
    </w:p>
    <w:p w:rsidR="001175E5" w:rsidRPr="00E01623" w:rsidRDefault="001175E5" w:rsidP="0015614F">
      <w:pPr>
        <w:ind w:right="183"/>
        <w:rPr>
          <w:rFonts w:ascii="Arial" w:hAnsi="Arial" w:cs="Arial"/>
          <w:bCs/>
        </w:rPr>
      </w:pPr>
    </w:p>
    <w:p w:rsidR="00EB7C07" w:rsidRPr="00224FA9" w:rsidRDefault="00E01623" w:rsidP="0015614F">
      <w:pPr>
        <w:ind w:right="183"/>
        <w:rPr>
          <w:b/>
        </w:rPr>
      </w:pPr>
      <w:r w:rsidRPr="00224FA9">
        <w:rPr>
          <w:rFonts w:ascii="Arial" w:hAnsi="Arial" w:cs="Arial"/>
          <w:b/>
          <w:bCs/>
        </w:rPr>
        <w:t>(</w:t>
      </w:r>
      <w:r w:rsidRPr="00224FA9">
        <w:rPr>
          <w:rFonts w:ascii="Arial" w:hAnsi="Arial" w:cs="Arial"/>
          <w:b/>
        </w:rPr>
        <w:t>Laura Langan Riach, Head of Clinical Governance)</w:t>
      </w:r>
      <w:r w:rsidR="001175E5" w:rsidRPr="00224FA9">
        <w:rPr>
          <w:b/>
        </w:rPr>
        <w:tab/>
      </w:r>
    </w:p>
    <w:sectPr w:rsidR="00EB7C07" w:rsidRPr="00224FA9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623" w:rsidRDefault="00E01623">
      <w:r>
        <w:separator/>
      </w:r>
    </w:p>
  </w:endnote>
  <w:endnote w:type="continuationSeparator" w:id="0">
    <w:p w:rsidR="00E01623" w:rsidRDefault="00E016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623" w:rsidRPr="00513DB0" w:rsidRDefault="00224FA9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FF330E" w:rsidRPr="00513DB0">
      <w:rPr>
        <w:rStyle w:val="PageNumber"/>
        <w:rFonts w:ascii="Arial" w:hAnsi="Arial" w:cs="Arial"/>
      </w:rPr>
      <w:fldChar w:fldCharType="begin"/>
    </w:r>
    <w:r w:rsidR="00E01623" w:rsidRPr="00513DB0">
      <w:rPr>
        <w:rStyle w:val="PageNumber"/>
        <w:rFonts w:ascii="Arial" w:hAnsi="Arial" w:cs="Arial"/>
      </w:rPr>
      <w:instrText xml:space="preserve"> PAGE </w:instrText>
    </w:r>
    <w:r w:rsidR="00FF330E" w:rsidRPr="00513DB0">
      <w:rPr>
        <w:rStyle w:val="PageNumber"/>
        <w:rFonts w:ascii="Arial" w:hAnsi="Arial" w:cs="Arial"/>
      </w:rPr>
      <w:fldChar w:fldCharType="separate"/>
    </w:r>
    <w:r w:rsidR="008965B7">
      <w:rPr>
        <w:rStyle w:val="PageNumber"/>
        <w:rFonts w:ascii="Arial" w:hAnsi="Arial" w:cs="Arial"/>
        <w:noProof/>
      </w:rPr>
      <w:t>1</w:t>
    </w:r>
    <w:r w:rsidR="00FF330E" w:rsidRPr="00513DB0">
      <w:rPr>
        <w:rStyle w:val="PageNumber"/>
        <w:rFonts w:ascii="Arial" w:hAnsi="Arial" w:cs="Arial"/>
      </w:rPr>
      <w:fldChar w:fldCharType="end"/>
    </w:r>
  </w:p>
  <w:p w:rsidR="00E01623" w:rsidRDefault="00477376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5381625</wp:posOffset>
          </wp:positionH>
          <wp:positionV relativeFrom="paragraph">
            <wp:posOffset>72390</wp:posOffset>
          </wp:positionV>
          <wp:extent cx="514350" cy="342900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01623" w:rsidRPr="008F5DB5" w:rsidRDefault="00E01623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E01623" w:rsidRPr="00EA4869" w:rsidRDefault="00E01623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623" w:rsidRDefault="00E01623">
      <w:r>
        <w:separator/>
      </w:r>
    </w:p>
  </w:footnote>
  <w:footnote w:type="continuationSeparator" w:id="0">
    <w:p w:rsidR="00E01623" w:rsidRDefault="00E016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2C368DE"/>
    <w:multiLevelType w:val="hybridMultilevel"/>
    <w:tmpl w:val="D2EAD880"/>
    <w:lvl w:ilvl="0" w:tplc="08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15614F"/>
    <w:rsid w:val="001653E4"/>
    <w:rsid w:val="00224FA9"/>
    <w:rsid w:val="002A42DD"/>
    <w:rsid w:val="003765CF"/>
    <w:rsid w:val="003E423D"/>
    <w:rsid w:val="003F19CA"/>
    <w:rsid w:val="004512CE"/>
    <w:rsid w:val="00477376"/>
    <w:rsid w:val="00513DB0"/>
    <w:rsid w:val="00526532"/>
    <w:rsid w:val="005F02B7"/>
    <w:rsid w:val="0060634D"/>
    <w:rsid w:val="00661EF1"/>
    <w:rsid w:val="006A1357"/>
    <w:rsid w:val="006D6F99"/>
    <w:rsid w:val="00711E7A"/>
    <w:rsid w:val="00815350"/>
    <w:rsid w:val="00844E0E"/>
    <w:rsid w:val="008965B7"/>
    <w:rsid w:val="008C26A2"/>
    <w:rsid w:val="0093700B"/>
    <w:rsid w:val="009E6A39"/>
    <w:rsid w:val="00A2577B"/>
    <w:rsid w:val="00A3124D"/>
    <w:rsid w:val="00C0017D"/>
    <w:rsid w:val="00C24B4E"/>
    <w:rsid w:val="00C36974"/>
    <w:rsid w:val="00C956E2"/>
    <w:rsid w:val="00CE4B72"/>
    <w:rsid w:val="00D92AA6"/>
    <w:rsid w:val="00DE5902"/>
    <w:rsid w:val="00E01623"/>
    <w:rsid w:val="00E24BFC"/>
    <w:rsid w:val="00E83B7E"/>
    <w:rsid w:val="00E95856"/>
    <w:rsid w:val="00EA4869"/>
    <w:rsid w:val="00EB7C07"/>
    <w:rsid w:val="00F12826"/>
    <w:rsid w:val="00FD5E76"/>
    <w:rsid w:val="00FF3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customStyle="1" w:styleId="Default">
    <w:name w:val="Default"/>
    <w:rsid w:val="00E016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E01623"/>
    <w:pPr>
      <w:spacing w:line="241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264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2018-06-13T10:22:00Z</dcterms:created>
  <dcterms:modified xsi:type="dcterms:W3CDTF">2018-06-14T15:05:00Z</dcterms:modified>
</cp:coreProperties>
</file>