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21F" w:rsidRPr="00471888" w:rsidRDefault="00471888" w:rsidP="00471888">
      <w:pPr>
        <w:pStyle w:val="Heading1"/>
        <w:ind w:right="183"/>
        <w:jc w:val="right"/>
        <w:rPr>
          <w:rFonts w:ascii="Arial" w:hAnsi="Arial" w:cs="Arial"/>
          <w:color w:val="0070C0"/>
          <w:sz w:val="24"/>
        </w:rPr>
      </w:pPr>
      <w:r w:rsidRPr="00471888">
        <w:rPr>
          <w:rFonts w:ascii="Arial" w:hAnsi="Arial" w:cs="Arial"/>
          <w:color w:val="0070C0"/>
          <w:sz w:val="24"/>
        </w:rPr>
        <w:t>Ref: GJF/2018/06/16</w:t>
      </w:r>
    </w:p>
    <w:p w:rsidR="00340FCF" w:rsidRDefault="00641A17" w:rsidP="00340FCF">
      <w:pPr>
        <w:pStyle w:val="Heading1"/>
        <w:ind w:right="183"/>
        <w:rPr>
          <w:rFonts w:ascii="Arial" w:hAnsi="Arial" w:cs="Arial"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148590</wp:posOffset>
            </wp:positionV>
            <wp:extent cx="1388110" cy="1390650"/>
            <wp:effectExtent l="19050" t="0" r="2540" b="0"/>
            <wp:wrapSquare wrapText="bothSides"/>
            <wp:docPr id="3" name="Picture 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0FCF" w:rsidRPr="00C97C8B" w:rsidRDefault="00AD14DF" w:rsidP="00C97C8B">
      <w:pPr>
        <w:pStyle w:val="Heading1"/>
        <w:ind w:right="183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sz w:val="24"/>
        </w:rPr>
        <w:t>Board Meeting:</w:t>
      </w:r>
      <w:r w:rsidR="00340FCF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2B593C">
        <w:rPr>
          <w:rFonts w:ascii="Arial" w:hAnsi="Arial" w:cs="Arial"/>
          <w:b w:val="0"/>
          <w:sz w:val="24"/>
        </w:rPr>
        <w:t>2</w:t>
      </w:r>
      <w:r>
        <w:rPr>
          <w:rFonts w:ascii="Arial" w:hAnsi="Arial" w:cs="Arial"/>
          <w:b w:val="0"/>
          <w:sz w:val="24"/>
        </w:rPr>
        <w:t>1</w:t>
      </w:r>
      <w:r w:rsidR="002B593C">
        <w:rPr>
          <w:rFonts w:ascii="Arial" w:hAnsi="Arial" w:cs="Arial"/>
          <w:b w:val="0"/>
          <w:sz w:val="24"/>
        </w:rPr>
        <w:t xml:space="preserve"> </w:t>
      </w:r>
      <w:r>
        <w:rPr>
          <w:rFonts w:ascii="Arial" w:hAnsi="Arial" w:cs="Arial"/>
          <w:b w:val="0"/>
          <w:sz w:val="24"/>
        </w:rPr>
        <w:t>June 2018</w:t>
      </w:r>
      <w:r w:rsidR="00340FCF">
        <w:rPr>
          <w:rFonts w:ascii="Arial" w:hAnsi="Arial" w:cs="Arial"/>
          <w:b w:val="0"/>
          <w:sz w:val="24"/>
        </w:rPr>
        <w:t xml:space="preserve"> </w:t>
      </w:r>
      <w:r w:rsidR="00340FCF">
        <w:rPr>
          <w:rFonts w:ascii="Arial" w:hAnsi="Arial" w:cs="Arial"/>
          <w:sz w:val="24"/>
        </w:rPr>
        <w:br/>
      </w:r>
      <w:r w:rsidR="00340FCF" w:rsidRPr="001175E5">
        <w:rPr>
          <w:rFonts w:ascii="Arial" w:hAnsi="Arial" w:cs="Arial"/>
          <w:b w:val="0"/>
          <w:sz w:val="24"/>
        </w:rPr>
        <w:tab/>
      </w:r>
      <w:r w:rsidR="00340FCF">
        <w:rPr>
          <w:rFonts w:ascii="Arial" w:hAnsi="Arial" w:cs="Arial"/>
          <w:b w:val="0"/>
          <w:sz w:val="24"/>
        </w:rPr>
        <w:tab/>
      </w:r>
    </w:p>
    <w:p w:rsidR="00340FCF" w:rsidRPr="00682309" w:rsidRDefault="00340FCF" w:rsidP="00340FCF">
      <w:pPr>
        <w:ind w:right="183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Internal Audit Plan </w:t>
      </w:r>
      <w:r w:rsidR="00AD14DF">
        <w:rPr>
          <w:rFonts w:ascii="Arial" w:hAnsi="Arial" w:cs="Arial"/>
        </w:rPr>
        <w:t>2018/19</w:t>
      </w:r>
    </w:p>
    <w:p w:rsidR="00340FCF" w:rsidRPr="00682309" w:rsidRDefault="00340FCF" w:rsidP="00340FCF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340FCF" w:rsidRDefault="00340FCF" w:rsidP="00340FCF">
      <w:pPr>
        <w:ind w:left="2880" w:right="183" w:hanging="2880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E05375">
        <w:rPr>
          <w:rFonts w:ascii="Arial" w:hAnsi="Arial" w:cs="Arial"/>
          <w:bCs/>
        </w:rPr>
        <w:t xml:space="preserve">Board </w:t>
      </w:r>
      <w:r>
        <w:rPr>
          <w:rFonts w:ascii="Arial" w:hAnsi="Arial" w:cs="Arial"/>
        </w:rPr>
        <w:t>M</w:t>
      </w:r>
      <w:r w:rsidRPr="00547F05">
        <w:rPr>
          <w:rFonts w:ascii="Arial" w:hAnsi="Arial" w:cs="Arial"/>
        </w:rPr>
        <w:t xml:space="preserve">embers are asked to note </w:t>
      </w:r>
      <w:r>
        <w:rPr>
          <w:rFonts w:ascii="Arial" w:hAnsi="Arial" w:cs="Arial"/>
        </w:rPr>
        <w:t xml:space="preserve">the </w:t>
      </w:r>
      <w:r w:rsidR="000555F8">
        <w:rPr>
          <w:rFonts w:ascii="Arial" w:hAnsi="Arial" w:cs="Arial"/>
        </w:rPr>
        <w:t>Internal A</w:t>
      </w:r>
      <w:r>
        <w:rPr>
          <w:rFonts w:ascii="Arial" w:hAnsi="Arial" w:cs="Arial"/>
        </w:rPr>
        <w:t>udit</w:t>
      </w:r>
      <w:r w:rsidR="000555F8">
        <w:rPr>
          <w:rFonts w:ascii="Arial" w:hAnsi="Arial" w:cs="Arial"/>
        </w:rPr>
        <w:t xml:space="preserve"> Annual P</w:t>
      </w:r>
      <w:r>
        <w:rPr>
          <w:rFonts w:ascii="Arial" w:hAnsi="Arial" w:cs="Arial"/>
        </w:rPr>
        <w:t xml:space="preserve">lan for </w:t>
      </w:r>
      <w:r w:rsidR="00AD14DF">
        <w:rPr>
          <w:rFonts w:ascii="Arial" w:hAnsi="Arial" w:cs="Arial"/>
        </w:rPr>
        <w:t>2018/19</w:t>
      </w:r>
    </w:p>
    <w:p w:rsidR="00471888" w:rsidRPr="009A5ED2" w:rsidRDefault="00471888" w:rsidP="00340FCF">
      <w:pPr>
        <w:ind w:left="2880" w:right="183" w:hanging="2880"/>
        <w:rPr>
          <w:rFonts w:ascii="Arial" w:hAnsi="Arial" w:cs="Arial"/>
        </w:rPr>
      </w:pPr>
    </w:p>
    <w:p w:rsidR="00471888" w:rsidRDefault="00471888" w:rsidP="00C97C8B">
      <w:pPr>
        <w:rPr>
          <w:rFonts w:ascii="Arial" w:hAnsi="Arial" w:cs="Arial"/>
          <w:sz w:val="22"/>
        </w:rPr>
      </w:pPr>
    </w:p>
    <w:p w:rsidR="00A84A6B" w:rsidRPr="00C97C8B" w:rsidRDefault="00A900EB" w:rsidP="00C97C8B">
      <w:pPr>
        <w:rPr>
          <w:rFonts w:ascii="Arial" w:hAnsi="Arial" w:cs="Arial"/>
          <w:sz w:val="22"/>
        </w:rPr>
      </w:pPr>
      <w:r w:rsidRPr="00A900EB">
        <w:rPr>
          <w:rFonts w:ascii="Arial" w:hAnsi="Arial" w:cs="Arial"/>
          <w:noProof/>
          <w:sz w:val="22"/>
          <w:lang w:val="en-US"/>
        </w:rPr>
        <w:pict>
          <v:line id="_x0000_s1026" style="position:absolute;z-index:251657216" from="0,8.1pt" to="414pt,8.1pt" strokeweight="1.5pt"/>
        </w:pict>
      </w:r>
    </w:p>
    <w:p w:rsidR="00471888" w:rsidRDefault="00471888" w:rsidP="00471888">
      <w:pPr>
        <w:pStyle w:val="Heading4"/>
        <w:numPr>
          <w:ilvl w:val="0"/>
          <w:numId w:val="0"/>
        </w:numPr>
        <w:ind w:left="720"/>
        <w:rPr>
          <w:rFonts w:ascii="Arial" w:hAnsi="Arial" w:cs="Arial"/>
        </w:rPr>
      </w:pPr>
    </w:p>
    <w:p w:rsidR="00A84A6B" w:rsidRPr="00547F05" w:rsidRDefault="00A84A6B">
      <w:pPr>
        <w:pStyle w:val="Heading4"/>
        <w:rPr>
          <w:rFonts w:ascii="Arial" w:hAnsi="Arial" w:cs="Arial"/>
        </w:rPr>
      </w:pPr>
      <w:r w:rsidRPr="00547F05">
        <w:rPr>
          <w:rFonts w:ascii="Arial" w:hAnsi="Arial" w:cs="Arial"/>
        </w:rPr>
        <w:t>Introduction</w:t>
      </w:r>
    </w:p>
    <w:p w:rsidR="00A84A6B" w:rsidRDefault="00A84A6B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</w:rPr>
      </w:pPr>
    </w:p>
    <w:p w:rsidR="00E14781" w:rsidRDefault="000555F8" w:rsidP="00150033">
      <w:pPr>
        <w:pStyle w:val="BodyTextIndent2"/>
        <w:jc w:val="left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D274B">
        <w:rPr>
          <w:rFonts w:ascii="Arial" w:hAnsi="Arial" w:cs="Arial"/>
        </w:rPr>
        <w:t xml:space="preserve"> formal tender process the internal auditors for the Board changed from PricewaterhouseCoopers to Grant Thornton from 5 May 2018.</w:t>
      </w:r>
    </w:p>
    <w:p w:rsidR="003D274B" w:rsidRDefault="003D274B" w:rsidP="00150033">
      <w:pPr>
        <w:pStyle w:val="BodyTextIndent2"/>
        <w:jc w:val="left"/>
        <w:rPr>
          <w:rFonts w:ascii="Arial" w:hAnsi="Arial" w:cs="Arial"/>
        </w:rPr>
      </w:pPr>
    </w:p>
    <w:p w:rsidR="00150033" w:rsidRDefault="003D274B" w:rsidP="00150033">
      <w:pPr>
        <w:pStyle w:val="BodyTextIndent2"/>
        <w:jc w:val="left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CC3BEA" w:rsidRPr="00CC3BEA">
        <w:rPr>
          <w:rFonts w:ascii="Arial" w:hAnsi="Arial" w:cs="Arial"/>
        </w:rPr>
        <w:t xml:space="preserve">he </w:t>
      </w:r>
      <w:r>
        <w:rPr>
          <w:rFonts w:ascii="Arial" w:hAnsi="Arial" w:cs="Arial"/>
        </w:rPr>
        <w:t xml:space="preserve">new </w:t>
      </w:r>
      <w:r w:rsidR="00CC3BEA" w:rsidRPr="00CC3BEA">
        <w:rPr>
          <w:rFonts w:ascii="Arial" w:hAnsi="Arial" w:cs="Arial"/>
        </w:rPr>
        <w:t xml:space="preserve">internal audit plan for </w:t>
      </w:r>
      <w:r>
        <w:rPr>
          <w:rFonts w:ascii="Arial" w:hAnsi="Arial" w:cs="Arial"/>
        </w:rPr>
        <w:t>2018/19</w:t>
      </w:r>
      <w:r w:rsidR="00CC3BEA" w:rsidRPr="00CC3BEA">
        <w:rPr>
          <w:rFonts w:ascii="Arial" w:hAnsi="Arial" w:cs="Arial"/>
        </w:rPr>
        <w:t xml:space="preserve"> is being presented to the </w:t>
      </w:r>
      <w:r w:rsidR="001B672E">
        <w:rPr>
          <w:rFonts w:ascii="Arial" w:hAnsi="Arial" w:cs="Arial"/>
        </w:rPr>
        <w:t xml:space="preserve">meeting </w:t>
      </w:r>
      <w:r w:rsidR="00CC3BEA" w:rsidRPr="00CC3BEA">
        <w:rPr>
          <w:rFonts w:ascii="Arial" w:hAnsi="Arial" w:cs="Arial"/>
        </w:rPr>
        <w:t xml:space="preserve">for </w:t>
      </w:r>
      <w:r w:rsidR="00E626E1" w:rsidRPr="00CC3BEA">
        <w:rPr>
          <w:rFonts w:ascii="Arial" w:hAnsi="Arial" w:cs="Arial"/>
        </w:rPr>
        <w:t>information;</w:t>
      </w:r>
      <w:r w:rsidR="00CC3BEA" w:rsidRPr="00CC3BEA">
        <w:rPr>
          <w:rFonts w:ascii="Arial" w:hAnsi="Arial" w:cs="Arial"/>
        </w:rPr>
        <w:t xml:space="preserve"> </w:t>
      </w:r>
      <w:r w:rsidR="00CC3BEA">
        <w:rPr>
          <w:rFonts w:ascii="Arial" w:hAnsi="Arial" w:cs="Arial"/>
        </w:rPr>
        <w:t>it</w:t>
      </w:r>
      <w:r w:rsidR="00150033">
        <w:rPr>
          <w:rFonts w:ascii="Arial" w:hAnsi="Arial" w:cs="Arial"/>
        </w:rPr>
        <w:t xml:space="preserve"> is the responsibility, on behalf of the Board, for the </w:t>
      </w:r>
      <w:r w:rsidR="002B593C">
        <w:rPr>
          <w:rFonts w:ascii="Arial" w:hAnsi="Arial" w:cs="Arial"/>
        </w:rPr>
        <w:t>A</w:t>
      </w:r>
      <w:r w:rsidR="00150033">
        <w:rPr>
          <w:rFonts w:ascii="Arial" w:hAnsi="Arial" w:cs="Arial"/>
        </w:rPr>
        <w:t xml:space="preserve">udit </w:t>
      </w:r>
      <w:r w:rsidR="002B593C">
        <w:rPr>
          <w:rFonts w:ascii="Arial" w:hAnsi="Arial" w:cs="Arial"/>
        </w:rPr>
        <w:t>and Risk C</w:t>
      </w:r>
      <w:r w:rsidR="00150033">
        <w:rPr>
          <w:rFonts w:ascii="Arial" w:hAnsi="Arial" w:cs="Arial"/>
        </w:rPr>
        <w:t xml:space="preserve">ommittee to approve an annual </w:t>
      </w:r>
      <w:r w:rsidR="001B672E">
        <w:rPr>
          <w:rFonts w:ascii="Arial" w:hAnsi="Arial" w:cs="Arial"/>
        </w:rPr>
        <w:t xml:space="preserve">internal </w:t>
      </w:r>
      <w:r w:rsidR="00150033">
        <w:rPr>
          <w:rFonts w:ascii="Arial" w:hAnsi="Arial" w:cs="Arial"/>
        </w:rPr>
        <w:t>audit plan prepared by the Board’s internal auditors.</w:t>
      </w:r>
      <w:r w:rsidR="00CC3BEA">
        <w:rPr>
          <w:rFonts w:ascii="Arial" w:hAnsi="Arial" w:cs="Arial"/>
        </w:rPr>
        <w:t xml:space="preserve">  The </w:t>
      </w:r>
      <w:r w:rsidR="00E05375">
        <w:rPr>
          <w:rFonts w:ascii="Arial" w:hAnsi="Arial" w:cs="Arial"/>
        </w:rPr>
        <w:t>A</w:t>
      </w:r>
      <w:r w:rsidR="00CC3BEA">
        <w:rPr>
          <w:rFonts w:ascii="Arial" w:hAnsi="Arial" w:cs="Arial"/>
        </w:rPr>
        <w:t xml:space="preserve">udit </w:t>
      </w:r>
      <w:r w:rsidR="00E05375">
        <w:rPr>
          <w:rFonts w:ascii="Arial" w:hAnsi="Arial" w:cs="Arial"/>
        </w:rPr>
        <w:t>and Risk C</w:t>
      </w:r>
      <w:r w:rsidR="00CC3BEA">
        <w:rPr>
          <w:rFonts w:ascii="Arial" w:hAnsi="Arial" w:cs="Arial"/>
        </w:rPr>
        <w:t xml:space="preserve">ommittee approved the attached plan </w:t>
      </w:r>
      <w:r w:rsidR="000E2E84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12</w:t>
      </w:r>
      <w:r w:rsidR="002973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June</w:t>
      </w:r>
      <w:r w:rsidR="002B593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="00CC3BEA">
        <w:rPr>
          <w:rFonts w:ascii="Arial" w:hAnsi="Arial" w:cs="Arial"/>
        </w:rPr>
        <w:t xml:space="preserve">.  </w:t>
      </w:r>
    </w:p>
    <w:p w:rsidR="00CC3BEA" w:rsidRDefault="00CC3BEA" w:rsidP="00150033">
      <w:pPr>
        <w:pStyle w:val="BodyTextIndent2"/>
        <w:jc w:val="left"/>
        <w:rPr>
          <w:rFonts w:ascii="Arial" w:hAnsi="Arial" w:cs="Arial"/>
        </w:rPr>
      </w:pPr>
    </w:p>
    <w:p w:rsidR="00CC3BEA" w:rsidRDefault="00CC3BEA" w:rsidP="00150033">
      <w:pPr>
        <w:pStyle w:val="BodyTextIndent2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Over the course of the year </w:t>
      </w:r>
      <w:r w:rsidR="000E2E84">
        <w:rPr>
          <w:rFonts w:ascii="Arial" w:hAnsi="Arial" w:cs="Arial"/>
        </w:rPr>
        <w:t>post approval</w:t>
      </w:r>
      <w:r>
        <w:rPr>
          <w:rFonts w:ascii="Arial" w:hAnsi="Arial" w:cs="Arial"/>
        </w:rPr>
        <w:t xml:space="preserve"> </w:t>
      </w:r>
      <w:r w:rsidR="000E2E84">
        <w:rPr>
          <w:rFonts w:ascii="Arial" w:hAnsi="Arial" w:cs="Arial"/>
        </w:rPr>
        <w:t xml:space="preserve">it may be necessary to make minor amendments to the plan, with the approval of the </w:t>
      </w:r>
      <w:r w:rsidR="008E76D1">
        <w:rPr>
          <w:rFonts w:ascii="Arial" w:hAnsi="Arial" w:cs="Arial"/>
        </w:rPr>
        <w:t>A</w:t>
      </w:r>
      <w:r w:rsidR="000E2E84">
        <w:rPr>
          <w:rFonts w:ascii="Arial" w:hAnsi="Arial" w:cs="Arial"/>
        </w:rPr>
        <w:t xml:space="preserve">udit </w:t>
      </w:r>
      <w:r w:rsidR="008E76D1">
        <w:rPr>
          <w:rFonts w:ascii="Arial" w:hAnsi="Arial" w:cs="Arial"/>
        </w:rPr>
        <w:t>and Risk C</w:t>
      </w:r>
      <w:r w:rsidR="000E2E84">
        <w:rPr>
          <w:rFonts w:ascii="Arial" w:hAnsi="Arial" w:cs="Arial"/>
        </w:rPr>
        <w:t>ommittee</w:t>
      </w:r>
      <w:r>
        <w:rPr>
          <w:rFonts w:ascii="Arial" w:hAnsi="Arial" w:cs="Arial"/>
        </w:rPr>
        <w:t>.</w:t>
      </w:r>
    </w:p>
    <w:p w:rsidR="000555F8" w:rsidRDefault="000555F8" w:rsidP="00150033">
      <w:pPr>
        <w:pStyle w:val="BodyTextIndent2"/>
        <w:jc w:val="left"/>
        <w:rPr>
          <w:rFonts w:ascii="Arial" w:hAnsi="Arial" w:cs="Arial"/>
        </w:rPr>
      </w:pPr>
    </w:p>
    <w:p w:rsidR="00F672B6" w:rsidRPr="00C97C8B" w:rsidRDefault="00F672B6" w:rsidP="005076DB">
      <w:pPr>
        <w:pStyle w:val="BodyTextIndent2"/>
        <w:jc w:val="left"/>
        <w:rPr>
          <w:rFonts w:ascii="Arial" w:hAnsi="Arial" w:cs="Arial"/>
          <w:sz w:val="20"/>
          <w:szCs w:val="20"/>
        </w:rPr>
      </w:pPr>
    </w:p>
    <w:p w:rsidR="007A1A60" w:rsidRDefault="00150033" w:rsidP="00F672B6">
      <w:pPr>
        <w:pStyle w:val="Heading4"/>
        <w:rPr>
          <w:rFonts w:ascii="Arial" w:hAnsi="Arial" w:cs="Arial"/>
        </w:rPr>
      </w:pPr>
      <w:r>
        <w:rPr>
          <w:rFonts w:ascii="Arial" w:hAnsi="Arial" w:cs="Arial"/>
        </w:rPr>
        <w:t xml:space="preserve">Internal </w:t>
      </w:r>
      <w:r w:rsidR="0047188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udit planning </w:t>
      </w:r>
    </w:p>
    <w:p w:rsidR="007A1A60" w:rsidRDefault="007A1A60" w:rsidP="007A1A60"/>
    <w:p w:rsidR="007A1A60" w:rsidRDefault="00150033" w:rsidP="007A1A6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Part of the annual cycle for internal audit each year is to prepare an annual audit plan based on a risk assessment of the Board’s activities for approval at the </w:t>
      </w:r>
      <w:r w:rsidR="00E05375">
        <w:rPr>
          <w:rFonts w:ascii="Arial" w:hAnsi="Arial" w:cs="Arial"/>
        </w:rPr>
        <w:t>Audit and Risk Committee</w:t>
      </w:r>
      <w:r>
        <w:rPr>
          <w:rFonts w:ascii="Arial" w:hAnsi="Arial" w:cs="Arial"/>
        </w:rPr>
        <w:t xml:space="preserve">. The plan was presented to the </w:t>
      </w:r>
      <w:r w:rsidR="00E05375">
        <w:rPr>
          <w:rFonts w:ascii="Arial" w:hAnsi="Arial" w:cs="Arial"/>
        </w:rPr>
        <w:t xml:space="preserve">Audit and Risk Committee </w:t>
      </w:r>
      <w:r>
        <w:rPr>
          <w:rFonts w:ascii="Arial" w:hAnsi="Arial" w:cs="Arial"/>
        </w:rPr>
        <w:t xml:space="preserve">on </w:t>
      </w:r>
      <w:r w:rsidR="00E626E1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</w:t>
      </w:r>
      <w:r w:rsidR="00E626E1">
        <w:rPr>
          <w:rFonts w:ascii="Arial" w:hAnsi="Arial" w:cs="Arial"/>
        </w:rPr>
        <w:t>June</w:t>
      </w:r>
      <w:r w:rsidR="002973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approved at that </w:t>
      </w:r>
      <w:proofErr w:type="gramStart"/>
      <w:r>
        <w:rPr>
          <w:rFonts w:ascii="Arial" w:hAnsi="Arial" w:cs="Arial"/>
        </w:rPr>
        <w:t>time,</w:t>
      </w:r>
      <w:proofErr w:type="gramEnd"/>
      <w:r>
        <w:rPr>
          <w:rFonts w:ascii="Arial" w:hAnsi="Arial" w:cs="Arial"/>
        </w:rPr>
        <w:t xml:space="preserve"> </w:t>
      </w:r>
      <w:r w:rsidR="00E626E1">
        <w:rPr>
          <w:rFonts w:ascii="Arial" w:hAnsi="Arial" w:cs="Arial"/>
        </w:rPr>
        <w:t>Grant Thornton</w:t>
      </w:r>
      <w:r>
        <w:rPr>
          <w:rFonts w:ascii="Arial" w:hAnsi="Arial" w:cs="Arial"/>
        </w:rPr>
        <w:t xml:space="preserve"> </w:t>
      </w:r>
      <w:r w:rsidR="00297342">
        <w:rPr>
          <w:rFonts w:ascii="Arial" w:hAnsi="Arial" w:cs="Arial"/>
        </w:rPr>
        <w:t>will commence</w:t>
      </w:r>
      <w:r>
        <w:rPr>
          <w:rFonts w:ascii="Arial" w:hAnsi="Arial" w:cs="Arial"/>
        </w:rPr>
        <w:t xml:space="preserve"> deliver</w:t>
      </w:r>
      <w:r w:rsidR="00297342">
        <w:rPr>
          <w:rFonts w:ascii="Arial" w:hAnsi="Arial" w:cs="Arial"/>
        </w:rPr>
        <w:t>y of</w:t>
      </w:r>
      <w:r>
        <w:rPr>
          <w:rFonts w:ascii="Arial" w:hAnsi="Arial" w:cs="Arial"/>
        </w:rPr>
        <w:t xml:space="preserve"> this plan</w:t>
      </w:r>
      <w:r w:rsidR="00297342">
        <w:rPr>
          <w:rFonts w:ascii="Arial" w:hAnsi="Arial" w:cs="Arial"/>
        </w:rPr>
        <w:t xml:space="preserve"> from </w:t>
      </w:r>
      <w:r w:rsidR="00E626E1">
        <w:rPr>
          <w:rFonts w:ascii="Arial" w:hAnsi="Arial" w:cs="Arial"/>
        </w:rPr>
        <w:t>July</w:t>
      </w:r>
      <w:r>
        <w:rPr>
          <w:rFonts w:ascii="Arial" w:hAnsi="Arial" w:cs="Arial"/>
        </w:rPr>
        <w:t>.</w:t>
      </w:r>
    </w:p>
    <w:p w:rsidR="00150033" w:rsidRDefault="00150033" w:rsidP="007A1A60">
      <w:pPr>
        <w:ind w:left="720"/>
        <w:rPr>
          <w:rFonts w:ascii="Arial" w:hAnsi="Arial" w:cs="Arial"/>
        </w:rPr>
      </w:pPr>
    </w:p>
    <w:p w:rsidR="00150033" w:rsidRDefault="00150033" w:rsidP="007A1A6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The plan is broken down as detailed below:</w:t>
      </w:r>
    </w:p>
    <w:p w:rsidR="00150033" w:rsidRPr="00C97C8B" w:rsidRDefault="00150033" w:rsidP="007A1A60">
      <w:pPr>
        <w:ind w:left="720"/>
        <w:rPr>
          <w:rFonts w:ascii="Arial" w:hAnsi="Arial" w:cs="Arial"/>
          <w:sz w:val="20"/>
          <w:szCs w:val="20"/>
        </w:rPr>
      </w:pPr>
    </w:p>
    <w:p w:rsidR="00150033" w:rsidRDefault="00E626E1" w:rsidP="00150033">
      <w:pPr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Executive Summary</w:t>
      </w:r>
      <w:r w:rsidR="00121C5D">
        <w:rPr>
          <w:rFonts w:ascii="Arial" w:hAnsi="Arial" w:cs="Arial"/>
        </w:rPr>
        <w:t xml:space="preserve">, including the </w:t>
      </w:r>
      <w:r w:rsidR="00874964">
        <w:rPr>
          <w:rFonts w:ascii="Arial" w:hAnsi="Arial" w:cs="Arial"/>
        </w:rPr>
        <w:t>planning process, coverage, Internal Audit Delivery</w:t>
      </w:r>
      <w:r w:rsidR="00121C5D">
        <w:rPr>
          <w:rFonts w:ascii="Arial" w:hAnsi="Arial" w:cs="Arial"/>
        </w:rPr>
        <w:t>;</w:t>
      </w:r>
    </w:p>
    <w:p w:rsidR="00874964" w:rsidRDefault="00874964" w:rsidP="00150033">
      <w:pPr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How the plan was developed;</w:t>
      </w:r>
    </w:p>
    <w:p w:rsidR="00874964" w:rsidRDefault="00874964" w:rsidP="00150033">
      <w:pPr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Indicative plan for 2018/19; </w:t>
      </w:r>
    </w:p>
    <w:p w:rsidR="00874964" w:rsidRDefault="00874964" w:rsidP="00150033">
      <w:pPr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Indicative three year plan;</w:t>
      </w:r>
    </w:p>
    <w:p w:rsidR="00874964" w:rsidRDefault="00874964" w:rsidP="00150033">
      <w:pPr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Previous internal audit activity;</w:t>
      </w:r>
    </w:p>
    <w:p w:rsidR="00874964" w:rsidRDefault="00874964" w:rsidP="00150033">
      <w:pPr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Overview of Internal Audit arrangements;</w:t>
      </w:r>
      <w:r w:rsidR="000555F8">
        <w:rPr>
          <w:rFonts w:ascii="Arial" w:hAnsi="Arial" w:cs="Arial"/>
        </w:rPr>
        <w:t xml:space="preserve"> and</w:t>
      </w:r>
    </w:p>
    <w:p w:rsidR="00874964" w:rsidRDefault="00874964" w:rsidP="00150033">
      <w:pPr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Performance monitorin</w:t>
      </w:r>
      <w:r w:rsidR="000555F8">
        <w:rPr>
          <w:rFonts w:ascii="Arial" w:hAnsi="Arial" w:cs="Arial"/>
        </w:rPr>
        <w:t>g.</w:t>
      </w:r>
    </w:p>
    <w:p w:rsidR="00C765A0" w:rsidRDefault="00C765A0" w:rsidP="00874964">
      <w:pPr>
        <w:ind w:left="1080"/>
        <w:rPr>
          <w:rFonts w:ascii="Arial" w:hAnsi="Arial" w:cs="Arial"/>
        </w:rPr>
      </w:pPr>
    </w:p>
    <w:p w:rsidR="000555F8" w:rsidRDefault="000555F8" w:rsidP="00874964">
      <w:pPr>
        <w:ind w:left="1080"/>
        <w:rPr>
          <w:rFonts w:ascii="Arial" w:hAnsi="Arial" w:cs="Arial"/>
        </w:rPr>
      </w:pPr>
    </w:p>
    <w:p w:rsidR="000555F8" w:rsidRPr="00874964" w:rsidRDefault="000555F8" w:rsidP="00874964">
      <w:pPr>
        <w:ind w:left="1080"/>
        <w:rPr>
          <w:rFonts w:ascii="Arial" w:hAnsi="Arial" w:cs="Arial"/>
        </w:rPr>
      </w:pPr>
    </w:p>
    <w:p w:rsidR="00A84A6B" w:rsidRPr="00547F05" w:rsidRDefault="00A84A6B">
      <w:pPr>
        <w:pStyle w:val="Heading4"/>
        <w:rPr>
          <w:rFonts w:ascii="Arial" w:hAnsi="Arial" w:cs="Arial"/>
        </w:rPr>
      </w:pPr>
      <w:r w:rsidRPr="00547F05">
        <w:rPr>
          <w:rFonts w:ascii="Arial" w:hAnsi="Arial" w:cs="Arial"/>
        </w:rPr>
        <w:lastRenderedPageBreak/>
        <w:t>Conclusion</w:t>
      </w:r>
    </w:p>
    <w:p w:rsidR="00A84A6B" w:rsidRPr="00547F05" w:rsidRDefault="00A84A6B">
      <w:pPr>
        <w:rPr>
          <w:rFonts w:ascii="Arial" w:hAnsi="Arial" w:cs="Arial"/>
          <w:b/>
          <w:bCs/>
          <w:sz w:val="16"/>
          <w:szCs w:val="20"/>
        </w:rPr>
      </w:pPr>
    </w:p>
    <w:p w:rsidR="00A84A6B" w:rsidRDefault="00E05375">
      <w:pPr>
        <w:pStyle w:val="BodyTextIndent2"/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</w:rPr>
        <w:t xml:space="preserve">Board </w:t>
      </w:r>
      <w:r w:rsidR="00767C86">
        <w:rPr>
          <w:rFonts w:ascii="Arial" w:hAnsi="Arial" w:cs="Arial"/>
          <w:bCs w:val="0"/>
          <w:iCs w:val="0"/>
        </w:rPr>
        <w:t>Members are</w:t>
      </w:r>
      <w:r w:rsidR="00A84A6B" w:rsidRPr="00547F05">
        <w:rPr>
          <w:rFonts w:ascii="Arial" w:hAnsi="Arial" w:cs="Arial"/>
          <w:bCs w:val="0"/>
          <w:iCs w:val="0"/>
        </w:rPr>
        <w:t xml:space="preserve"> asked to note </w:t>
      </w:r>
      <w:r w:rsidR="00D96990">
        <w:rPr>
          <w:rFonts w:ascii="Arial" w:hAnsi="Arial" w:cs="Arial"/>
          <w:bCs w:val="0"/>
          <w:iCs w:val="0"/>
        </w:rPr>
        <w:t xml:space="preserve">internal audit plan for </w:t>
      </w:r>
      <w:r w:rsidR="008E76D1">
        <w:rPr>
          <w:rFonts w:ascii="Arial" w:hAnsi="Arial" w:cs="Arial"/>
          <w:bCs w:val="0"/>
          <w:iCs w:val="0"/>
        </w:rPr>
        <w:t>2017/18</w:t>
      </w:r>
      <w:r w:rsidR="00A84A6B" w:rsidRPr="00547F05">
        <w:rPr>
          <w:rFonts w:ascii="Arial" w:hAnsi="Arial" w:cs="Arial"/>
          <w:bCs w:val="0"/>
          <w:iCs w:val="0"/>
        </w:rPr>
        <w:t>.</w:t>
      </w:r>
    </w:p>
    <w:p w:rsidR="00A84A6B" w:rsidRPr="00547F05" w:rsidRDefault="00A84A6B">
      <w:pPr>
        <w:rPr>
          <w:rFonts w:ascii="Arial" w:hAnsi="Arial" w:cs="Arial"/>
          <w:b/>
          <w:bCs/>
          <w:sz w:val="16"/>
          <w:szCs w:val="20"/>
        </w:rPr>
      </w:pPr>
    </w:p>
    <w:p w:rsidR="000555F8" w:rsidRDefault="000555F8">
      <w:pPr>
        <w:pStyle w:val="Heading2"/>
        <w:rPr>
          <w:rFonts w:ascii="Arial" w:hAnsi="Arial" w:cs="Arial"/>
          <w:bCs w:val="0"/>
        </w:rPr>
      </w:pPr>
    </w:p>
    <w:p w:rsidR="00A84A6B" w:rsidRPr="00547F05" w:rsidRDefault="00A84A6B">
      <w:pPr>
        <w:pStyle w:val="Heading2"/>
        <w:rPr>
          <w:rFonts w:ascii="Arial" w:hAnsi="Arial" w:cs="Arial"/>
          <w:bCs w:val="0"/>
        </w:rPr>
      </w:pPr>
      <w:r w:rsidRPr="00547F05">
        <w:rPr>
          <w:rFonts w:ascii="Arial" w:hAnsi="Arial" w:cs="Arial"/>
          <w:bCs w:val="0"/>
        </w:rPr>
        <w:t>Julie Carter</w:t>
      </w:r>
    </w:p>
    <w:p w:rsidR="00340FCF" w:rsidRDefault="00A84A6B" w:rsidP="005D678E">
      <w:pPr>
        <w:rPr>
          <w:rFonts w:ascii="Arial" w:hAnsi="Arial" w:cs="Arial"/>
          <w:b/>
        </w:rPr>
      </w:pPr>
      <w:r w:rsidRPr="00547F05">
        <w:rPr>
          <w:rFonts w:ascii="Arial" w:hAnsi="Arial" w:cs="Arial"/>
          <w:b/>
        </w:rPr>
        <w:t>Director of Finance</w:t>
      </w:r>
    </w:p>
    <w:p w:rsidR="005D678E" w:rsidRDefault="00C97C8B" w:rsidP="005D67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14 June 2018</w:t>
      </w:r>
      <w:r w:rsidR="008E76D1">
        <w:rPr>
          <w:rFonts w:ascii="Arial" w:hAnsi="Arial" w:cs="Arial"/>
          <w:b/>
        </w:rPr>
        <w:t xml:space="preserve"> </w:t>
      </w:r>
      <w:r w:rsidR="00297342">
        <w:rPr>
          <w:rFonts w:ascii="Arial" w:hAnsi="Arial" w:cs="Arial"/>
          <w:b/>
        </w:rPr>
        <w:t xml:space="preserve"> </w:t>
      </w:r>
      <w:r w:rsidR="000E2E84">
        <w:rPr>
          <w:rFonts w:ascii="Arial" w:hAnsi="Arial" w:cs="Arial"/>
          <w:b/>
        </w:rPr>
        <w:t xml:space="preserve"> </w:t>
      </w:r>
    </w:p>
    <w:p w:rsidR="000555F8" w:rsidRDefault="000555F8" w:rsidP="005D678E">
      <w:pPr>
        <w:rPr>
          <w:rFonts w:ascii="Arial" w:hAnsi="Arial" w:cs="Arial"/>
        </w:rPr>
      </w:pPr>
    </w:p>
    <w:p w:rsidR="00982A0F" w:rsidRPr="000555F8" w:rsidRDefault="00A84A6B" w:rsidP="005D678E">
      <w:pPr>
        <w:rPr>
          <w:rFonts w:ascii="Arial" w:hAnsi="Arial" w:cs="Arial"/>
          <w:b/>
        </w:rPr>
      </w:pPr>
      <w:r w:rsidRPr="000555F8">
        <w:rPr>
          <w:rFonts w:ascii="Arial" w:hAnsi="Arial" w:cs="Arial"/>
          <w:b/>
        </w:rPr>
        <w:t>(Lily Bryson</w:t>
      </w:r>
      <w:r w:rsidR="00812780">
        <w:rPr>
          <w:rFonts w:ascii="Arial" w:hAnsi="Arial" w:cs="Arial"/>
          <w:b/>
        </w:rPr>
        <w:t xml:space="preserve">, </w:t>
      </w:r>
      <w:r w:rsidRPr="000555F8">
        <w:rPr>
          <w:rFonts w:ascii="Arial" w:hAnsi="Arial" w:cs="Arial"/>
          <w:b/>
        </w:rPr>
        <w:t>Assistant Director of Finance</w:t>
      </w:r>
      <w:r w:rsidR="008E76D1" w:rsidRPr="000555F8">
        <w:rPr>
          <w:rFonts w:ascii="Arial" w:hAnsi="Arial" w:cs="Arial"/>
          <w:b/>
        </w:rPr>
        <w:t xml:space="preserve"> </w:t>
      </w:r>
      <w:r w:rsidR="00812780">
        <w:rPr>
          <w:rFonts w:ascii="Arial" w:hAnsi="Arial" w:cs="Arial"/>
          <w:b/>
        </w:rPr>
        <w:t>–</w:t>
      </w:r>
      <w:r w:rsidR="00750F29" w:rsidRPr="000555F8">
        <w:rPr>
          <w:rFonts w:ascii="Arial" w:hAnsi="Arial" w:cs="Arial"/>
          <w:b/>
        </w:rPr>
        <w:t xml:space="preserve"> </w:t>
      </w:r>
      <w:r w:rsidR="008E76D1" w:rsidRPr="000555F8">
        <w:rPr>
          <w:rFonts w:ascii="Arial" w:hAnsi="Arial" w:cs="Arial"/>
          <w:b/>
        </w:rPr>
        <w:t>Governance</w:t>
      </w:r>
      <w:r w:rsidR="00812780">
        <w:rPr>
          <w:rFonts w:ascii="Arial" w:hAnsi="Arial" w:cs="Arial"/>
          <w:b/>
        </w:rPr>
        <w:t xml:space="preserve"> </w:t>
      </w:r>
      <w:r w:rsidR="008E76D1" w:rsidRPr="000555F8">
        <w:rPr>
          <w:rFonts w:ascii="Arial" w:hAnsi="Arial" w:cs="Arial"/>
          <w:b/>
        </w:rPr>
        <w:t>and Financ</w:t>
      </w:r>
      <w:r w:rsidR="00072585" w:rsidRPr="000555F8">
        <w:rPr>
          <w:rFonts w:ascii="Arial" w:hAnsi="Arial" w:cs="Arial"/>
          <w:b/>
        </w:rPr>
        <w:t>ial Accounting</w:t>
      </w:r>
      <w:r w:rsidRPr="000555F8">
        <w:rPr>
          <w:rFonts w:ascii="Arial" w:hAnsi="Arial" w:cs="Arial"/>
          <w:b/>
        </w:rPr>
        <w:t>)</w:t>
      </w:r>
    </w:p>
    <w:sectPr w:rsidR="00982A0F" w:rsidRPr="000555F8" w:rsidSect="000555F8">
      <w:footerReference w:type="even" r:id="rId8"/>
      <w:footerReference w:type="default" r:id="rId9"/>
      <w:footerReference w:type="first" r:id="rId10"/>
      <w:pgSz w:w="11906" w:h="16838"/>
      <w:pgMar w:top="709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5F8" w:rsidRDefault="000555F8">
      <w:r>
        <w:separator/>
      </w:r>
    </w:p>
  </w:endnote>
  <w:endnote w:type="continuationSeparator" w:id="0">
    <w:p w:rsidR="000555F8" w:rsidRDefault="00055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5F8" w:rsidRDefault="000555F8" w:rsidP="00340F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5F8" w:rsidRDefault="000555F8" w:rsidP="00340FC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5F8" w:rsidRDefault="000555F8" w:rsidP="000555F8">
    <w:pPr>
      <w:ind w:right="-766" w:hanging="284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E05375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5F8" w:rsidRPr="00513DB0" w:rsidRDefault="000555F8" w:rsidP="000555F8">
    <w:pPr>
      <w:ind w:right="-766" w:hanging="284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E05375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0555F8" w:rsidRDefault="000555F8" w:rsidP="000555F8">
    <w:pPr>
      <w:ind w:right="184"/>
      <w:jc w:val="center"/>
      <w:rPr>
        <w:rFonts w:ascii="Arial" w:hAnsi="Arial" w:cs="Arial"/>
        <w:sz w:val="20"/>
        <w:szCs w:val="20"/>
      </w:rPr>
    </w:pPr>
  </w:p>
  <w:p w:rsidR="000555F8" w:rsidRPr="008F5DB5" w:rsidRDefault="000555F8" w:rsidP="000555F8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5162550</wp:posOffset>
          </wp:positionH>
          <wp:positionV relativeFrom="paragraph">
            <wp:posOffset>23495</wp:posOffset>
          </wp:positionV>
          <wp:extent cx="514350" cy="342900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555F8" w:rsidRPr="000555F8" w:rsidRDefault="000555F8" w:rsidP="000555F8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5F8" w:rsidRDefault="000555F8">
      <w:r>
        <w:separator/>
      </w:r>
    </w:p>
  </w:footnote>
  <w:footnote w:type="continuationSeparator" w:id="0">
    <w:p w:rsidR="000555F8" w:rsidRDefault="00055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A70"/>
    <w:multiLevelType w:val="hybridMultilevel"/>
    <w:tmpl w:val="386AC3E6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9673A6"/>
    <w:multiLevelType w:val="hybridMultilevel"/>
    <w:tmpl w:val="ED9ACEEE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BA2E27"/>
    <w:multiLevelType w:val="hybridMultilevel"/>
    <w:tmpl w:val="95EAB0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DD5816"/>
    <w:multiLevelType w:val="hybridMultilevel"/>
    <w:tmpl w:val="BACC9C2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8A22DA0"/>
    <w:multiLevelType w:val="hybridMultilevel"/>
    <w:tmpl w:val="2DCAEFC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9546684"/>
    <w:multiLevelType w:val="hybridMultilevel"/>
    <w:tmpl w:val="8716D832"/>
    <w:lvl w:ilvl="0" w:tplc="94949CB8">
      <w:start w:val="1"/>
      <w:numFmt w:val="decimal"/>
      <w:pStyle w:val="Heading4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C727FFC"/>
    <w:multiLevelType w:val="hybridMultilevel"/>
    <w:tmpl w:val="61E294E4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28D0BD5"/>
    <w:multiLevelType w:val="hybridMultilevel"/>
    <w:tmpl w:val="31E46A84"/>
    <w:lvl w:ilvl="0" w:tplc="6FEC19C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B03707"/>
    <w:multiLevelType w:val="hybridMultilevel"/>
    <w:tmpl w:val="118EB9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EE39C6"/>
    <w:multiLevelType w:val="hybridMultilevel"/>
    <w:tmpl w:val="510CBBF6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A853C8"/>
    <w:multiLevelType w:val="hybridMultilevel"/>
    <w:tmpl w:val="EA6E2542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AEA54FE"/>
    <w:multiLevelType w:val="hybridMultilevel"/>
    <w:tmpl w:val="C37E5E6C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22455"/>
    <w:multiLevelType w:val="hybridMultilevel"/>
    <w:tmpl w:val="118EB9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9E4209"/>
    <w:multiLevelType w:val="hybridMultilevel"/>
    <w:tmpl w:val="37F4D2B4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6D17E18"/>
    <w:multiLevelType w:val="hybridMultilevel"/>
    <w:tmpl w:val="68223D3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7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D188B"/>
    <w:multiLevelType w:val="hybridMultilevel"/>
    <w:tmpl w:val="7266252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C215129"/>
    <w:multiLevelType w:val="hybridMultilevel"/>
    <w:tmpl w:val="BACC9C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D173C60"/>
    <w:multiLevelType w:val="hybridMultilevel"/>
    <w:tmpl w:val="BA68BF3E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2CC2D1F"/>
    <w:multiLevelType w:val="hybridMultilevel"/>
    <w:tmpl w:val="79D2C8BE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4620A17"/>
    <w:multiLevelType w:val="hybridMultilevel"/>
    <w:tmpl w:val="AB66FF98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49949F0"/>
    <w:multiLevelType w:val="multilevel"/>
    <w:tmpl w:val="118EB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6E384A"/>
    <w:multiLevelType w:val="hybridMultilevel"/>
    <w:tmpl w:val="4D62F87E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69E0011"/>
    <w:multiLevelType w:val="multilevel"/>
    <w:tmpl w:val="118EB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1B1D52"/>
    <w:multiLevelType w:val="multilevel"/>
    <w:tmpl w:val="118EB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CA22A7"/>
    <w:multiLevelType w:val="hybridMultilevel"/>
    <w:tmpl w:val="132A87F8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FA71DFF"/>
    <w:multiLevelType w:val="hybridMultilevel"/>
    <w:tmpl w:val="CB24D93C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0A6FED"/>
    <w:multiLevelType w:val="hybridMultilevel"/>
    <w:tmpl w:val="465491C6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430280C"/>
    <w:multiLevelType w:val="hybridMultilevel"/>
    <w:tmpl w:val="19065586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92F5992"/>
    <w:multiLevelType w:val="hybridMultilevel"/>
    <w:tmpl w:val="E730DC96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BCE5169"/>
    <w:multiLevelType w:val="hybridMultilevel"/>
    <w:tmpl w:val="E79C07B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7"/>
  </w:num>
  <w:num w:numId="4">
    <w:abstractNumId w:val="12"/>
  </w:num>
  <w:num w:numId="5">
    <w:abstractNumId w:val="8"/>
  </w:num>
  <w:num w:numId="6">
    <w:abstractNumId w:val="1"/>
  </w:num>
  <w:num w:numId="7">
    <w:abstractNumId w:val="5"/>
  </w:num>
  <w:num w:numId="8">
    <w:abstractNumId w:val="15"/>
  </w:num>
  <w:num w:numId="9">
    <w:abstractNumId w:val="0"/>
  </w:num>
  <w:num w:numId="10">
    <w:abstractNumId w:val="21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6"/>
  </w:num>
  <w:num w:numId="19">
    <w:abstractNumId w:val="3"/>
  </w:num>
  <w:num w:numId="20">
    <w:abstractNumId w:val="14"/>
  </w:num>
  <w:num w:numId="21">
    <w:abstractNumId w:val="5"/>
  </w:num>
  <w:num w:numId="22">
    <w:abstractNumId w:val="4"/>
  </w:num>
  <w:num w:numId="23">
    <w:abstractNumId w:val="6"/>
  </w:num>
  <w:num w:numId="24">
    <w:abstractNumId w:val="27"/>
  </w:num>
  <w:num w:numId="25">
    <w:abstractNumId w:val="30"/>
  </w:num>
  <w:num w:numId="26">
    <w:abstractNumId w:val="5"/>
  </w:num>
  <w:num w:numId="27">
    <w:abstractNumId w:val="23"/>
  </w:num>
  <w:num w:numId="28">
    <w:abstractNumId w:val="2"/>
  </w:num>
  <w:num w:numId="29">
    <w:abstractNumId w:val="19"/>
  </w:num>
  <w:num w:numId="30">
    <w:abstractNumId w:val="10"/>
  </w:num>
  <w:num w:numId="31">
    <w:abstractNumId w:val="24"/>
  </w:num>
  <w:num w:numId="32">
    <w:abstractNumId w:val="22"/>
  </w:num>
  <w:num w:numId="33">
    <w:abstractNumId w:val="11"/>
  </w:num>
  <w:num w:numId="34">
    <w:abstractNumId w:val="20"/>
  </w:num>
  <w:num w:numId="35">
    <w:abstractNumId w:val="9"/>
  </w:num>
  <w:num w:numId="36">
    <w:abstractNumId w:val="5"/>
  </w:num>
  <w:num w:numId="37">
    <w:abstractNumId w:val="5"/>
  </w:num>
  <w:num w:numId="38">
    <w:abstractNumId w:val="29"/>
  </w:num>
  <w:num w:numId="39">
    <w:abstractNumId w:val="17"/>
  </w:num>
  <w:num w:numId="40">
    <w:abstractNumId w:val="25"/>
  </w:num>
  <w:num w:numId="41">
    <w:abstractNumId w:val="18"/>
  </w:num>
  <w:num w:numId="42">
    <w:abstractNumId w:val="28"/>
  </w:num>
  <w:num w:numId="43">
    <w:abstractNumId w:val="5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B336D"/>
    <w:rsid w:val="00005332"/>
    <w:rsid w:val="00006A27"/>
    <w:rsid w:val="000300CC"/>
    <w:rsid w:val="00034C0A"/>
    <w:rsid w:val="000545A1"/>
    <w:rsid w:val="00054AAB"/>
    <w:rsid w:val="000555F8"/>
    <w:rsid w:val="00072585"/>
    <w:rsid w:val="00083231"/>
    <w:rsid w:val="000926A0"/>
    <w:rsid w:val="000C231D"/>
    <w:rsid w:val="000C337E"/>
    <w:rsid w:val="000C3B78"/>
    <w:rsid w:val="000D4198"/>
    <w:rsid w:val="000D7774"/>
    <w:rsid w:val="000E0750"/>
    <w:rsid w:val="000E2E84"/>
    <w:rsid w:val="000F0820"/>
    <w:rsid w:val="00113D96"/>
    <w:rsid w:val="00115344"/>
    <w:rsid w:val="00120208"/>
    <w:rsid w:val="00121C5D"/>
    <w:rsid w:val="00122905"/>
    <w:rsid w:val="00141287"/>
    <w:rsid w:val="00142CE8"/>
    <w:rsid w:val="00150033"/>
    <w:rsid w:val="00166314"/>
    <w:rsid w:val="001A43C7"/>
    <w:rsid w:val="001A6F98"/>
    <w:rsid w:val="001B672E"/>
    <w:rsid w:val="001C793A"/>
    <w:rsid w:val="001E1FC3"/>
    <w:rsid w:val="001E26E5"/>
    <w:rsid w:val="001F7195"/>
    <w:rsid w:val="002213C8"/>
    <w:rsid w:val="0024247D"/>
    <w:rsid w:val="00250E70"/>
    <w:rsid w:val="00261F97"/>
    <w:rsid w:val="00262EC5"/>
    <w:rsid w:val="00273BC0"/>
    <w:rsid w:val="0028554C"/>
    <w:rsid w:val="0028721F"/>
    <w:rsid w:val="00297342"/>
    <w:rsid w:val="002A4762"/>
    <w:rsid w:val="002B593C"/>
    <w:rsid w:val="002D55BF"/>
    <w:rsid w:val="002F39A0"/>
    <w:rsid w:val="002F5C06"/>
    <w:rsid w:val="00303BD5"/>
    <w:rsid w:val="00312C9B"/>
    <w:rsid w:val="003159CC"/>
    <w:rsid w:val="00321D1C"/>
    <w:rsid w:val="003257C2"/>
    <w:rsid w:val="003302EE"/>
    <w:rsid w:val="00340FCF"/>
    <w:rsid w:val="003618A8"/>
    <w:rsid w:val="003A2B9F"/>
    <w:rsid w:val="003D274B"/>
    <w:rsid w:val="003E0BD7"/>
    <w:rsid w:val="004112BC"/>
    <w:rsid w:val="004248AB"/>
    <w:rsid w:val="00440871"/>
    <w:rsid w:val="004428D5"/>
    <w:rsid w:val="00450D1B"/>
    <w:rsid w:val="00453CCA"/>
    <w:rsid w:val="004541A5"/>
    <w:rsid w:val="00471888"/>
    <w:rsid w:val="00482E04"/>
    <w:rsid w:val="00485AD4"/>
    <w:rsid w:val="004912CB"/>
    <w:rsid w:val="004A33C6"/>
    <w:rsid w:val="004A4680"/>
    <w:rsid w:val="004A5911"/>
    <w:rsid w:val="004B2728"/>
    <w:rsid w:val="004E2460"/>
    <w:rsid w:val="004E3515"/>
    <w:rsid w:val="004E5EEC"/>
    <w:rsid w:val="0050210B"/>
    <w:rsid w:val="005076DB"/>
    <w:rsid w:val="0051356E"/>
    <w:rsid w:val="00524847"/>
    <w:rsid w:val="00547F05"/>
    <w:rsid w:val="005700CB"/>
    <w:rsid w:val="005934F8"/>
    <w:rsid w:val="005974D5"/>
    <w:rsid w:val="005B0C20"/>
    <w:rsid w:val="005D678E"/>
    <w:rsid w:val="005E3925"/>
    <w:rsid w:val="005E6809"/>
    <w:rsid w:val="005E7CD0"/>
    <w:rsid w:val="005F00BE"/>
    <w:rsid w:val="005F1ED7"/>
    <w:rsid w:val="005F340D"/>
    <w:rsid w:val="006045AC"/>
    <w:rsid w:val="0063051C"/>
    <w:rsid w:val="00641A17"/>
    <w:rsid w:val="00657DC2"/>
    <w:rsid w:val="00661ACA"/>
    <w:rsid w:val="0066566D"/>
    <w:rsid w:val="00677AE5"/>
    <w:rsid w:val="00680EDA"/>
    <w:rsid w:val="00696721"/>
    <w:rsid w:val="006A1A6C"/>
    <w:rsid w:val="006B0882"/>
    <w:rsid w:val="006D698C"/>
    <w:rsid w:val="006F1FC6"/>
    <w:rsid w:val="0070103E"/>
    <w:rsid w:val="00722796"/>
    <w:rsid w:val="0072563C"/>
    <w:rsid w:val="00744740"/>
    <w:rsid w:val="00750F29"/>
    <w:rsid w:val="007555E9"/>
    <w:rsid w:val="00764664"/>
    <w:rsid w:val="00767C86"/>
    <w:rsid w:val="0077692A"/>
    <w:rsid w:val="007955C9"/>
    <w:rsid w:val="00797474"/>
    <w:rsid w:val="007A0F84"/>
    <w:rsid w:val="007A1A60"/>
    <w:rsid w:val="007B0712"/>
    <w:rsid w:val="007B22A0"/>
    <w:rsid w:val="007B7ED1"/>
    <w:rsid w:val="007D5416"/>
    <w:rsid w:val="007E2EBB"/>
    <w:rsid w:val="007E732B"/>
    <w:rsid w:val="008016CC"/>
    <w:rsid w:val="00803546"/>
    <w:rsid w:val="00812780"/>
    <w:rsid w:val="008134F9"/>
    <w:rsid w:val="00813A21"/>
    <w:rsid w:val="00817C11"/>
    <w:rsid w:val="00822F9F"/>
    <w:rsid w:val="00834EDE"/>
    <w:rsid w:val="00842FC1"/>
    <w:rsid w:val="008446C1"/>
    <w:rsid w:val="00852218"/>
    <w:rsid w:val="00852F8A"/>
    <w:rsid w:val="0087493F"/>
    <w:rsid w:val="00874964"/>
    <w:rsid w:val="008761FA"/>
    <w:rsid w:val="00894D6D"/>
    <w:rsid w:val="008B0421"/>
    <w:rsid w:val="008C0E2D"/>
    <w:rsid w:val="008D57EF"/>
    <w:rsid w:val="008E3F0B"/>
    <w:rsid w:val="008E550B"/>
    <w:rsid w:val="008E6B17"/>
    <w:rsid w:val="008E76D1"/>
    <w:rsid w:val="009205BE"/>
    <w:rsid w:val="0092453C"/>
    <w:rsid w:val="00924DE9"/>
    <w:rsid w:val="00934090"/>
    <w:rsid w:val="00936422"/>
    <w:rsid w:val="009462F3"/>
    <w:rsid w:val="009500EF"/>
    <w:rsid w:val="00982A0F"/>
    <w:rsid w:val="00993D86"/>
    <w:rsid w:val="009C1F6C"/>
    <w:rsid w:val="009D120E"/>
    <w:rsid w:val="009D5890"/>
    <w:rsid w:val="009D7852"/>
    <w:rsid w:val="009D7944"/>
    <w:rsid w:val="009F08C2"/>
    <w:rsid w:val="009F2209"/>
    <w:rsid w:val="009F2C31"/>
    <w:rsid w:val="009F36FC"/>
    <w:rsid w:val="00A0420A"/>
    <w:rsid w:val="00A04444"/>
    <w:rsid w:val="00A119BD"/>
    <w:rsid w:val="00A15FE8"/>
    <w:rsid w:val="00A514CD"/>
    <w:rsid w:val="00A56341"/>
    <w:rsid w:val="00A634A9"/>
    <w:rsid w:val="00A7272E"/>
    <w:rsid w:val="00A802C7"/>
    <w:rsid w:val="00A84A6B"/>
    <w:rsid w:val="00A85AE2"/>
    <w:rsid w:val="00A900EB"/>
    <w:rsid w:val="00AA3E72"/>
    <w:rsid w:val="00AA6BA5"/>
    <w:rsid w:val="00AB3436"/>
    <w:rsid w:val="00AD14DF"/>
    <w:rsid w:val="00AF20D9"/>
    <w:rsid w:val="00AF798D"/>
    <w:rsid w:val="00B25965"/>
    <w:rsid w:val="00B54163"/>
    <w:rsid w:val="00B56D57"/>
    <w:rsid w:val="00B75DC8"/>
    <w:rsid w:val="00B96912"/>
    <w:rsid w:val="00BC0D5E"/>
    <w:rsid w:val="00BC54AA"/>
    <w:rsid w:val="00BD0A00"/>
    <w:rsid w:val="00BD3043"/>
    <w:rsid w:val="00C365B4"/>
    <w:rsid w:val="00C42356"/>
    <w:rsid w:val="00C439EC"/>
    <w:rsid w:val="00C56C63"/>
    <w:rsid w:val="00C61501"/>
    <w:rsid w:val="00C74628"/>
    <w:rsid w:val="00C765A0"/>
    <w:rsid w:val="00C90A8C"/>
    <w:rsid w:val="00C97C8B"/>
    <w:rsid w:val="00CA5162"/>
    <w:rsid w:val="00CC09DA"/>
    <w:rsid w:val="00CC3BEA"/>
    <w:rsid w:val="00CC6DAB"/>
    <w:rsid w:val="00CF5344"/>
    <w:rsid w:val="00D0553F"/>
    <w:rsid w:val="00D1708B"/>
    <w:rsid w:val="00D21090"/>
    <w:rsid w:val="00D22440"/>
    <w:rsid w:val="00D2444C"/>
    <w:rsid w:val="00D30620"/>
    <w:rsid w:val="00D50B94"/>
    <w:rsid w:val="00D52CCE"/>
    <w:rsid w:val="00D728E8"/>
    <w:rsid w:val="00D7768D"/>
    <w:rsid w:val="00D96990"/>
    <w:rsid w:val="00DA32B3"/>
    <w:rsid w:val="00DB4FB5"/>
    <w:rsid w:val="00DC03D1"/>
    <w:rsid w:val="00DD16F1"/>
    <w:rsid w:val="00DD56FF"/>
    <w:rsid w:val="00DF5C99"/>
    <w:rsid w:val="00E01A5F"/>
    <w:rsid w:val="00E01FB2"/>
    <w:rsid w:val="00E05375"/>
    <w:rsid w:val="00E14781"/>
    <w:rsid w:val="00E25836"/>
    <w:rsid w:val="00E415D1"/>
    <w:rsid w:val="00E431BD"/>
    <w:rsid w:val="00E6176C"/>
    <w:rsid w:val="00E626E1"/>
    <w:rsid w:val="00E74500"/>
    <w:rsid w:val="00EA77B6"/>
    <w:rsid w:val="00EB1D3A"/>
    <w:rsid w:val="00EB3235"/>
    <w:rsid w:val="00ED076C"/>
    <w:rsid w:val="00F0014B"/>
    <w:rsid w:val="00F125F6"/>
    <w:rsid w:val="00F127FD"/>
    <w:rsid w:val="00F36A52"/>
    <w:rsid w:val="00F569DC"/>
    <w:rsid w:val="00F63527"/>
    <w:rsid w:val="00F672B6"/>
    <w:rsid w:val="00F71C7F"/>
    <w:rsid w:val="00F72D3E"/>
    <w:rsid w:val="00F73AB2"/>
    <w:rsid w:val="00F73B3D"/>
    <w:rsid w:val="00F76A4B"/>
    <w:rsid w:val="00F77A28"/>
    <w:rsid w:val="00FA19EF"/>
    <w:rsid w:val="00FA7EA4"/>
    <w:rsid w:val="00FB336D"/>
    <w:rsid w:val="00FC0A9F"/>
    <w:rsid w:val="00FC0F2C"/>
    <w:rsid w:val="00FC78D8"/>
    <w:rsid w:val="00FC7DE0"/>
    <w:rsid w:val="00FE0DC2"/>
    <w:rsid w:val="00FE2C7D"/>
    <w:rsid w:val="00FE72D9"/>
    <w:rsid w:val="00FF2448"/>
    <w:rsid w:val="00FF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AE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85AE2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A85AE2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85AE2"/>
    <w:pPr>
      <w:keepNext/>
      <w:numPr>
        <w:numId w:val="1"/>
      </w:numPr>
      <w:tabs>
        <w:tab w:val="clear" w:pos="1080"/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aliases w:val="Sub-Minor,Oscar Faber 4,Te,Te1,Te2,Te3,Te4,Te5,Te6,Te7,Te8,Te9,Te10,Te11,Te91,Te12,Te21,Te31,Te41,Te51,Te61,Te71,Te81,Te92,Te101,Te111,Te911,Te13,Te22,Te32,Te42,Te52,Te62,Te72,Te82,Te93,Te102,Te112,Te912,Te14,Te23,Te33,Te43,Te53,Te63,Te73,Te83"/>
    <w:basedOn w:val="Normal"/>
    <w:next w:val="Normal"/>
    <w:qFormat/>
    <w:rsid w:val="00A85AE2"/>
    <w:pPr>
      <w:keepNext/>
      <w:numPr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85AE2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qFormat/>
    <w:rsid w:val="00A85AE2"/>
    <w:pPr>
      <w:keepNext/>
      <w:tabs>
        <w:tab w:val="left" w:pos="2970"/>
      </w:tabs>
      <w:jc w:val="center"/>
      <w:outlineLvl w:val="5"/>
    </w:pPr>
    <w:rPr>
      <w:b/>
      <w:bCs/>
      <w:iCs/>
      <w:szCs w:val="28"/>
    </w:rPr>
  </w:style>
  <w:style w:type="paragraph" w:styleId="Heading7">
    <w:name w:val="heading 7"/>
    <w:basedOn w:val="Normal"/>
    <w:next w:val="Normal"/>
    <w:qFormat/>
    <w:rsid w:val="00A85AE2"/>
    <w:pPr>
      <w:keepNext/>
      <w:ind w:left="360"/>
      <w:jc w:val="both"/>
      <w:outlineLvl w:val="6"/>
    </w:pPr>
    <w:rPr>
      <w:b/>
      <w:iCs/>
      <w:u w:val="single"/>
    </w:rPr>
  </w:style>
  <w:style w:type="paragraph" w:styleId="Heading8">
    <w:name w:val="heading 8"/>
    <w:basedOn w:val="Normal"/>
    <w:next w:val="Normal"/>
    <w:qFormat/>
    <w:rsid w:val="00A85AE2"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A85AE2"/>
    <w:pPr>
      <w:keepNext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85AE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85AE2"/>
  </w:style>
  <w:style w:type="paragraph" w:styleId="BodyTextIndent">
    <w:name w:val="Body Text Indent"/>
    <w:basedOn w:val="Normal"/>
    <w:link w:val="BodyTextIndentChar"/>
    <w:rsid w:val="00A85AE2"/>
    <w:pPr>
      <w:ind w:left="360"/>
    </w:pPr>
    <w:rPr>
      <w:iCs/>
    </w:rPr>
  </w:style>
  <w:style w:type="paragraph" w:styleId="BodyTextIndent2">
    <w:name w:val="Body Text Indent 2"/>
    <w:basedOn w:val="Normal"/>
    <w:rsid w:val="00A85AE2"/>
    <w:pPr>
      <w:ind w:left="720"/>
      <w:jc w:val="both"/>
    </w:pPr>
    <w:rPr>
      <w:bCs/>
      <w:iCs/>
    </w:rPr>
  </w:style>
  <w:style w:type="paragraph" w:styleId="BodyTextIndent3">
    <w:name w:val="Body Text Indent 3"/>
    <w:basedOn w:val="Normal"/>
    <w:rsid w:val="00A85AE2"/>
    <w:pPr>
      <w:ind w:left="360"/>
      <w:jc w:val="both"/>
    </w:pPr>
    <w:rPr>
      <w:iCs/>
    </w:rPr>
  </w:style>
  <w:style w:type="paragraph" w:styleId="BodyText">
    <w:name w:val="Body Text"/>
    <w:basedOn w:val="Normal"/>
    <w:rsid w:val="00A85AE2"/>
    <w:pPr>
      <w:jc w:val="both"/>
    </w:pPr>
    <w:rPr>
      <w:sz w:val="22"/>
    </w:rPr>
  </w:style>
  <w:style w:type="paragraph" w:styleId="BodyText2">
    <w:name w:val="Body Text 2"/>
    <w:basedOn w:val="Normal"/>
    <w:rsid w:val="00A85AE2"/>
    <w:pPr>
      <w:jc w:val="center"/>
    </w:pPr>
    <w:rPr>
      <w:rFonts w:ascii="Arial" w:hAnsi="Arial" w:cs="Arial"/>
      <w:b/>
      <w:bCs/>
    </w:rPr>
  </w:style>
  <w:style w:type="paragraph" w:customStyle="1" w:styleId="Pa3">
    <w:name w:val="Pa3"/>
    <w:basedOn w:val="Normal"/>
    <w:next w:val="Normal"/>
    <w:rsid w:val="00A85AE2"/>
    <w:pPr>
      <w:autoSpaceDE w:val="0"/>
      <w:autoSpaceDN w:val="0"/>
      <w:adjustRightInd w:val="0"/>
      <w:spacing w:after="220" w:line="201" w:lineRule="atLeast"/>
    </w:pPr>
    <w:rPr>
      <w:rFonts w:ascii="Univers" w:hAnsi="Univers"/>
      <w:lang w:val="en-US"/>
    </w:rPr>
  </w:style>
  <w:style w:type="paragraph" w:styleId="BalloonText">
    <w:name w:val="Balloon Text"/>
    <w:basedOn w:val="Normal"/>
    <w:semiHidden/>
    <w:rsid w:val="00A85AE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locked/>
    <w:rsid w:val="00340FCF"/>
    <w:rPr>
      <w:b/>
      <w:bCs/>
      <w:sz w:val="32"/>
      <w:szCs w:val="24"/>
      <w:lang w:val="en-GB" w:eastAsia="en-US" w:bidi="ar-SA"/>
    </w:rPr>
  </w:style>
  <w:style w:type="character" w:customStyle="1" w:styleId="BodyTextIndentChar">
    <w:name w:val="Body Text Indent Char"/>
    <w:basedOn w:val="DefaultParagraphFont"/>
    <w:link w:val="BodyTextIndent"/>
    <w:locked/>
    <w:rsid w:val="00340FCF"/>
    <w:rPr>
      <w:iCs/>
      <w:sz w:val="24"/>
      <w:szCs w:val="24"/>
      <w:lang w:val="en-GB" w:eastAsia="en-US" w:bidi="ar-SA"/>
    </w:rPr>
  </w:style>
  <w:style w:type="paragraph" w:styleId="Header">
    <w:name w:val="header"/>
    <w:basedOn w:val="Normal"/>
    <w:rsid w:val="00340F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FCF"/>
    <w:rPr>
      <w:sz w:val="24"/>
      <w:szCs w:val="24"/>
      <w:lang w:val="en-GB" w:eastAsia="en-US" w:bidi="ar-SA"/>
    </w:rPr>
  </w:style>
  <w:style w:type="paragraph" w:styleId="Title">
    <w:name w:val="Title"/>
    <w:basedOn w:val="Normal"/>
    <w:link w:val="TitleChar"/>
    <w:qFormat/>
    <w:rsid w:val="00340FCF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locked/>
    <w:rsid w:val="00340FCF"/>
    <w:rPr>
      <w:b/>
      <w:sz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279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5</cp:revision>
  <cp:lastPrinted>2010-07-01T16:27:00Z</cp:lastPrinted>
  <dcterms:created xsi:type="dcterms:W3CDTF">2018-06-14T08:39:00Z</dcterms:created>
  <dcterms:modified xsi:type="dcterms:W3CDTF">2018-06-14T18:03:00Z</dcterms:modified>
</cp:coreProperties>
</file>