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707" w:rsidRPr="000F5735" w:rsidRDefault="000F5735" w:rsidP="000F5735">
      <w:pPr>
        <w:pStyle w:val="Heading1"/>
        <w:jc w:val="right"/>
        <w:rPr>
          <w:rFonts w:ascii="Arial" w:hAnsi="Arial" w:cs="Arial"/>
          <w:color w:val="0070C0"/>
          <w:sz w:val="24"/>
        </w:rPr>
      </w:pPr>
      <w:r w:rsidRPr="000F5735">
        <w:rPr>
          <w:rFonts w:ascii="Arial" w:hAnsi="Arial" w:cs="Arial"/>
          <w:color w:val="0070C0"/>
          <w:sz w:val="24"/>
        </w:rPr>
        <w:t>Ref: GJF/2018/06/23</w:t>
      </w:r>
    </w:p>
    <w:p w:rsidR="00615707" w:rsidRDefault="000F5735" w:rsidP="00CD66A5">
      <w:pPr>
        <w:pStyle w:val="Heading1"/>
        <w:ind w:right="183"/>
        <w:rPr>
          <w:sz w:val="24"/>
        </w:rPr>
      </w:pPr>
      <w:r>
        <w:rPr>
          <w:noProof/>
          <w:sz w:val="24"/>
          <w:lang w:eastAsia="en-GB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4429125</wp:posOffset>
            </wp:positionH>
            <wp:positionV relativeFrom="paragraph">
              <wp:posOffset>64135</wp:posOffset>
            </wp:positionV>
            <wp:extent cx="1388110" cy="1390650"/>
            <wp:effectExtent l="19050" t="0" r="2540" b="0"/>
            <wp:wrapSquare wrapText="bothSides"/>
            <wp:docPr id="2" name="Picture 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JF 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73B42" w:rsidRDefault="00226294" w:rsidP="000F5735">
      <w:pPr>
        <w:pStyle w:val="Heading1"/>
        <w:ind w:left="2694" w:right="183" w:hanging="269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Board Meeting</w:t>
      </w:r>
      <w:r w:rsidR="00545E8A">
        <w:rPr>
          <w:rFonts w:ascii="Arial" w:hAnsi="Arial" w:cs="Arial"/>
          <w:sz w:val="24"/>
        </w:rPr>
        <w:t>:</w:t>
      </w:r>
      <w:r w:rsidR="00173B42">
        <w:rPr>
          <w:rFonts w:ascii="Arial" w:hAnsi="Arial" w:cs="Arial"/>
          <w:sz w:val="24"/>
        </w:rPr>
        <w:tab/>
      </w:r>
      <w:r>
        <w:rPr>
          <w:rFonts w:ascii="Arial" w:hAnsi="Arial" w:cs="Arial"/>
          <w:b w:val="0"/>
          <w:sz w:val="24"/>
        </w:rPr>
        <w:t>21</w:t>
      </w:r>
      <w:r w:rsidR="00173B42" w:rsidRPr="00173B42">
        <w:rPr>
          <w:rFonts w:ascii="Arial" w:hAnsi="Arial" w:cs="Arial"/>
          <w:b w:val="0"/>
          <w:sz w:val="24"/>
        </w:rPr>
        <w:t xml:space="preserve"> June 2018</w:t>
      </w:r>
    </w:p>
    <w:p w:rsidR="00615707" w:rsidRPr="00E22A20" w:rsidRDefault="00615707" w:rsidP="00CD66A5">
      <w:pPr>
        <w:pStyle w:val="Heading1"/>
        <w:ind w:right="183"/>
        <w:rPr>
          <w:rFonts w:ascii="Arial" w:hAnsi="Arial" w:cs="Arial"/>
          <w:b w:val="0"/>
          <w:sz w:val="24"/>
        </w:rPr>
      </w:pPr>
      <w:r w:rsidRPr="00E22A20">
        <w:rPr>
          <w:rFonts w:ascii="Arial" w:hAnsi="Arial" w:cs="Arial"/>
          <w:b w:val="0"/>
          <w:sz w:val="24"/>
        </w:rPr>
        <w:tab/>
      </w:r>
      <w:r w:rsidRPr="00E22A20">
        <w:rPr>
          <w:rFonts w:ascii="Arial" w:hAnsi="Arial" w:cs="Arial"/>
          <w:b w:val="0"/>
          <w:sz w:val="24"/>
        </w:rPr>
        <w:tab/>
      </w:r>
    </w:p>
    <w:p w:rsidR="00615707" w:rsidRPr="00682309" w:rsidRDefault="00615707" w:rsidP="000F5735">
      <w:pPr>
        <w:ind w:left="2694" w:right="183" w:hanging="2694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 xml:space="preserve">Subject: </w:t>
      </w:r>
      <w:r w:rsidRPr="00682309">
        <w:rPr>
          <w:rFonts w:ascii="Arial" w:hAnsi="Arial" w:cs="Arial"/>
          <w:b/>
          <w:bCs/>
        </w:rPr>
        <w:tab/>
      </w:r>
      <w:r w:rsidRPr="00F47497">
        <w:rPr>
          <w:rFonts w:ascii="Arial" w:hAnsi="Arial" w:cs="Arial"/>
        </w:rPr>
        <w:t xml:space="preserve">Draft </w:t>
      </w:r>
      <w:r>
        <w:rPr>
          <w:rFonts w:ascii="Arial" w:hAnsi="Arial" w:cs="Arial"/>
        </w:rPr>
        <w:t>Annual</w:t>
      </w:r>
      <w:r w:rsidRPr="00F47497">
        <w:rPr>
          <w:rFonts w:ascii="Arial" w:hAnsi="Arial" w:cs="Arial"/>
        </w:rPr>
        <w:t xml:space="preserve"> Report and Accounts</w:t>
      </w:r>
      <w:r w:rsidR="00E25980">
        <w:rPr>
          <w:rFonts w:ascii="Arial" w:hAnsi="Arial" w:cs="Arial"/>
        </w:rPr>
        <w:t xml:space="preserve"> </w:t>
      </w:r>
      <w:r w:rsidR="007E6A70">
        <w:rPr>
          <w:rFonts w:ascii="Arial" w:hAnsi="Arial" w:cs="Arial"/>
        </w:rPr>
        <w:br/>
      </w:r>
    </w:p>
    <w:p w:rsidR="00615707" w:rsidRPr="009A5ED2" w:rsidRDefault="00615707" w:rsidP="000F5735">
      <w:pPr>
        <w:ind w:left="2694" w:right="183" w:hanging="2694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>Recommendation:</w:t>
      </w:r>
      <w:r w:rsidRPr="00682309">
        <w:rPr>
          <w:rFonts w:ascii="Arial" w:hAnsi="Arial" w:cs="Arial"/>
          <w:b/>
          <w:bCs/>
        </w:rPr>
        <w:tab/>
      </w:r>
      <w:r w:rsidRPr="00F47497">
        <w:rPr>
          <w:rFonts w:ascii="Arial" w:hAnsi="Arial" w:cs="Arial"/>
        </w:rPr>
        <w:t>Members are asked to</w:t>
      </w:r>
      <w:r w:rsidR="000F5735">
        <w:rPr>
          <w:rFonts w:ascii="Arial" w:hAnsi="Arial" w:cs="Arial"/>
        </w:rPr>
        <w:t xml:space="preserve"> discuss and </w:t>
      </w:r>
      <w:r w:rsidRPr="00F47497">
        <w:rPr>
          <w:rFonts w:ascii="Arial" w:hAnsi="Arial" w:cs="Arial"/>
        </w:rPr>
        <w:t xml:space="preserve">approve the </w:t>
      </w:r>
      <w:r w:rsidR="00122A36">
        <w:rPr>
          <w:rFonts w:ascii="Arial" w:hAnsi="Arial" w:cs="Arial"/>
        </w:rPr>
        <w:t xml:space="preserve">draft </w:t>
      </w:r>
      <w:r>
        <w:rPr>
          <w:rFonts w:ascii="Arial" w:hAnsi="Arial" w:cs="Arial"/>
        </w:rPr>
        <w:t xml:space="preserve">Annual Report </w:t>
      </w:r>
      <w:r w:rsidRPr="00F47497">
        <w:rPr>
          <w:rFonts w:ascii="Arial" w:hAnsi="Arial" w:cs="Arial"/>
        </w:rPr>
        <w:t>and Accounts.</w:t>
      </w:r>
    </w:p>
    <w:p w:rsidR="000F5735" w:rsidRDefault="000F5735" w:rsidP="00E23DCE">
      <w:pPr>
        <w:ind w:right="183"/>
        <w:rPr>
          <w:rFonts w:ascii="Arial" w:hAnsi="Arial" w:cs="Arial"/>
        </w:rPr>
      </w:pPr>
    </w:p>
    <w:p w:rsidR="000F5735" w:rsidRPr="00682309" w:rsidRDefault="000F5735" w:rsidP="00E23DCE">
      <w:pPr>
        <w:ind w:right="183"/>
        <w:rPr>
          <w:rFonts w:ascii="Arial" w:hAnsi="Arial" w:cs="Arial"/>
        </w:rPr>
      </w:pPr>
    </w:p>
    <w:p w:rsidR="00615707" w:rsidRPr="00682309" w:rsidRDefault="00615707" w:rsidP="00E23DCE">
      <w:pPr>
        <w:ind w:right="-4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</w:t>
      </w:r>
      <w:r w:rsidR="00173B42">
        <w:rPr>
          <w:rFonts w:ascii="Arial" w:hAnsi="Arial" w:cs="Arial"/>
          <w:b/>
          <w:bCs/>
        </w:rPr>
        <w:t>________________</w:t>
      </w:r>
      <w:r w:rsidR="007E6A70">
        <w:rPr>
          <w:rFonts w:ascii="Arial" w:hAnsi="Arial" w:cs="Arial"/>
          <w:b/>
          <w:bCs/>
        </w:rPr>
        <w:t>_________</w:t>
      </w:r>
      <w:r w:rsidR="000F5735">
        <w:rPr>
          <w:rFonts w:ascii="Arial" w:hAnsi="Arial" w:cs="Arial"/>
          <w:b/>
          <w:bCs/>
        </w:rPr>
        <w:t>________</w:t>
      </w:r>
    </w:p>
    <w:p w:rsidR="00FE7855" w:rsidRDefault="00FE7855" w:rsidP="00FE7855">
      <w:pPr>
        <w:pStyle w:val="Heading4"/>
        <w:numPr>
          <w:ilvl w:val="0"/>
          <w:numId w:val="0"/>
        </w:numPr>
        <w:rPr>
          <w:rFonts w:ascii="Arial" w:hAnsi="Arial" w:cs="Arial"/>
        </w:rPr>
      </w:pPr>
    </w:p>
    <w:p w:rsidR="00615707" w:rsidRPr="00F47497" w:rsidRDefault="00615707" w:rsidP="00C46767">
      <w:pPr>
        <w:pStyle w:val="Heading4"/>
        <w:rPr>
          <w:rFonts w:ascii="Arial" w:hAnsi="Arial" w:cs="Arial"/>
        </w:rPr>
      </w:pPr>
      <w:r w:rsidRPr="00F47497">
        <w:rPr>
          <w:rFonts w:ascii="Arial" w:hAnsi="Arial" w:cs="Arial"/>
        </w:rPr>
        <w:t>Introduction</w:t>
      </w:r>
    </w:p>
    <w:p w:rsidR="00615707" w:rsidRPr="00F47497" w:rsidRDefault="00615707" w:rsidP="00C46767">
      <w:pPr>
        <w:pStyle w:val="BodyTextIndent2"/>
        <w:ind w:left="0"/>
        <w:jc w:val="left"/>
        <w:rPr>
          <w:rFonts w:ascii="Arial" w:hAnsi="Arial" w:cs="Arial"/>
        </w:rPr>
      </w:pPr>
    </w:p>
    <w:p w:rsidR="00615707" w:rsidRDefault="00615707" w:rsidP="00C46767">
      <w:pPr>
        <w:pStyle w:val="BodyTextIndent2"/>
        <w:jc w:val="left"/>
        <w:rPr>
          <w:rFonts w:ascii="Arial" w:hAnsi="Arial" w:cs="Arial"/>
        </w:rPr>
      </w:pPr>
      <w:r w:rsidRPr="00F47497">
        <w:rPr>
          <w:rFonts w:ascii="Arial" w:hAnsi="Arial" w:cs="Arial"/>
        </w:rPr>
        <w:t xml:space="preserve">The attached draft </w:t>
      </w:r>
      <w:r>
        <w:rPr>
          <w:rFonts w:ascii="Arial" w:hAnsi="Arial" w:cs="Arial"/>
        </w:rPr>
        <w:t>Annual</w:t>
      </w:r>
      <w:r w:rsidRPr="00F47497">
        <w:rPr>
          <w:rFonts w:ascii="Arial" w:hAnsi="Arial" w:cs="Arial"/>
        </w:rPr>
        <w:t xml:space="preserve"> Report and Accounts have been prepared in accordance with guidance issued from the Scottish Government Health and Social Care Directorate (SGHSCD), International Financial Reporting Standards</w:t>
      </w:r>
      <w:r>
        <w:rPr>
          <w:rFonts w:ascii="Arial" w:hAnsi="Arial" w:cs="Arial"/>
        </w:rPr>
        <w:t>, the Financial Reporting Manual (</w:t>
      </w:r>
      <w:proofErr w:type="spellStart"/>
      <w:r>
        <w:rPr>
          <w:rFonts w:ascii="Arial" w:hAnsi="Arial" w:cs="Arial"/>
        </w:rPr>
        <w:t>FReM</w:t>
      </w:r>
      <w:proofErr w:type="spellEnd"/>
      <w:r>
        <w:rPr>
          <w:rFonts w:ascii="Arial" w:hAnsi="Arial" w:cs="Arial"/>
        </w:rPr>
        <w:t>)</w:t>
      </w:r>
      <w:r w:rsidRPr="00F47497">
        <w:rPr>
          <w:rFonts w:ascii="Arial" w:hAnsi="Arial" w:cs="Arial"/>
        </w:rPr>
        <w:t xml:space="preserve"> and have been subject </w:t>
      </w:r>
      <w:r>
        <w:rPr>
          <w:rFonts w:ascii="Arial" w:hAnsi="Arial" w:cs="Arial"/>
        </w:rPr>
        <w:t>to audit by Scott-Moncrieff.   The amendments to the accounts are included at section 3.  The at</w:t>
      </w:r>
      <w:r w:rsidR="00AA4356">
        <w:rPr>
          <w:rFonts w:ascii="Arial" w:hAnsi="Arial" w:cs="Arial"/>
        </w:rPr>
        <w:t xml:space="preserve">tached may be subject to minor </w:t>
      </w:r>
      <w:r>
        <w:rPr>
          <w:rFonts w:ascii="Arial" w:hAnsi="Arial" w:cs="Arial"/>
        </w:rPr>
        <w:t>changes prior to submission to the Board.</w:t>
      </w:r>
    </w:p>
    <w:p w:rsidR="00615707" w:rsidRPr="007D4B71" w:rsidRDefault="00615707" w:rsidP="00C46767">
      <w:pPr>
        <w:pStyle w:val="BodyTextIndent2"/>
        <w:jc w:val="left"/>
        <w:rPr>
          <w:rFonts w:ascii="Arial" w:hAnsi="Arial" w:cs="Arial"/>
          <w:sz w:val="16"/>
          <w:szCs w:val="16"/>
        </w:rPr>
      </w:pPr>
    </w:p>
    <w:p w:rsidR="00615707" w:rsidRDefault="00615707" w:rsidP="00ED44E7">
      <w:pPr>
        <w:pStyle w:val="BodyTextIndent2"/>
        <w:jc w:val="left"/>
        <w:rPr>
          <w:rFonts w:ascii="Arial" w:hAnsi="Arial" w:cs="Arial"/>
        </w:rPr>
      </w:pPr>
      <w:r w:rsidRPr="00F47497">
        <w:rPr>
          <w:rFonts w:ascii="Arial" w:hAnsi="Arial" w:cs="Arial"/>
        </w:rPr>
        <w:t xml:space="preserve">The Governance Statement and Accounting Policies were approved at previous committee meetings prior to their inclusion in the accounts. </w:t>
      </w:r>
      <w:r>
        <w:rPr>
          <w:rFonts w:ascii="Arial" w:hAnsi="Arial" w:cs="Arial"/>
        </w:rPr>
        <w:t>It should be noted that minor wording changes have been made to both documents since approval; there is no impact on the accounts.</w:t>
      </w:r>
    </w:p>
    <w:p w:rsidR="001A0B95" w:rsidRDefault="001A0B95" w:rsidP="00ED44E7">
      <w:pPr>
        <w:pStyle w:val="BodyTextIndent2"/>
        <w:jc w:val="left"/>
        <w:rPr>
          <w:rFonts w:ascii="Arial" w:hAnsi="Arial" w:cs="Arial"/>
        </w:rPr>
      </w:pPr>
    </w:p>
    <w:p w:rsidR="00C032E9" w:rsidRDefault="001A0B95" w:rsidP="00ED44E7">
      <w:pPr>
        <w:pStyle w:val="BodyTextIndent2"/>
        <w:jc w:val="left"/>
        <w:rPr>
          <w:rFonts w:ascii="Arial" w:hAnsi="Arial" w:cs="Arial"/>
        </w:rPr>
      </w:pPr>
      <w:r w:rsidRPr="00937D76">
        <w:rPr>
          <w:rFonts w:ascii="Arial" w:hAnsi="Arial" w:cs="Arial"/>
        </w:rPr>
        <w:t xml:space="preserve">The most significant change to the accounts this year is the consolidation of endowments </w:t>
      </w:r>
      <w:r w:rsidR="00382513" w:rsidRPr="00937D76">
        <w:rPr>
          <w:rFonts w:ascii="Arial" w:hAnsi="Arial" w:cs="Arial"/>
        </w:rPr>
        <w:t>into the Board accounts.</w:t>
      </w:r>
      <w:r w:rsidR="00A21506" w:rsidRPr="00937D76">
        <w:rPr>
          <w:rFonts w:ascii="Arial" w:hAnsi="Arial" w:cs="Arial"/>
        </w:rPr>
        <w:t xml:space="preserve"> </w:t>
      </w:r>
      <w:r w:rsidR="00C032E9">
        <w:rPr>
          <w:rFonts w:ascii="Arial" w:hAnsi="Arial" w:cs="Arial"/>
        </w:rPr>
        <w:t xml:space="preserve">The consolidation of endowments has proved to involve more work in the current year than anticipated as there has been the required to restate prior year opening balances in a number of notes to enable the consolidation to be undertaken, </w:t>
      </w:r>
      <w:r w:rsidR="00E25980">
        <w:rPr>
          <w:rFonts w:ascii="Arial" w:hAnsi="Arial" w:cs="Arial"/>
        </w:rPr>
        <w:t xml:space="preserve">this reflects the ‘first year’ of this exercise and will be less time consuming in future years. As in previous years a lessons learnt will also be undertaken following approval of the accounts. </w:t>
      </w:r>
    </w:p>
    <w:p w:rsidR="00026288" w:rsidRDefault="00026288" w:rsidP="00ED44E7">
      <w:pPr>
        <w:pStyle w:val="BodyTextIndent2"/>
        <w:jc w:val="left"/>
        <w:rPr>
          <w:rFonts w:ascii="Arial" w:hAnsi="Arial" w:cs="Arial"/>
        </w:rPr>
      </w:pPr>
    </w:p>
    <w:p w:rsidR="00026288" w:rsidRDefault="00026288" w:rsidP="00ED44E7">
      <w:pPr>
        <w:pStyle w:val="BodyTextIndent2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The draft accounts were approved by the </w:t>
      </w:r>
      <w:r w:rsidR="000F573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udit and </w:t>
      </w:r>
      <w:r w:rsidR="000F5735">
        <w:rPr>
          <w:rFonts w:ascii="Arial" w:hAnsi="Arial" w:cs="Arial"/>
        </w:rPr>
        <w:t>R</w:t>
      </w:r>
      <w:r>
        <w:rPr>
          <w:rFonts w:ascii="Arial" w:hAnsi="Arial" w:cs="Arial"/>
        </w:rPr>
        <w:t>isk committee on 12 June 2018.</w:t>
      </w:r>
    </w:p>
    <w:p w:rsidR="00026288" w:rsidRDefault="00026288" w:rsidP="00ED44E7">
      <w:pPr>
        <w:pStyle w:val="BodyTextIndent2"/>
        <w:jc w:val="left"/>
        <w:rPr>
          <w:rFonts w:ascii="Arial" w:hAnsi="Arial" w:cs="Arial"/>
        </w:rPr>
      </w:pPr>
    </w:p>
    <w:p w:rsidR="00615707" w:rsidRDefault="00615707" w:rsidP="00C46767">
      <w:pPr>
        <w:pStyle w:val="BodyTextIndent2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A21506">
        <w:rPr>
          <w:rFonts w:ascii="Arial" w:hAnsi="Arial" w:cs="Arial"/>
        </w:rPr>
        <w:t xml:space="preserve">consolidated </w:t>
      </w:r>
      <w:r>
        <w:rPr>
          <w:rFonts w:ascii="Arial" w:hAnsi="Arial" w:cs="Arial"/>
        </w:rPr>
        <w:t xml:space="preserve">accounts </w:t>
      </w:r>
      <w:r w:rsidR="000F5735">
        <w:rPr>
          <w:rFonts w:ascii="Arial" w:hAnsi="Arial" w:cs="Arial"/>
        </w:rPr>
        <w:t>are now</w:t>
      </w:r>
      <w:r>
        <w:rPr>
          <w:rFonts w:ascii="Arial" w:hAnsi="Arial" w:cs="Arial"/>
        </w:rPr>
        <w:t xml:space="preserve"> presented to the Board for approval.</w:t>
      </w:r>
    </w:p>
    <w:p w:rsidR="00F56314" w:rsidRDefault="00F56314" w:rsidP="00C46767">
      <w:pPr>
        <w:pStyle w:val="BodyTextIndent2"/>
        <w:jc w:val="left"/>
        <w:rPr>
          <w:rFonts w:ascii="Arial" w:hAnsi="Arial" w:cs="Arial"/>
        </w:rPr>
      </w:pPr>
    </w:p>
    <w:p w:rsidR="000F5735" w:rsidRDefault="000F5735" w:rsidP="00C46767">
      <w:pPr>
        <w:pStyle w:val="BodyTextIndent2"/>
        <w:jc w:val="left"/>
        <w:rPr>
          <w:rFonts w:ascii="Arial" w:hAnsi="Arial" w:cs="Arial"/>
        </w:rPr>
      </w:pPr>
    </w:p>
    <w:p w:rsidR="000F5735" w:rsidRDefault="000F5735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br w:type="page"/>
      </w:r>
    </w:p>
    <w:p w:rsidR="00F56314" w:rsidRDefault="00F56314" w:rsidP="00F56314">
      <w:pPr>
        <w:pStyle w:val="Heading4"/>
        <w:rPr>
          <w:rFonts w:ascii="Arial" w:hAnsi="Arial" w:cs="Arial"/>
        </w:rPr>
      </w:pPr>
      <w:r w:rsidRPr="00F56314">
        <w:rPr>
          <w:rFonts w:ascii="Arial" w:hAnsi="Arial" w:cs="Arial"/>
        </w:rPr>
        <w:lastRenderedPageBreak/>
        <w:t xml:space="preserve">2017/18 Annual Accounts Project </w:t>
      </w:r>
    </w:p>
    <w:p w:rsidR="00F56314" w:rsidRPr="00F56314" w:rsidRDefault="00F56314" w:rsidP="00F56314"/>
    <w:p w:rsidR="00F56314" w:rsidRPr="00F56314" w:rsidRDefault="00F56314" w:rsidP="00F56314">
      <w:pPr>
        <w:pStyle w:val="BodyTextIndent2"/>
        <w:jc w:val="left"/>
        <w:rPr>
          <w:rFonts w:ascii="Arial" w:hAnsi="Arial" w:cs="Arial"/>
        </w:rPr>
      </w:pPr>
      <w:r w:rsidRPr="00F56314">
        <w:rPr>
          <w:rFonts w:ascii="Arial" w:hAnsi="Arial" w:cs="Arial"/>
        </w:rPr>
        <w:t xml:space="preserve">The template for accounts and SFRs which </w:t>
      </w:r>
      <w:r>
        <w:rPr>
          <w:rFonts w:ascii="Arial" w:hAnsi="Arial" w:cs="Arial"/>
        </w:rPr>
        <w:t xml:space="preserve">are used to prepare the accounts have </w:t>
      </w:r>
      <w:r w:rsidRPr="00F56314">
        <w:rPr>
          <w:rFonts w:ascii="Arial" w:hAnsi="Arial" w:cs="Arial"/>
        </w:rPr>
        <w:t xml:space="preserve">been reviewed by the Annual Accounts Project Group in order to improve clarity for the user of the accounts, ensure compliance with the </w:t>
      </w:r>
      <w:proofErr w:type="spellStart"/>
      <w:r w:rsidRPr="00F56314">
        <w:rPr>
          <w:rFonts w:ascii="Arial" w:hAnsi="Arial" w:cs="Arial"/>
        </w:rPr>
        <w:t>FReM</w:t>
      </w:r>
      <w:proofErr w:type="spellEnd"/>
      <w:r w:rsidRPr="00F56314">
        <w:rPr>
          <w:rFonts w:ascii="Arial" w:hAnsi="Arial" w:cs="Arial"/>
        </w:rPr>
        <w:t xml:space="preserve"> and International Financial Reporting Standards (IFRS), reduce duplication and unnecessary data collection, and align reporting with Boards’ Chart of Accounts. </w:t>
      </w:r>
    </w:p>
    <w:p w:rsidR="00F56314" w:rsidRPr="00F56314" w:rsidRDefault="00F56314" w:rsidP="00F56314">
      <w:pPr>
        <w:pStyle w:val="BodyTextIndent2"/>
        <w:ind w:left="0"/>
        <w:jc w:val="left"/>
        <w:rPr>
          <w:rFonts w:ascii="Arial" w:hAnsi="Arial" w:cs="Arial"/>
        </w:rPr>
      </w:pPr>
    </w:p>
    <w:p w:rsidR="00F56314" w:rsidRDefault="00F56314" w:rsidP="00F56314">
      <w:pPr>
        <w:pStyle w:val="BodyTextIndent2"/>
        <w:jc w:val="left"/>
        <w:rPr>
          <w:rFonts w:ascii="Arial" w:hAnsi="Arial" w:cs="Arial"/>
        </w:rPr>
      </w:pPr>
      <w:r w:rsidRPr="00F56314">
        <w:rPr>
          <w:rFonts w:ascii="Arial" w:hAnsi="Arial" w:cs="Arial"/>
        </w:rPr>
        <w:t>The changes to the template for accounts and SFRs principally affect the Statement of Consolidated Net Expenditure (</w:t>
      </w:r>
      <w:proofErr w:type="spellStart"/>
      <w:r w:rsidRPr="00F56314">
        <w:rPr>
          <w:rFonts w:ascii="Arial" w:hAnsi="Arial" w:cs="Arial"/>
        </w:rPr>
        <w:t>SoCNE</w:t>
      </w:r>
      <w:proofErr w:type="spellEnd"/>
      <w:r w:rsidRPr="00F56314">
        <w:rPr>
          <w:rFonts w:ascii="Arial" w:hAnsi="Arial" w:cs="Arial"/>
        </w:rPr>
        <w:t xml:space="preserve">), and the accompanying income and expenditure notes (Note 3 and 4). Guidance for compiling the new format </w:t>
      </w:r>
      <w:proofErr w:type="spellStart"/>
      <w:r w:rsidRPr="00F56314">
        <w:rPr>
          <w:rFonts w:ascii="Arial" w:hAnsi="Arial" w:cs="Arial"/>
        </w:rPr>
        <w:t>SoCNE</w:t>
      </w:r>
      <w:proofErr w:type="spellEnd"/>
      <w:r w:rsidRPr="00F56314">
        <w:rPr>
          <w:rFonts w:ascii="Arial" w:hAnsi="Arial" w:cs="Arial"/>
        </w:rPr>
        <w:t xml:space="preserve"> and notes </w:t>
      </w:r>
      <w:r w:rsidR="009522E4">
        <w:rPr>
          <w:rFonts w:ascii="Arial" w:hAnsi="Arial" w:cs="Arial"/>
        </w:rPr>
        <w:t>w</w:t>
      </w:r>
      <w:r w:rsidR="001F1483">
        <w:rPr>
          <w:rFonts w:ascii="Arial" w:hAnsi="Arial" w:cs="Arial"/>
        </w:rPr>
        <w:t>ere</w:t>
      </w:r>
      <w:r w:rsidR="009522E4">
        <w:rPr>
          <w:rFonts w:ascii="Arial" w:hAnsi="Arial" w:cs="Arial"/>
        </w:rPr>
        <w:t xml:space="preserve"> </w:t>
      </w:r>
      <w:proofErr w:type="gramStart"/>
      <w:r w:rsidR="009522E4">
        <w:rPr>
          <w:rFonts w:ascii="Arial" w:hAnsi="Arial" w:cs="Arial"/>
        </w:rPr>
        <w:t xml:space="preserve">issued </w:t>
      </w:r>
      <w:r w:rsidRPr="00F56314">
        <w:rPr>
          <w:rFonts w:ascii="Arial" w:hAnsi="Arial" w:cs="Arial"/>
        </w:rPr>
        <w:t xml:space="preserve"> </w:t>
      </w:r>
      <w:r w:rsidR="009522E4">
        <w:rPr>
          <w:rFonts w:ascii="Arial" w:hAnsi="Arial" w:cs="Arial"/>
        </w:rPr>
        <w:t>as</w:t>
      </w:r>
      <w:proofErr w:type="gramEnd"/>
      <w:r w:rsidR="009522E4">
        <w:rPr>
          <w:rFonts w:ascii="Arial" w:hAnsi="Arial" w:cs="Arial"/>
        </w:rPr>
        <w:t xml:space="preserve"> part of the accounts manual</w:t>
      </w:r>
      <w:r w:rsidRPr="00F56314">
        <w:rPr>
          <w:rFonts w:ascii="Arial" w:hAnsi="Arial" w:cs="Arial"/>
        </w:rPr>
        <w:t>. This includes the disclosure required to explain the changes in presentation</w:t>
      </w:r>
      <w:r w:rsidR="009522E4">
        <w:rPr>
          <w:rFonts w:ascii="Arial" w:hAnsi="Arial" w:cs="Arial"/>
        </w:rPr>
        <w:t xml:space="preserve"> note 17</w:t>
      </w:r>
      <w:r w:rsidRPr="00F56314">
        <w:rPr>
          <w:rFonts w:ascii="Arial" w:hAnsi="Arial" w:cs="Arial"/>
        </w:rPr>
        <w:t>.</w:t>
      </w:r>
    </w:p>
    <w:p w:rsidR="009E138D" w:rsidRDefault="009E138D" w:rsidP="00C46767">
      <w:pPr>
        <w:pStyle w:val="BodyTextIndent2"/>
        <w:jc w:val="left"/>
        <w:rPr>
          <w:rFonts w:ascii="Arial" w:hAnsi="Arial" w:cs="Arial"/>
        </w:rPr>
      </w:pPr>
    </w:p>
    <w:p w:rsidR="000F5735" w:rsidRDefault="000F5735" w:rsidP="00C46767">
      <w:pPr>
        <w:pStyle w:val="BodyTextIndent2"/>
        <w:jc w:val="left"/>
        <w:rPr>
          <w:rFonts w:ascii="Arial" w:hAnsi="Arial" w:cs="Arial"/>
        </w:rPr>
      </w:pPr>
    </w:p>
    <w:p w:rsidR="009E138D" w:rsidRPr="00F47497" w:rsidRDefault="009E138D" w:rsidP="009E138D">
      <w:pPr>
        <w:pStyle w:val="Heading4"/>
        <w:rPr>
          <w:rFonts w:ascii="Arial" w:hAnsi="Arial" w:cs="Arial"/>
        </w:rPr>
      </w:pPr>
      <w:r w:rsidRPr="00F47497">
        <w:rPr>
          <w:rFonts w:ascii="Arial" w:hAnsi="Arial" w:cs="Arial"/>
        </w:rPr>
        <w:t xml:space="preserve">Amendments to Accounts </w:t>
      </w:r>
    </w:p>
    <w:p w:rsidR="009E138D" w:rsidRPr="00F47497" w:rsidRDefault="009E138D" w:rsidP="009E138D">
      <w:pPr>
        <w:rPr>
          <w:rFonts w:ascii="Arial" w:hAnsi="Arial" w:cs="Arial"/>
        </w:rPr>
      </w:pPr>
    </w:p>
    <w:p w:rsidR="009E138D" w:rsidRPr="00F47497" w:rsidRDefault="009E138D" w:rsidP="009E138D">
      <w:pPr>
        <w:pStyle w:val="BodyTextIndent2"/>
        <w:jc w:val="left"/>
        <w:rPr>
          <w:rFonts w:ascii="Arial" w:hAnsi="Arial" w:cs="Arial"/>
          <w:bCs w:val="0"/>
          <w:iCs w:val="0"/>
        </w:rPr>
      </w:pPr>
      <w:r w:rsidRPr="00F47497">
        <w:rPr>
          <w:rFonts w:ascii="Arial" w:hAnsi="Arial" w:cs="Arial"/>
          <w:bCs w:val="0"/>
          <w:iCs w:val="0"/>
        </w:rPr>
        <w:t>Following changes issued via the Financial Reporting Manual (</w:t>
      </w:r>
      <w:proofErr w:type="spellStart"/>
      <w:r w:rsidRPr="00F47497">
        <w:rPr>
          <w:rFonts w:ascii="Arial" w:hAnsi="Arial" w:cs="Arial"/>
          <w:bCs w:val="0"/>
          <w:iCs w:val="0"/>
        </w:rPr>
        <w:t>FReM</w:t>
      </w:r>
      <w:proofErr w:type="spellEnd"/>
      <w:r w:rsidRPr="00F47497">
        <w:rPr>
          <w:rFonts w:ascii="Arial" w:hAnsi="Arial" w:cs="Arial"/>
          <w:bCs w:val="0"/>
          <w:iCs w:val="0"/>
        </w:rPr>
        <w:t xml:space="preserve">) a number of amendments </w:t>
      </w:r>
      <w:r>
        <w:rPr>
          <w:rFonts w:ascii="Arial" w:hAnsi="Arial" w:cs="Arial"/>
          <w:bCs w:val="0"/>
          <w:iCs w:val="0"/>
        </w:rPr>
        <w:t>primarily to</w:t>
      </w:r>
      <w:r w:rsidRPr="00F47497">
        <w:rPr>
          <w:rFonts w:ascii="Arial" w:hAnsi="Arial" w:cs="Arial"/>
          <w:bCs w:val="0"/>
          <w:iCs w:val="0"/>
        </w:rPr>
        <w:t xml:space="preserve"> t</w:t>
      </w:r>
      <w:r>
        <w:rPr>
          <w:rFonts w:ascii="Arial" w:hAnsi="Arial" w:cs="Arial"/>
          <w:bCs w:val="0"/>
          <w:iCs w:val="0"/>
        </w:rPr>
        <w:t xml:space="preserve">he presentation of the accounts have been made to theses accounts, the amendments are also consistent with guidance issued regarding format of accounts.  The revisions to </w:t>
      </w:r>
      <w:r w:rsidRPr="00F47497">
        <w:rPr>
          <w:rFonts w:ascii="Arial" w:hAnsi="Arial" w:cs="Arial"/>
          <w:bCs w:val="0"/>
          <w:iCs w:val="0"/>
        </w:rPr>
        <w:t>disclosures</w:t>
      </w:r>
      <w:r>
        <w:rPr>
          <w:rFonts w:ascii="Arial" w:hAnsi="Arial" w:cs="Arial"/>
          <w:bCs w:val="0"/>
          <w:iCs w:val="0"/>
        </w:rPr>
        <w:t xml:space="preserve"> are consistent with the guidance above and additional guidance from HM Treasury regarding updates to accounting standards</w:t>
      </w:r>
      <w:r w:rsidRPr="00F47497">
        <w:rPr>
          <w:rFonts w:ascii="Arial" w:hAnsi="Arial" w:cs="Arial"/>
          <w:bCs w:val="0"/>
          <w:iCs w:val="0"/>
        </w:rPr>
        <w:t>, these are detailed below:</w:t>
      </w:r>
    </w:p>
    <w:p w:rsidR="00937D76" w:rsidRPr="00F47497" w:rsidRDefault="00937D76" w:rsidP="009E138D">
      <w:pPr>
        <w:pStyle w:val="BodyTextIndent2"/>
        <w:ind w:left="0"/>
        <w:jc w:val="left"/>
        <w:rPr>
          <w:rFonts w:ascii="Arial" w:hAnsi="Arial" w:cs="Arial"/>
          <w:bCs w:val="0"/>
          <w:iCs w:val="0"/>
        </w:rPr>
      </w:pPr>
    </w:p>
    <w:p w:rsidR="009E138D" w:rsidRPr="00F47497" w:rsidRDefault="009E138D" w:rsidP="009E138D">
      <w:pPr>
        <w:pStyle w:val="BodyTextIndent2"/>
        <w:jc w:val="left"/>
        <w:rPr>
          <w:rFonts w:ascii="Arial" w:hAnsi="Arial" w:cs="Arial"/>
          <w:bCs w:val="0"/>
          <w:iCs w:val="0"/>
        </w:rPr>
      </w:pPr>
      <w:r w:rsidRPr="00F47497">
        <w:rPr>
          <w:rFonts w:ascii="Arial" w:hAnsi="Arial" w:cs="Arial"/>
          <w:b/>
          <w:bCs w:val="0"/>
          <w:iCs w:val="0"/>
        </w:rPr>
        <w:t>Changes to presentation</w:t>
      </w:r>
      <w:r w:rsidRPr="00F47497">
        <w:rPr>
          <w:rFonts w:ascii="Arial" w:hAnsi="Arial" w:cs="Arial"/>
          <w:bCs w:val="0"/>
          <w:iCs w:val="0"/>
        </w:rPr>
        <w:t>:</w:t>
      </w:r>
    </w:p>
    <w:p w:rsidR="009E138D" w:rsidRDefault="009E138D" w:rsidP="00830896">
      <w:pPr>
        <w:pStyle w:val="BodyTextIndent2"/>
        <w:jc w:val="left"/>
        <w:rPr>
          <w:rFonts w:ascii="Arial" w:hAnsi="Arial" w:cs="Arial"/>
          <w:bCs w:val="0"/>
          <w:iCs w:val="0"/>
        </w:rPr>
      </w:pPr>
    </w:p>
    <w:p w:rsidR="00830896" w:rsidRDefault="00830896" w:rsidP="00830896">
      <w:pPr>
        <w:pStyle w:val="BodyTextIndent2"/>
        <w:numPr>
          <w:ilvl w:val="0"/>
          <w:numId w:val="48"/>
        </w:numPr>
        <w:jc w:val="left"/>
        <w:rPr>
          <w:rFonts w:ascii="Arial" w:hAnsi="Arial" w:cs="Arial"/>
          <w:bCs w:val="0"/>
          <w:iCs w:val="0"/>
        </w:rPr>
      </w:pPr>
      <w:r>
        <w:rPr>
          <w:rFonts w:ascii="Arial" w:hAnsi="Arial" w:cs="Arial"/>
          <w:bCs w:val="0"/>
          <w:iCs w:val="0"/>
        </w:rPr>
        <w:t>The Consolidation of the Charity (Endowment) accounts with the Board accounts to provide an overview of the total accounts position of the Board</w:t>
      </w:r>
      <w:r w:rsidR="00AE06EB">
        <w:rPr>
          <w:rFonts w:ascii="Arial" w:hAnsi="Arial" w:cs="Arial"/>
          <w:bCs w:val="0"/>
          <w:iCs w:val="0"/>
        </w:rPr>
        <w:t>. Associated primary statements and notes have been amended to reflect this.</w:t>
      </w:r>
    </w:p>
    <w:p w:rsidR="00830896" w:rsidRDefault="00AE06EB" w:rsidP="00830896">
      <w:pPr>
        <w:pStyle w:val="BodyTextIndent2"/>
        <w:numPr>
          <w:ilvl w:val="0"/>
          <w:numId w:val="48"/>
        </w:numPr>
        <w:jc w:val="left"/>
        <w:rPr>
          <w:rFonts w:ascii="Arial" w:hAnsi="Arial" w:cs="Arial"/>
          <w:bCs w:val="0"/>
          <w:iCs w:val="0"/>
        </w:rPr>
      </w:pPr>
      <w:r>
        <w:rPr>
          <w:rFonts w:ascii="Arial" w:hAnsi="Arial" w:cs="Arial"/>
          <w:bCs w:val="0"/>
          <w:iCs w:val="0"/>
        </w:rPr>
        <w:t>The Balance Sheet has been rename</w:t>
      </w:r>
      <w:r w:rsidR="001F1483">
        <w:rPr>
          <w:rFonts w:ascii="Arial" w:hAnsi="Arial" w:cs="Arial"/>
          <w:bCs w:val="0"/>
          <w:iCs w:val="0"/>
        </w:rPr>
        <w:t>d</w:t>
      </w:r>
      <w:r>
        <w:rPr>
          <w:rFonts w:ascii="Arial" w:hAnsi="Arial" w:cs="Arial"/>
          <w:bCs w:val="0"/>
          <w:iCs w:val="0"/>
        </w:rPr>
        <w:t xml:space="preserve"> to the </w:t>
      </w:r>
      <w:r w:rsidR="00085CD3">
        <w:rPr>
          <w:rFonts w:ascii="Arial" w:hAnsi="Arial" w:cs="Arial"/>
          <w:bCs w:val="0"/>
          <w:iCs w:val="0"/>
        </w:rPr>
        <w:t>Comprehensive</w:t>
      </w:r>
      <w:r>
        <w:rPr>
          <w:rFonts w:ascii="Arial" w:hAnsi="Arial" w:cs="Arial"/>
          <w:bCs w:val="0"/>
          <w:iCs w:val="0"/>
        </w:rPr>
        <w:t xml:space="preserve"> Statement of Financial Position</w:t>
      </w:r>
      <w:r w:rsidR="00085CD3">
        <w:rPr>
          <w:rFonts w:ascii="Arial" w:hAnsi="Arial" w:cs="Arial"/>
          <w:bCs w:val="0"/>
          <w:iCs w:val="0"/>
        </w:rPr>
        <w:t>.</w:t>
      </w:r>
    </w:p>
    <w:p w:rsidR="00830896" w:rsidRPr="00157E0A" w:rsidRDefault="00157E0A" w:rsidP="00157E0A">
      <w:pPr>
        <w:pStyle w:val="BodyTextIndent2"/>
        <w:numPr>
          <w:ilvl w:val="0"/>
          <w:numId w:val="48"/>
        </w:numPr>
        <w:jc w:val="left"/>
        <w:rPr>
          <w:rFonts w:ascii="Arial" w:hAnsi="Arial" w:cs="Arial"/>
          <w:bCs w:val="0"/>
          <w:iCs w:val="0"/>
        </w:rPr>
      </w:pPr>
      <w:r>
        <w:rPr>
          <w:rFonts w:ascii="Arial" w:hAnsi="Arial" w:cs="Arial"/>
          <w:bCs w:val="0"/>
          <w:iCs w:val="0"/>
        </w:rPr>
        <w:t xml:space="preserve">Change in presentation of </w:t>
      </w:r>
      <w:proofErr w:type="spellStart"/>
      <w:r>
        <w:rPr>
          <w:rFonts w:ascii="Arial" w:hAnsi="Arial" w:cs="Arial"/>
          <w:bCs w:val="0"/>
          <w:iCs w:val="0"/>
        </w:rPr>
        <w:t>SoCNE</w:t>
      </w:r>
      <w:proofErr w:type="spellEnd"/>
      <w:r>
        <w:rPr>
          <w:rFonts w:ascii="Arial" w:hAnsi="Arial" w:cs="Arial"/>
          <w:bCs w:val="0"/>
          <w:iCs w:val="0"/>
        </w:rPr>
        <w:t>.</w:t>
      </w:r>
    </w:p>
    <w:p w:rsidR="00EF558D" w:rsidRPr="00F47497" w:rsidRDefault="00EF558D" w:rsidP="009E138D">
      <w:pPr>
        <w:pStyle w:val="BodyTextIndent2"/>
        <w:jc w:val="left"/>
        <w:rPr>
          <w:rFonts w:ascii="Arial" w:hAnsi="Arial" w:cs="Arial"/>
          <w:bCs w:val="0"/>
          <w:iCs w:val="0"/>
        </w:rPr>
      </w:pPr>
    </w:p>
    <w:p w:rsidR="009E138D" w:rsidRDefault="009E138D" w:rsidP="009E138D">
      <w:pPr>
        <w:pStyle w:val="BodyTextIndent2"/>
        <w:jc w:val="left"/>
        <w:rPr>
          <w:rFonts w:ascii="Arial" w:hAnsi="Arial" w:cs="Arial"/>
          <w:b/>
          <w:bCs w:val="0"/>
          <w:iCs w:val="0"/>
        </w:rPr>
      </w:pPr>
      <w:r w:rsidRPr="00F47497">
        <w:rPr>
          <w:rFonts w:ascii="Arial" w:hAnsi="Arial" w:cs="Arial"/>
          <w:b/>
          <w:bCs w:val="0"/>
          <w:iCs w:val="0"/>
        </w:rPr>
        <w:t>Changes to Disclosures</w:t>
      </w:r>
    </w:p>
    <w:p w:rsidR="009E138D" w:rsidRDefault="009E138D" w:rsidP="009E138D">
      <w:pPr>
        <w:pStyle w:val="BodyTextIndent2"/>
        <w:jc w:val="left"/>
        <w:rPr>
          <w:rFonts w:ascii="Arial" w:hAnsi="Arial" w:cs="Arial"/>
          <w:b/>
          <w:bCs w:val="0"/>
          <w:iCs w:val="0"/>
        </w:rPr>
      </w:pPr>
    </w:p>
    <w:p w:rsidR="009E138D" w:rsidRDefault="009E138D" w:rsidP="009E138D">
      <w:pPr>
        <w:pStyle w:val="BodyTextIndent2"/>
        <w:jc w:val="left"/>
        <w:rPr>
          <w:rFonts w:ascii="Arial" w:hAnsi="Arial" w:cs="Arial"/>
          <w:bCs w:val="0"/>
          <w:iCs w:val="0"/>
        </w:rPr>
      </w:pPr>
      <w:r>
        <w:rPr>
          <w:rFonts w:ascii="Arial" w:hAnsi="Arial" w:cs="Arial"/>
          <w:bCs w:val="0"/>
          <w:iCs w:val="0"/>
        </w:rPr>
        <w:t>A number of areas that were included in the financial statements previously are now include</w:t>
      </w:r>
      <w:r w:rsidR="001F1483">
        <w:rPr>
          <w:rFonts w:ascii="Arial" w:hAnsi="Arial" w:cs="Arial"/>
          <w:bCs w:val="0"/>
          <w:iCs w:val="0"/>
        </w:rPr>
        <w:t>d</w:t>
      </w:r>
      <w:r>
        <w:rPr>
          <w:rFonts w:ascii="Arial" w:hAnsi="Arial" w:cs="Arial"/>
          <w:bCs w:val="0"/>
          <w:iCs w:val="0"/>
        </w:rPr>
        <w:t xml:space="preserve"> in the Accountability Report,</w:t>
      </w:r>
      <w:r w:rsidR="001F73CF">
        <w:rPr>
          <w:rFonts w:ascii="Arial" w:hAnsi="Arial" w:cs="Arial"/>
          <w:bCs w:val="0"/>
          <w:iCs w:val="0"/>
        </w:rPr>
        <w:t xml:space="preserve"> mainly related to remuneration and staff costs.</w:t>
      </w:r>
    </w:p>
    <w:p w:rsidR="001F73CF" w:rsidRDefault="001F73CF" w:rsidP="009E138D">
      <w:pPr>
        <w:pStyle w:val="BodyTextIndent2"/>
        <w:jc w:val="left"/>
        <w:rPr>
          <w:rFonts w:ascii="Arial" w:hAnsi="Arial" w:cs="Arial"/>
          <w:bCs w:val="0"/>
          <w:iCs w:val="0"/>
        </w:rPr>
      </w:pPr>
    </w:p>
    <w:p w:rsidR="009E138D" w:rsidRPr="00DD32F9" w:rsidRDefault="001F73CF" w:rsidP="00D116CB">
      <w:pPr>
        <w:pStyle w:val="BodyTextIndent2"/>
        <w:jc w:val="left"/>
        <w:rPr>
          <w:rFonts w:ascii="Arial" w:hAnsi="Arial" w:cs="Arial"/>
          <w:bCs w:val="0"/>
          <w:iCs w:val="0"/>
        </w:rPr>
      </w:pPr>
      <w:r>
        <w:rPr>
          <w:rFonts w:ascii="Arial" w:hAnsi="Arial" w:cs="Arial"/>
          <w:bCs w:val="0"/>
          <w:iCs w:val="0"/>
        </w:rPr>
        <w:t>In addition a number of disclosure notes have now been renamed or revised</w:t>
      </w:r>
      <w:r w:rsidR="00D116CB">
        <w:rPr>
          <w:rFonts w:ascii="Arial" w:hAnsi="Arial" w:cs="Arial"/>
          <w:bCs w:val="0"/>
          <w:iCs w:val="0"/>
        </w:rPr>
        <w:t xml:space="preserve"> and therefore </w:t>
      </w:r>
      <w:r w:rsidR="009E138D">
        <w:rPr>
          <w:rFonts w:ascii="Arial" w:hAnsi="Arial" w:cs="Arial"/>
          <w:bCs w:val="0"/>
          <w:iCs w:val="0"/>
        </w:rPr>
        <w:t xml:space="preserve">a separate paper </w:t>
      </w:r>
      <w:r w:rsidR="00593805">
        <w:rPr>
          <w:rFonts w:ascii="Arial" w:hAnsi="Arial" w:cs="Arial"/>
          <w:bCs w:val="0"/>
          <w:iCs w:val="0"/>
        </w:rPr>
        <w:t>will be</w:t>
      </w:r>
      <w:r w:rsidR="009E138D">
        <w:rPr>
          <w:rFonts w:ascii="Arial" w:hAnsi="Arial" w:cs="Arial"/>
          <w:bCs w:val="0"/>
          <w:iCs w:val="0"/>
        </w:rPr>
        <w:t xml:space="preserve"> given to members detailing the changes in the accounts.</w:t>
      </w:r>
      <w:r w:rsidR="007E6A70">
        <w:rPr>
          <w:rFonts w:ascii="Arial" w:hAnsi="Arial" w:cs="Arial"/>
          <w:bCs w:val="0"/>
          <w:iCs w:val="0"/>
        </w:rPr>
        <w:t xml:space="preserve">  This is included at Appendix one</w:t>
      </w:r>
      <w:r w:rsidR="00855790">
        <w:rPr>
          <w:rFonts w:ascii="Arial" w:hAnsi="Arial" w:cs="Arial"/>
          <w:bCs w:val="0"/>
          <w:iCs w:val="0"/>
        </w:rPr>
        <w:t>.</w:t>
      </w:r>
    </w:p>
    <w:p w:rsidR="00615707" w:rsidRDefault="00615707" w:rsidP="00C46767">
      <w:pPr>
        <w:pStyle w:val="BodyTextIndent2"/>
        <w:ind w:left="0"/>
        <w:jc w:val="left"/>
        <w:rPr>
          <w:rFonts w:ascii="Arial" w:hAnsi="Arial" w:cs="Arial"/>
          <w:sz w:val="16"/>
          <w:szCs w:val="16"/>
        </w:rPr>
      </w:pPr>
    </w:p>
    <w:p w:rsidR="00620954" w:rsidRDefault="00620954" w:rsidP="00C46767">
      <w:pPr>
        <w:pStyle w:val="BodyTextIndent2"/>
        <w:ind w:left="0"/>
        <w:jc w:val="left"/>
        <w:rPr>
          <w:rFonts w:ascii="Arial" w:hAnsi="Arial" w:cs="Arial"/>
          <w:sz w:val="16"/>
          <w:szCs w:val="16"/>
        </w:rPr>
      </w:pPr>
    </w:p>
    <w:p w:rsidR="000F5735" w:rsidRPr="007D4B71" w:rsidRDefault="000F5735" w:rsidP="00C46767">
      <w:pPr>
        <w:pStyle w:val="BodyTextIndent2"/>
        <w:ind w:left="0"/>
        <w:jc w:val="left"/>
        <w:rPr>
          <w:rFonts w:ascii="Arial" w:hAnsi="Arial" w:cs="Arial"/>
          <w:sz w:val="16"/>
          <w:szCs w:val="16"/>
        </w:rPr>
      </w:pPr>
    </w:p>
    <w:p w:rsidR="000F5735" w:rsidRDefault="000F5735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br w:type="page"/>
      </w:r>
    </w:p>
    <w:p w:rsidR="00615707" w:rsidRPr="00F47497" w:rsidRDefault="000F5735" w:rsidP="00C46767">
      <w:pPr>
        <w:pStyle w:val="Heading4"/>
        <w:rPr>
          <w:rFonts w:ascii="Arial" w:hAnsi="Arial" w:cs="Arial"/>
        </w:rPr>
      </w:pPr>
      <w:r>
        <w:rPr>
          <w:rFonts w:ascii="Arial" w:hAnsi="Arial" w:cs="Arial"/>
        </w:rPr>
        <w:lastRenderedPageBreak/>
        <w:t>Year E</w:t>
      </w:r>
      <w:r w:rsidR="00122A36">
        <w:rPr>
          <w:rFonts w:ascii="Arial" w:hAnsi="Arial" w:cs="Arial"/>
        </w:rPr>
        <w:t xml:space="preserve">nd </w:t>
      </w:r>
      <w:r w:rsidR="00615707" w:rsidRPr="00F47497">
        <w:rPr>
          <w:rFonts w:ascii="Arial" w:hAnsi="Arial" w:cs="Arial"/>
        </w:rPr>
        <w:t>Position</w:t>
      </w:r>
    </w:p>
    <w:p w:rsidR="00615707" w:rsidRPr="00F47497" w:rsidRDefault="00615707" w:rsidP="00C46767">
      <w:pPr>
        <w:rPr>
          <w:rFonts w:ascii="Arial" w:hAnsi="Arial" w:cs="Arial"/>
        </w:rPr>
      </w:pPr>
    </w:p>
    <w:p w:rsidR="00615707" w:rsidRDefault="00615707" w:rsidP="00C46767">
      <w:pPr>
        <w:ind w:left="720"/>
        <w:rPr>
          <w:rFonts w:ascii="Arial" w:hAnsi="Arial" w:cs="Arial"/>
        </w:rPr>
      </w:pPr>
      <w:r w:rsidRPr="00F47497">
        <w:rPr>
          <w:rFonts w:ascii="Arial" w:hAnsi="Arial" w:cs="Arial"/>
        </w:rPr>
        <w:t>As detailed in the attached accounts</w:t>
      </w:r>
      <w:r w:rsidR="000F5735">
        <w:rPr>
          <w:rFonts w:ascii="Arial" w:hAnsi="Arial" w:cs="Arial"/>
        </w:rPr>
        <w:t>,</w:t>
      </w:r>
      <w:r w:rsidRPr="00F47497">
        <w:rPr>
          <w:rFonts w:ascii="Arial" w:hAnsi="Arial" w:cs="Arial"/>
        </w:rPr>
        <w:t xml:space="preserve"> </w:t>
      </w:r>
      <w:proofErr w:type="gramStart"/>
      <w:r w:rsidRPr="00F47497">
        <w:rPr>
          <w:rFonts w:ascii="Arial" w:hAnsi="Arial" w:cs="Arial"/>
        </w:rPr>
        <w:t>the out-turn</w:t>
      </w:r>
      <w:proofErr w:type="gramEnd"/>
      <w:r w:rsidRPr="00F47497">
        <w:rPr>
          <w:rFonts w:ascii="Arial" w:hAnsi="Arial" w:cs="Arial"/>
        </w:rPr>
        <w:t xml:space="preserve"> for the year is as follows</w:t>
      </w:r>
      <w:r w:rsidR="0053046B">
        <w:rPr>
          <w:rFonts w:ascii="Arial" w:hAnsi="Arial" w:cs="Arial"/>
        </w:rPr>
        <w:t>, it should be noted that as per the manual this out-turn only relates to the out-turn against Government Funding</w:t>
      </w:r>
      <w:r w:rsidRPr="00F47497">
        <w:rPr>
          <w:rFonts w:ascii="Arial" w:hAnsi="Arial" w:cs="Arial"/>
        </w:rPr>
        <w:t>:</w:t>
      </w:r>
    </w:p>
    <w:p w:rsidR="00D116CB" w:rsidRDefault="00D116CB" w:rsidP="00C46767">
      <w:pPr>
        <w:ind w:left="720"/>
        <w:rPr>
          <w:rFonts w:ascii="Arial" w:hAnsi="Arial" w:cs="Arial"/>
        </w:rPr>
      </w:pPr>
    </w:p>
    <w:p w:rsidR="000F5735" w:rsidRDefault="000F5735" w:rsidP="00C46767">
      <w:pPr>
        <w:ind w:left="720"/>
        <w:rPr>
          <w:rFonts w:ascii="Arial" w:hAnsi="Arial" w:cs="Arial"/>
        </w:rPr>
      </w:pPr>
    </w:p>
    <w:p w:rsidR="000F5735" w:rsidRDefault="000F5735" w:rsidP="00C46767">
      <w:pPr>
        <w:ind w:left="720"/>
        <w:rPr>
          <w:rFonts w:ascii="Arial" w:hAnsi="Arial" w:cs="Arial"/>
        </w:rPr>
      </w:pPr>
    </w:p>
    <w:p w:rsidR="000F5735" w:rsidRDefault="000F5735" w:rsidP="00C46767">
      <w:pPr>
        <w:ind w:left="720"/>
        <w:rPr>
          <w:rFonts w:ascii="Arial" w:hAnsi="Arial" w:cs="Arial"/>
        </w:rPr>
      </w:pPr>
    </w:p>
    <w:p w:rsidR="0053046B" w:rsidRPr="00F47497" w:rsidRDefault="0053046B" w:rsidP="00593805">
      <w:pPr>
        <w:rPr>
          <w:rFonts w:ascii="Arial" w:hAnsi="Arial" w:cs="Arial"/>
        </w:rPr>
      </w:pPr>
    </w:p>
    <w:tbl>
      <w:tblPr>
        <w:tblW w:w="7920" w:type="dxa"/>
        <w:tblInd w:w="828" w:type="dxa"/>
        <w:tblLayout w:type="fixed"/>
        <w:tblLook w:val="0000"/>
      </w:tblPr>
      <w:tblGrid>
        <w:gridCol w:w="840"/>
        <w:gridCol w:w="2580"/>
        <w:gridCol w:w="1622"/>
        <w:gridCol w:w="1416"/>
        <w:gridCol w:w="1462"/>
      </w:tblGrid>
      <w:tr w:rsidR="00615707" w:rsidRPr="00F47497" w:rsidTr="00F718E6">
        <w:tc>
          <w:tcPr>
            <w:tcW w:w="840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80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22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4749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  <w:t>Limit as set by SGHSCD</w:t>
            </w:r>
          </w:p>
        </w:tc>
        <w:tc>
          <w:tcPr>
            <w:tcW w:w="1416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4749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  <w:t>Actual Outturn</w:t>
            </w:r>
          </w:p>
        </w:tc>
        <w:tc>
          <w:tcPr>
            <w:tcW w:w="1462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4749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  <w:t>Variance (Over)/</w:t>
            </w:r>
          </w:p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4749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  <w:t>Under</w:t>
            </w:r>
          </w:p>
        </w:tc>
      </w:tr>
      <w:tr w:rsidR="00615707" w:rsidRPr="00F47497" w:rsidTr="00F718E6">
        <w:tc>
          <w:tcPr>
            <w:tcW w:w="840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80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22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4749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  <w:t>£’000</w:t>
            </w:r>
          </w:p>
        </w:tc>
        <w:tc>
          <w:tcPr>
            <w:tcW w:w="1416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4749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  <w:t>£’000</w:t>
            </w:r>
          </w:p>
        </w:tc>
        <w:tc>
          <w:tcPr>
            <w:tcW w:w="1462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F47497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GB"/>
              </w:rPr>
              <w:t>£’000</w:t>
            </w:r>
          </w:p>
        </w:tc>
      </w:tr>
      <w:tr w:rsidR="00615707" w:rsidRPr="00F47497" w:rsidTr="00F718E6">
        <w:tc>
          <w:tcPr>
            <w:tcW w:w="840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80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22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 w:rsidRPr="00F47497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(1)</w:t>
            </w:r>
          </w:p>
        </w:tc>
        <w:tc>
          <w:tcPr>
            <w:tcW w:w="1416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 w:rsidRPr="00F47497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(2)</w:t>
            </w:r>
          </w:p>
        </w:tc>
        <w:tc>
          <w:tcPr>
            <w:tcW w:w="1462" w:type="dxa"/>
          </w:tcPr>
          <w:p w:rsidR="0061570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 w:rsidRPr="00F47497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(3)</w:t>
            </w:r>
          </w:p>
          <w:p w:rsidR="000F5735" w:rsidRPr="00F47497" w:rsidRDefault="000F5735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615707" w:rsidRPr="00F47497" w:rsidTr="00F718E6">
        <w:tc>
          <w:tcPr>
            <w:tcW w:w="840" w:type="dxa"/>
          </w:tcPr>
          <w:p w:rsidR="00615707" w:rsidRPr="00F47497" w:rsidRDefault="00615707" w:rsidP="00C46767">
            <w:pPr>
              <w:pStyle w:val="2-col-note"/>
              <w:tabs>
                <w:tab w:val="left" w:pos="1134"/>
                <w:tab w:val="left" w:pos="1701"/>
                <w:tab w:val="left" w:pos="2268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7497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80" w:type="dxa"/>
          </w:tcPr>
          <w:p w:rsidR="00615707" w:rsidRPr="00F47497" w:rsidRDefault="00615707" w:rsidP="00C46767">
            <w:pPr>
              <w:pStyle w:val="2-col-note"/>
              <w:tabs>
                <w:tab w:val="left" w:pos="1134"/>
                <w:tab w:val="left" w:pos="1701"/>
                <w:tab w:val="left" w:pos="2268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7497">
              <w:rPr>
                <w:rFonts w:ascii="Arial" w:hAnsi="Arial" w:cs="Arial"/>
                <w:color w:val="000000"/>
                <w:sz w:val="24"/>
                <w:szCs w:val="24"/>
              </w:rPr>
              <w:t>Revenue Resource limit - core</w:t>
            </w:r>
          </w:p>
        </w:tc>
        <w:tc>
          <w:tcPr>
            <w:tcW w:w="1622" w:type="dxa"/>
          </w:tcPr>
          <w:p w:rsidR="00615707" w:rsidRPr="00F47497" w:rsidRDefault="006448C5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66,</w:t>
            </w:r>
            <w:r w:rsidR="004336DF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175</w:t>
            </w:r>
          </w:p>
        </w:tc>
        <w:tc>
          <w:tcPr>
            <w:tcW w:w="1416" w:type="dxa"/>
          </w:tcPr>
          <w:p w:rsidR="00615707" w:rsidRPr="00F47497" w:rsidRDefault="004336DF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66,171</w:t>
            </w:r>
          </w:p>
        </w:tc>
        <w:tc>
          <w:tcPr>
            <w:tcW w:w="1462" w:type="dxa"/>
          </w:tcPr>
          <w:p w:rsidR="00615707" w:rsidRPr="00F47497" w:rsidRDefault="004336DF" w:rsidP="007E5309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4</w:t>
            </w:r>
          </w:p>
        </w:tc>
      </w:tr>
      <w:tr w:rsidR="00615707" w:rsidRPr="00F47497" w:rsidTr="00F718E6">
        <w:tc>
          <w:tcPr>
            <w:tcW w:w="840" w:type="dxa"/>
          </w:tcPr>
          <w:p w:rsidR="00615707" w:rsidRPr="00F47497" w:rsidRDefault="00615707" w:rsidP="00C46767">
            <w:pPr>
              <w:pStyle w:val="2-col-note"/>
              <w:tabs>
                <w:tab w:val="left" w:pos="1134"/>
                <w:tab w:val="left" w:pos="1701"/>
                <w:tab w:val="left" w:pos="2268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80" w:type="dxa"/>
          </w:tcPr>
          <w:p w:rsidR="00615707" w:rsidRPr="00F47497" w:rsidRDefault="00615707" w:rsidP="00C46767">
            <w:pPr>
              <w:pStyle w:val="2-col-note"/>
              <w:tabs>
                <w:tab w:val="left" w:pos="1134"/>
                <w:tab w:val="left" w:pos="1701"/>
                <w:tab w:val="left" w:pos="2268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</w:pPr>
            <w:r w:rsidRPr="00F47497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 xml:space="preserve">Revenue Resource </w:t>
            </w:r>
            <w:r w:rsidRPr="005E41BA">
              <w:rPr>
                <w:rFonts w:ascii="Arial" w:hAnsi="Arial" w:cs="Arial"/>
                <w:color w:val="000000"/>
                <w:sz w:val="24"/>
                <w:szCs w:val="24"/>
              </w:rPr>
              <w:t>limit</w:t>
            </w:r>
            <w:r w:rsidRPr="00F47497">
              <w:rPr>
                <w:rFonts w:ascii="Arial" w:hAnsi="Arial" w:cs="Arial"/>
                <w:color w:val="000000"/>
                <w:sz w:val="24"/>
                <w:szCs w:val="24"/>
                <w:lang w:val="fr-FR"/>
              </w:rPr>
              <w:t xml:space="preserve"> – non-</w:t>
            </w:r>
            <w:r w:rsidRPr="005E41BA">
              <w:rPr>
                <w:rFonts w:ascii="Arial" w:hAnsi="Arial" w:cs="Arial"/>
                <w:color w:val="000000"/>
                <w:sz w:val="24"/>
                <w:szCs w:val="24"/>
              </w:rPr>
              <w:t>core</w:t>
            </w:r>
          </w:p>
        </w:tc>
        <w:tc>
          <w:tcPr>
            <w:tcW w:w="1622" w:type="dxa"/>
          </w:tcPr>
          <w:p w:rsidR="00615707" w:rsidRPr="00F47497" w:rsidRDefault="00615707" w:rsidP="004336DF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7,</w:t>
            </w:r>
            <w:r w:rsidR="004336DF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199</w:t>
            </w:r>
          </w:p>
        </w:tc>
        <w:tc>
          <w:tcPr>
            <w:tcW w:w="1416" w:type="dxa"/>
          </w:tcPr>
          <w:p w:rsidR="00615707" w:rsidRPr="00F47497" w:rsidRDefault="00615707" w:rsidP="004336DF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7,</w:t>
            </w:r>
            <w:r w:rsidR="004336DF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199</w:t>
            </w:r>
          </w:p>
        </w:tc>
        <w:tc>
          <w:tcPr>
            <w:tcW w:w="1462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 w:rsidRPr="00F47497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615707" w:rsidRPr="00F47497" w:rsidTr="00F718E6">
        <w:trPr>
          <w:trHeight w:val="325"/>
        </w:trPr>
        <w:tc>
          <w:tcPr>
            <w:tcW w:w="840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7080" w:type="dxa"/>
            <w:gridSpan w:val="4"/>
          </w:tcPr>
          <w:p w:rsidR="00615707" w:rsidRPr="00F47497" w:rsidRDefault="00615707" w:rsidP="00BB1CA4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 w:rsidRPr="00F47497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 xml:space="preserve">Details of this are found in the </w:t>
            </w:r>
            <w:r w:rsidR="0094551A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 xml:space="preserve">Consolidated </w:t>
            </w:r>
            <w:r w:rsidRPr="00F47497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 xml:space="preserve">Statement of comprehensive net expenditure and summary of resource out-turn on </w:t>
            </w:r>
            <w:r w:rsidRPr="00601C5E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 xml:space="preserve">page </w:t>
            </w:r>
            <w:r w:rsidR="00BB1CA4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37-38</w:t>
            </w:r>
            <w:r w:rsidRPr="00601C5E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.</w:t>
            </w:r>
          </w:p>
        </w:tc>
      </w:tr>
      <w:tr w:rsidR="00615707" w:rsidRPr="00F47497" w:rsidTr="00F718E6">
        <w:trPr>
          <w:trHeight w:val="325"/>
        </w:trPr>
        <w:tc>
          <w:tcPr>
            <w:tcW w:w="840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80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22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6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62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</w:tr>
      <w:tr w:rsidR="00615707" w:rsidRPr="00F47497" w:rsidTr="00F718E6">
        <w:tc>
          <w:tcPr>
            <w:tcW w:w="840" w:type="dxa"/>
          </w:tcPr>
          <w:p w:rsidR="00615707" w:rsidRPr="00F47497" w:rsidRDefault="00615707" w:rsidP="00C46767">
            <w:pPr>
              <w:pStyle w:val="2-col-note"/>
              <w:tabs>
                <w:tab w:val="left" w:pos="1134"/>
                <w:tab w:val="left" w:pos="1701"/>
                <w:tab w:val="left" w:pos="2268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7497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615707" w:rsidRPr="00F47497" w:rsidRDefault="00615707" w:rsidP="00C46767">
            <w:pPr>
              <w:pStyle w:val="2-col-note"/>
              <w:tabs>
                <w:tab w:val="left" w:pos="1134"/>
                <w:tab w:val="left" w:pos="1701"/>
                <w:tab w:val="left" w:pos="2268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7497">
              <w:rPr>
                <w:rFonts w:ascii="Arial" w:hAnsi="Arial" w:cs="Arial"/>
                <w:color w:val="000000"/>
                <w:sz w:val="24"/>
                <w:szCs w:val="24"/>
              </w:rPr>
              <w:t>Capital Resource Limit - core</w:t>
            </w:r>
          </w:p>
        </w:tc>
        <w:tc>
          <w:tcPr>
            <w:tcW w:w="1622" w:type="dxa"/>
          </w:tcPr>
          <w:p w:rsidR="00615707" w:rsidRPr="00F47497" w:rsidRDefault="0094551A" w:rsidP="00060328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7,436</w:t>
            </w:r>
          </w:p>
        </w:tc>
        <w:tc>
          <w:tcPr>
            <w:tcW w:w="1416" w:type="dxa"/>
          </w:tcPr>
          <w:p w:rsidR="00615707" w:rsidRPr="00F47497" w:rsidRDefault="0094551A" w:rsidP="00060328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7,436</w:t>
            </w:r>
          </w:p>
        </w:tc>
        <w:tc>
          <w:tcPr>
            <w:tcW w:w="1462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2268"/>
              </w:tabs>
              <w:spacing w:line="240" w:lineRule="auto"/>
              <w:ind w:left="0" w:firstLine="0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615707" w:rsidRPr="00F47497" w:rsidTr="00F718E6">
        <w:tc>
          <w:tcPr>
            <w:tcW w:w="840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7080" w:type="dxa"/>
            <w:gridSpan w:val="4"/>
          </w:tcPr>
          <w:p w:rsidR="00615707" w:rsidRPr="00F47497" w:rsidRDefault="00615707" w:rsidP="00FF581B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 w:rsidRPr="00F47497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 xml:space="preserve">Details of this are found at Note </w:t>
            </w:r>
            <w:r w:rsidR="001B0A52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7d</w:t>
            </w:r>
            <w:r w:rsidRPr="00F47497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 xml:space="preserve">, analysis of capital expenditure on page </w:t>
            </w:r>
            <w:r w:rsidR="00FF581B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59</w:t>
            </w:r>
          </w:p>
        </w:tc>
      </w:tr>
      <w:tr w:rsidR="00615707" w:rsidRPr="00F47497" w:rsidTr="00F718E6">
        <w:tc>
          <w:tcPr>
            <w:tcW w:w="840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580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622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16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462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val="en-GB"/>
              </w:rPr>
            </w:pPr>
          </w:p>
        </w:tc>
      </w:tr>
      <w:tr w:rsidR="00615707" w:rsidRPr="00F47497" w:rsidTr="00F718E6">
        <w:tc>
          <w:tcPr>
            <w:tcW w:w="840" w:type="dxa"/>
          </w:tcPr>
          <w:p w:rsidR="00615707" w:rsidRPr="00F47497" w:rsidRDefault="00615707" w:rsidP="00C46767">
            <w:pPr>
              <w:pStyle w:val="2-col-note"/>
              <w:tabs>
                <w:tab w:val="left" w:pos="1134"/>
                <w:tab w:val="left" w:pos="1701"/>
                <w:tab w:val="left" w:pos="2268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7497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80" w:type="dxa"/>
          </w:tcPr>
          <w:p w:rsidR="00615707" w:rsidRPr="00F47497" w:rsidRDefault="00615707" w:rsidP="00C46767">
            <w:pPr>
              <w:pStyle w:val="2-col-note"/>
              <w:tabs>
                <w:tab w:val="left" w:pos="1134"/>
                <w:tab w:val="left" w:pos="1701"/>
                <w:tab w:val="left" w:pos="2268"/>
              </w:tabs>
              <w:spacing w:line="24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47497">
              <w:rPr>
                <w:rFonts w:ascii="Arial" w:hAnsi="Arial" w:cs="Arial"/>
                <w:color w:val="000000"/>
                <w:sz w:val="24"/>
                <w:szCs w:val="24"/>
              </w:rPr>
              <w:t>Cash Requirement</w:t>
            </w:r>
          </w:p>
        </w:tc>
        <w:tc>
          <w:tcPr>
            <w:tcW w:w="1622" w:type="dxa"/>
          </w:tcPr>
          <w:p w:rsidR="00615707" w:rsidRPr="00F47497" w:rsidRDefault="009E138D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70,572</w:t>
            </w:r>
          </w:p>
        </w:tc>
        <w:tc>
          <w:tcPr>
            <w:tcW w:w="1416" w:type="dxa"/>
          </w:tcPr>
          <w:p w:rsidR="00615707" w:rsidRPr="00F47497" w:rsidRDefault="009E138D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70,572</w:t>
            </w:r>
          </w:p>
        </w:tc>
        <w:tc>
          <w:tcPr>
            <w:tcW w:w="1462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-</w:t>
            </w:r>
          </w:p>
        </w:tc>
      </w:tr>
      <w:tr w:rsidR="00615707" w:rsidRPr="00F47497" w:rsidTr="00F718E6">
        <w:tc>
          <w:tcPr>
            <w:tcW w:w="840" w:type="dxa"/>
          </w:tcPr>
          <w:p w:rsidR="00615707" w:rsidRPr="00F47497" w:rsidRDefault="00615707" w:rsidP="00C46767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7080" w:type="dxa"/>
            <w:gridSpan w:val="4"/>
          </w:tcPr>
          <w:p w:rsidR="00615707" w:rsidRPr="00F47497" w:rsidRDefault="00615707" w:rsidP="00FF581B">
            <w:pPr>
              <w:pStyle w:val="Hangingindent1"/>
              <w:tabs>
                <w:tab w:val="clear" w:pos="720"/>
                <w:tab w:val="clear" w:pos="1440"/>
                <w:tab w:val="clear" w:pos="2160"/>
                <w:tab w:val="left" w:pos="1134"/>
                <w:tab w:val="left" w:pos="1701"/>
                <w:tab w:val="left" w:pos="2268"/>
              </w:tabs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</w:pPr>
            <w:r w:rsidRPr="00F47497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 xml:space="preserve">Details of this are found in the </w:t>
            </w:r>
            <w:r w:rsidR="009E138D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 xml:space="preserve">Consolidated note of </w:t>
            </w:r>
            <w:r w:rsidRPr="00F47497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Cash Flow</w:t>
            </w:r>
            <w:r w:rsidR="009E138D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s</w:t>
            </w:r>
            <w:r w:rsidRPr="00F47497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 xml:space="preserve"> on page </w:t>
            </w:r>
            <w:r w:rsidR="00E67AAA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4</w:t>
            </w:r>
            <w:r w:rsidR="00FF581B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0</w:t>
            </w:r>
            <w:r w:rsidRPr="00F47497">
              <w:rPr>
                <w:rFonts w:ascii="Arial" w:hAnsi="Arial" w:cs="Arial"/>
                <w:color w:val="000000"/>
                <w:sz w:val="24"/>
                <w:szCs w:val="24"/>
                <w:lang w:val="en-GB"/>
              </w:rPr>
              <w:t>.</w:t>
            </w:r>
          </w:p>
        </w:tc>
      </w:tr>
    </w:tbl>
    <w:p w:rsidR="00615707" w:rsidRPr="00F47497" w:rsidRDefault="00615707" w:rsidP="00D01880">
      <w:pPr>
        <w:pStyle w:val="BodyTextIndent2"/>
        <w:ind w:left="0"/>
        <w:jc w:val="left"/>
        <w:rPr>
          <w:rFonts w:ascii="Arial" w:hAnsi="Arial" w:cs="Arial"/>
        </w:rPr>
      </w:pPr>
    </w:p>
    <w:p w:rsidR="00026288" w:rsidRDefault="00026288" w:rsidP="00D01880">
      <w:pPr>
        <w:pStyle w:val="BodyTextIndent2"/>
        <w:ind w:left="0"/>
        <w:jc w:val="left"/>
        <w:rPr>
          <w:rFonts w:ascii="Arial" w:hAnsi="Arial" w:cs="Arial"/>
        </w:rPr>
      </w:pPr>
    </w:p>
    <w:p w:rsidR="00EF558D" w:rsidRPr="00F47497" w:rsidRDefault="00EF558D" w:rsidP="00D01880">
      <w:pPr>
        <w:pStyle w:val="BodyTextIndent2"/>
        <w:ind w:left="0"/>
        <w:jc w:val="left"/>
        <w:rPr>
          <w:rFonts w:ascii="Arial" w:hAnsi="Arial" w:cs="Arial"/>
        </w:rPr>
      </w:pPr>
    </w:p>
    <w:p w:rsidR="00615707" w:rsidRPr="00F47497" w:rsidRDefault="00615707" w:rsidP="00C46767">
      <w:pPr>
        <w:pStyle w:val="Heading4"/>
        <w:rPr>
          <w:rFonts w:ascii="Arial" w:hAnsi="Arial" w:cs="Arial"/>
        </w:rPr>
      </w:pPr>
      <w:r w:rsidRPr="00F47497">
        <w:rPr>
          <w:rFonts w:ascii="Arial" w:hAnsi="Arial" w:cs="Arial"/>
        </w:rPr>
        <w:t>Conclusion</w:t>
      </w:r>
    </w:p>
    <w:p w:rsidR="00615707" w:rsidRPr="00F47497" w:rsidRDefault="00615707" w:rsidP="00C46767">
      <w:pPr>
        <w:rPr>
          <w:rFonts w:ascii="Arial" w:hAnsi="Arial" w:cs="Arial"/>
          <w:b/>
          <w:bCs/>
        </w:rPr>
      </w:pPr>
    </w:p>
    <w:p w:rsidR="00615707" w:rsidRPr="00552751" w:rsidRDefault="00615707" w:rsidP="00552751">
      <w:pPr>
        <w:pStyle w:val="BodyTextIndent2"/>
        <w:jc w:val="left"/>
        <w:rPr>
          <w:rFonts w:ascii="Arial" w:hAnsi="Arial" w:cs="Arial"/>
          <w:bCs w:val="0"/>
          <w:iCs w:val="0"/>
        </w:rPr>
      </w:pPr>
      <w:r w:rsidRPr="00F47497">
        <w:rPr>
          <w:rFonts w:ascii="Arial" w:hAnsi="Arial" w:cs="Arial"/>
          <w:bCs w:val="0"/>
          <w:iCs w:val="0"/>
        </w:rPr>
        <w:t xml:space="preserve">Members are asked to approve the </w:t>
      </w:r>
      <w:r w:rsidR="00122A36">
        <w:rPr>
          <w:rFonts w:ascii="Arial" w:hAnsi="Arial" w:cs="Arial"/>
          <w:bCs w:val="0"/>
          <w:iCs w:val="0"/>
        </w:rPr>
        <w:t xml:space="preserve">draft </w:t>
      </w:r>
      <w:r>
        <w:rPr>
          <w:rFonts w:ascii="Arial" w:hAnsi="Arial" w:cs="Arial"/>
          <w:bCs w:val="0"/>
          <w:iCs w:val="0"/>
        </w:rPr>
        <w:t>Annual</w:t>
      </w:r>
      <w:r w:rsidRPr="00F47497">
        <w:rPr>
          <w:rFonts w:ascii="Arial" w:hAnsi="Arial" w:cs="Arial"/>
          <w:bCs w:val="0"/>
          <w:iCs w:val="0"/>
        </w:rPr>
        <w:t xml:space="preserve"> Report and Accounts. </w:t>
      </w:r>
      <w:r w:rsidR="007E6A70">
        <w:rPr>
          <w:rFonts w:ascii="Arial" w:hAnsi="Arial" w:cs="Arial"/>
          <w:bCs w:val="0"/>
          <w:iCs w:val="0"/>
        </w:rPr>
        <w:br/>
      </w:r>
      <w:r w:rsidR="007E6A70">
        <w:rPr>
          <w:rFonts w:ascii="Arial" w:hAnsi="Arial" w:cs="Arial"/>
          <w:bCs w:val="0"/>
          <w:iCs w:val="0"/>
        </w:rPr>
        <w:br/>
      </w:r>
      <w:r>
        <w:rPr>
          <w:rFonts w:ascii="Arial" w:hAnsi="Arial" w:cs="Arial"/>
          <w:bCs w:val="0"/>
          <w:iCs w:val="0"/>
        </w:rPr>
        <w:br/>
      </w:r>
    </w:p>
    <w:p w:rsidR="00615707" w:rsidRPr="00F47497" w:rsidRDefault="00615707" w:rsidP="00C46767">
      <w:pPr>
        <w:pStyle w:val="Heading2"/>
        <w:rPr>
          <w:rFonts w:ascii="Arial" w:hAnsi="Arial" w:cs="Arial"/>
        </w:rPr>
      </w:pPr>
      <w:smartTag w:uri="urn:schemas-microsoft-com:office:smarttags" w:element="PersonName">
        <w:r w:rsidRPr="00F47497">
          <w:rPr>
            <w:rFonts w:ascii="Arial" w:hAnsi="Arial" w:cs="Arial"/>
          </w:rPr>
          <w:t>Julie Carter</w:t>
        </w:r>
      </w:smartTag>
    </w:p>
    <w:p w:rsidR="00615707" w:rsidRPr="00F47497" w:rsidRDefault="00615707" w:rsidP="00C46767">
      <w:pPr>
        <w:rPr>
          <w:rFonts w:ascii="Arial" w:hAnsi="Arial" w:cs="Arial"/>
          <w:b/>
          <w:bCs/>
        </w:rPr>
      </w:pPr>
      <w:r w:rsidRPr="00F47497">
        <w:rPr>
          <w:rFonts w:ascii="Arial" w:hAnsi="Arial" w:cs="Arial"/>
          <w:b/>
          <w:bCs/>
        </w:rPr>
        <w:t>Director of Finance</w:t>
      </w:r>
    </w:p>
    <w:p w:rsidR="00615707" w:rsidRPr="00F47497" w:rsidRDefault="007E6A70" w:rsidP="00C4676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13</w:t>
      </w:r>
      <w:r w:rsidR="00DC7277">
        <w:rPr>
          <w:rFonts w:ascii="Arial" w:hAnsi="Arial" w:cs="Arial"/>
          <w:b/>
          <w:bCs/>
        </w:rPr>
        <w:t xml:space="preserve"> June 2018 </w:t>
      </w:r>
    </w:p>
    <w:p w:rsidR="00615707" w:rsidRPr="00F47497" w:rsidRDefault="00615707" w:rsidP="00C46767">
      <w:pPr>
        <w:rPr>
          <w:rFonts w:ascii="Arial" w:hAnsi="Arial" w:cs="Arial"/>
          <w:b/>
          <w:bCs/>
          <w:i/>
          <w:iCs/>
        </w:rPr>
      </w:pPr>
    </w:p>
    <w:p w:rsidR="00A701E3" w:rsidRPr="000F5735" w:rsidRDefault="000F5735">
      <w:pPr>
        <w:rPr>
          <w:rFonts w:ascii="Arial" w:hAnsi="Arial" w:cs="Arial"/>
          <w:b/>
        </w:rPr>
      </w:pPr>
      <w:r w:rsidRPr="000F5735">
        <w:rPr>
          <w:rFonts w:ascii="Arial" w:hAnsi="Arial" w:cs="Arial"/>
          <w:b/>
        </w:rPr>
        <w:t>(</w:t>
      </w:r>
      <w:r w:rsidR="00615707" w:rsidRPr="000F5735">
        <w:rPr>
          <w:rFonts w:ascii="Arial" w:hAnsi="Arial" w:cs="Arial"/>
          <w:b/>
        </w:rPr>
        <w:t>Lily Bryson</w:t>
      </w:r>
      <w:r w:rsidRPr="000F5735">
        <w:rPr>
          <w:rFonts w:ascii="Arial" w:hAnsi="Arial" w:cs="Arial"/>
          <w:b/>
        </w:rPr>
        <w:t xml:space="preserve">, </w:t>
      </w:r>
      <w:r w:rsidR="00615707" w:rsidRPr="000F5735">
        <w:rPr>
          <w:rFonts w:ascii="Arial" w:hAnsi="Arial" w:cs="Arial"/>
          <w:b/>
        </w:rPr>
        <w:t>Assistant Director of Finance – Governance and Financial Accounting</w:t>
      </w:r>
      <w:r w:rsidRPr="000F5735">
        <w:rPr>
          <w:rFonts w:ascii="Arial" w:hAnsi="Arial" w:cs="Arial"/>
          <w:b/>
        </w:rPr>
        <w:t>)</w:t>
      </w:r>
    </w:p>
    <w:p w:rsidR="00A701E3" w:rsidRPr="00FB53CC" w:rsidRDefault="00A701E3">
      <w:pPr>
        <w:rPr>
          <w:rFonts w:ascii="Arial" w:hAnsi="Arial" w:cs="Arial"/>
        </w:rPr>
      </w:pPr>
    </w:p>
    <w:p w:rsidR="000F5735" w:rsidRDefault="000F57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A701E3" w:rsidRPr="00A701E3" w:rsidRDefault="00A701E3" w:rsidP="00C46767">
      <w:pPr>
        <w:rPr>
          <w:rFonts w:ascii="Arial" w:hAnsi="Arial" w:cs="Arial"/>
          <w:b/>
        </w:rPr>
      </w:pPr>
      <w:r w:rsidRPr="00A701E3">
        <w:rPr>
          <w:rFonts w:ascii="Arial" w:hAnsi="Arial" w:cs="Arial"/>
          <w:b/>
        </w:rPr>
        <w:lastRenderedPageBreak/>
        <w:t xml:space="preserve">Appendix </w:t>
      </w:r>
      <w:r w:rsidR="000F5735">
        <w:rPr>
          <w:rFonts w:ascii="Arial" w:hAnsi="Arial" w:cs="Arial"/>
          <w:b/>
        </w:rPr>
        <w:t>1</w:t>
      </w:r>
      <w:r w:rsidRPr="00A701E3">
        <w:rPr>
          <w:rFonts w:ascii="Arial" w:hAnsi="Arial" w:cs="Arial"/>
          <w:b/>
        </w:rPr>
        <w:t xml:space="preserve"> – </w:t>
      </w:r>
      <w:r w:rsidR="00DF4B28">
        <w:rPr>
          <w:rFonts w:ascii="Arial" w:hAnsi="Arial" w:cs="Arial"/>
          <w:b/>
        </w:rPr>
        <w:t>Accounts</w:t>
      </w:r>
      <w:r w:rsidRPr="00A701E3">
        <w:rPr>
          <w:rFonts w:ascii="Arial" w:hAnsi="Arial" w:cs="Arial"/>
          <w:b/>
        </w:rPr>
        <w:t xml:space="preserve"> Note reconciliation to prior year</w:t>
      </w:r>
    </w:p>
    <w:p w:rsidR="00A701E3" w:rsidRDefault="00A701E3" w:rsidP="00C46767">
      <w:pPr>
        <w:rPr>
          <w:rFonts w:ascii="Arial" w:hAnsi="Arial" w:cs="Arial"/>
        </w:rPr>
      </w:pPr>
    </w:p>
    <w:p w:rsidR="00A701E3" w:rsidRPr="00F47497" w:rsidRDefault="000F5735" w:rsidP="00C46767">
      <w:pPr>
        <w:rPr>
          <w:rFonts w:ascii="Arial" w:hAnsi="Arial" w:cs="Arial"/>
        </w:rPr>
      </w:pPr>
      <w:r>
        <w:rPr>
          <w:rFonts w:ascii="Arial" w:hAnsi="Arial" w:cs="Arial"/>
        </w:rPr>
        <w:t>See E</w:t>
      </w:r>
      <w:r w:rsidR="00E25980">
        <w:rPr>
          <w:rFonts w:ascii="Arial" w:hAnsi="Arial" w:cs="Arial"/>
        </w:rPr>
        <w:t>xcel document</w:t>
      </w:r>
    </w:p>
    <w:sectPr w:rsidR="00A701E3" w:rsidRPr="00F47497" w:rsidSect="000F5735">
      <w:footerReference w:type="even" r:id="rId8"/>
      <w:footerReference w:type="default" r:id="rId9"/>
      <w:footerReference w:type="first" r:id="rId10"/>
      <w:pgSz w:w="11906" w:h="16838"/>
      <w:pgMar w:top="1258" w:right="1133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FAB" w:rsidRDefault="00347FAB">
      <w:r>
        <w:separator/>
      </w:r>
    </w:p>
  </w:endnote>
  <w:endnote w:type="continuationSeparator" w:id="0">
    <w:p w:rsidR="00347FAB" w:rsidRDefault="00347F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OOEnc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954" w:rsidRDefault="006A16F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2095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20954" w:rsidRDefault="0062095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0954" w:rsidRPr="000F5735" w:rsidRDefault="000F5735" w:rsidP="000F5735">
    <w:pPr>
      <w:ind w:left="-426"/>
      <w:jc w:val="center"/>
      <w:rPr>
        <w:rFonts w:ascii="Arial" w:hAnsi="Arial" w:cs="Arial"/>
        <w:color w:val="000000" w:themeColor="text1"/>
        <w:sz w:val="20"/>
        <w:szCs w:val="20"/>
      </w:rPr>
    </w:pPr>
    <w:r w:rsidRPr="000F5735">
      <w:rPr>
        <w:rStyle w:val="PageNumber"/>
        <w:rFonts w:ascii="Arial" w:hAnsi="Arial" w:cs="Arial"/>
        <w:color w:val="000000" w:themeColor="text1"/>
      </w:rPr>
      <w:t>____________________________________________________________________</w:t>
    </w:r>
    <w:r w:rsidRPr="000F5735">
      <w:rPr>
        <w:rStyle w:val="PageNumber"/>
        <w:rFonts w:ascii="Arial" w:hAnsi="Arial" w:cs="Arial"/>
        <w:color w:val="000000" w:themeColor="text1"/>
      </w:rPr>
      <w:br/>
    </w:r>
    <w:r w:rsidRPr="000F5735">
      <w:rPr>
        <w:rStyle w:val="PageNumber"/>
        <w:rFonts w:ascii="Arial" w:hAnsi="Arial" w:cs="Arial"/>
        <w:color w:val="000000" w:themeColor="text1"/>
      </w:rPr>
      <w:br/>
    </w:r>
    <w:r w:rsidRPr="000F5735">
      <w:rPr>
        <w:rStyle w:val="PageNumber"/>
        <w:rFonts w:ascii="Arial" w:hAnsi="Arial" w:cs="Arial"/>
        <w:color w:val="000000" w:themeColor="text1"/>
      </w:rPr>
      <w:fldChar w:fldCharType="begin"/>
    </w:r>
    <w:r w:rsidRPr="000F5735">
      <w:rPr>
        <w:rStyle w:val="PageNumber"/>
        <w:rFonts w:ascii="Arial" w:hAnsi="Arial" w:cs="Arial"/>
        <w:color w:val="000000" w:themeColor="text1"/>
      </w:rPr>
      <w:instrText xml:space="preserve"> PAGE </w:instrText>
    </w:r>
    <w:r w:rsidRPr="000F5735">
      <w:rPr>
        <w:rStyle w:val="PageNumber"/>
        <w:rFonts w:ascii="Arial" w:hAnsi="Arial" w:cs="Arial"/>
        <w:color w:val="000000" w:themeColor="text1"/>
      </w:rPr>
      <w:fldChar w:fldCharType="separate"/>
    </w:r>
    <w:r>
      <w:rPr>
        <w:rStyle w:val="PageNumber"/>
        <w:rFonts w:ascii="Arial" w:hAnsi="Arial" w:cs="Arial"/>
        <w:noProof/>
        <w:color w:val="000000" w:themeColor="text1"/>
      </w:rPr>
      <w:t>4</w:t>
    </w:r>
    <w:r w:rsidRPr="000F5735">
      <w:rPr>
        <w:rStyle w:val="PageNumber"/>
        <w:rFonts w:ascii="Arial" w:hAnsi="Arial" w:cs="Arial"/>
        <w:color w:val="000000" w:themeColor="text1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735" w:rsidRPr="000F5735" w:rsidRDefault="000F5735" w:rsidP="000F5735">
    <w:pPr>
      <w:ind w:left="-426"/>
      <w:jc w:val="center"/>
      <w:rPr>
        <w:rFonts w:ascii="Arial" w:hAnsi="Arial" w:cs="Arial"/>
        <w:color w:val="000000" w:themeColor="text1"/>
        <w:sz w:val="20"/>
        <w:szCs w:val="20"/>
      </w:rPr>
    </w:pPr>
    <w:r>
      <w:rPr>
        <w:rStyle w:val="PageNumber"/>
        <w:rFonts w:ascii="Arial" w:hAnsi="Arial" w:cs="Arial"/>
        <w:color w:val="000000" w:themeColor="text1"/>
      </w:rPr>
      <w:t>_</w:t>
    </w:r>
    <w:r w:rsidRPr="000F5735">
      <w:rPr>
        <w:rStyle w:val="PageNumber"/>
        <w:rFonts w:ascii="Arial" w:hAnsi="Arial" w:cs="Arial"/>
        <w:color w:val="000000" w:themeColor="text1"/>
      </w:rPr>
      <w:t>____________________________________________________________________</w:t>
    </w:r>
    <w:r w:rsidRPr="000F5735">
      <w:rPr>
        <w:rStyle w:val="PageNumber"/>
        <w:rFonts w:ascii="Arial" w:hAnsi="Arial" w:cs="Arial"/>
        <w:color w:val="000000" w:themeColor="text1"/>
      </w:rPr>
      <w:br/>
    </w:r>
    <w:r w:rsidRPr="000F5735">
      <w:rPr>
        <w:rStyle w:val="PageNumber"/>
        <w:rFonts w:ascii="Arial" w:hAnsi="Arial" w:cs="Arial"/>
        <w:color w:val="000000" w:themeColor="text1"/>
      </w:rPr>
      <w:br/>
    </w:r>
    <w:r w:rsidRPr="000F5735">
      <w:rPr>
        <w:rStyle w:val="PageNumber"/>
        <w:rFonts w:ascii="Arial" w:hAnsi="Arial" w:cs="Arial"/>
        <w:color w:val="000000" w:themeColor="text1"/>
      </w:rPr>
      <w:fldChar w:fldCharType="begin"/>
    </w:r>
    <w:r w:rsidRPr="000F5735">
      <w:rPr>
        <w:rStyle w:val="PageNumber"/>
        <w:rFonts w:ascii="Arial" w:hAnsi="Arial" w:cs="Arial"/>
        <w:color w:val="000000" w:themeColor="text1"/>
      </w:rPr>
      <w:instrText xml:space="preserve"> PAGE </w:instrText>
    </w:r>
    <w:r w:rsidRPr="000F5735">
      <w:rPr>
        <w:rStyle w:val="PageNumber"/>
        <w:rFonts w:ascii="Arial" w:hAnsi="Arial" w:cs="Arial"/>
        <w:color w:val="000000" w:themeColor="text1"/>
      </w:rPr>
      <w:fldChar w:fldCharType="separate"/>
    </w:r>
    <w:r>
      <w:rPr>
        <w:rStyle w:val="PageNumber"/>
        <w:rFonts w:ascii="Arial" w:hAnsi="Arial" w:cs="Arial"/>
        <w:noProof/>
        <w:color w:val="000000" w:themeColor="text1"/>
      </w:rPr>
      <w:t>1</w:t>
    </w:r>
    <w:r w:rsidRPr="000F5735">
      <w:rPr>
        <w:rStyle w:val="PageNumber"/>
        <w:rFonts w:ascii="Arial" w:hAnsi="Arial" w:cs="Arial"/>
        <w:color w:val="000000" w:themeColor="text1"/>
      </w:rPr>
      <w:fldChar w:fldCharType="end"/>
    </w:r>
  </w:p>
  <w:p w:rsidR="000F5735" w:rsidRPr="000F5735" w:rsidRDefault="000F5735" w:rsidP="000F5735">
    <w:pPr>
      <w:ind w:left="-426" w:right="184"/>
      <w:jc w:val="center"/>
      <w:rPr>
        <w:rFonts w:ascii="Arial" w:hAnsi="Arial" w:cs="Arial"/>
        <w:color w:val="000000" w:themeColor="text1"/>
        <w:sz w:val="20"/>
        <w:szCs w:val="20"/>
      </w:rPr>
    </w:pPr>
  </w:p>
  <w:p w:rsidR="000F5735" w:rsidRPr="000F5735" w:rsidRDefault="000F5735" w:rsidP="000F5735">
    <w:pPr>
      <w:pStyle w:val="Title"/>
      <w:ind w:left="-426" w:right="184"/>
      <w:jc w:val="left"/>
      <w:outlineLvl w:val="0"/>
      <w:rPr>
        <w:rFonts w:ascii="Arial" w:hAnsi="Arial" w:cs="Arial"/>
        <w:b/>
        <w:color w:val="000000" w:themeColor="text1"/>
        <w:sz w:val="18"/>
        <w:szCs w:val="18"/>
      </w:rPr>
    </w:pPr>
    <w:r w:rsidRPr="000F5735">
      <w:rPr>
        <w:rFonts w:ascii="Arial" w:hAnsi="Arial" w:cs="Arial"/>
        <w:b/>
        <w:noProof/>
        <w:color w:val="000000" w:themeColor="text1"/>
        <w:sz w:val="18"/>
        <w:szCs w:val="18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5143500</wp:posOffset>
          </wp:positionH>
          <wp:positionV relativeFrom="paragraph">
            <wp:posOffset>44450</wp:posOffset>
          </wp:positionV>
          <wp:extent cx="514350" cy="342900"/>
          <wp:effectExtent l="19050" t="0" r="0" b="0"/>
          <wp:wrapNone/>
          <wp:docPr id="8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F5735">
      <w:rPr>
        <w:rFonts w:ascii="Arial" w:hAnsi="Arial" w:cs="Arial"/>
        <w:b/>
        <w:color w:val="000000" w:themeColor="text1"/>
        <w:sz w:val="18"/>
        <w:szCs w:val="18"/>
      </w:rPr>
      <w:t>The Golden Jubilee Foundation is the brand name for the NHS National Waiting Times Centre.</w:t>
    </w:r>
  </w:p>
  <w:p w:rsidR="000F5735" w:rsidRPr="000F5735" w:rsidRDefault="000F5735" w:rsidP="000F5735">
    <w:pPr>
      <w:pStyle w:val="Title"/>
      <w:ind w:left="-426" w:right="184"/>
      <w:jc w:val="left"/>
      <w:outlineLvl w:val="0"/>
      <w:rPr>
        <w:rFonts w:ascii="Arial" w:hAnsi="Arial" w:cs="Arial"/>
        <w:b/>
        <w:color w:val="000000" w:themeColor="text1"/>
        <w:sz w:val="18"/>
        <w:szCs w:val="18"/>
      </w:rPr>
    </w:pPr>
    <w:r w:rsidRPr="000F5735">
      <w:rPr>
        <w:rFonts w:ascii="Arial" w:hAnsi="Arial" w:cs="Arial"/>
        <w:b/>
        <w:color w:val="000000" w:themeColor="text1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FAB" w:rsidRDefault="00347FAB">
      <w:r>
        <w:separator/>
      </w:r>
    </w:p>
  </w:footnote>
  <w:footnote w:type="continuationSeparator" w:id="0">
    <w:p w:rsidR="00347FAB" w:rsidRDefault="00347F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63AD"/>
    <w:multiLevelType w:val="multilevel"/>
    <w:tmpl w:val="553093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">
    <w:nsid w:val="152136CF"/>
    <w:multiLevelType w:val="hybridMultilevel"/>
    <w:tmpl w:val="013A5E7C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680AA8">
      <w:numFmt w:val="bullet"/>
      <w:lvlText w:val=""/>
      <w:lvlJc w:val="left"/>
      <w:pPr>
        <w:ind w:left="2160" w:hanging="360"/>
      </w:pPr>
      <w:rPr>
        <w:rFonts w:ascii="Arial" w:eastAsia="SymbolOOEnc" w:hAnsi="Aria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9546684"/>
    <w:multiLevelType w:val="hybridMultilevel"/>
    <w:tmpl w:val="8716D832"/>
    <w:lvl w:ilvl="0" w:tplc="94949CB8">
      <w:start w:val="1"/>
      <w:numFmt w:val="decimal"/>
      <w:pStyle w:val="Heading4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A0A1C87"/>
    <w:multiLevelType w:val="hybridMultilevel"/>
    <w:tmpl w:val="CDAE04B8"/>
    <w:lvl w:ilvl="0" w:tplc="0809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1AC81E8D"/>
    <w:multiLevelType w:val="multilevel"/>
    <w:tmpl w:val="0C0EF648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B856FA8"/>
    <w:multiLevelType w:val="hybridMultilevel"/>
    <w:tmpl w:val="C13225B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ED07EB"/>
    <w:multiLevelType w:val="hybridMultilevel"/>
    <w:tmpl w:val="046CE99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99271B7"/>
    <w:multiLevelType w:val="hybridMultilevel"/>
    <w:tmpl w:val="97B6BA00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AAE1555"/>
    <w:multiLevelType w:val="hybridMultilevel"/>
    <w:tmpl w:val="22B0FEE8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BE3551D"/>
    <w:multiLevelType w:val="hybridMultilevel"/>
    <w:tmpl w:val="E9CE389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AF6648"/>
    <w:multiLevelType w:val="hybridMultilevel"/>
    <w:tmpl w:val="2B7208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8D0BD5"/>
    <w:multiLevelType w:val="hybridMultilevel"/>
    <w:tmpl w:val="31E46A8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35302CB6"/>
    <w:multiLevelType w:val="hybridMultilevel"/>
    <w:tmpl w:val="11CE5FD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995159"/>
    <w:multiLevelType w:val="hybridMultilevel"/>
    <w:tmpl w:val="F68E52E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9954CC2"/>
    <w:multiLevelType w:val="hybridMultilevel"/>
    <w:tmpl w:val="E9B69370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BCF3126"/>
    <w:multiLevelType w:val="hybridMultilevel"/>
    <w:tmpl w:val="5B9A9D0A"/>
    <w:lvl w:ilvl="0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3F7F2FA8"/>
    <w:multiLevelType w:val="hybridMultilevel"/>
    <w:tmpl w:val="7E04EB5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2B30866"/>
    <w:multiLevelType w:val="hybridMultilevel"/>
    <w:tmpl w:val="CF86C936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CF79CA"/>
    <w:multiLevelType w:val="hybridMultilevel"/>
    <w:tmpl w:val="0C0EF648"/>
    <w:lvl w:ilvl="0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9ED55BA"/>
    <w:multiLevelType w:val="hybridMultilevel"/>
    <w:tmpl w:val="18C0C418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FBF1E79"/>
    <w:multiLevelType w:val="hybridMultilevel"/>
    <w:tmpl w:val="A1C6DC0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50326500"/>
    <w:multiLevelType w:val="hybridMultilevel"/>
    <w:tmpl w:val="09C2CCB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4840FD5"/>
    <w:multiLevelType w:val="hybridMultilevel"/>
    <w:tmpl w:val="1694A1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74F4342"/>
    <w:multiLevelType w:val="hybridMultilevel"/>
    <w:tmpl w:val="EF5647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4E2F2D"/>
    <w:multiLevelType w:val="hybridMultilevel"/>
    <w:tmpl w:val="36560B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F50855"/>
    <w:multiLevelType w:val="hybridMultilevel"/>
    <w:tmpl w:val="9694528C"/>
    <w:lvl w:ilvl="0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659609BB"/>
    <w:multiLevelType w:val="hybridMultilevel"/>
    <w:tmpl w:val="ED18778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6A11663F"/>
    <w:multiLevelType w:val="hybridMultilevel"/>
    <w:tmpl w:val="ABF66D0C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B4E5647"/>
    <w:multiLevelType w:val="hybridMultilevel"/>
    <w:tmpl w:val="768C4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6D965F60"/>
    <w:multiLevelType w:val="hybridMultilevel"/>
    <w:tmpl w:val="1E169BEA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DAC24C0"/>
    <w:multiLevelType w:val="hybridMultilevel"/>
    <w:tmpl w:val="4AA62FF0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6F0275BD"/>
    <w:multiLevelType w:val="hybridMultilevel"/>
    <w:tmpl w:val="5DD8C15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0540967"/>
    <w:multiLevelType w:val="hybridMultilevel"/>
    <w:tmpl w:val="F68E52E8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72127667"/>
    <w:multiLevelType w:val="hybridMultilevel"/>
    <w:tmpl w:val="BF186B94"/>
    <w:lvl w:ilvl="0" w:tplc="76064186">
      <w:start w:val="5"/>
      <w:numFmt w:val="decimal"/>
      <w:pStyle w:val="Heading3"/>
      <w:lvlText w:val="%1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6475C32"/>
    <w:multiLevelType w:val="hybridMultilevel"/>
    <w:tmpl w:val="80E41156"/>
    <w:lvl w:ilvl="0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31"/>
  </w:num>
  <w:num w:numId="8">
    <w:abstractNumId w:val="20"/>
  </w:num>
  <w:num w:numId="9">
    <w:abstractNumId w:val="11"/>
  </w:num>
  <w:num w:numId="10">
    <w:abstractNumId w:val="2"/>
  </w:num>
  <w:num w:numId="11">
    <w:abstractNumId w:val="0"/>
  </w:num>
  <w:num w:numId="12">
    <w:abstractNumId w:val="2"/>
  </w:num>
  <w:num w:numId="13">
    <w:abstractNumId w:val="19"/>
  </w:num>
  <w:num w:numId="14">
    <w:abstractNumId w:val="12"/>
  </w:num>
  <w:num w:numId="15">
    <w:abstractNumId w:val="21"/>
  </w:num>
  <w:num w:numId="16">
    <w:abstractNumId w:val="30"/>
  </w:num>
  <w:num w:numId="17">
    <w:abstractNumId w:val="5"/>
  </w:num>
  <w:num w:numId="18">
    <w:abstractNumId w:val="22"/>
  </w:num>
  <w:num w:numId="19">
    <w:abstractNumId w:val="24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6"/>
  </w:num>
  <w:num w:numId="26">
    <w:abstractNumId w:val="2"/>
  </w:num>
  <w:num w:numId="27">
    <w:abstractNumId w:val="13"/>
  </w:num>
  <w:num w:numId="28">
    <w:abstractNumId w:val="32"/>
  </w:num>
  <w:num w:numId="29">
    <w:abstractNumId w:val="27"/>
  </w:num>
  <w:num w:numId="30">
    <w:abstractNumId w:val="28"/>
  </w:num>
  <w:num w:numId="31">
    <w:abstractNumId w:val="8"/>
  </w:num>
  <w:num w:numId="32">
    <w:abstractNumId w:val="2"/>
  </w:num>
  <w:num w:numId="33">
    <w:abstractNumId w:val="34"/>
  </w:num>
  <w:num w:numId="34">
    <w:abstractNumId w:val="25"/>
  </w:num>
  <w:num w:numId="35">
    <w:abstractNumId w:val="29"/>
  </w:num>
  <w:num w:numId="36">
    <w:abstractNumId w:val="1"/>
  </w:num>
  <w:num w:numId="37">
    <w:abstractNumId w:val="17"/>
  </w:num>
  <w:num w:numId="38">
    <w:abstractNumId w:val="2"/>
  </w:num>
  <w:num w:numId="39">
    <w:abstractNumId w:val="7"/>
  </w:num>
  <w:num w:numId="40">
    <w:abstractNumId w:val="9"/>
  </w:num>
  <w:num w:numId="41">
    <w:abstractNumId w:val="23"/>
  </w:num>
  <w:num w:numId="42">
    <w:abstractNumId w:val="18"/>
  </w:num>
  <w:num w:numId="43">
    <w:abstractNumId w:val="4"/>
  </w:num>
  <w:num w:numId="44">
    <w:abstractNumId w:val="15"/>
  </w:num>
  <w:num w:numId="45">
    <w:abstractNumId w:val="16"/>
  </w:num>
  <w:num w:numId="46">
    <w:abstractNumId w:val="2"/>
  </w:num>
  <w:num w:numId="47">
    <w:abstractNumId w:val="3"/>
  </w:num>
  <w:num w:numId="48">
    <w:abstractNumId w:val="14"/>
  </w:num>
  <w:num w:numId="49">
    <w:abstractNumId w:val="6"/>
  </w:num>
  <w:num w:numId="5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B1383B"/>
    <w:rsid w:val="00006DCC"/>
    <w:rsid w:val="000118AA"/>
    <w:rsid w:val="00026288"/>
    <w:rsid w:val="00060328"/>
    <w:rsid w:val="000748AC"/>
    <w:rsid w:val="00081012"/>
    <w:rsid w:val="00085CD3"/>
    <w:rsid w:val="00092659"/>
    <w:rsid w:val="000A67D9"/>
    <w:rsid w:val="000B1044"/>
    <w:rsid w:val="000E5001"/>
    <w:rsid w:val="000F09A7"/>
    <w:rsid w:val="000F5735"/>
    <w:rsid w:val="001014E3"/>
    <w:rsid w:val="001055BA"/>
    <w:rsid w:val="00120D52"/>
    <w:rsid w:val="00122A36"/>
    <w:rsid w:val="00122F84"/>
    <w:rsid w:val="00123C1E"/>
    <w:rsid w:val="0013793E"/>
    <w:rsid w:val="00140E67"/>
    <w:rsid w:val="001414D8"/>
    <w:rsid w:val="00157E0A"/>
    <w:rsid w:val="00157FBE"/>
    <w:rsid w:val="00173B42"/>
    <w:rsid w:val="001918BC"/>
    <w:rsid w:val="001A0B95"/>
    <w:rsid w:val="001B0A52"/>
    <w:rsid w:val="001B0AC0"/>
    <w:rsid w:val="001B4A28"/>
    <w:rsid w:val="001D1024"/>
    <w:rsid w:val="001D2C16"/>
    <w:rsid w:val="001D415F"/>
    <w:rsid w:val="001F1483"/>
    <w:rsid w:val="001F73CF"/>
    <w:rsid w:val="0020578C"/>
    <w:rsid w:val="0022515A"/>
    <w:rsid w:val="00226294"/>
    <w:rsid w:val="002377D7"/>
    <w:rsid w:val="00244BAF"/>
    <w:rsid w:val="00250008"/>
    <w:rsid w:val="0025641E"/>
    <w:rsid w:val="002713EF"/>
    <w:rsid w:val="00284198"/>
    <w:rsid w:val="00296772"/>
    <w:rsid w:val="00297004"/>
    <w:rsid w:val="002A4060"/>
    <w:rsid w:val="002A5622"/>
    <w:rsid w:val="002B1C8C"/>
    <w:rsid w:val="002B5406"/>
    <w:rsid w:val="002C09FA"/>
    <w:rsid w:val="002E0AF4"/>
    <w:rsid w:val="002E4359"/>
    <w:rsid w:val="002F7E91"/>
    <w:rsid w:val="0032691F"/>
    <w:rsid w:val="00347FAB"/>
    <w:rsid w:val="00350AC9"/>
    <w:rsid w:val="00371C06"/>
    <w:rsid w:val="00382513"/>
    <w:rsid w:val="003A1D2A"/>
    <w:rsid w:val="003C2DF6"/>
    <w:rsid w:val="003F42C7"/>
    <w:rsid w:val="003F4A2E"/>
    <w:rsid w:val="004007EE"/>
    <w:rsid w:val="004336DF"/>
    <w:rsid w:val="00463FD1"/>
    <w:rsid w:val="00482EFB"/>
    <w:rsid w:val="0048643F"/>
    <w:rsid w:val="004B4EED"/>
    <w:rsid w:val="004B67B6"/>
    <w:rsid w:val="004C5F2B"/>
    <w:rsid w:val="004E0628"/>
    <w:rsid w:val="004F1334"/>
    <w:rsid w:val="0051641B"/>
    <w:rsid w:val="00521ABF"/>
    <w:rsid w:val="00523B51"/>
    <w:rsid w:val="0053046B"/>
    <w:rsid w:val="00545E8A"/>
    <w:rsid w:val="00552751"/>
    <w:rsid w:val="00555886"/>
    <w:rsid w:val="00580A52"/>
    <w:rsid w:val="00586FB8"/>
    <w:rsid w:val="00591F59"/>
    <w:rsid w:val="005927CB"/>
    <w:rsid w:val="00593805"/>
    <w:rsid w:val="00594F01"/>
    <w:rsid w:val="00595A9C"/>
    <w:rsid w:val="00596A35"/>
    <w:rsid w:val="005A6948"/>
    <w:rsid w:val="005B33B8"/>
    <w:rsid w:val="005C5CA4"/>
    <w:rsid w:val="005D23E4"/>
    <w:rsid w:val="005E41BA"/>
    <w:rsid w:val="005F0368"/>
    <w:rsid w:val="005F0CC0"/>
    <w:rsid w:val="00601C5E"/>
    <w:rsid w:val="00602C70"/>
    <w:rsid w:val="0061103B"/>
    <w:rsid w:val="00615707"/>
    <w:rsid w:val="00620954"/>
    <w:rsid w:val="00620CD6"/>
    <w:rsid w:val="006448C5"/>
    <w:rsid w:val="00654DCD"/>
    <w:rsid w:val="00655C05"/>
    <w:rsid w:val="00674079"/>
    <w:rsid w:val="00682309"/>
    <w:rsid w:val="00685F14"/>
    <w:rsid w:val="00687211"/>
    <w:rsid w:val="006A16FD"/>
    <w:rsid w:val="006A3BE1"/>
    <w:rsid w:val="006B6C23"/>
    <w:rsid w:val="006C30C8"/>
    <w:rsid w:val="006E4BD6"/>
    <w:rsid w:val="006F5561"/>
    <w:rsid w:val="00701381"/>
    <w:rsid w:val="00734583"/>
    <w:rsid w:val="00753E05"/>
    <w:rsid w:val="00763273"/>
    <w:rsid w:val="0078691C"/>
    <w:rsid w:val="007B744B"/>
    <w:rsid w:val="007C001C"/>
    <w:rsid w:val="007D4B71"/>
    <w:rsid w:val="007D75D5"/>
    <w:rsid w:val="007E493B"/>
    <w:rsid w:val="007E5309"/>
    <w:rsid w:val="007E6A70"/>
    <w:rsid w:val="008018BE"/>
    <w:rsid w:val="008138B0"/>
    <w:rsid w:val="00820B62"/>
    <w:rsid w:val="00830896"/>
    <w:rsid w:val="00833C93"/>
    <w:rsid w:val="00847EF6"/>
    <w:rsid w:val="00855790"/>
    <w:rsid w:val="00873C79"/>
    <w:rsid w:val="008763DF"/>
    <w:rsid w:val="00876FC7"/>
    <w:rsid w:val="008966CD"/>
    <w:rsid w:val="008C0D26"/>
    <w:rsid w:val="008D7680"/>
    <w:rsid w:val="009007D3"/>
    <w:rsid w:val="00902A4A"/>
    <w:rsid w:val="009034E5"/>
    <w:rsid w:val="00906352"/>
    <w:rsid w:val="009147FE"/>
    <w:rsid w:val="0091722D"/>
    <w:rsid w:val="00922BFC"/>
    <w:rsid w:val="00924067"/>
    <w:rsid w:val="0092519B"/>
    <w:rsid w:val="00927E10"/>
    <w:rsid w:val="00937D76"/>
    <w:rsid w:val="00940B37"/>
    <w:rsid w:val="0094551A"/>
    <w:rsid w:val="00945B60"/>
    <w:rsid w:val="009522E4"/>
    <w:rsid w:val="00956CF4"/>
    <w:rsid w:val="00970E4D"/>
    <w:rsid w:val="00971025"/>
    <w:rsid w:val="00973D58"/>
    <w:rsid w:val="009A388C"/>
    <w:rsid w:val="009A40AB"/>
    <w:rsid w:val="009A5ED2"/>
    <w:rsid w:val="009A710D"/>
    <w:rsid w:val="009D23C4"/>
    <w:rsid w:val="009D4E53"/>
    <w:rsid w:val="009E138D"/>
    <w:rsid w:val="00A133D3"/>
    <w:rsid w:val="00A21506"/>
    <w:rsid w:val="00A44535"/>
    <w:rsid w:val="00A52344"/>
    <w:rsid w:val="00A701E3"/>
    <w:rsid w:val="00A94EE1"/>
    <w:rsid w:val="00A95E8F"/>
    <w:rsid w:val="00A960C9"/>
    <w:rsid w:val="00AA4356"/>
    <w:rsid w:val="00AA78A4"/>
    <w:rsid w:val="00AB1A26"/>
    <w:rsid w:val="00AB29F6"/>
    <w:rsid w:val="00AB4696"/>
    <w:rsid w:val="00AD2E77"/>
    <w:rsid w:val="00AD6714"/>
    <w:rsid w:val="00AE06EB"/>
    <w:rsid w:val="00AE10F7"/>
    <w:rsid w:val="00B02A0D"/>
    <w:rsid w:val="00B03573"/>
    <w:rsid w:val="00B1383B"/>
    <w:rsid w:val="00B1384D"/>
    <w:rsid w:val="00B14DB1"/>
    <w:rsid w:val="00B21414"/>
    <w:rsid w:val="00B22270"/>
    <w:rsid w:val="00B27A91"/>
    <w:rsid w:val="00B47462"/>
    <w:rsid w:val="00B579FD"/>
    <w:rsid w:val="00B6138C"/>
    <w:rsid w:val="00B63D95"/>
    <w:rsid w:val="00B72BC9"/>
    <w:rsid w:val="00BA0AE3"/>
    <w:rsid w:val="00BA31B6"/>
    <w:rsid w:val="00BA5071"/>
    <w:rsid w:val="00BB1CA4"/>
    <w:rsid w:val="00BB69A6"/>
    <w:rsid w:val="00BB7768"/>
    <w:rsid w:val="00BC2F47"/>
    <w:rsid w:val="00BD6816"/>
    <w:rsid w:val="00BD7B43"/>
    <w:rsid w:val="00C032E9"/>
    <w:rsid w:val="00C151A3"/>
    <w:rsid w:val="00C156B7"/>
    <w:rsid w:val="00C46767"/>
    <w:rsid w:val="00C5081C"/>
    <w:rsid w:val="00C53876"/>
    <w:rsid w:val="00C542B5"/>
    <w:rsid w:val="00C7009B"/>
    <w:rsid w:val="00C7139B"/>
    <w:rsid w:val="00CA3866"/>
    <w:rsid w:val="00CB5502"/>
    <w:rsid w:val="00CC19BB"/>
    <w:rsid w:val="00CD66A5"/>
    <w:rsid w:val="00CE003E"/>
    <w:rsid w:val="00CE120D"/>
    <w:rsid w:val="00D01880"/>
    <w:rsid w:val="00D10F26"/>
    <w:rsid w:val="00D116CB"/>
    <w:rsid w:val="00D2118C"/>
    <w:rsid w:val="00D72EB3"/>
    <w:rsid w:val="00D80EC8"/>
    <w:rsid w:val="00D86249"/>
    <w:rsid w:val="00D94976"/>
    <w:rsid w:val="00DB2595"/>
    <w:rsid w:val="00DC7277"/>
    <w:rsid w:val="00DC7343"/>
    <w:rsid w:val="00DC77D5"/>
    <w:rsid w:val="00DD32F9"/>
    <w:rsid w:val="00DE4A8A"/>
    <w:rsid w:val="00DF4B28"/>
    <w:rsid w:val="00E22A20"/>
    <w:rsid w:val="00E23DCE"/>
    <w:rsid w:val="00E24CED"/>
    <w:rsid w:val="00E25980"/>
    <w:rsid w:val="00E33B5E"/>
    <w:rsid w:val="00E357D0"/>
    <w:rsid w:val="00E35C89"/>
    <w:rsid w:val="00E52D79"/>
    <w:rsid w:val="00E67AAA"/>
    <w:rsid w:val="00E742FE"/>
    <w:rsid w:val="00EC2751"/>
    <w:rsid w:val="00EC6557"/>
    <w:rsid w:val="00ED44E7"/>
    <w:rsid w:val="00EE4317"/>
    <w:rsid w:val="00EE4626"/>
    <w:rsid w:val="00EF3244"/>
    <w:rsid w:val="00EF558D"/>
    <w:rsid w:val="00EF5841"/>
    <w:rsid w:val="00F04B26"/>
    <w:rsid w:val="00F16D79"/>
    <w:rsid w:val="00F266C7"/>
    <w:rsid w:val="00F32BC4"/>
    <w:rsid w:val="00F37428"/>
    <w:rsid w:val="00F47497"/>
    <w:rsid w:val="00F51290"/>
    <w:rsid w:val="00F56314"/>
    <w:rsid w:val="00F61295"/>
    <w:rsid w:val="00F64C7A"/>
    <w:rsid w:val="00F67BAC"/>
    <w:rsid w:val="00F718E6"/>
    <w:rsid w:val="00FA2139"/>
    <w:rsid w:val="00FB53CC"/>
    <w:rsid w:val="00FC26D9"/>
    <w:rsid w:val="00FC3233"/>
    <w:rsid w:val="00FC53E7"/>
    <w:rsid w:val="00FD73B4"/>
    <w:rsid w:val="00FE24C4"/>
    <w:rsid w:val="00FE7855"/>
    <w:rsid w:val="00FF1BDF"/>
    <w:rsid w:val="00FF50DD"/>
    <w:rsid w:val="00FF58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locked="1" w:semiHidden="0" w:uiPriority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EE4626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E4626"/>
    <w:pPr>
      <w:keepNext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E4626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EE4626"/>
    <w:pPr>
      <w:keepNext/>
      <w:numPr>
        <w:numId w:val="1"/>
      </w:numPr>
      <w:tabs>
        <w:tab w:val="num" w:pos="720"/>
      </w:tabs>
      <w:ind w:hanging="108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EE4626"/>
    <w:pPr>
      <w:keepNext/>
      <w:numPr>
        <w:numId w:val="2"/>
      </w:numPr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EE4626"/>
    <w:pPr>
      <w:keepNext/>
      <w:ind w:left="720"/>
      <w:jc w:val="both"/>
      <w:outlineLvl w:val="4"/>
    </w:pPr>
    <w:rPr>
      <w:b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EE4626"/>
    <w:pPr>
      <w:keepNext/>
      <w:tabs>
        <w:tab w:val="left" w:pos="2970"/>
      </w:tabs>
      <w:jc w:val="center"/>
      <w:outlineLvl w:val="5"/>
    </w:pPr>
    <w:rPr>
      <w:b/>
      <w:bCs/>
      <w:iCs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E4626"/>
    <w:pPr>
      <w:keepNext/>
      <w:outlineLvl w:val="6"/>
    </w:pPr>
    <w:rPr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38B0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138B0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138B0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138B0"/>
    <w:rPr>
      <w:b/>
      <w:bCs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138B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138B0"/>
    <w:rPr>
      <w:rFonts w:ascii="Calibri" w:hAnsi="Calibri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138B0"/>
    <w:rPr>
      <w:rFonts w:ascii="Calibri" w:hAnsi="Calibri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EE462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138B0"/>
    <w:rPr>
      <w:rFonts w:cs="Times New Roman"/>
      <w:sz w:val="24"/>
      <w:szCs w:val="24"/>
      <w:lang w:eastAsia="en-US"/>
    </w:rPr>
  </w:style>
  <w:style w:type="character" w:styleId="PageNumber">
    <w:name w:val="page number"/>
    <w:basedOn w:val="DefaultParagraphFont"/>
    <w:rsid w:val="00EE4626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EE4626"/>
    <w:pPr>
      <w:ind w:left="360"/>
    </w:pPr>
    <w:rPr>
      <w:iCs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138B0"/>
    <w:rPr>
      <w:rFonts w:cs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EE4626"/>
    <w:pPr>
      <w:ind w:left="720"/>
      <w:jc w:val="both"/>
    </w:pPr>
    <w:rPr>
      <w:bCs/>
      <w:iCs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138B0"/>
    <w:rPr>
      <w:rFonts w:cs="Times New Roman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EE4626"/>
    <w:pPr>
      <w:ind w:left="360"/>
      <w:jc w:val="both"/>
    </w:pPr>
    <w:rPr>
      <w:i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8138B0"/>
    <w:rPr>
      <w:rFonts w:cs="Times New Roman"/>
      <w:sz w:val="16"/>
      <w:szCs w:val="16"/>
      <w:lang w:eastAsia="en-US"/>
    </w:rPr>
  </w:style>
  <w:style w:type="paragraph" w:customStyle="1" w:styleId="Hangingindent1">
    <w:name w:val="Hanging indent 1"/>
    <w:basedOn w:val="Normal"/>
    <w:uiPriority w:val="99"/>
    <w:rsid w:val="00EE462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160" w:lineRule="atLeast"/>
      <w:ind w:left="720" w:hanging="720"/>
      <w:jc w:val="both"/>
    </w:pPr>
    <w:rPr>
      <w:rFonts w:ascii="Courier" w:hAnsi="Courier"/>
      <w:sz w:val="22"/>
      <w:szCs w:val="20"/>
      <w:lang w:val="en-US"/>
    </w:rPr>
  </w:style>
  <w:style w:type="paragraph" w:customStyle="1" w:styleId="2-col-note">
    <w:name w:val="2-col-note"/>
    <w:basedOn w:val="Normal"/>
    <w:uiPriority w:val="99"/>
    <w:rsid w:val="00AB1A26"/>
    <w:pPr>
      <w:widowControl w:val="0"/>
      <w:tabs>
        <w:tab w:val="right" w:pos="6120"/>
        <w:tab w:val="decimal" w:pos="7200"/>
        <w:tab w:val="decimal" w:pos="9000"/>
        <w:tab w:val="decimal" w:pos="11952"/>
      </w:tabs>
      <w:spacing w:line="240" w:lineRule="atLeast"/>
      <w:jc w:val="both"/>
    </w:pPr>
    <w:rPr>
      <w:sz w:val="22"/>
      <w:szCs w:val="20"/>
    </w:rPr>
  </w:style>
  <w:style w:type="paragraph" w:styleId="BalloonText">
    <w:name w:val="Balloon Text"/>
    <w:basedOn w:val="Normal"/>
    <w:link w:val="BalloonTextChar"/>
    <w:uiPriority w:val="99"/>
    <w:rsid w:val="00AB29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B29F6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0B10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0357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03573"/>
    <w:rPr>
      <w:rFonts w:cs="Times New Roman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locked/>
    <w:rsid w:val="00B03573"/>
    <w:pPr>
      <w:jc w:val="center"/>
    </w:pPr>
    <w:rPr>
      <w:rFonts w:ascii="Copperplate Gothic Bold" w:hAnsi="Copperplate Gothic Bold"/>
      <w:color w:val="800080"/>
      <w:sz w:val="48"/>
      <w:szCs w:val="20"/>
      <w:lang w:eastAsia="en-GB"/>
    </w:rPr>
  </w:style>
  <w:style w:type="character" w:customStyle="1" w:styleId="TitleChar">
    <w:name w:val="Title Char"/>
    <w:basedOn w:val="DefaultParagraphFont"/>
    <w:link w:val="Title"/>
    <w:locked/>
    <w:rsid w:val="00B03573"/>
    <w:rPr>
      <w:rFonts w:ascii="Copperplate Gothic Bold" w:hAnsi="Copperplate Gothic Bold" w:cs="Times New Roman"/>
      <w:color w:val="800080"/>
      <w:sz w:val="48"/>
    </w:rPr>
  </w:style>
  <w:style w:type="paragraph" w:customStyle="1" w:styleId="Default">
    <w:name w:val="Default"/>
    <w:rsid w:val="00F5631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746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Waiting Times Centre Board</vt:lpstr>
    </vt:vector>
  </TitlesOfParts>
  <Company>GJNH</Company>
  <LinksUpToDate>false</LinksUpToDate>
  <CharactersWithSpaces>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Waiting Times Centre Board</dc:title>
  <dc:creator>National Waiting Times Centre</dc:creator>
  <cp:lastModifiedBy>McGuinnessC1</cp:lastModifiedBy>
  <cp:revision>5</cp:revision>
  <cp:lastPrinted>2018-06-14T15:50:00Z</cp:lastPrinted>
  <dcterms:created xsi:type="dcterms:W3CDTF">2018-06-14T15:44:00Z</dcterms:created>
  <dcterms:modified xsi:type="dcterms:W3CDTF">2018-06-14T18:31:00Z</dcterms:modified>
</cp:coreProperties>
</file>