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8A3661" w:rsidP="00895207">
      <w:pPr>
        <w:shd w:val="clear" w:color="auto" w:fill="E0E0E0"/>
        <w:spacing w:after="120"/>
        <w:jc w:val="center"/>
        <w:rPr>
          <w:rFonts w:ascii="Arial" w:hAnsi="Arial" w:cs="Arial"/>
          <w:b/>
          <w:sz w:val="32"/>
          <w:szCs w:val="32"/>
        </w:rPr>
      </w:pPr>
      <w:r>
        <w:rPr>
          <w:rFonts w:ascii="Arial" w:hAnsi="Arial" w:cs="Arial"/>
          <w:b/>
          <w:sz w:val="32"/>
          <w:szCs w:val="32"/>
        </w:rPr>
        <w:t>December</w:t>
      </w:r>
      <w:r w:rsidR="00782EDA">
        <w:rPr>
          <w:rFonts w:ascii="Arial" w:hAnsi="Arial" w:cs="Arial"/>
          <w:b/>
          <w:sz w:val="32"/>
          <w:szCs w:val="32"/>
        </w:rPr>
        <w:t xml:space="preserve"> </w:t>
      </w:r>
      <w:r w:rsidR="00E747C2">
        <w:rPr>
          <w:rFonts w:ascii="Arial" w:hAnsi="Arial" w:cs="Arial"/>
          <w:b/>
          <w:sz w:val="32"/>
          <w:szCs w:val="32"/>
        </w:rPr>
        <w:t>2017 data</w:t>
      </w:r>
    </w:p>
    <w:p w:rsidR="00E747C2" w:rsidRDefault="00541CEE" w:rsidP="00F0136C">
      <w:pPr>
        <w:jc w:val="center"/>
        <w:rPr>
          <w:rFonts w:ascii="Arial" w:hAnsi="Arial" w:cs="Arial"/>
          <w:b/>
        </w:rPr>
      </w:pPr>
      <w:r w:rsidRPr="00541CEE">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50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121752" w:rsidRDefault="00121752"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121752" w:rsidRPr="00782EDA" w:rsidRDefault="00121752" w:rsidP="00782EDA">
                  <w:pPr>
                    <w:pStyle w:val="ListParagraph"/>
                    <w:numPr>
                      <w:ilvl w:val="0"/>
                      <w:numId w:val="42"/>
                    </w:numPr>
                    <w:ind w:hanging="294"/>
                    <w:rPr>
                      <w:rFonts w:ascii="Arial" w:hAnsi="Arial" w:cs="Arial"/>
                      <w:sz w:val="20"/>
                      <w:szCs w:val="20"/>
                    </w:rPr>
                  </w:pPr>
                  <w:r w:rsidRPr="009107A6">
                    <w:rPr>
                      <w:rFonts w:ascii="Arial" w:hAnsi="Arial" w:cs="Arial"/>
                      <w:b/>
                      <w:i/>
                      <w:iCs/>
                      <w:sz w:val="22"/>
                      <w:szCs w:val="22"/>
                    </w:rPr>
                    <w:t>Staphylococcus aureus</w:t>
                  </w:r>
                  <w:r w:rsidRPr="009107A6">
                    <w:rPr>
                      <w:rFonts w:ascii="Arial" w:hAnsi="Arial" w:cs="Arial"/>
                      <w:b/>
                      <w:sz w:val="22"/>
                      <w:szCs w:val="22"/>
                    </w:rPr>
                    <w:t xml:space="preserve"> Bacteraemia</w:t>
                  </w:r>
                  <w:r>
                    <w:rPr>
                      <w:rFonts w:ascii="Arial" w:hAnsi="Arial" w:cs="Arial"/>
                      <w:sz w:val="22"/>
                      <w:szCs w:val="22"/>
                    </w:rPr>
                    <w:t>- 1 SAB to report ICU2/CCU.SAB investigation underway to determine source.</w:t>
                  </w:r>
                </w:p>
                <w:p w:rsidR="00121752" w:rsidRPr="009107A6" w:rsidRDefault="00121752" w:rsidP="00782EDA">
                  <w:pPr>
                    <w:pStyle w:val="ListParagraph"/>
                    <w:rPr>
                      <w:rFonts w:ascii="Arial" w:hAnsi="Arial" w:cs="Arial"/>
                      <w:sz w:val="20"/>
                      <w:szCs w:val="20"/>
                    </w:rPr>
                  </w:pPr>
                </w:p>
                <w:p w:rsidR="00121752" w:rsidRDefault="00121752" w:rsidP="00957924">
                  <w:pPr>
                    <w:pStyle w:val="ListParagraph"/>
                    <w:numPr>
                      <w:ilvl w:val="0"/>
                      <w:numId w:val="45"/>
                    </w:numPr>
                    <w:ind w:hanging="294"/>
                    <w:rPr>
                      <w:rFonts w:ascii="Arial" w:hAnsi="Arial" w:cs="Arial"/>
                      <w:sz w:val="22"/>
                      <w:szCs w:val="22"/>
                    </w:rPr>
                  </w:pPr>
                  <w:r w:rsidRPr="0087254F">
                    <w:rPr>
                      <w:rFonts w:ascii="Arial" w:hAnsi="Arial" w:cs="Arial"/>
                      <w:b/>
                      <w:i/>
                      <w:iCs/>
                      <w:sz w:val="22"/>
                      <w:szCs w:val="22"/>
                    </w:rPr>
                    <w:t xml:space="preserve">Clostridium difficile </w:t>
                  </w:r>
                  <w:r w:rsidRPr="0087254F">
                    <w:rPr>
                      <w:rFonts w:ascii="Arial" w:hAnsi="Arial" w:cs="Arial"/>
                      <w:b/>
                      <w:sz w:val="22"/>
                      <w:szCs w:val="22"/>
                    </w:rPr>
                    <w:t>infection</w:t>
                  </w:r>
                  <w:r w:rsidRPr="0087254F">
                    <w:rPr>
                      <w:rFonts w:ascii="Arial" w:hAnsi="Arial" w:cs="Arial"/>
                      <w:sz w:val="22"/>
                      <w:szCs w:val="22"/>
                    </w:rPr>
                    <w:t xml:space="preserve">- No CDI to report. </w:t>
                  </w:r>
                </w:p>
                <w:p w:rsidR="00121752" w:rsidRPr="0087254F" w:rsidRDefault="00121752" w:rsidP="00957924">
                  <w:pPr>
                    <w:pStyle w:val="ListParagraph"/>
                    <w:ind w:hanging="294"/>
                    <w:rPr>
                      <w:rFonts w:ascii="Arial" w:hAnsi="Arial" w:cs="Arial"/>
                      <w:sz w:val="22"/>
                      <w:szCs w:val="22"/>
                    </w:rPr>
                  </w:pPr>
                </w:p>
                <w:p w:rsidR="00121752" w:rsidRPr="00E426D8" w:rsidRDefault="00121752" w:rsidP="00E426D8">
                  <w:pPr>
                    <w:pStyle w:val="ListParagraph"/>
                    <w:numPr>
                      <w:ilvl w:val="0"/>
                      <w:numId w:val="45"/>
                    </w:numPr>
                    <w:rPr>
                      <w:rFonts w:ascii="Arial" w:hAnsi="Arial" w:cs="Arial"/>
                      <w:color w:val="000000" w:themeColor="text1"/>
                      <w:sz w:val="22"/>
                      <w:szCs w:val="22"/>
                    </w:rPr>
                  </w:pPr>
                  <w:r w:rsidRPr="00E426D8">
                    <w:rPr>
                      <w:rFonts w:ascii="Arial" w:hAnsi="Arial" w:cs="Arial"/>
                      <w:b/>
                      <w:sz w:val="22"/>
                      <w:szCs w:val="22"/>
                    </w:rPr>
                    <w:t>Hand Hygiene</w:t>
                  </w:r>
                  <w:r w:rsidRPr="00E426D8">
                    <w:rPr>
                      <w:rFonts w:ascii="Arial" w:hAnsi="Arial" w:cs="Arial"/>
                      <w:sz w:val="22"/>
                      <w:szCs w:val="22"/>
                    </w:rPr>
                    <w:t xml:space="preserve">- </w:t>
                  </w:r>
                  <w:r w:rsidRPr="00E426D8">
                    <w:rPr>
                      <w:rFonts w:ascii="Arial" w:hAnsi="Arial" w:cs="Arial"/>
                      <w:color w:val="000000" w:themeColor="text1"/>
                      <w:sz w:val="22"/>
                      <w:szCs w:val="22"/>
                    </w:rPr>
                    <w:t>The bimonthly report from November demonstrates a Board compliance rate of 97%. Medical staff compliance has dropped to 91%</w:t>
                  </w:r>
                  <w:r>
                    <w:rPr>
                      <w:rFonts w:ascii="Arial" w:hAnsi="Arial" w:cs="Arial"/>
                      <w:color w:val="000000" w:themeColor="text1"/>
                      <w:sz w:val="22"/>
                      <w:szCs w:val="22"/>
                    </w:rPr>
                    <w:t>-</w:t>
                  </w:r>
                  <w:r w:rsidRPr="00E426D8">
                    <w:rPr>
                      <w:rFonts w:ascii="Arial" w:hAnsi="Arial" w:cs="Arial"/>
                      <w:color w:val="000000" w:themeColor="text1"/>
                      <w:sz w:val="22"/>
                      <w:szCs w:val="22"/>
                    </w:rPr>
                    <w:t xml:space="preserve"> non compliance with both opportunity and technique. The Medical Director has provided clear communication to staff re expectations with bare below elbow in November.</w:t>
                  </w:r>
                </w:p>
                <w:p w:rsidR="00121752" w:rsidRPr="00782EDA" w:rsidRDefault="00121752" w:rsidP="00782EDA">
                  <w:pPr>
                    <w:pStyle w:val="ListParagraph"/>
                    <w:rPr>
                      <w:rFonts w:ascii="Arial" w:hAnsi="Arial" w:cs="Arial"/>
                      <w:b/>
                      <w:sz w:val="22"/>
                      <w:szCs w:val="22"/>
                    </w:rPr>
                  </w:pPr>
                </w:p>
                <w:p w:rsidR="00121752" w:rsidRPr="00B2436B" w:rsidRDefault="00121752" w:rsidP="00957924">
                  <w:pPr>
                    <w:pStyle w:val="ListParagraph"/>
                    <w:numPr>
                      <w:ilvl w:val="0"/>
                      <w:numId w:val="42"/>
                    </w:numPr>
                    <w:ind w:hanging="294"/>
                    <w:rPr>
                      <w:rFonts w:ascii="Arial" w:hAnsi="Arial" w:cs="Arial"/>
                      <w:b/>
                      <w:sz w:val="22"/>
                      <w:szCs w:val="22"/>
                    </w:rPr>
                  </w:pPr>
                  <w:r w:rsidRPr="001941A8">
                    <w:rPr>
                      <w:rFonts w:ascii="Arial" w:hAnsi="Arial" w:cs="Arial"/>
                      <w:b/>
                      <w:sz w:val="22"/>
                      <w:szCs w:val="22"/>
                    </w:rPr>
                    <w:t xml:space="preserve">Cleaning and the </w:t>
                  </w:r>
                  <w:r w:rsidRPr="00B2436B">
                    <w:rPr>
                      <w:rFonts w:ascii="Arial" w:hAnsi="Arial" w:cs="Arial"/>
                      <w:b/>
                      <w:sz w:val="22"/>
                      <w:szCs w:val="22"/>
                    </w:rPr>
                    <w:t>Healthcare Environment- Facilities Management Tool</w:t>
                  </w:r>
                </w:p>
                <w:p w:rsidR="00121752" w:rsidRDefault="00121752" w:rsidP="00716751">
                  <w:pPr>
                    <w:pStyle w:val="ListParagraph"/>
                    <w:ind w:hanging="11"/>
                    <w:rPr>
                      <w:rFonts w:ascii="Arial" w:hAnsi="Arial" w:cs="Arial"/>
                      <w:sz w:val="22"/>
                      <w:szCs w:val="22"/>
                    </w:rPr>
                  </w:pPr>
                  <w:r w:rsidRPr="00B2436B">
                    <w:rPr>
                      <w:rFonts w:ascii="Arial" w:hAnsi="Arial" w:cs="Arial"/>
                      <w:b/>
                      <w:sz w:val="22"/>
                      <w:szCs w:val="22"/>
                    </w:rPr>
                    <w:t>Housekeeping Compliance:</w:t>
                  </w:r>
                  <w:r>
                    <w:rPr>
                      <w:rFonts w:ascii="Arial" w:hAnsi="Arial" w:cs="Arial"/>
                      <w:b/>
                      <w:sz w:val="22"/>
                      <w:szCs w:val="22"/>
                    </w:rPr>
                    <w:t xml:space="preserve"> </w:t>
                  </w:r>
                  <w:r w:rsidRPr="00ED6114">
                    <w:rPr>
                      <w:rFonts w:ascii="Arial" w:hAnsi="Arial" w:cs="Arial"/>
                      <w:sz w:val="22"/>
                      <w:szCs w:val="22"/>
                    </w:rPr>
                    <w:t>98.66</w:t>
                  </w:r>
                  <w:r w:rsidRPr="00181438">
                    <w:rPr>
                      <w:rFonts w:ascii="Arial" w:hAnsi="Arial" w:cs="Arial"/>
                      <w:sz w:val="22"/>
                      <w:szCs w:val="22"/>
                    </w:rPr>
                    <w:t>%</w:t>
                  </w:r>
                  <w:r w:rsidRPr="00B2436B">
                    <w:rPr>
                      <w:rFonts w:ascii="Arial" w:hAnsi="Arial" w:cs="Arial"/>
                      <w:sz w:val="22"/>
                      <w:szCs w:val="22"/>
                    </w:rPr>
                    <w:t xml:space="preserve">   </w:t>
                  </w:r>
                  <w:r w:rsidRPr="00B2436B">
                    <w:rPr>
                      <w:rFonts w:ascii="Arial" w:hAnsi="Arial" w:cs="Arial"/>
                      <w:b/>
                      <w:sz w:val="22"/>
                      <w:szCs w:val="22"/>
                    </w:rPr>
                    <w:t>Estates Compliance:</w:t>
                  </w:r>
                  <w:r w:rsidRPr="00B2436B">
                    <w:rPr>
                      <w:rFonts w:ascii="Arial" w:hAnsi="Arial" w:cs="Arial"/>
                      <w:sz w:val="22"/>
                      <w:szCs w:val="22"/>
                    </w:rPr>
                    <w:t xml:space="preserve"> </w:t>
                  </w:r>
                  <w:r>
                    <w:rPr>
                      <w:rFonts w:ascii="Arial" w:hAnsi="Arial" w:cs="Arial"/>
                      <w:sz w:val="22"/>
                      <w:szCs w:val="22"/>
                    </w:rPr>
                    <w:t>99.52%</w:t>
                  </w:r>
                </w:p>
                <w:p w:rsidR="00121752" w:rsidRPr="001941A8" w:rsidRDefault="00121752" w:rsidP="00957924">
                  <w:pPr>
                    <w:pStyle w:val="ListParagraph"/>
                    <w:ind w:hanging="294"/>
                    <w:rPr>
                      <w:rFonts w:ascii="Arial" w:hAnsi="Arial" w:cs="Arial"/>
                      <w:sz w:val="22"/>
                      <w:szCs w:val="22"/>
                    </w:rPr>
                  </w:pPr>
                </w:p>
                <w:p w:rsidR="00121752" w:rsidRPr="00181438" w:rsidRDefault="00121752" w:rsidP="00957924">
                  <w:pPr>
                    <w:pStyle w:val="ListParagraph"/>
                    <w:numPr>
                      <w:ilvl w:val="0"/>
                      <w:numId w:val="42"/>
                    </w:numPr>
                    <w:ind w:hanging="294"/>
                    <w:rPr>
                      <w:rFonts w:ascii="Arial" w:hAnsi="Arial" w:cs="Arial"/>
                      <w:b/>
                      <w:sz w:val="22"/>
                      <w:szCs w:val="22"/>
                    </w:rPr>
                  </w:pPr>
                  <w:r w:rsidRPr="008060A4">
                    <w:rPr>
                      <w:rFonts w:ascii="Arial" w:hAnsi="Arial" w:cs="Arial"/>
                      <w:b/>
                      <w:sz w:val="22"/>
                      <w:szCs w:val="22"/>
                    </w:rPr>
                    <w:t>Surgical Site Infection</w:t>
                  </w:r>
                  <w:r w:rsidRPr="008060A4">
                    <w:rPr>
                      <w:rFonts w:ascii="Arial" w:hAnsi="Arial" w:cs="Arial"/>
                      <w:sz w:val="22"/>
                      <w:szCs w:val="22"/>
                    </w:rPr>
                    <w:t xml:space="preserve">- </w:t>
                  </w:r>
                </w:p>
                <w:p w:rsidR="00121752" w:rsidRPr="00972118" w:rsidRDefault="00121752" w:rsidP="00972118">
                  <w:pPr>
                    <w:pStyle w:val="ListParagraph"/>
                    <w:ind w:hanging="11"/>
                    <w:rPr>
                      <w:rFonts w:ascii="Arial" w:hAnsi="Arial" w:cs="Arial"/>
                      <w:sz w:val="22"/>
                      <w:szCs w:val="22"/>
                    </w:rPr>
                  </w:pPr>
                  <w:r w:rsidRPr="00972118">
                    <w:rPr>
                      <w:rFonts w:ascii="Arial" w:hAnsi="Arial" w:cs="Arial"/>
                      <w:sz w:val="22"/>
                      <w:szCs w:val="22"/>
                    </w:rPr>
                    <w:t>Cardiac, CABG, Hip and Knee replacement SSI rates are within control limits.</w:t>
                  </w:r>
                </w:p>
                <w:p w:rsidR="00121752" w:rsidRDefault="00121752" w:rsidP="00260F12">
                  <w:pPr>
                    <w:pStyle w:val="ListParagraph"/>
                    <w:ind w:hanging="11"/>
                    <w:rPr>
                      <w:rFonts w:ascii="Arial" w:hAnsi="Arial" w:cs="Arial"/>
                      <w:sz w:val="22"/>
                      <w:szCs w:val="22"/>
                    </w:rPr>
                  </w:pPr>
                </w:p>
                <w:p w:rsidR="00121752" w:rsidRPr="003F5F17" w:rsidRDefault="00121752" w:rsidP="00260F12">
                  <w:pPr>
                    <w:pStyle w:val="ListParagraph"/>
                    <w:ind w:hanging="11"/>
                    <w:rPr>
                      <w:rFonts w:ascii="Arial" w:hAnsi="Arial" w:cs="Arial"/>
                      <w:sz w:val="22"/>
                      <w:szCs w:val="22"/>
                    </w:rPr>
                  </w:pPr>
                  <w:r w:rsidRPr="003F5F17">
                    <w:rPr>
                      <w:rFonts w:ascii="Arial" w:hAnsi="Arial" w:cs="Arial"/>
                      <w:sz w:val="22"/>
                      <w:szCs w:val="22"/>
                    </w:rPr>
                    <w:t>In accordance with HPS SSI protocol 7</w:t>
                  </w:r>
                  <w:r w:rsidRPr="003F5F17">
                    <w:rPr>
                      <w:rFonts w:ascii="Arial" w:hAnsi="Arial" w:cs="Arial"/>
                      <w:sz w:val="22"/>
                      <w:szCs w:val="22"/>
                      <w:vertAlign w:val="superscript"/>
                    </w:rPr>
                    <w:t>th</w:t>
                  </w:r>
                  <w:r w:rsidRPr="003F5F17">
                    <w:rPr>
                      <w:rFonts w:ascii="Arial" w:hAnsi="Arial" w:cs="Arial"/>
                      <w:sz w:val="22"/>
                      <w:szCs w:val="22"/>
                    </w:rPr>
                    <w:t xml:space="preserve"> edition, from Jan 18 there will be some key changes on how our local SSI data is reported. Previously when a SSI was noted the wound class would be recorded as how it first presented. However, a superficial infection may develop into a deep infection; therefore </w:t>
                  </w:r>
                  <w:r>
                    <w:rPr>
                      <w:rFonts w:ascii="Arial" w:hAnsi="Arial" w:cs="Arial"/>
                      <w:sz w:val="22"/>
                      <w:szCs w:val="22"/>
                    </w:rPr>
                    <w:t>wound type surveillance will now be</w:t>
                  </w:r>
                  <w:r w:rsidRPr="003F5F17">
                    <w:rPr>
                      <w:rFonts w:ascii="Arial" w:hAnsi="Arial" w:cs="Arial"/>
                      <w:sz w:val="22"/>
                      <w:szCs w:val="22"/>
                    </w:rPr>
                    <w:t xml:space="preserve"> continued to the end of the surveillance </w:t>
                  </w:r>
                  <w:r>
                    <w:rPr>
                      <w:rFonts w:ascii="Arial" w:hAnsi="Arial" w:cs="Arial"/>
                      <w:sz w:val="22"/>
                      <w:szCs w:val="22"/>
                    </w:rPr>
                    <w:t xml:space="preserve">30 day </w:t>
                  </w:r>
                  <w:r w:rsidRPr="003F5F17">
                    <w:rPr>
                      <w:rFonts w:ascii="Arial" w:hAnsi="Arial" w:cs="Arial"/>
                      <w:sz w:val="22"/>
                      <w:szCs w:val="22"/>
                    </w:rPr>
                    <w:t>period. This means the most serious infection will be reported.</w:t>
                  </w:r>
                  <w:r>
                    <w:rPr>
                      <w:rFonts w:ascii="Arial" w:hAnsi="Arial" w:cs="Arial"/>
                      <w:sz w:val="22"/>
                      <w:szCs w:val="22"/>
                    </w:rPr>
                    <w:t xml:space="preserve"> This change in reporting will be annotated in future SPC charts to reflect a perceived increase in severity of infection. </w:t>
                  </w:r>
                </w:p>
                <w:p w:rsidR="00121752" w:rsidRPr="00972118" w:rsidRDefault="00121752" w:rsidP="00210253">
                  <w:pPr>
                    <w:pStyle w:val="ListParagraph"/>
                    <w:rPr>
                      <w:rFonts w:ascii="Arial" w:hAnsi="Arial" w:cs="Arial"/>
                      <w:sz w:val="22"/>
                      <w:szCs w:val="22"/>
                    </w:rPr>
                  </w:pPr>
                </w:p>
                <w:p w:rsidR="00121752" w:rsidRDefault="00121752"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121752" w:rsidRPr="00636CFA" w:rsidRDefault="00121752" w:rsidP="00636CFA">
                  <w:pPr>
                    <w:rPr>
                      <w:rFonts w:ascii="Arial" w:hAnsi="Arial" w:cs="Arial"/>
                      <w:sz w:val="22"/>
                      <w:szCs w:val="22"/>
                    </w:rPr>
                  </w:pPr>
                </w:p>
                <w:p w:rsidR="00121752" w:rsidRDefault="00121752" w:rsidP="00FC4A5A">
                  <w:pPr>
                    <w:jc w:val="both"/>
                    <w:rPr>
                      <w:rFonts w:ascii="Arial" w:hAnsi="Arial" w:cs="Arial"/>
                      <w:b/>
                      <w:bCs/>
                    </w:rPr>
                  </w:pPr>
                </w:p>
                <w:p w:rsidR="00121752" w:rsidRPr="001172DE" w:rsidRDefault="00121752" w:rsidP="00FC4A5A">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which may require additional multidisciplinary controls.</w:t>
                  </w:r>
                </w:p>
                <w:p w:rsidR="00121752" w:rsidRPr="001172DE" w:rsidRDefault="00121752" w:rsidP="00AE43D8">
                  <w:pPr>
                    <w:pStyle w:val="ListParagraph"/>
                    <w:ind w:left="0"/>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121752" w:rsidRPr="00663142" w:rsidTr="00E43DD8">
                    <w:tc>
                      <w:tcPr>
                        <w:tcW w:w="1660" w:type="dxa"/>
                      </w:tcPr>
                      <w:p w:rsidR="00121752" w:rsidRPr="00663142" w:rsidRDefault="00121752" w:rsidP="00F50AAE">
                        <w:pPr>
                          <w:rPr>
                            <w:rFonts w:ascii="Arial" w:hAnsi="Arial" w:cs="Arial"/>
                            <w:b/>
                            <w:sz w:val="20"/>
                            <w:szCs w:val="20"/>
                          </w:rPr>
                        </w:pPr>
                        <w:r>
                          <w:rPr>
                            <w:rFonts w:ascii="Arial" w:hAnsi="Arial" w:cs="Arial"/>
                            <w:b/>
                            <w:sz w:val="20"/>
                            <w:szCs w:val="20"/>
                          </w:rPr>
                          <w:t>PAGs</w:t>
                        </w:r>
                      </w:p>
                    </w:tc>
                    <w:tc>
                      <w:tcPr>
                        <w:tcW w:w="6562" w:type="dxa"/>
                      </w:tcPr>
                      <w:p w:rsidR="00121752" w:rsidRPr="00663142" w:rsidRDefault="00121752" w:rsidP="00DB5C9A">
                        <w:pPr>
                          <w:jc w:val="both"/>
                          <w:rPr>
                            <w:rFonts w:ascii="Arial" w:hAnsi="Arial" w:cs="Arial"/>
                            <w:b/>
                            <w:sz w:val="20"/>
                            <w:szCs w:val="20"/>
                          </w:rPr>
                        </w:pPr>
                        <w:r w:rsidRPr="00663142">
                          <w:rPr>
                            <w:rFonts w:ascii="Arial" w:hAnsi="Arial" w:cs="Arial"/>
                            <w:b/>
                            <w:sz w:val="20"/>
                            <w:szCs w:val="20"/>
                          </w:rPr>
                          <w:t>Update</w:t>
                        </w:r>
                      </w:p>
                    </w:tc>
                  </w:tr>
                  <w:tr w:rsidR="00121752" w:rsidRPr="00663142" w:rsidTr="00E43DD8">
                    <w:tc>
                      <w:tcPr>
                        <w:tcW w:w="1660" w:type="dxa"/>
                      </w:tcPr>
                      <w:p w:rsidR="00121752" w:rsidRPr="0024763B" w:rsidRDefault="00121752" w:rsidP="00DB5C9A">
                        <w:pPr>
                          <w:jc w:val="both"/>
                          <w:rPr>
                            <w:rFonts w:ascii="Arial Narrow" w:hAnsi="Arial Narrow" w:cs="Arial"/>
                            <w:b/>
                            <w:i/>
                          </w:rPr>
                        </w:pPr>
                        <w:r w:rsidRPr="0024763B">
                          <w:rPr>
                            <w:rFonts w:ascii="Arial Narrow" w:hAnsi="Arial Narrow" w:cs="Arial"/>
                            <w:b/>
                            <w:i/>
                          </w:rPr>
                          <w:t xml:space="preserve">Mycobacterium </w:t>
                        </w:r>
                        <w:r>
                          <w:rPr>
                            <w:rFonts w:ascii="Arial Narrow" w:hAnsi="Arial Narrow" w:cs="Arial"/>
                            <w:b/>
                            <w:i/>
                          </w:rPr>
                          <w:t xml:space="preserve">                                                                                                                                                                                                                                                                                                                                                                                                                                                                                                                                                                                                                                                                                                                                                                            </w:t>
                        </w:r>
                        <w:r w:rsidRPr="0024763B">
                          <w:rPr>
                            <w:rFonts w:ascii="Arial Narrow" w:hAnsi="Arial Narrow" w:cs="Arial"/>
                            <w:b/>
                            <w:i/>
                          </w:rPr>
                          <w:t>chimaera</w:t>
                        </w:r>
                      </w:p>
                    </w:tc>
                    <w:tc>
                      <w:tcPr>
                        <w:tcW w:w="6562" w:type="dxa"/>
                      </w:tcPr>
                      <w:p w:rsidR="00121752" w:rsidRPr="007A1CA8" w:rsidRDefault="00121752" w:rsidP="00CF5C22">
                        <w:pPr>
                          <w:rPr>
                            <w:rFonts w:ascii="Arial Narrow" w:hAnsi="Arial Narrow"/>
                            <w:b/>
                            <w:sz w:val="22"/>
                            <w:szCs w:val="22"/>
                          </w:rPr>
                        </w:pPr>
                        <w:r w:rsidRPr="007A1CA8">
                          <w:rPr>
                            <w:rFonts w:ascii="Arial Narrow" w:hAnsi="Arial Narrow"/>
                            <w:b/>
                            <w:sz w:val="22"/>
                            <w:szCs w:val="22"/>
                          </w:rPr>
                          <w:t xml:space="preserve">No further updates </w:t>
                        </w:r>
                      </w:p>
                      <w:p w:rsidR="00121752" w:rsidRDefault="00121752" w:rsidP="00CF5C22">
                        <w:pPr>
                          <w:rPr>
                            <w:rFonts w:ascii="Arial Narrow" w:hAnsi="Arial Narrow"/>
                            <w:bCs/>
                            <w:sz w:val="23"/>
                            <w:szCs w:val="23"/>
                          </w:rPr>
                        </w:pPr>
                        <w:r w:rsidRPr="00750430">
                          <w:rPr>
                            <w:rFonts w:ascii="Arial Narrow" w:hAnsi="Arial Narrow"/>
                            <w:sz w:val="22"/>
                            <w:szCs w:val="22"/>
                          </w:rPr>
                          <w:t xml:space="preserve"> </w:t>
                        </w:r>
                        <w:r>
                          <w:rPr>
                            <w:rFonts w:ascii="Arial Narrow" w:hAnsi="Arial Narrow"/>
                            <w:bCs/>
                            <w:sz w:val="23"/>
                            <w:szCs w:val="23"/>
                          </w:rPr>
                          <w:t>HPS will convene a further IMT to formally close the PAG – still awaited.</w:t>
                        </w:r>
                      </w:p>
                      <w:p w:rsidR="00121752" w:rsidRDefault="00121752" w:rsidP="00CF5C22">
                        <w:pPr>
                          <w:rPr>
                            <w:rFonts w:ascii="Arial Narrow" w:hAnsi="Arial Narrow"/>
                            <w:bCs/>
                            <w:sz w:val="23"/>
                            <w:szCs w:val="23"/>
                          </w:rPr>
                        </w:pPr>
                      </w:p>
                      <w:p w:rsidR="00121752" w:rsidRPr="00210253" w:rsidRDefault="00121752" w:rsidP="00BD549C">
                        <w:pPr>
                          <w:rPr>
                            <w:rFonts w:ascii="Arial" w:hAnsi="Arial" w:cs="Arial"/>
                            <w:sz w:val="20"/>
                            <w:szCs w:val="20"/>
                            <w:highlight w:val="yellow"/>
                          </w:rPr>
                        </w:pPr>
                      </w:p>
                    </w:tc>
                  </w:tr>
                </w:tbl>
                <w:p w:rsidR="00121752" w:rsidRDefault="00121752" w:rsidP="00E65852">
                  <w:pPr>
                    <w:jc w:val="both"/>
                    <w:rPr>
                      <w:rFonts w:ascii="Arial" w:hAnsi="Arial" w:cs="Arial"/>
                      <w:sz w:val="22"/>
                      <w:szCs w:val="22"/>
                    </w:rPr>
                  </w:pPr>
                </w:p>
                <w:p w:rsidR="00121752" w:rsidRPr="00632F9F" w:rsidRDefault="00121752" w:rsidP="00632F9F">
                  <w:pPr>
                    <w:ind w:left="426"/>
                    <w:jc w:val="both"/>
                    <w:rPr>
                      <w:rFonts w:ascii="Arial" w:hAnsi="Arial" w:cs="Arial"/>
                      <w:i/>
                      <w:iCs/>
                      <w:sz w:val="22"/>
                      <w:szCs w:val="22"/>
                    </w:rPr>
                  </w:pPr>
                </w:p>
              </w:txbxContent>
            </v:textbox>
            <w10:wrap type="square"/>
          </v:shape>
        </w:pict>
      </w:r>
      <w:r w:rsidRPr="00541CEE">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121752" w:rsidRPr="00232DEA" w:rsidRDefault="00121752"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121752" w:rsidRPr="00232DEA" w:rsidRDefault="00121752" w:rsidP="00FB7EA9">
                  <w:pPr>
                    <w:rPr>
                      <w:rFonts w:ascii="Arial" w:hAnsi="Arial" w:cs="Arial"/>
                      <w:sz w:val="22"/>
                      <w:szCs w:val="22"/>
                    </w:rPr>
                  </w:pPr>
                </w:p>
                <w:p w:rsidR="00121752" w:rsidRDefault="00121752" w:rsidP="00FB7EA9">
                  <w:pPr>
                    <w:rPr>
                      <w:rFonts w:ascii="Arial" w:hAnsi="Arial" w:cs="Arial"/>
                      <w:sz w:val="20"/>
                      <w:szCs w:val="20"/>
                    </w:rPr>
                  </w:pPr>
                </w:p>
                <w:p w:rsidR="00121752" w:rsidRDefault="00121752" w:rsidP="00FB7EA9">
                  <w:pPr>
                    <w:rPr>
                      <w:rFonts w:ascii="Arial" w:hAnsi="Arial" w:cs="Arial"/>
                      <w:sz w:val="20"/>
                      <w:szCs w:val="20"/>
                    </w:rPr>
                  </w:pPr>
                </w:p>
                <w:p w:rsidR="00121752" w:rsidRDefault="00121752" w:rsidP="00FB7EA9">
                  <w:pPr>
                    <w:rPr>
                      <w:rFonts w:ascii="Arial" w:hAnsi="Arial" w:cs="Arial"/>
                      <w:sz w:val="20"/>
                      <w:szCs w:val="20"/>
                    </w:rPr>
                  </w:pPr>
                </w:p>
                <w:p w:rsidR="00121752" w:rsidRDefault="00121752"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E43DD8" w:rsidRDefault="00E43DD8"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541CEE" w:rsidP="00697BB3">
      <w:pPr>
        <w:spacing w:after="120"/>
        <w:jc w:val="both"/>
        <w:rPr>
          <w:rFonts w:ascii="Arial" w:hAnsi="Arial" w:cs="Arial"/>
          <w:b/>
        </w:rPr>
      </w:pPr>
      <w:r w:rsidRPr="00541CEE">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121752" w:rsidRDefault="00121752"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121752" w:rsidRDefault="00121752"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121752" w:rsidRPr="00AA66A1" w:rsidRDefault="00121752"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121752" w:rsidRDefault="00541CEE" w:rsidP="009E0450">
                  <w:pPr>
                    <w:spacing w:after="120"/>
                    <w:jc w:val="both"/>
                  </w:pPr>
                  <w:hyperlink r:id="rId10" w:history="1">
                    <w:r w:rsidR="00121752" w:rsidRPr="00AA66A1">
                      <w:rPr>
                        <w:rStyle w:val="Hyperlink"/>
                        <w:rFonts w:ascii="Arial" w:hAnsi="Arial" w:cs="Arial"/>
                        <w:sz w:val="18"/>
                        <w:szCs w:val="18"/>
                      </w:rPr>
                      <w:t>http://www.hps.scot.nhs.uk/haiic/sshaip/publicationsdetail.aspx?id=30248</w:t>
                    </w:r>
                  </w:hyperlink>
                </w:p>
                <w:p w:rsidR="00121752" w:rsidRDefault="00121752" w:rsidP="009E0450">
                  <w:pPr>
                    <w:spacing w:after="120"/>
                    <w:jc w:val="both"/>
                  </w:pPr>
                </w:p>
                <w:p w:rsidR="00121752" w:rsidRPr="00AA66A1" w:rsidRDefault="00121752"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E747C2" w:rsidP="009E0450">
            <w:pPr>
              <w:tabs>
                <w:tab w:val="left" w:pos="504"/>
              </w:tabs>
              <w:ind w:left="374"/>
              <w:rPr>
                <w:rFonts w:ascii="Arial" w:hAnsi="Arial" w:cs="Arial"/>
              </w:rPr>
            </w:pPr>
            <w:r w:rsidRPr="00CA2ED1">
              <w:rPr>
                <w:rFonts w:ascii="Arial" w:hAnsi="Arial" w:cs="Arial"/>
                <w:sz w:val="22"/>
                <w:szCs w:val="22"/>
              </w:rPr>
              <w:t>Post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E747C2" w:rsidRPr="00181244" w:rsidRDefault="00E747C2"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Ongoing testing of new combined PVC insertion and maintenance bundle</w:t>
            </w:r>
            <w:r w:rsidR="001E0820">
              <w:rPr>
                <w:rFonts w:ascii="Arial" w:hAnsi="Arial" w:cs="Arial"/>
                <w:sz w:val="22"/>
                <w:szCs w:val="22"/>
              </w:rPr>
              <w:t xml:space="preserve"> expected completion in test areas October.</w:t>
            </w:r>
          </w:p>
          <w:p w:rsidR="00E747C2" w:rsidRPr="00D71859" w:rsidRDefault="007057C6"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Implementation </w:t>
            </w:r>
            <w:r w:rsidR="00E747C2" w:rsidRPr="00D71859">
              <w:rPr>
                <w:rFonts w:ascii="Arial" w:hAnsi="Arial" w:cs="Arial"/>
                <w:sz w:val="22"/>
                <w:szCs w:val="22"/>
              </w:rPr>
              <w:t xml:space="preserve">of </w:t>
            </w:r>
            <w:r>
              <w:rPr>
                <w:rFonts w:ascii="Arial" w:hAnsi="Arial" w:cs="Arial"/>
                <w:sz w:val="22"/>
                <w:szCs w:val="22"/>
              </w:rPr>
              <w:t>a</w:t>
            </w:r>
            <w:r w:rsidR="00E747C2" w:rsidRPr="00D71859">
              <w:rPr>
                <w:rFonts w:ascii="Arial" w:hAnsi="Arial" w:cs="Arial"/>
                <w:sz w:val="22"/>
                <w:szCs w:val="22"/>
              </w:rPr>
              <w:t xml:space="preserve">rterial line </w:t>
            </w:r>
            <w:r w:rsidR="00E747C2">
              <w:rPr>
                <w:rFonts w:ascii="Arial" w:hAnsi="Arial" w:cs="Arial"/>
                <w:sz w:val="22"/>
                <w:szCs w:val="22"/>
              </w:rPr>
              <w:t xml:space="preserve">maintenance </w:t>
            </w:r>
            <w:r w:rsidR="00E747C2" w:rsidRPr="00D71859">
              <w:rPr>
                <w:rFonts w:ascii="Arial" w:hAnsi="Arial" w:cs="Arial"/>
                <w:sz w:val="22"/>
                <w:szCs w:val="22"/>
              </w:rPr>
              <w:t>bundle</w:t>
            </w:r>
            <w:r w:rsidR="00E747C2">
              <w:rPr>
                <w:rFonts w:ascii="Arial" w:hAnsi="Arial" w:cs="Arial"/>
                <w:sz w:val="22"/>
                <w:szCs w:val="22"/>
              </w:rPr>
              <w:t xml:space="preserve"> in Critical Care.</w:t>
            </w:r>
          </w:p>
          <w:p w:rsidR="00E747C2" w:rsidRPr="008A1381" w:rsidRDefault="00E747C2" w:rsidP="00B2436B">
            <w:pPr>
              <w:tabs>
                <w:tab w:val="left" w:pos="504"/>
              </w:tabs>
              <w:ind w:left="360"/>
              <w:rPr>
                <w:rFonts w:ascii="Arial" w:hAnsi="Arial" w:cs="Arial"/>
                <w:sz w:val="20"/>
                <w:szCs w:val="20"/>
              </w:rPr>
            </w:pPr>
          </w:p>
        </w:tc>
      </w:tr>
    </w:tbl>
    <w:p w:rsidR="00E747C2" w:rsidRPr="00697BB3" w:rsidRDefault="00E747C2" w:rsidP="00697BB3">
      <w:pPr>
        <w:spacing w:after="120"/>
        <w:jc w:val="both"/>
        <w:rPr>
          <w:rFonts w:ascii="Arial" w:hAnsi="Arial" w:cs="Arial"/>
          <w:b/>
        </w:rPr>
      </w:pPr>
    </w:p>
    <w:p w:rsidR="00E747C2" w:rsidRDefault="00E747C2"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E747C2" w:rsidRDefault="00E747C2"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p>
    <w:p w:rsidR="00E747C2" w:rsidRDefault="00E747C2" w:rsidP="00A814F9">
      <w:pPr>
        <w:rPr>
          <w:rFonts w:ascii="Arial" w:hAnsi="Arial" w:cs="Arial"/>
          <w:sz w:val="22"/>
          <w:szCs w:val="22"/>
        </w:rPr>
      </w:pPr>
    </w:p>
    <w:p w:rsidR="00E747C2" w:rsidRDefault="00E747C2"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C729D6">
        <w:rPr>
          <w:rFonts w:ascii="Arial" w:hAnsi="Arial" w:cs="Arial"/>
          <w:b/>
          <w:sz w:val="22"/>
          <w:szCs w:val="22"/>
        </w:rPr>
        <w:t>Oct- Dec</w:t>
      </w:r>
      <w:r w:rsidR="00851132">
        <w:rPr>
          <w:rFonts w:ascii="Arial" w:hAnsi="Arial" w:cs="Arial"/>
          <w:b/>
          <w:sz w:val="22"/>
          <w:szCs w:val="22"/>
        </w:rPr>
        <w:t xml:space="preserve"> </w:t>
      </w:r>
      <w:r>
        <w:rPr>
          <w:rFonts w:ascii="Arial" w:hAnsi="Arial" w:cs="Arial"/>
          <w:b/>
          <w:sz w:val="22"/>
          <w:szCs w:val="22"/>
        </w:rPr>
        <w:t xml:space="preserve">17 </w:t>
      </w:r>
      <w:r w:rsidR="00913AEC">
        <w:rPr>
          <w:rFonts w:ascii="Arial" w:hAnsi="Arial" w:cs="Arial"/>
          <w:b/>
          <w:sz w:val="22"/>
          <w:szCs w:val="22"/>
        </w:rPr>
        <w:t>has decreased to</w:t>
      </w:r>
      <w:r w:rsidRPr="00537287">
        <w:rPr>
          <w:rFonts w:ascii="Arial" w:hAnsi="Arial" w:cs="Arial"/>
          <w:b/>
          <w:sz w:val="22"/>
          <w:szCs w:val="22"/>
        </w:rPr>
        <w:t xml:space="preserve"> </w:t>
      </w:r>
      <w:r w:rsidR="00913AEC">
        <w:rPr>
          <w:rFonts w:ascii="Arial" w:hAnsi="Arial" w:cs="Arial"/>
          <w:b/>
          <w:sz w:val="22"/>
          <w:szCs w:val="22"/>
        </w:rPr>
        <w:t>0.24</w:t>
      </w:r>
      <w:r w:rsidR="00446E1D">
        <w:rPr>
          <w:rFonts w:ascii="Arial" w:hAnsi="Arial" w:cs="Arial"/>
          <w:b/>
          <w:sz w:val="22"/>
          <w:szCs w:val="22"/>
        </w:rPr>
        <w:t xml:space="preserve"> (n=</w:t>
      </w:r>
      <w:r w:rsidR="00913AEC">
        <w:rPr>
          <w:rFonts w:ascii="Arial" w:hAnsi="Arial" w:cs="Arial"/>
          <w:b/>
          <w:sz w:val="22"/>
          <w:szCs w:val="22"/>
        </w:rPr>
        <w:t xml:space="preserve"> 3</w:t>
      </w:r>
      <w:r w:rsidR="00446E1D">
        <w:rPr>
          <w:rFonts w:ascii="Arial" w:hAnsi="Arial" w:cs="Arial"/>
          <w:b/>
          <w:sz w:val="22"/>
          <w:szCs w:val="22"/>
        </w:rPr>
        <w:t>)</w:t>
      </w:r>
      <w:r w:rsidRPr="00537287">
        <w:rPr>
          <w:rFonts w:ascii="Arial" w:hAnsi="Arial" w:cs="Arial"/>
          <w:b/>
          <w:sz w:val="22"/>
          <w:szCs w:val="22"/>
        </w:rPr>
        <w:t xml:space="preserve"> per 1000 occupied bed days.</w:t>
      </w:r>
      <w:r w:rsidR="00972118">
        <w:rPr>
          <w:rFonts w:ascii="Arial" w:hAnsi="Arial" w:cs="Arial"/>
          <w:b/>
          <w:sz w:val="22"/>
          <w:szCs w:val="22"/>
        </w:rPr>
        <w:t xml:space="preserve"> </w:t>
      </w:r>
    </w:p>
    <w:p w:rsidR="00E747C2" w:rsidRDefault="00E747C2" w:rsidP="00D92543">
      <w:pPr>
        <w:rPr>
          <w:rFonts w:ascii="Arial" w:hAnsi="Arial" w:cs="Arial"/>
          <w:sz w:val="22"/>
          <w:szCs w:val="22"/>
        </w:rPr>
      </w:pPr>
    </w:p>
    <w:p w:rsidR="00E747C2" w:rsidRDefault="00E747C2"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w:t>
      </w:r>
    </w:p>
    <w:p w:rsidR="00E747C2" w:rsidRDefault="00E747C2" w:rsidP="00D92543">
      <w:pPr>
        <w:rPr>
          <w:rFonts w:ascii="Arial" w:hAnsi="Arial" w:cs="Arial"/>
          <w:sz w:val="22"/>
          <w:szCs w:val="22"/>
        </w:rPr>
      </w:pPr>
    </w:p>
    <w:p w:rsidR="00E747C2" w:rsidRPr="00AF2E28" w:rsidRDefault="00E747C2" w:rsidP="00283595">
      <w:pPr>
        <w:rPr>
          <w:rFonts w:ascii="Arial" w:hAnsi="Arial" w:cs="Arial"/>
        </w:rPr>
      </w:pPr>
    </w:p>
    <w:p w:rsidR="00E747C2" w:rsidRDefault="00C729D6" w:rsidP="00283595">
      <w:pPr>
        <w:rPr>
          <w:rFonts w:ascii="Arial" w:hAnsi="Arial" w:cs="Arial"/>
          <w:b/>
          <w:i/>
        </w:rPr>
      </w:pPr>
      <w:r w:rsidRPr="00C729D6">
        <w:rPr>
          <w:noProof/>
        </w:rPr>
        <w:drawing>
          <wp:inline distT="0" distB="0" distL="0" distR="0">
            <wp:extent cx="6120130" cy="2182024"/>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srcRect/>
                    <a:stretch>
                      <a:fillRect/>
                    </a:stretch>
                  </pic:blipFill>
                  <pic:spPr bwMode="auto">
                    <a:xfrm>
                      <a:off x="0" y="0"/>
                      <a:ext cx="6120130" cy="2182024"/>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541CEE" w:rsidP="00283595">
      <w:pPr>
        <w:rPr>
          <w:rFonts w:ascii="Arial" w:hAnsi="Arial" w:cs="Arial"/>
          <w:b/>
          <w:i/>
        </w:rPr>
      </w:pPr>
      <w:r w:rsidRPr="00541CEE">
        <w:rPr>
          <w:noProof/>
          <w:lang w:val="en-US" w:eastAsia="en-US"/>
        </w:rPr>
        <w:pict>
          <v:shape id="_x0000_s1029" type="#_x0000_t202" style="position:absolute;margin-left:-2.7pt;margin-top:.2pt;width:171.75pt;height:47.35pt;z-index:251657216">
            <v:textbox>
              <w:txbxContent>
                <w:p w:rsidR="00121752" w:rsidRPr="00974119" w:rsidRDefault="00121752" w:rsidP="00B0022B">
                  <w:pPr>
                    <w:rPr>
                      <w:rFonts w:ascii="Calibri" w:hAnsi="Calibri" w:cs="Calibri"/>
                      <w:b/>
                      <w:sz w:val="20"/>
                      <w:szCs w:val="20"/>
                    </w:rPr>
                  </w:pPr>
                  <w:r w:rsidRPr="00974119">
                    <w:rPr>
                      <w:rFonts w:ascii="Calibri" w:hAnsi="Calibri" w:cs="Calibri"/>
                      <w:b/>
                      <w:sz w:val="20"/>
                      <w:szCs w:val="20"/>
                    </w:rPr>
                    <w:t xml:space="preserve">3 EAST </w:t>
                  </w:r>
                </w:p>
                <w:p w:rsidR="00121752" w:rsidRDefault="00121752" w:rsidP="00B0022B">
                  <w:pPr>
                    <w:rPr>
                      <w:rFonts w:ascii="Calibri" w:hAnsi="Calibri" w:cs="Calibri"/>
                      <w:sz w:val="20"/>
                      <w:szCs w:val="20"/>
                    </w:rPr>
                  </w:pPr>
                  <w:r>
                    <w:rPr>
                      <w:rFonts w:ascii="Calibri" w:hAnsi="Calibri" w:cs="Calibri"/>
                      <w:sz w:val="20"/>
                      <w:szCs w:val="20"/>
                    </w:rPr>
                    <w:t>Mar 17- x2 PVC/Multiple sources x1</w:t>
                  </w:r>
                </w:p>
                <w:p w:rsidR="00121752" w:rsidRDefault="00121752" w:rsidP="00B0022B">
                  <w:pPr>
                    <w:rPr>
                      <w:rFonts w:ascii="Calibri" w:hAnsi="Calibri" w:cs="Calibri"/>
                      <w:sz w:val="20"/>
                      <w:szCs w:val="20"/>
                    </w:rPr>
                  </w:pPr>
                  <w:r>
                    <w:rPr>
                      <w:rFonts w:ascii="Calibri" w:hAnsi="Calibri" w:cs="Calibri"/>
                      <w:sz w:val="20"/>
                      <w:szCs w:val="20"/>
                    </w:rPr>
                    <w:t>Aug 17- PVC</w:t>
                  </w:r>
                </w:p>
                <w:p w:rsidR="00121752" w:rsidRPr="007A6334" w:rsidRDefault="00121752" w:rsidP="00B0022B">
                  <w:pPr>
                    <w:rPr>
                      <w:rFonts w:ascii="Calibri" w:hAnsi="Calibri" w:cs="Calibri"/>
                      <w:sz w:val="20"/>
                      <w:szCs w:val="20"/>
                    </w:rPr>
                  </w:pPr>
                </w:p>
              </w:txbxContent>
            </v:textbox>
          </v:shape>
        </w:pict>
      </w:r>
    </w:p>
    <w:p w:rsidR="00E747C2" w:rsidRDefault="00541CEE" w:rsidP="00283595">
      <w:pPr>
        <w:rPr>
          <w:rFonts w:ascii="Arial" w:hAnsi="Arial" w:cs="Arial"/>
          <w:b/>
          <w:i/>
        </w:rPr>
      </w:pPr>
      <w:r w:rsidRPr="00541CEE">
        <w:rPr>
          <w:noProof/>
          <w:lang w:val="en-US" w:eastAsia="en-US"/>
        </w:rPr>
        <w:pict>
          <v:shape id="_x0000_s1031" type="#_x0000_t202" style="position:absolute;margin-left:331.45pt;margin-top:11.25pt;width:166.1pt;height:57.75pt;z-index:251658240">
            <v:textbox style="mso-next-textbox:#_x0000_s1031">
              <w:txbxContent>
                <w:p w:rsidR="00121752" w:rsidRDefault="00121752" w:rsidP="00B0022B">
                  <w:pPr>
                    <w:rPr>
                      <w:rFonts w:ascii="Calibri" w:hAnsi="Calibri" w:cs="Calibri"/>
                      <w:b/>
                      <w:sz w:val="20"/>
                      <w:szCs w:val="20"/>
                    </w:rPr>
                  </w:pPr>
                  <w:r>
                    <w:rPr>
                      <w:rFonts w:ascii="Calibri" w:hAnsi="Calibri" w:cs="Calibri"/>
                      <w:b/>
                      <w:sz w:val="20"/>
                      <w:szCs w:val="20"/>
                    </w:rPr>
                    <w:t>ICU2</w:t>
                  </w:r>
                </w:p>
                <w:p w:rsidR="00121752" w:rsidRDefault="00121752" w:rsidP="00B0022B">
                  <w:pPr>
                    <w:rPr>
                      <w:rFonts w:ascii="Calibri" w:hAnsi="Calibri" w:cs="Calibri"/>
                      <w:sz w:val="20"/>
                      <w:szCs w:val="20"/>
                    </w:rPr>
                  </w:pPr>
                  <w:r>
                    <w:rPr>
                      <w:rFonts w:ascii="Calibri" w:hAnsi="Calibri" w:cs="Calibri"/>
                      <w:sz w:val="20"/>
                      <w:szCs w:val="20"/>
                    </w:rPr>
                    <w:t>Aug 17- 1 IABP/1 ART LINE</w:t>
                  </w:r>
                </w:p>
                <w:p w:rsidR="00121752" w:rsidRDefault="00121752" w:rsidP="00B0022B">
                  <w:pPr>
                    <w:rPr>
                      <w:rFonts w:ascii="Calibri" w:hAnsi="Calibri" w:cs="Calibri"/>
                      <w:sz w:val="20"/>
                      <w:szCs w:val="20"/>
                    </w:rPr>
                  </w:pPr>
                  <w:r>
                    <w:rPr>
                      <w:rFonts w:ascii="Calibri" w:hAnsi="Calibri" w:cs="Calibri"/>
                      <w:sz w:val="20"/>
                      <w:szCs w:val="20"/>
                    </w:rPr>
                    <w:t>Oct 17- 1 ART LINE</w:t>
                  </w:r>
                </w:p>
                <w:p w:rsidR="00121752" w:rsidRDefault="00121752" w:rsidP="00B0022B">
                  <w:pPr>
                    <w:rPr>
                      <w:rFonts w:ascii="Calibri" w:hAnsi="Calibri" w:cs="Calibri"/>
                      <w:sz w:val="20"/>
                      <w:szCs w:val="20"/>
                    </w:rPr>
                  </w:pPr>
                  <w:r>
                    <w:rPr>
                      <w:rFonts w:ascii="Calibri" w:hAnsi="Calibri" w:cs="Calibri"/>
                      <w:sz w:val="20"/>
                      <w:szCs w:val="20"/>
                    </w:rPr>
                    <w:t>Dec 17-Unknown</w:t>
                  </w:r>
                </w:p>
              </w:txbxContent>
            </v:textbox>
          </v:shape>
        </w:pict>
      </w:r>
    </w:p>
    <w:p w:rsidR="00E747C2" w:rsidRDefault="00E747C2" w:rsidP="00283595">
      <w:pPr>
        <w:rPr>
          <w:rFonts w:ascii="Arial" w:hAnsi="Arial" w:cs="Arial"/>
          <w:b/>
          <w:i/>
        </w:rPr>
      </w:pPr>
    </w:p>
    <w:p w:rsidR="00E747C2" w:rsidRDefault="00E747C2" w:rsidP="00283595">
      <w:pPr>
        <w:rPr>
          <w:rFonts w:ascii="Arial" w:hAnsi="Arial" w:cs="Arial"/>
          <w:b/>
          <w:i/>
        </w:rPr>
      </w:pPr>
      <w:r w:rsidRPr="00CC4203">
        <w:rPr>
          <w:rFonts w:ascii="Arial" w:hAnsi="Arial" w:cs="Arial"/>
          <w:b/>
          <w:i/>
        </w:rPr>
        <w:t xml:space="preserve"> </w:t>
      </w:r>
    </w:p>
    <w:p w:rsidR="00E747C2" w:rsidRDefault="00541CEE" w:rsidP="00283595">
      <w:pPr>
        <w:rPr>
          <w:rFonts w:ascii="Arial" w:hAnsi="Arial" w:cs="Arial"/>
          <w:b/>
          <w:i/>
        </w:rPr>
      </w:pPr>
      <w:r w:rsidRPr="00541CEE">
        <w:rPr>
          <w:noProof/>
        </w:rPr>
        <w:pict>
          <v:shape id="_x0000_s1094" type="#_x0000_t202" style="position:absolute;margin-left:428.55pt;margin-top:135.6pt;width:88.05pt;height:34.5pt;z-index:251665408">
            <v:textbox>
              <w:txbxContent>
                <w:p w:rsidR="00121752" w:rsidRPr="00FA25A9" w:rsidRDefault="00121752" w:rsidP="00FA25A9">
                  <w:pPr>
                    <w:rPr>
                      <w:rFonts w:ascii="Calibri" w:hAnsi="Calibri" w:cs="Calibri"/>
                      <w:b/>
                      <w:sz w:val="20"/>
                      <w:szCs w:val="20"/>
                    </w:rPr>
                  </w:pPr>
                  <w:r w:rsidRPr="00FA25A9">
                    <w:rPr>
                      <w:rFonts w:ascii="Calibri" w:hAnsi="Calibri" w:cs="Calibri"/>
                      <w:b/>
                      <w:sz w:val="20"/>
                      <w:szCs w:val="20"/>
                    </w:rPr>
                    <w:t>2West</w:t>
                  </w:r>
                </w:p>
                <w:p w:rsidR="00121752" w:rsidRPr="00467221" w:rsidRDefault="00121752" w:rsidP="00FA25A9">
                  <w:pPr>
                    <w:rPr>
                      <w:rFonts w:ascii="Calibri" w:hAnsi="Calibri" w:cs="Calibri"/>
                      <w:sz w:val="20"/>
                      <w:szCs w:val="20"/>
                    </w:rPr>
                  </w:pPr>
                  <w:r>
                    <w:rPr>
                      <w:rFonts w:ascii="Calibri" w:hAnsi="Calibri" w:cs="Calibri"/>
                      <w:sz w:val="20"/>
                      <w:szCs w:val="20"/>
                    </w:rPr>
                    <w:t>Aug 17</w:t>
                  </w:r>
                  <w:r w:rsidRPr="00467221">
                    <w:rPr>
                      <w:rFonts w:ascii="Calibri" w:hAnsi="Calibri" w:cs="Calibri"/>
                      <w:sz w:val="20"/>
                      <w:szCs w:val="20"/>
                    </w:rPr>
                    <w:t xml:space="preserve"> </w:t>
                  </w:r>
                  <w:r>
                    <w:rPr>
                      <w:rFonts w:ascii="Calibri" w:hAnsi="Calibri" w:cs="Calibri"/>
                      <w:sz w:val="20"/>
                      <w:szCs w:val="20"/>
                    </w:rPr>
                    <w:t>- PVC</w:t>
                  </w:r>
                </w:p>
              </w:txbxContent>
            </v:textbox>
          </v:shape>
        </w:pict>
      </w:r>
      <w:r w:rsidRPr="00541CEE">
        <w:rPr>
          <w:noProof/>
        </w:rPr>
        <w:pict>
          <v:shape id="_x0000_s1060" type="#_x0000_t202" style="position:absolute;margin-left:415.05pt;margin-top:89.85pt;width:114pt;height:30.75pt;z-index:251662336">
            <v:textbox>
              <w:txbxContent>
                <w:p w:rsidR="00121752" w:rsidRDefault="00121752" w:rsidP="000506C4">
                  <w:pPr>
                    <w:rPr>
                      <w:rFonts w:ascii="Calibri" w:hAnsi="Calibri" w:cs="Calibri"/>
                      <w:b/>
                      <w:sz w:val="20"/>
                      <w:szCs w:val="20"/>
                    </w:rPr>
                  </w:pPr>
                  <w:r>
                    <w:rPr>
                      <w:rFonts w:ascii="Calibri" w:hAnsi="Calibri" w:cs="Calibri"/>
                      <w:b/>
                      <w:sz w:val="20"/>
                      <w:szCs w:val="20"/>
                    </w:rPr>
                    <w:t>3 West</w:t>
                  </w:r>
                </w:p>
                <w:p w:rsidR="00121752" w:rsidRDefault="00121752" w:rsidP="000506C4">
                  <w:pPr>
                    <w:rPr>
                      <w:rFonts w:ascii="Calibri" w:hAnsi="Calibri" w:cs="Calibri"/>
                      <w:sz w:val="20"/>
                      <w:szCs w:val="20"/>
                    </w:rPr>
                  </w:pPr>
                  <w:r>
                    <w:rPr>
                      <w:rFonts w:ascii="Calibri" w:hAnsi="Calibri" w:cs="Calibri"/>
                      <w:sz w:val="20"/>
                      <w:szCs w:val="20"/>
                    </w:rPr>
                    <w:t>Jul 17</w:t>
                  </w:r>
                  <w:r w:rsidRPr="00467221">
                    <w:rPr>
                      <w:rFonts w:ascii="Calibri" w:hAnsi="Calibri" w:cs="Calibri"/>
                      <w:sz w:val="20"/>
                      <w:szCs w:val="20"/>
                    </w:rPr>
                    <w:t xml:space="preserve"> – </w:t>
                  </w:r>
                  <w:r>
                    <w:rPr>
                      <w:rFonts w:ascii="Calibri" w:hAnsi="Calibri" w:cs="Calibri"/>
                      <w:sz w:val="20"/>
                      <w:szCs w:val="20"/>
                    </w:rPr>
                    <w:t>Chest Drain</w:t>
                  </w:r>
                </w:p>
                <w:p w:rsidR="00121752" w:rsidRPr="00467221" w:rsidRDefault="00121752" w:rsidP="000506C4">
                  <w:pPr>
                    <w:rPr>
                      <w:rFonts w:ascii="Calibri" w:hAnsi="Calibri" w:cs="Calibri"/>
                      <w:sz w:val="20"/>
                      <w:szCs w:val="20"/>
                    </w:rPr>
                  </w:pPr>
                </w:p>
              </w:txbxContent>
            </v:textbox>
          </v:shape>
        </w:pict>
      </w:r>
      <w:r w:rsidRPr="00541CEE">
        <w:rPr>
          <w:noProof/>
          <w:lang w:val="en-US" w:eastAsia="en-US"/>
        </w:rPr>
        <w:pict>
          <v:shape id="_x0000_s1030" type="#_x0000_t202" style="position:absolute;margin-left:428.55pt;margin-top:45.6pt;width:88.05pt;height:30.75pt;z-index:251659264">
            <v:textbox>
              <w:txbxContent>
                <w:p w:rsidR="00121752" w:rsidRDefault="00121752" w:rsidP="00B0022B">
                  <w:pPr>
                    <w:rPr>
                      <w:rFonts w:ascii="Calibri" w:hAnsi="Calibri" w:cs="Calibri"/>
                      <w:b/>
                      <w:sz w:val="20"/>
                      <w:szCs w:val="20"/>
                    </w:rPr>
                  </w:pPr>
                  <w:r>
                    <w:rPr>
                      <w:rFonts w:ascii="Calibri" w:hAnsi="Calibri" w:cs="Calibri"/>
                      <w:b/>
                      <w:sz w:val="20"/>
                      <w:szCs w:val="20"/>
                    </w:rPr>
                    <w:t>CCU</w:t>
                  </w:r>
                </w:p>
                <w:p w:rsidR="00121752" w:rsidRDefault="00121752"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121752" w:rsidRPr="00467221" w:rsidRDefault="00121752" w:rsidP="00B0022B">
                  <w:pPr>
                    <w:rPr>
                      <w:rFonts w:ascii="Calibri" w:hAnsi="Calibri" w:cs="Calibri"/>
                      <w:sz w:val="20"/>
                      <w:szCs w:val="20"/>
                    </w:rPr>
                  </w:pPr>
                </w:p>
              </w:txbxContent>
            </v:textbox>
          </v:shape>
        </w:pict>
      </w:r>
      <w:r w:rsidR="005F180C" w:rsidRPr="005F180C">
        <w:t xml:space="preserve"> </w:t>
      </w:r>
      <w:r w:rsidR="00276E55" w:rsidRPr="00276E55">
        <w:rPr>
          <w:noProof/>
        </w:rPr>
        <w:drawing>
          <wp:inline distT="0" distB="0" distL="0" distR="0">
            <wp:extent cx="5162549" cy="2943225"/>
            <wp:effectExtent l="19050" t="0" r="19051" b="0"/>
            <wp:docPr id="1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747C2" w:rsidRDefault="00541CEE" w:rsidP="00283595">
      <w:pPr>
        <w:rPr>
          <w:rFonts w:ascii="Arial" w:hAnsi="Arial" w:cs="Arial"/>
          <w:b/>
          <w:i/>
        </w:rPr>
      </w:pPr>
      <w:r>
        <w:rPr>
          <w:rFonts w:ascii="Arial" w:hAnsi="Arial" w:cs="Arial"/>
          <w:b/>
          <w:i/>
          <w:noProof/>
        </w:rPr>
        <w:pict>
          <v:shape id="_x0000_s1139" type="#_x0000_t202" style="position:absolute;margin-left:383.55pt;margin-top:10.35pt;width:145.5pt;height:48pt;z-index:251667456">
            <v:textbox>
              <w:txbxContent>
                <w:p w:rsidR="00121752" w:rsidRPr="00C123E1" w:rsidRDefault="00121752" w:rsidP="002D4EF3">
                  <w:pPr>
                    <w:rPr>
                      <w:rFonts w:ascii="Calibri" w:hAnsi="Calibri" w:cs="Calibri"/>
                      <w:b/>
                      <w:sz w:val="20"/>
                      <w:szCs w:val="20"/>
                    </w:rPr>
                  </w:pPr>
                  <w:r w:rsidRPr="00C123E1">
                    <w:rPr>
                      <w:rFonts w:ascii="Calibri" w:hAnsi="Calibri" w:cs="Calibri"/>
                      <w:b/>
                      <w:sz w:val="20"/>
                      <w:szCs w:val="20"/>
                    </w:rPr>
                    <w:t>NSD</w:t>
                  </w:r>
                </w:p>
                <w:p w:rsidR="00121752" w:rsidRPr="00C123E1" w:rsidRDefault="00121752" w:rsidP="002D4EF3">
                  <w:pPr>
                    <w:rPr>
                      <w:rFonts w:ascii="Calibri" w:hAnsi="Calibri" w:cs="Calibri"/>
                      <w:sz w:val="20"/>
                      <w:szCs w:val="20"/>
                    </w:rPr>
                  </w:pPr>
                  <w:r w:rsidRPr="00C123E1">
                    <w:rPr>
                      <w:rFonts w:ascii="Calibri" w:hAnsi="Calibri" w:cs="Calibri"/>
                      <w:sz w:val="20"/>
                      <w:szCs w:val="20"/>
                    </w:rPr>
                    <w:t xml:space="preserve">Oct 17 – Chest Drain </w:t>
                  </w:r>
                  <w:r>
                    <w:rPr>
                      <w:rFonts w:ascii="Calibri" w:hAnsi="Calibri" w:cs="Calibri"/>
                      <w:sz w:val="20"/>
                      <w:szCs w:val="20"/>
                    </w:rPr>
                    <w:t xml:space="preserve">site </w:t>
                  </w:r>
                  <w:r w:rsidRPr="00C123E1">
                    <w:rPr>
                      <w:rFonts w:ascii="Calibri" w:hAnsi="Calibri" w:cs="Calibri"/>
                      <w:sz w:val="20"/>
                      <w:szCs w:val="20"/>
                    </w:rPr>
                    <w:t>/</w:t>
                  </w:r>
                  <w:r>
                    <w:rPr>
                      <w:rFonts w:ascii="Calibri" w:hAnsi="Calibri" w:cs="Calibri"/>
                      <w:sz w:val="20"/>
                      <w:szCs w:val="20"/>
                    </w:rPr>
                    <w:t>Empyema</w:t>
                  </w:r>
                </w:p>
                <w:p w:rsidR="00121752" w:rsidRPr="002D4EF3" w:rsidRDefault="00121752" w:rsidP="002D4EF3">
                  <w:pPr>
                    <w:rPr>
                      <w:rFonts w:ascii="Calibri" w:hAnsi="Calibri" w:cs="Calibri"/>
                      <w:color w:val="FFFF00"/>
                      <w:sz w:val="20"/>
                      <w:szCs w:val="20"/>
                    </w:rPr>
                  </w:pPr>
                </w:p>
              </w:txbxContent>
            </v:textbox>
          </v:shape>
        </w:pict>
      </w:r>
    </w:p>
    <w:p w:rsidR="00E747C2" w:rsidRDefault="00E747C2" w:rsidP="00283595">
      <w:pPr>
        <w:rPr>
          <w:rFonts w:ascii="Arial" w:hAnsi="Arial" w:cs="Arial"/>
          <w:b/>
          <w:i/>
        </w:rPr>
      </w:pPr>
    </w:p>
    <w:p w:rsidR="00E747C2" w:rsidRDefault="00E747C2" w:rsidP="00F150C2">
      <w:pPr>
        <w:rPr>
          <w:rFonts w:ascii="Arial" w:hAnsi="Arial" w:cs="Arial"/>
          <w:sz w:val="22"/>
          <w:szCs w:val="22"/>
          <w:highlight w:val="yellow"/>
        </w:rPr>
      </w:pPr>
    </w:p>
    <w:p w:rsidR="008637B3" w:rsidRDefault="008637B3" w:rsidP="00F150C2">
      <w:pPr>
        <w:rPr>
          <w:rFonts w:ascii="Arial" w:hAnsi="Arial" w:cs="Arial"/>
          <w:sz w:val="22"/>
          <w:szCs w:val="22"/>
        </w:rPr>
      </w:pPr>
    </w:p>
    <w:p w:rsidR="008637B3" w:rsidRDefault="008637B3" w:rsidP="00F150C2">
      <w:pPr>
        <w:rPr>
          <w:rFonts w:ascii="Arial" w:hAnsi="Arial" w:cs="Arial"/>
          <w:sz w:val="22"/>
          <w:szCs w:val="22"/>
        </w:rPr>
      </w:pPr>
    </w:p>
    <w:p w:rsidR="008637B3" w:rsidRDefault="00913AEC" w:rsidP="00F150C2">
      <w:pPr>
        <w:rPr>
          <w:rFonts w:ascii="Arial" w:hAnsi="Arial" w:cs="Arial"/>
          <w:sz w:val="22"/>
          <w:szCs w:val="22"/>
        </w:rPr>
      </w:pPr>
      <w:r w:rsidRPr="00913AEC">
        <w:rPr>
          <w:noProof/>
          <w:szCs w:val="22"/>
        </w:rPr>
        <w:drawing>
          <wp:inline distT="0" distB="0" distL="0" distR="0">
            <wp:extent cx="5638800" cy="3171825"/>
            <wp:effectExtent l="1905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3"/>
                    <a:srcRect/>
                    <a:stretch>
                      <a:fillRect/>
                    </a:stretch>
                  </pic:blipFill>
                  <pic:spPr bwMode="auto">
                    <a:xfrm>
                      <a:off x="0" y="0"/>
                      <a:ext cx="5638800" cy="3171825"/>
                    </a:xfrm>
                    <a:prstGeom prst="rect">
                      <a:avLst/>
                    </a:prstGeom>
                    <a:noFill/>
                    <a:ln w="9525">
                      <a:noFill/>
                      <a:miter lim="800000"/>
                      <a:headEnd/>
                      <a:tailEnd/>
                    </a:ln>
                  </pic:spPr>
                </pic:pic>
              </a:graphicData>
            </a:graphic>
          </wp:inline>
        </w:drawing>
      </w:r>
    </w:p>
    <w:p w:rsidR="008637B3" w:rsidRDefault="008637B3" w:rsidP="00F150C2">
      <w:pPr>
        <w:rPr>
          <w:rFonts w:ascii="Arial" w:hAnsi="Arial" w:cs="Arial"/>
          <w:sz w:val="22"/>
          <w:szCs w:val="22"/>
        </w:rPr>
      </w:pPr>
    </w:p>
    <w:p w:rsidR="008637B3" w:rsidRDefault="008637B3" w:rsidP="00F150C2">
      <w:pPr>
        <w:rPr>
          <w:rFonts w:ascii="Arial" w:hAnsi="Arial" w:cs="Arial"/>
          <w:sz w:val="22"/>
          <w:szCs w:val="22"/>
        </w:rPr>
      </w:pPr>
    </w:p>
    <w:p w:rsidR="00972118" w:rsidRDefault="00913AEC" w:rsidP="00F150C2">
      <w:pPr>
        <w:rPr>
          <w:rFonts w:ascii="Arial" w:hAnsi="Arial" w:cs="Arial"/>
          <w:sz w:val="22"/>
          <w:szCs w:val="22"/>
        </w:rPr>
      </w:pPr>
      <w:r w:rsidRPr="00913AEC">
        <w:rPr>
          <w:rFonts w:ascii="Arial" w:hAnsi="Arial" w:cs="Arial"/>
          <w:sz w:val="22"/>
          <w:szCs w:val="22"/>
        </w:rPr>
        <w:t xml:space="preserve">Initially our </w:t>
      </w:r>
      <w:r w:rsidR="00972118">
        <w:rPr>
          <w:rFonts w:ascii="Arial" w:hAnsi="Arial" w:cs="Arial"/>
          <w:sz w:val="22"/>
          <w:szCs w:val="22"/>
        </w:rPr>
        <w:t xml:space="preserve">SAB reduction </w:t>
      </w:r>
      <w:r w:rsidRPr="00913AEC">
        <w:rPr>
          <w:rFonts w:ascii="Arial" w:hAnsi="Arial" w:cs="Arial"/>
          <w:sz w:val="22"/>
          <w:szCs w:val="22"/>
        </w:rPr>
        <w:t xml:space="preserve">work plan in </w:t>
      </w:r>
      <w:r w:rsidR="00E747C2" w:rsidRPr="00913AEC">
        <w:rPr>
          <w:rFonts w:ascii="Arial" w:hAnsi="Arial" w:cs="Arial"/>
          <w:sz w:val="22"/>
          <w:szCs w:val="22"/>
        </w:rPr>
        <w:t xml:space="preserve">17/18 </w:t>
      </w:r>
      <w:r w:rsidR="000506C4" w:rsidRPr="00913AEC">
        <w:rPr>
          <w:rFonts w:ascii="Arial" w:hAnsi="Arial" w:cs="Arial"/>
          <w:sz w:val="22"/>
          <w:szCs w:val="22"/>
        </w:rPr>
        <w:t>focused</w:t>
      </w:r>
      <w:r w:rsidR="00E747C2" w:rsidRPr="00913AEC">
        <w:rPr>
          <w:rFonts w:ascii="Arial" w:hAnsi="Arial" w:cs="Arial"/>
          <w:sz w:val="22"/>
          <w:szCs w:val="22"/>
        </w:rPr>
        <w:t xml:space="preserve"> on </w:t>
      </w:r>
      <w:r w:rsidR="00972118">
        <w:rPr>
          <w:rFonts w:ascii="Arial" w:hAnsi="Arial" w:cs="Arial"/>
          <w:sz w:val="22"/>
          <w:szCs w:val="22"/>
        </w:rPr>
        <w:t xml:space="preserve">refining the </w:t>
      </w:r>
      <w:r w:rsidR="00E747C2" w:rsidRPr="00913AEC">
        <w:rPr>
          <w:rFonts w:ascii="Arial" w:hAnsi="Arial" w:cs="Arial"/>
          <w:sz w:val="22"/>
          <w:szCs w:val="22"/>
        </w:rPr>
        <w:t>PVC maintena</w:t>
      </w:r>
      <w:r w:rsidR="00972118">
        <w:rPr>
          <w:rFonts w:ascii="Arial" w:hAnsi="Arial" w:cs="Arial"/>
          <w:sz w:val="22"/>
          <w:szCs w:val="22"/>
        </w:rPr>
        <w:t xml:space="preserve">nce and addition of PVC insertion bundle to improve </w:t>
      </w:r>
      <w:r w:rsidRPr="00913AEC">
        <w:rPr>
          <w:rFonts w:ascii="Arial" w:hAnsi="Arial" w:cs="Arial"/>
          <w:sz w:val="22"/>
          <w:szCs w:val="22"/>
        </w:rPr>
        <w:t>compliance in 3 East. This</w:t>
      </w:r>
      <w:r w:rsidR="00972118">
        <w:rPr>
          <w:rFonts w:ascii="Arial" w:hAnsi="Arial" w:cs="Arial"/>
          <w:sz w:val="22"/>
          <w:szCs w:val="22"/>
        </w:rPr>
        <w:t xml:space="preserve"> work has now</w:t>
      </w:r>
      <w:r w:rsidRPr="00913AEC">
        <w:rPr>
          <w:rFonts w:ascii="Arial" w:hAnsi="Arial" w:cs="Arial"/>
          <w:sz w:val="22"/>
          <w:szCs w:val="22"/>
        </w:rPr>
        <w:t xml:space="preserve"> progressed to spread of the standardised PVC bundle to all clinical areas including critical care </w:t>
      </w:r>
      <w:r w:rsidR="00D25529">
        <w:rPr>
          <w:rFonts w:ascii="Arial" w:hAnsi="Arial" w:cs="Arial"/>
          <w:sz w:val="22"/>
          <w:szCs w:val="22"/>
        </w:rPr>
        <w:t>within</w:t>
      </w:r>
      <w:r w:rsidRPr="00913AEC">
        <w:rPr>
          <w:rFonts w:ascii="Arial" w:hAnsi="Arial" w:cs="Arial"/>
          <w:sz w:val="22"/>
          <w:szCs w:val="22"/>
        </w:rPr>
        <w:t xml:space="preserve"> CIS. </w:t>
      </w:r>
      <w:r w:rsidR="00D25529">
        <w:rPr>
          <w:rFonts w:ascii="Arial" w:hAnsi="Arial" w:cs="Arial"/>
          <w:sz w:val="22"/>
          <w:szCs w:val="22"/>
        </w:rPr>
        <w:t>The l</w:t>
      </w:r>
      <w:r w:rsidR="00972118">
        <w:rPr>
          <w:rFonts w:ascii="Arial" w:hAnsi="Arial" w:cs="Arial"/>
          <w:sz w:val="22"/>
          <w:szCs w:val="22"/>
        </w:rPr>
        <w:t xml:space="preserve">ast PVC related SAB was in </w:t>
      </w:r>
      <w:r w:rsidR="00276E55">
        <w:rPr>
          <w:rFonts w:ascii="Arial" w:hAnsi="Arial" w:cs="Arial"/>
          <w:sz w:val="22"/>
          <w:szCs w:val="22"/>
        </w:rPr>
        <w:t>March</w:t>
      </w:r>
      <w:r w:rsidR="00972118">
        <w:rPr>
          <w:rFonts w:ascii="Arial" w:hAnsi="Arial" w:cs="Arial"/>
          <w:sz w:val="22"/>
          <w:szCs w:val="22"/>
        </w:rPr>
        <w:t xml:space="preserve"> 17. </w:t>
      </w:r>
      <w:r w:rsidR="00972118" w:rsidRPr="00913AEC">
        <w:rPr>
          <w:rFonts w:ascii="Arial" w:hAnsi="Arial" w:cs="Arial"/>
          <w:sz w:val="22"/>
          <w:szCs w:val="22"/>
        </w:rPr>
        <w:t xml:space="preserve">Arterial line maintenance bundles have also been developed for critical care on CIS. </w:t>
      </w:r>
      <w:r w:rsidR="00972118">
        <w:rPr>
          <w:rFonts w:ascii="Arial" w:hAnsi="Arial" w:cs="Arial"/>
          <w:sz w:val="22"/>
          <w:szCs w:val="22"/>
        </w:rPr>
        <w:t xml:space="preserve">The aim of this bundle is to provide clear direction and documentation of care delivered during arterial line </w:t>
      </w:r>
      <w:r w:rsidR="00122B64">
        <w:rPr>
          <w:rFonts w:ascii="Arial" w:hAnsi="Arial" w:cs="Arial"/>
          <w:sz w:val="22"/>
          <w:szCs w:val="22"/>
        </w:rPr>
        <w:t>use.</w:t>
      </w:r>
    </w:p>
    <w:p w:rsidR="00122B64" w:rsidRDefault="00122B64" w:rsidP="00F150C2">
      <w:pPr>
        <w:rPr>
          <w:rFonts w:ascii="Arial" w:hAnsi="Arial" w:cs="Arial"/>
          <w:sz w:val="22"/>
          <w:szCs w:val="22"/>
        </w:rPr>
      </w:pPr>
    </w:p>
    <w:p w:rsidR="00913AEC" w:rsidRPr="00913AEC" w:rsidRDefault="00972118" w:rsidP="00F150C2">
      <w:pPr>
        <w:rPr>
          <w:rFonts w:ascii="Arial" w:hAnsi="Arial" w:cs="Arial"/>
          <w:sz w:val="22"/>
          <w:szCs w:val="22"/>
        </w:rPr>
      </w:pPr>
      <w:r>
        <w:rPr>
          <w:rFonts w:ascii="Arial" w:hAnsi="Arial" w:cs="Arial"/>
          <w:sz w:val="22"/>
          <w:szCs w:val="22"/>
        </w:rPr>
        <w:t>Next steps include-Working with CGRMDU next steps include development of a standardised risk assessment bundle</w:t>
      </w:r>
      <w:r w:rsidR="00122B64">
        <w:rPr>
          <w:rFonts w:ascii="Arial" w:hAnsi="Arial" w:cs="Arial"/>
          <w:sz w:val="22"/>
          <w:szCs w:val="22"/>
        </w:rPr>
        <w:t xml:space="preserve"> inclusive of PVC.</w:t>
      </w:r>
    </w:p>
    <w:p w:rsidR="00913AEC" w:rsidRPr="00913AEC" w:rsidRDefault="00913AEC" w:rsidP="00F150C2">
      <w:pPr>
        <w:rPr>
          <w:rFonts w:ascii="Arial" w:hAnsi="Arial" w:cs="Arial"/>
          <w:sz w:val="22"/>
          <w:szCs w:val="22"/>
        </w:rPr>
      </w:pPr>
    </w:p>
    <w:p w:rsidR="00913AEC" w:rsidRDefault="00913AEC" w:rsidP="00913AEC">
      <w:pPr>
        <w:rPr>
          <w:rFonts w:ascii="Arial" w:hAnsi="Arial" w:cs="Arial"/>
          <w:b/>
          <w:i/>
        </w:rPr>
      </w:pPr>
    </w:p>
    <w:p w:rsidR="00E747C2" w:rsidRDefault="00E747C2" w:rsidP="00283595">
      <w:pPr>
        <w:rPr>
          <w:rFonts w:ascii="Arial" w:hAnsi="Arial" w:cs="Arial"/>
          <w:b/>
          <w:i/>
        </w:rPr>
      </w:pPr>
      <w:r>
        <w:rPr>
          <w:rFonts w:ascii="Arial" w:hAnsi="Arial" w:cs="Arial"/>
          <w:b/>
          <w:i/>
        </w:rPr>
        <w:t>Clostridium difficile</w:t>
      </w:r>
    </w:p>
    <w:p w:rsidR="00E747C2" w:rsidRDefault="00541CEE" w:rsidP="003C4BD8">
      <w:pPr>
        <w:rPr>
          <w:rFonts w:ascii="Arial" w:hAnsi="Arial" w:cs="Arial"/>
          <w:b/>
          <w:bCs/>
          <w:sz w:val="22"/>
          <w:szCs w:val="22"/>
        </w:rPr>
      </w:pPr>
      <w:r w:rsidRPr="00541CEE">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121752" w:rsidRPr="00AA66A1" w:rsidRDefault="00121752"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121752" w:rsidRPr="00CE2B48" w:rsidRDefault="00541CEE" w:rsidP="00F0136C">
                  <w:pPr>
                    <w:spacing w:after="120"/>
                    <w:jc w:val="both"/>
                    <w:rPr>
                      <w:rFonts w:ascii="Arial" w:hAnsi="Arial" w:cs="Arial"/>
                      <w:sz w:val="18"/>
                      <w:szCs w:val="18"/>
                    </w:rPr>
                  </w:pPr>
                  <w:hyperlink r:id="rId14" w:history="1">
                    <w:r w:rsidR="00121752" w:rsidRPr="00CE2B48">
                      <w:rPr>
                        <w:rStyle w:val="Hyperlink"/>
                        <w:rFonts w:ascii="Arial" w:hAnsi="Arial" w:cs="Arial"/>
                        <w:color w:val="000000"/>
                        <w:sz w:val="18"/>
                        <w:szCs w:val="18"/>
                      </w:rPr>
                      <w:t>http://www.nhs.uk/conditions/Clostridium-difficile/Pages/Introduction.aspx</w:t>
                    </w:r>
                  </w:hyperlink>
                </w:p>
                <w:p w:rsidR="00121752" w:rsidRPr="00AA66A1" w:rsidRDefault="00121752"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121752" w:rsidRDefault="00541CEE" w:rsidP="00F0136C">
                  <w:pPr>
                    <w:spacing w:after="120"/>
                    <w:jc w:val="both"/>
                    <w:rPr>
                      <w:rFonts w:ascii="Arial" w:hAnsi="Arial" w:cs="Arial"/>
                      <w:sz w:val="18"/>
                      <w:szCs w:val="18"/>
                    </w:rPr>
                  </w:pPr>
                  <w:hyperlink r:id="rId15" w:history="1">
                    <w:r w:rsidR="00121752"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E747C2" w:rsidRPr="00232DEA" w:rsidRDefault="00E747C2" w:rsidP="003C4BD8">
      <w:pPr>
        <w:rPr>
          <w:rFonts w:ascii="Arial" w:hAnsi="Arial" w:cs="Arial"/>
        </w:rPr>
      </w:pPr>
    </w:p>
    <w:p w:rsidR="00A74F5E" w:rsidRDefault="00E747C2" w:rsidP="00BE675C">
      <w:pPr>
        <w:rPr>
          <w:rFonts w:ascii="Arial" w:hAnsi="Arial" w:cs="Arial"/>
          <w:b/>
          <w:sz w:val="22"/>
          <w:szCs w:val="22"/>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Pr>
          <w:rFonts w:ascii="Arial" w:hAnsi="Arial" w:cs="Arial"/>
          <w:b/>
          <w:sz w:val="22"/>
          <w:szCs w:val="22"/>
        </w:rPr>
        <w:t xml:space="preserve">Overall </w:t>
      </w:r>
      <w:r w:rsidR="002D447C">
        <w:rPr>
          <w:rFonts w:ascii="Arial" w:hAnsi="Arial" w:cs="Arial"/>
          <w:b/>
          <w:sz w:val="22"/>
          <w:szCs w:val="22"/>
        </w:rPr>
        <w:t>Oct 17- Dec</w:t>
      </w:r>
      <w:r>
        <w:rPr>
          <w:rFonts w:ascii="Arial" w:hAnsi="Arial" w:cs="Arial"/>
          <w:b/>
          <w:sz w:val="22"/>
          <w:szCs w:val="22"/>
        </w:rPr>
        <w:t xml:space="preserve"> 1</w:t>
      </w:r>
      <w:r w:rsidR="00A74F5E">
        <w:rPr>
          <w:rFonts w:ascii="Arial" w:hAnsi="Arial" w:cs="Arial"/>
          <w:b/>
          <w:sz w:val="22"/>
          <w:szCs w:val="22"/>
        </w:rPr>
        <w:t>7</w:t>
      </w:r>
      <w:r>
        <w:rPr>
          <w:rFonts w:ascii="Arial" w:hAnsi="Arial" w:cs="Arial"/>
          <w:b/>
          <w:sz w:val="22"/>
          <w:szCs w:val="22"/>
        </w:rPr>
        <w:t xml:space="preserve"> rate 0.0</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still well below the national target. </w:t>
      </w:r>
    </w:p>
    <w:p w:rsidR="00A74F5E" w:rsidRDefault="00A74F5E" w:rsidP="00A74F5E">
      <w:pPr>
        <w:rPr>
          <w:rFonts w:ascii="Arial" w:hAnsi="Arial" w:cs="Arial"/>
          <w:sz w:val="22"/>
          <w:szCs w:val="22"/>
        </w:rPr>
      </w:pPr>
    </w:p>
    <w:p w:rsidR="00E747C2" w:rsidRDefault="002D447C" w:rsidP="00F0136C">
      <w:pPr>
        <w:jc w:val="both"/>
        <w:rPr>
          <w:rFonts w:ascii="Arial" w:hAnsi="Arial" w:cs="Arial"/>
          <w:b/>
        </w:rPr>
      </w:pPr>
      <w:r w:rsidRPr="002D447C">
        <w:rPr>
          <w:noProof/>
        </w:rPr>
        <w:drawing>
          <wp:inline distT="0" distB="0" distL="0" distR="0">
            <wp:extent cx="6029325" cy="2752725"/>
            <wp:effectExtent l="1905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srcRect/>
                    <a:stretch>
                      <a:fillRect/>
                    </a:stretch>
                  </pic:blipFill>
                  <pic:spPr bwMode="auto">
                    <a:xfrm>
                      <a:off x="0" y="0"/>
                      <a:ext cx="6029325" cy="2752725"/>
                    </a:xfrm>
                    <a:prstGeom prst="rect">
                      <a:avLst/>
                    </a:prstGeom>
                    <a:noFill/>
                    <a:ln w="9525">
                      <a:noFill/>
                      <a:miter lim="800000"/>
                      <a:headEnd/>
                      <a:tailEnd/>
                    </a:ln>
                  </pic:spPr>
                </pic:pic>
              </a:graphicData>
            </a:graphic>
          </wp:inline>
        </w:drawing>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E747C2" w:rsidRPr="00464A20" w:rsidRDefault="00541CEE" w:rsidP="00464A20">
      <w:pPr>
        <w:jc w:val="both"/>
        <w:rPr>
          <w:rFonts w:ascii="Arial" w:hAnsi="Arial" w:cs="Arial"/>
          <w:b/>
        </w:rPr>
      </w:pPr>
      <w:r w:rsidRPr="00541CEE">
        <w:rPr>
          <w:noProof/>
          <w:lang w:val="en-US" w:eastAsia="en-US"/>
        </w:rPr>
        <w:lastRenderedPageBreak/>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121752" w:rsidRPr="00423BDF" w:rsidRDefault="00121752"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121752" w:rsidRDefault="00541CEE" w:rsidP="00F0136C">
                  <w:pPr>
                    <w:spacing w:after="120"/>
                    <w:jc w:val="both"/>
                    <w:rPr>
                      <w:rFonts w:ascii="Arial" w:hAnsi="Arial" w:cs="Arial"/>
                      <w:sz w:val="18"/>
                      <w:szCs w:val="18"/>
                    </w:rPr>
                  </w:pPr>
                  <w:hyperlink r:id="rId17" w:history="1">
                    <w:r w:rsidR="00121752" w:rsidRPr="00113F1C">
                      <w:rPr>
                        <w:rStyle w:val="Hyperlink"/>
                        <w:rFonts w:ascii="Arial" w:hAnsi="Arial" w:cs="Arial"/>
                        <w:sz w:val="18"/>
                        <w:szCs w:val="18"/>
                      </w:rPr>
                      <w:t>http://www.washyourhandsofthem.com/</w:t>
                    </w:r>
                  </w:hyperlink>
                </w:p>
                <w:p w:rsidR="00121752" w:rsidRPr="00AA66A1" w:rsidRDefault="00121752"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121752" w:rsidRDefault="00541CEE" w:rsidP="00F0136C">
                  <w:pPr>
                    <w:spacing w:after="120"/>
                    <w:jc w:val="both"/>
                    <w:rPr>
                      <w:rFonts w:ascii="Arial" w:hAnsi="Arial" w:cs="Arial"/>
                      <w:sz w:val="18"/>
                      <w:szCs w:val="18"/>
                    </w:rPr>
                  </w:pPr>
                  <w:hyperlink r:id="rId18" w:history="1">
                    <w:r w:rsidR="00121752"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E747C2" w:rsidRDefault="00F57780" w:rsidP="00BD4E85">
      <w:pPr>
        <w:spacing w:after="100" w:afterAutospacing="1"/>
        <w:jc w:val="both"/>
        <w:rPr>
          <w:rFonts w:ascii="Arial" w:hAnsi="Arial" w:cs="Arial"/>
          <w:b/>
        </w:rPr>
      </w:pPr>
      <w:r w:rsidRPr="00F57780">
        <w:rPr>
          <w:rFonts w:ascii="Arial" w:hAnsi="Arial" w:cs="Arial"/>
          <w:b/>
          <w:noProof/>
        </w:rPr>
        <w:drawing>
          <wp:inline distT="0" distB="0" distL="0" distR="0">
            <wp:extent cx="5943600" cy="4695825"/>
            <wp:effectExtent l="0" t="0" r="0" b="0"/>
            <wp:docPr id="5"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50646" cy="6834410"/>
                      <a:chOff x="457200" y="0"/>
                      <a:chExt cx="8650646" cy="6834410"/>
                    </a:xfrm>
                  </a:grpSpPr>
                  <a:sp>
                    <a:nvSpPr>
                      <a:cNvPr id="2050" name="Title 1"/>
                      <a:cNvSpPr>
                        <a:spLocks noGrp="1"/>
                      </a:cNvSpPr>
                    </a:nvSpPr>
                    <a:spPr bwMode="auto">
                      <a:xfrm>
                        <a:off x="457200" y="274638"/>
                        <a:ext cx="8229600" cy="1143000"/>
                      </a:xfrm>
                      <a:prstGeom prst="rect">
                        <a:avLst/>
                      </a:prstGeom>
                      <a:noFill/>
                      <a:ln w="9525">
                        <a:noFill/>
                        <a:miter lim="800000"/>
                        <a:headEnd/>
                        <a:tailEnd/>
                      </a:ln>
                    </a:spPr>
                    <a:txSp>
                      <a:txBody>
                        <a:bodyPr vert="horz" wrap="square" lIns="91440" tIns="45720" rIns="91440" bIns="45720" numCol="1" anchor="ctr" anchorCtr="0" compatLnSpc="1">
                          <a:prstTxWarp prst="textNoShape">
                            <a:avLst/>
                          </a:prstTxWarp>
                        </a:bodyPr>
                        <a:lstStyle>
                          <a:lvl1pPr algn="ctr" rtl="0" eaLnBrk="0" fontAlgn="base" hangingPunct="0">
                            <a:spcBef>
                              <a:spcPct val="0"/>
                            </a:spcBef>
                            <a:spcAft>
                              <a:spcPct val="0"/>
                            </a:spcAft>
                            <a:defRPr sz="4400" kern="1200">
                              <a:solidFill>
                                <a:schemeClr val="tx1"/>
                              </a:solidFill>
                              <a:latin typeface="+mj-lt"/>
                              <a:ea typeface="+mj-ea"/>
                              <a:cs typeface="+mj-cs"/>
                            </a:defRPr>
                          </a:lvl1pPr>
                          <a:lvl2pPr algn="ctr" rtl="0" eaLnBrk="0" fontAlgn="base" hangingPunct="0">
                            <a:spcBef>
                              <a:spcPct val="0"/>
                            </a:spcBef>
                            <a:spcAft>
                              <a:spcPct val="0"/>
                            </a:spcAft>
                            <a:defRPr sz="4400">
                              <a:solidFill>
                                <a:schemeClr val="tx1"/>
                              </a:solidFill>
                              <a:latin typeface="Calibri" pitchFamily="34" charset="0"/>
                            </a:defRPr>
                          </a:lvl2pPr>
                          <a:lvl3pPr algn="ctr" rtl="0" eaLnBrk="0" fontAlgn="base" hangingPunct="0">
                            <a:spcBef>
                              <a:spcPct val="0"/>
                            </a:spcBef>
                            <a:spcAft>
                              <a:spcPct val="0"/>
                            </a:spcAft>
                            <a:defRPr sz="4400">
                              <a:solidFill>
                                <a:schemeClr val="tx1"/>
                              </a:solidFill>
                              <a:latin typeface="Calibri" pitchFamily="34" charset="0"/>
                            </a:defRPr>
                          </a:lvl3pPr>
                          <a:lvl4pPr algn="ctr" rtl="0" eaLnBrk="0" fontAlgn="base" hangingPunct="0">
                            <a:spcBef>
                              <a:spcPct val="0"/>
                            </a:spcBef>
                            <a:spcAft>
                              <a:spcPct val="0"/>
                            </a:spcAft>
                            <a:defRPr sz="4400">
                              <a:solidFill>
                                <a:schemeClr val="tx1"/>
                              </a:solidFill>
                              <a:latin typeface="Calibri" pitchFamily="34" charset="0"/>
                            </a:defRPr>
                          </a:lvl4pPr>
                          <a:lvl5pPr algn="ctr" rtl="0" eaLnBrk="0" fontAlgn="base" hangingPunct="0">
                            <a:spcBef>
                              <a:spcPct val="0"/>
                            </a:spcBef>
                            <a:spcAft>
                              <a:spcPct val="0"/>
                            </a:spcAft>
                            <a:defRPr sz="4400">
                              <a:solidFill>
                                <a:schemeClr val="tx1"/>
                              </a:solidFill>
                              <a:latin typeface="Calibri" pitchFamily="34" charset="0"/>
                            </a:defRPr>
                          </a:lvl5pPr>
                          <a:lvl6pPr marL="457200" algn="ctr" rtl="0" fontAlgn="base">
                            <a:spcBef>
                              <a:spcPct val="0"/>
                            </a:spcBef>
                            <a:spcAft>
                              <a:spcPct val="0"/>
                            </a:spcAft>
                            <a:defRPr sz="4400">
                              <a:solidFill>
                                <a:schemeClr val="tx1"/>
                              </a:solidFill>
                              <a:latin typeface="Calibri" pitchFamily="34" charset="0"/>
                            </a:defRPr>
                          </a:lvl6pPr>
                          <a:lvl7pPr marL="914400" algn="ctr" rtl="0" fontAlgn="base">
                            <a:spcBef>
                              <a:spcPct val="0"/>
                            </a:spcBef>
                            <a:spcAft>
                              <a:spcPct val="0"/>
                            </a:spcAft>
                            <a:defRPr sz="4400">
                              <a:solidFill>
                                <a:schemeClr val="tx1"/>
                              </a:solidFill>
                              <a:latin typeface="Calibri" pitchFamily="34" charset="0"/>
                            </a:defRPr>
                          </a:lvl7pPr>
                          <a:lvl8pPr marL="1371600" algn="ctr" rtl="0" fontAlgn="base">
                            <a:spcBef>
                              <a:spcPct val="0"/>
                            </a:spcBef>
                            <a:spcAft>
                              <a:spcPct val="0"/>
                            </a:spcAft>
                            <a:defRPr sz="4400">
                              <a:solidFill>
                                <a:schemeClr val="tx1"/>
                              </a:solidFill>
                              <a:latin typeface="Calibri" pitchFamily="34" charset="0"/>
                            </a:defRPr>
                          </a:lvl8pPr>
                          <a:lvl9pPr marL="1828800" algn="ctr" rtl="0" fontAlgn="base">
                            <a:spcBef>
                              <a:spcPct val="0"/>
                            </a:spcBef>
                            <a:spcAft>
                              <a:spcPct val="0"/>
                            </a:spcAft>
                            <a:defRPr sz="4400">
                              <a:solidFill>
                                <a:schemeClr val="tx1"/>
                              </a:solidFill>
                              <a:latin typeface="Calibri" pitchFamily="34" charset="0"/>
                            </a:defRPr>
                          </a:lvl9pPr>
                        </a:lstStyle>
                        <a:p>
                          <a:pPr algn="l" eaLnBrk="1" hangingPunct="1"/>
                          <a:r>
                            <a:rPr lang="en-GB" sz="1400" b="1" smtClean="0"/>
                            <a:t>November 2017 Bi Monthly Hand Hygiene Audit</a:t>
                          </a:r>
                          <a:br>
                            <a:rPr lang="en-GB" sz="1400" b="1" smtClean="0"/>
                          </a:br>
                          <a:r>
                            <a:rPr lang="en-GB" sz="1400" b="1" smtClean="0"/>
                            <a:t>All non compliant staff were spoken to at the time of audit and reminded of the</a:t>
                          </a:r>
                          <a:br>
                            <a:rPr lang="en-GB" sz="1400" b="1" smtClean="0"/>
                          </a:br>
                          <a:r>
                            <a:rPr lang="en-GB" sz="1400" b="1" smtClean="0"/>
                            <a:t>importance of adhering to Standard Infection Control Precautions  </a:t>
                          </a:r>
                        </a:p>
                      </a:txBody>
                      <a:useSpRect/>
                    </a:txSp>
                  </a:sp>
                  <a:pic>
                    <a:nvPicPr>
                      <a:cNvPr id="7" name="table"/>
                      <a:cNvPicPr>
                        <a:picLocks noChangeAspect="1"/>
                      </a:cNvPicPr>
                    </a:nvPicPr>
                    <a:blipFill>
                      <a:blip r:embed="rId19"/>
                      <a:stretch>
                        <a:fillRect/>
                      </a:stretch>
                    </a:blipFill>
                    <a:spPr>
                      <a:xfrm>
                        <a:off x="457200" y="1341438"/>
                        <a:ext cx="4188315" cy="5492972"/>
                      </a:xfrm>
                      <a:prstGeom prst="rect">
                        <a:avLst/>
                      </a:prstGeom>
                    </a:spPr>
                  </a:pic>
                  <a:pic>
                    <a:nvPicPr>
                      <a:cNvPr id="8" name="table"/>
                      <a:cNvPicPr>
                        <a:picLocks noChangeAspect="1"/>
                      </a:cNvPicPr>
                    </a:nvPicPr>
                    <a:blipFill>
                      <a:blip r:embed="rId20"/>
                      <a:stretch>
                        <a:fillRect/>
                      </a:stretch>
                    </a:blipFill>
                    <a:spPr>
                      <a:xfrm>
                        <a:off x="4648200" y="1600200"/>
                        <a:ext cx="4182218" cy="3481118"/>
                      </a:xfrm>
                      <a:prstGeom prst="rect">
                        <a:avLst/>
                      </a:prstGeom>
                    </a:spPr>
                  </a:pic>
                  <a:pic>
                    <a:nvPicPr>
                      <a:cNvPr id="11" name="table"/>
                      <a:cNvPicPr>
                        <a:picLocks noChangeAspect="1"/>
                      </a:cNvPicPr>
                    </a:nvPicPr>
                    <a:blipFill>
                      <a:blip r:embed="rId21"/>
                      <a:stretch>
                        <a:fillRect/>
                      </a:stretch>
                    </a:blipFill>
                    <a:spPr>
                      <a:xfrm>
                        <a:off x="6443663" y="0"/>
                        <a:ext cx="2664183" cy="1670449"/>
                      </a:xfrm>
                      <a:prstGeom prst="rect">
                        <a:avLst/>
                      </a:prstGeom>
                    </a:spPr>
                  </a:pic>
                </lc:lockedCanvas>
              </a:graphicData>
            </a:graphic>
          </wp:inline>
        </w:drawing>
      </w:r>
      <w:r w:rsidR="00541CEE" w:rsidRPr="00541CEE">
        <w:rPr>
          <w:noProof/>
          <w:lang w:val="en-US" w:eastAsia="en-US"/>
        </w:rPr>
        <w:pict>
          <v:shape id="_x0000_s1034" type="#_x0000_t202" style="position:absolute;left:0;text-align:left;margin-left:2.55pt;margin-top:119.35pt;width:479.25pt;height:91.8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121752" w:rsidRDefault="00121752"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121752" w:rsidRDefault="00121752" w:rsidP="003E2530">
                  <w:pPr>
                    <w:rPr>
                      <w:rFonts w:ascii="Arial" w:hAnsi="Arial" w:cs="Arial"/>
                      <w:color w:val="000000" w:themeColor="text1"/>
                      <w:sz w:val="22"/>
                      <w:szCs w:val="22"/>
                    </w:rPr>
                  </w:pPr>
                  <w:r w:rsidRPr="003E2530">
                    <w:rPr>
                      <w:rFonts w:ascii="Arial" w:hAnsi="Arial" w:cs="Arial"/>
                      <w:color w:val="000000" w:themeColor="text1"/>
                      <w:sz w:val="22"/>
                      <w:szCs w:val="22"/>
                    </w:rPr>
                    <w:t xml:space="preserve">The </w:t>
                  </w:r>
                  <w:r w:rsidRPr="003E2530">
                    <w:rPr>
                      <w:rFonts w:ascii="Arial" w:hAnsi="Arial" w:cs="Arial"/>
                      <w:b/>
                      <w:color w:val="000000" w:themeColor="text1"/>
                      <w:sz w:val="22"/>
                      <w:szCs w:val="22"/>
                    </w:rPr>
                    <w:t>bimonthly</w:t>
                  </w:r>
                  <w:r w:rsidRPr="003E2530">
                    <w:rPr>
                      <w:rFonts w:ascii="Arial" w:hAnsi="Arial" w:cs="Arial"/>
                      <w:color w:val="000000" w:themeColor="text1"/>
                      <w:sz w:val="22"/>
                      <w:szCs w:val="22"/>
                    </w:rPr>
                    <w:t xml:space="preserve"> report from </w:t>
                  </w:r>
                  <w:r>
                    <w:rPr>
                      <w:rFonts w:ascii="Arial" w:hAnsi="Arial" w:cs="Arial"/>
                      <w:color w:val="000000" w:themeColor="text1"/>
                      <w:sz w:val="22"/>
                      <w:szCs w:val="22"/>
                    </w:rPr>
                    <w:t>November</w:t>
                  </w:r>
                  <w:r w:rsidRPr="003E2530">
                    <w:rPr>
                      <w:rFonts w:ascii="Arial" w:hAnsi="Arial" w:cs="Arial"/>
                      <w:color w:val="000000" w:themeColor="text1"/>
                      <w:sz w:val="22"/>
                      <w:szCs w:val="22"/>
                    </w:rPr>
                    <w:t xml:space="preserve"> demonstrates a Board compliance rate of 9</w:t>
                  </w:r>
                  <w:r>
                    <w:rPr>
                      <w:rFonts w:ascii="Arial" w:hAnsi="Arial" w:cs="Arial"/>
                      <w:color w:val="000000" w:themeColor="text1"/>
                      <w:sz w:val="22"/>
                      <w:szCs w:val="22"/>
                    </w:rPr>
                    <w:t>7</w:t>
                  </w:r>
                  <w:r w:rsidRPr="003E2530">
                    <w:rPr>
                      <w:rFonts w:ascii="Arial" w:hAnsi="Arial" w:cs="Arial"/>
                      <w:color w:val="000000" w:themeColor="text1"/>
                      <w:sz w:val="22"/>
                      <w:szCs w:val="22"/>
                    </w:rPr>
                    <w:t>%.</w:t>
                  </w:r>
                </w:p>
                <w:p w:rsidR="00121752" w:rsidRDefault="00121752" w:rsidP="003E2530">
                  <w:pPr>
                    <w:rPr>
                      <w:rFonts w:ascii="Arial" w:hAnsi="Arial" w:cs="Arial"/>
                      <w:color w:val="000000" w:themeColor="text1"/>
                      <w:sz w:val="22"/>
                      <w:szCs w:val="22"/>
                    </w:rPr>
                  </w:pPr>
                  <w:r>
                    <w:rPr>
                      <w:rFonts w:ascii="Arial" w:hAnsi="Arial" w:cs="Arial"/>
                      <w:color w:val="000000" w:themeColor="text1"/>
                      <w:sz w:val="22"/>
                      <w:szCs w:val="22"/>
                    </w:rPr>
                    <w:t>Medical staff compliance has dropped to 91% non compliance with both opportunity and technique. The Medical Director has provided clear communication to staff re expectations with bare below elbow in November.</w:t>
                  </w:r>
                </w:p>
                <w:p w:rsidR="00121752" w:rsidRDefault="00121752" w:rsidP="003E2530">
                  <w:pPr>
                    <w:rPr>
                      <w:color w:val="1F497D"/>
                    </w:rPr>
                  </w:pPr>
                  <w:r w:rsidRPr="003E2530">
                    <w:rPr>
                      <w:rFonts w:ascii="Arial" w:hAnsi="Arial" w:cs="Arial"/>
                      <w:color w:val="000000" w:themeColor="text1"/>
                      <w:sz w:val="22"/>
                      <w:szCs w:val="22"/>
                    </w:rPr>
                    <w:t xml:space="preserve">Next report due </w:t>
                  </w:r>
                  <w:r>
                    <w:rPr>
                      <w:rFonts w:ascii="Arial" w:hAnsi="Arial" w:cs="Arial"/>
                      <w:color w:val="000000" w:themeColor="text1"/>
                      <w:sz w:val="22"/>
                      <w:szCs w:val="22"/>
                    </w:rPr>
                    <w:t>January 2018</w:t>
                  </w:r>
                  <w:r w:rsidRPr="003E2530">
                    <w:rPr>
                      <w:rFonts w:ascii="Arial" w:hAnsi="Arial" w:cs="Arial"/>
                      <w:color w:val="000000" w:themeColor="text1"/>
                      <w:sz w:val="22"/>
                      <w:szCs w:val="22"/>
                    </w:rPr>
                    <w:t xml:space="preserve">. </w:t>
                  </w:r>
                </w:p>
                <w:p w:rsidR="00121752" w:rsidRPr="00CA07A7" w:rsidRDefault="00121752" w:rsidP="00973267">
                  <w:pPr>
                    <w:rPr>
                      <w:rFonts w:ascii="Arial" w:hAnsi="Arial" w:cs="Arial"/>
                      <w:sz w:val="22"/>
                      <w:szCs w:val="22"/>
                    </w:rPr>
                  </w:pPr>
                </w:p>
                <w:p w:rsidR="00121752" w:rsidRPr="00EA3732" w:rsidRDefault="00121752" w:rsidP="00AA646C">
                  <w:pPr>
                    <w:pStyle w:val="ListParagraph"/>
                    <w:spacing w:after="100" w:afterAutospacing="1"/>
                    <w:ind w:left="0"/>
                    <w:jc w:val="both"/>
                    <w:rPr>
                      <w:rFonts w:ascii="Arial" w:hAnsi="Arial" w:cs="Arial"/>
                      <w:sz w:val="22"/>
                      <w:szCs w:val="22"/>
                    </w:rPr>
                  </w:pPr>
                </w:p>
                <w:p w:rsidR="00121752" w:rsidRPr="001E4293" w:rsidRDefault="00121752" w:rsidP="00AA646C">
                  <w:pPr>
                    <w:spacing w:after="120"/>
                    <w:rPr>
                      <w:rFonts w:ascii="Arial" w:hAnsi="Arial" w:cs="Arial"/>
                      <w:b/>
                      <w:sz w:val="22"/>
                      <w:szCs w:val="22"/>
                      <w:u w:val="single"/>
                    </w:rPr>
                  </w:pPr>
                </w:p>
              </w:txbxContent>
            </v:textbox>
            <w10:wrap type="square"/>
          </v:shape>
        </w:pict>
      </w:r>
    </w:p>
    <w:p w:rsidR="00E747C2" w:rsidRDefault="00E747C2" w:rsidP="00BD4E85">
      <w:pPr>
        <w:spacing w:after="100" w:afterAutospacing="1"/>
        <w:jc w:val="both"/>
        <w:rPr>
          <w:rFonts w:ascii="Arial" w:hAnsi="Arial" w:cs="Arial"/>
          <w:b/>
        </w:rPr>
      </w:pPr>
    </w:p>
    <w:p w:rsidR="00E747C2" w:rsidRDefault="009F79D1" w:rsidP="00BD4E85">
      <w:pPr>
        <w:spacing w:after="100" w:afterAutospacing="1"/>
        <w:jc w:val="both"/>
        <w:rPr>
          <w:noProof/>
        </w:rPr>
      </w:pPr>
      <w:r w:rsidRPr="009F79D1">
        <w:rPr>
          <w:noProof/>
        </w:rPr>
        <w:lastRenderedPageBreak/>
        <w:drawing>
          <wp:inline distT="0" distB="0" distL="0" distR="0">
            <wp:extent cx="6086475" cy="3762375"/>
            <wp:effectExtent l="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6086475" cy="3762375"/>
                    </a:xfrm>
                    <a:prstGeom prst="rect">
                      <a:avLst/>
                    </a:prstGeom>
                    <a:noFill/>
                    <a:ln w="9525">
                      <a:noFill/>
                      <a:miter lim="800000"/>
                      <a:headEnd/>
                      <a:tailEnd/>
                    </a:ln>
                  </pic:spPr>
                </pic:pic>
              </a:graphicData>
            </a:graphic>
          </wp:inline>
        </w:drawing>
      </w:r>
    </w:p>
    <w:p w:rsidR="00E747C2" w:rsidRDefault="00E747C2" w:rsidP="00BD4E85">
      <w:pPr>
        <w:spacing w:after="100" w:afterAutospacing="1"/>
        <w:jc w:val="both"/>
        <w:rPr>
          <w:noProof/>
        </w:rPr>
      </w:pPr>
    </w:p>
    <w:p w:rsidR="00E747C2" w:rsidRDefault="00E747C2" w:rsidP="00BD4E85">
      <w:pPr>
        <w:spacing w:after="100" w:afterAutospacing="1"/>
        <w:jc w:val="both"/>
        <w:rPr>
          <w:noProof/>
        </w:rPr>
      </w:pPr>
    </w:p>
    <w:p w:rsidR="00E747C2" w:rsidRDefault="009F79D1" w:rsidP="00BD4E85">
      <w:pPr>
        <w:spacing w:after="100" w:afterAutospacing="1"/>
        <w:jc w:val="both"/>
      </w:pPr>
      <w:r w:rsidRPr="009F79D1">
        <w:rPr>
          <w:noProof/>
        </w:rPr>
        <w:drawing>
          <wp:inline distT="0" distB="0" distL="0" distR="0">
            <wp:extent cx="6067425" cy="4095750"/>
            <wp:effectExtent l="0" t="0" r="9525"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srcRect/>
                    <a:stretch>
                      <a:fillRect/>
                    </a:stretch>
                  </pic:blipFill>
                  <pic:spPr bwMode="auto">
                    <a:xfrm>
                      <a:off x="0" y="0"/>
                      <a:ext cx="6067425" cy="4095750"/>
                    </a:xfrm>
                    <a:prstGeom prst="rect">
                      <a:avLst/>
                    </a:prstGeom>
                    <a:noFill/>
                    <a:ln w="9525">
                      <a:noFill/>
                      <a:miter lim="800000"/>
                      <a:headEnd/>
                      <a:tailEnd/>
                    </a:ln>
                  </pic:spPr>
                </pic:pic>
              </a:graphicData>
            </a:graphic>
          </wp:inline>
        </w:drawing>
      </w:r>
    </w:p>
    <w:p w:rsidR="00E747C2" w:rsidRDefault="009F79D1" w:rsidP="00BD4E85">
      <w:pPr>
        <w:spacing w:after="100" w:afterAutospacing="1"/>
        <w:jc w:val="both"/>
      </w:pPr>
      <w:r w:rsidRPr="009F79D1">
        <w:rPr>
          <w:noProof/>
        </w:rPr>
        <w:lastRenderedPageBreak/>
        <w:drawing>
          <wp:inline distT="0" distB="0" distL="0" distR="0">
            <wp:extent cx="5934075" cy="3810000"/>
            <wp:effectExtent l="0" t="0" r="9525" b="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srcRect/>
                    <a:stretch>
                      <a:fillRect/>
                    </a:stretch>
                  </pic:blipFill>
                  <pic:spPr bwMode="auto">
                    <a:xfrm>
                      <a:off x="0" y="0"/>
                      <a:ext cx="5934075" cy="3810000"/>
                    </a:xfrm>
                    <a:prstGeom prst="rect">
                      <a:avLst/>
                    </a:prstGeom>
                    <a:noFill/>
                    <a:ln w="9525">
                      <a:noFill/>
                      <a:miter lim="800000"/>
                      <a:headEnd/>
                      <a:tailEnd/>
                    </a:ln>
                  </pic:spPr>
                </pic:pic>
              </a:graphicData>
            </a:graphic>
          </wp:inline>
        </w:drawing>
      </w:r>
    </w:p>
    <w:p w:rsidR="00E747C2" w:rsidRDefault="00E747C2" w:rsidP="00BD4E85">
      <w:pPr>
        <w:spacing w:after="100" w:afterAutospacing="1"/>
        <w:jc w:val="both"/>
        <w:rPr>
          <w:rFonts w:ascii="Arial" w:hAnsi="Arial" w:cs="Arial"/>
          <w:b/>
        </w:rPr>
      </w:pPr>
      <w:r>
        <w:rPr>
          <w:rFonts w:ascii="Arial" w:hAnsi="Arial" w:cs="Arial"/>
          <w:b/>
        </w:rPr>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E747C2" w:rsidRDefault="00E747C2" w:rsidP="00BD4E85">
      <w:pPr>
        <w:spacing w:after="100" w:afterAutospacing="1"/>
        <w:jc w:val="both"/>
        <w:rPr>
          <w:rStyle w:val="A3"/>
          <w:rFonts w:ascii="Arial" w:hAnsi="Arial" w:cs="Arial"/>
          <w:szCs w:val="22"/>
        </w:rPr>
      </w:pPr>
      <w:r w:rsidRPr="00D614F7">
        <w:rPr>
          <w:rStyle w:val="A3"/>
          <w:rFonts w:ascii="Arial" w:hAnsi="Arial" w:cs="Arial"/>
          <w:szCs w:val="22"/>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A26230" w:rsidRDefault="00747837" w:rsidP="00BD4E85">
      <w:pPr>
        <w:spacing w:after="100" w:afterAutospacing="1"/>
        <w:jc w:val="both"/>
        <w:rPr>
          <w:rStyle w:val="A3"/>
          <w:rFonts w:ascii="Arial" w:hAnsi="Arial" w:cs="Arial"/>
          <w:szCs w:val="22"/>
        </w:rPr>
      </w:pPr>
      <w:r w:rsidRPr="00E40F39">
        <w:rPr>
          <w:rStyle w:val="A3"/>
          <w:rFonts w:ascii="Arial" w:hAnsi="Arial" w:cs="Arial"/>
          <w:szCs w:val="22"/>
        </w:rPr>
        <w:t xml:space="preserve">Integral to the updated National Cleaning Services Specifications, </w:t>
      </w:r>
      <w:r w:rsidR="00E40F39">
        <w:rPr>
          <w:rStyle w:val="A3"/>
          <w:rFonts w:ascii="Arial" w:hAnsi="Arial" w:cs="Arial"/>
          <w:szCs w:val="22"/>
        </w:rPr>
        <w:t xml:space="preserve">the </w:t>
      </w:r>
      <w:r w:rsidRPr="00E40F39">
        <w:rPr>
          <w:rStyle w:val="A3"/>
          <w:rFonts w:ascii="Arial" w:hAnsi="Arial" w:cs="Arial"/>
          <w:szCs w:val="22"/>
        </w:rPr>
        <w:t xml:space="preserve">Housekeeping </w:t>
      </w:r>
      <w:r w:rsidR="00E40F39">
        <w:rPr>
          <w:rStyle w:val="A3"/>
          <w:rFonts w:ascii="Arial" w:hAnsi="Arial" w:cs="Arial"/>
          <w:szCs w:val="22"/>
        </w:rPr>
        <w:t xml:space="preserve">team </w:t>
      </w:r>
      <w:r w:rsidR="006C447C">
        <w:rPr>
          <w:rStyle w:val="A3"/>
          <w:rFonts w:ascii="Arial" w:hAnsi="Arial" w:cs="Arial"/>
          <w:szCs w:val="22"/>
        </w:rPr>
        <w:t>have</w:t>
      </w:r>
      <w:r w:rsidRPr="00E40F39">
        <w:rPr>
          <w:rStyle w:val="A3"/>
          <w:rFonts w:ascii="Arial" w:hAnsi="Arial" w:cs="Arial"/>
          <w:szCs w:val="22"/>
        </w:rPr>
        <w:t xml:space="preserve"> review</w:t>
      </w:r>
      <w:r w:rsidR="006C447C">
        <w:rPr>
          <w:rStyle w:val="A3"/>
          <w:rFonts w:ascii="Arial" w:hAnsi="Arial" w:cs="Arial"/>
          <w:szCs w:val="22"/>
        </w:rPr>
        <w:t>ed</w:t>
      </w:r>
      <w:r w:rsidRPr="00E40F39">
        <w:rPr>
          <w:rStyle w:val="A3"/>
          <w:rFonts w:ascii="Arial" w:hAnsi="Arial" w:cs="Arial"/>
          <w:szCs w:val="22"/>
        </w:rPr>
        <w:t xml:space="preserve"> existing task sheets for each area to risk as</w:t>
      </w:r>
      <w:r w:rsidR="00E40F39">
        <w:rPr>
          <w:rStyle w:val="A3"/>
          <w:rFonts w:ascii="Arial" w:hAnsi="Arial" w:cs="Arial"/>
          <w:szCs w:val="22"/>
        </w:rPr>
        <w:t>sess</w:t>
      </w:r>
      <w:r w:rsidRPr="00E40F39">
        <w:rPr>
          <w:rStyle w:val="A3"/>
          <w:rFonts w:ascii="Arial" w:hAnsi="Arial" w:cs="Arial"/>
          <w:szCs w:val="22"/>
        </w:rPr>
        <w:t xml:space="preserve"> the frequency of tasks. </w:t>
      </w:r>
      <w:r w:rsidR="00E40F39" w:rsidRPr="00E40F39">
        <w:rPr>
          <w:rStyle w:val="A3"/>
          <w:rFonts w:ascii="Arial" w:hAnsi="Arial" w:cs="Arial"/>
          <w:szCs w:val="22"/>
        </w:rPr>
        <w:t>Testing is underway and i</w:t>
      </w:r>
      <w:r w:rsidRPr="00E40F39">
        <w:rPr>
          <w:rStyle w:val="A3"/>
          <w:rFonts w:ascii="Arial" w:hAnsi="Arial" w:cs="Arial"/>
          <w:szCs w:val="22"/>
        </w:rPr>
        <w:t>t is expected this work will be complete</w:t>
      </w:r>
      <w:r w:rsidR="00E40F39" w:rsidRPr="00E40F39">
        <w:rPr>
          <w:rStyle w:val="A3"/>
          <w:rFonts w:ascii="Arial" w:hAnsi="Arial" w:cs="Arial"/>
          <w:szCs w:val="22"/>
        </w:rPr>
        <w:t xml:space="preserve"> December.</w:t>
      </w:r>
    </w:p>
    <w:p w:rsidR="00A26230" w:rsidRDefault="00A26230" w:rsidP="00A26230">
      <w:pPr>
        <w:rPr>
          <w:rFonts w:ascii="Arial" w:hAnsi="Arial" w:cs="Arial"/>
          <w:sz w:val="22"/>
          <w:szCs w:val="22"/>
        </w:rPr>
      </w:pPr>
    </w:p>
    <w:p w:rsidR="00747837" w:rsidRPr="00A26230" w:rsidRDefault="00A26230" w:rsidP="00A26230">
      <w:pPr>
        <w:rPr>
          <w:rFonts w:ascii="Arial" w:hAnsi="Arial" w:cs="Arial"/>
          <w:sz w:val="22"/>
          <w:szCs w:val="22"/>
        </w:rPr>
      </w:pPr>
      <w:r w:rsidRPr="00A26230">
        <w:rPr>
          <w:noProof/>
          <w:szCs w:val="22"/>
        </w:rPr>
        <w:lastRenderedPageBreak/>
        <w:drawing>
          <wp:inline distT="0" distB="0" distL="0" distR="0">
            <wp:extent cx="6120130" cy="3999816"/>
            <wp:effectExtent l="19050" t="0" r="0" b="0"/>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srcRect/>
                    <a:stretch>
                      <a:fillRect/>
                    </a:stretch>
                  </pic:blipFill>
                  <pic:spPr bwMode="auto">
                    <a:xfrm>
                      <a:off x="0" y="0"/>
                      <a:ext cx="6120130" cy="3999816"/>
                    </a:xfrm>
                    <a:prstGeom prst="rect">
                      <a:avLst/>
                    </a:prstGeom>
                    <a:noFill/>
                    <a:ln w="9525">
                      <a:noFill/>
                      <a:miter lim="800000"/>
                      <a:headEnd/>
                      <a:tailEnd/>
                    </a:ln>
                  </pic:spPr>
                </pic:pic>
              </a:graphicData>
            </a:graphic>
          </wp:inline>
        </w:drawing>
      </w:r>
    </w:p>
    <w:p w:rsidR="00E747C2" w:rsidRDefault="00E747C2" w:rsidP="003E2B20">
      <w:pPr>
        <w:rPr>
          <w:rFonts w:ascii="Arial" w:hAnsi="Arial" w:cs="Arial"/>
          <w:sz w:val="22"/>
          <w:szCs w:val="22"/>
        </w:rPr>
      </w:pPr>
    </w:p>
    <w:p w:rsidR="00425B30" w:rsidRDefault="00425B30" w:rsidP="003909DC">
      <w:pPr>
        <w:spacing w:after="120"/>
        <w:ind w:left="-284"/>
        <w:jc w:val="both"/>
        <w:rPr>
          <w:rFonts w:ascii="Arial" w:hAnsi="Arial" w:cs="Arial"/>
          <w:b/>
          <w:sz w:val="22"/>
          <w:szCs w:val="22"/>
          <w:u w:val="single"/>
        </w:rPr>
      </w:pPr>
    </w:p>
    <w:p w:rsidR="00E747C2" w:rsidRDefault="00541CEE" w:rsidP="003909DC">
      <w:pPr>
        <w:spacing w:after="120"/>
        <w:ind w:left="-284"/>
        <w:jc w:val="both"/>
        <w:rPr>
          <w:rFonts w:ascii="Arial" w:hAnsi="Arial" w:cs="Arial"/>
          <w:b/>
        </w:rPr>
      </w:pPr>
      <w:r>
        <w:rPr>
          <w:rFonts w:ascii="Arial" w:hAnsi="Arial" w:cs="Arial"/>
          <w:b/>
          <w:noProof/>
        </w:rPr>
        <w:pict>
          <v:shape id="_x0000_s1117" type="#_x0000_t202" style="position:absolute;left:0;text-align:left;margin-left:-12.7pt;margin-top:16.55pt;width:513.95pt;height:79.65pt;z-index:251666432;mso-height-percent:200;mso-height-percent:200;mso-width-relative:margin;mso-height-relative:margin" fillcolor="#d8d8d8">
            <v:textbox style="mso-next-textbox:#_x0000_s1117;mso-fit-shape-to-text:t">
              <w:txbxContent>
                <w:p w:rsidR="00121752" w:rsidRPr="00425B30" w:rsidRDefault="00121752" w:rsidP="00425B30">
                  <w:pPr>
                    <w:pStyle w:val="NoSpacing"/>
                    <w:shd w:val="clear" w:color="auto" w:fill="D9D9D9"/>
                    <w:rPr>
                      <w:rFonts w:ascii="Arial" w:hAnsi="Arial" w:cs="Arial"/>
                      <w:sz w:val="20"/>
                      <w:szCs w:val="20"/>
                    </w:rPr>
                  </w:pPr>
                  <w:r w:rsidRPr="00425B30">
                    <w:rPr>
                      <w:rFonts w:ascii="Arial" w:hAnsi="Arial" w:cs="Arial"/>
                      <w:sz w:val="20"/>
                      <w:szCs w:val="20"/>
                    </w:rPr>
                    <w:t>Long Term Patient Screening</w:t>
                  </w:r>
                </w:p>
                <w:p w:rsidR="00121752" w:rsidRPr="00425B30" w:rsidRDefault="00121752"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All patients should be rescreened on Day 10</w:t>
                  </w:r>
                  <w:r>
                    <w:rPr>
                      <w:rFonts w:ascii="Arial" w:hAnsi="Arial" w:cs="Arial"/>
                      <w:sz w:val="20"/>
                      <w:szCs w:val="20"/>
                    </w:rPr>
                    <w:t xml:space="preserve"> of stay</w:t>
                  </w:r>
                  <w:r w:rsidRPr="00425B30">
                    <w:rPr>
                      <w:rFonts w:ascii="Arial" w:hAnsi="Arial" w:cs="Arial"/>
                      <w:sz w:val="20"/>
                      <w:szCs w:val="20"/>
                    </w:rPr>
                    <w:t xml:space="preserve"> and weekly thereafter.</w:t>
                  </w:r>
                </w:p>
                <w:p w:rsidR="00121752" w:rsidRPr="00425B30" w:rsidRDefault="00121752"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Day 10 screen was identified as the initial screen date as it captures patient stay beyond routine pathways</w:t>
                  </w:r>
                  <w:r>
                    <w:rPr>
                      <w:rFonts w:ascii="Arial" w:hAnsi="Arial" w:cs="Arial"/>
                      <w:sz w:val="20"/>
                      <w:szCs w:val="20"/>
                    </w:rPr>
                    <w:t>.</w:t>
                  </w:r>
                </w:p>
                <w:p w:rsidR="00121752" w:rsidRPr="00425B30" w:rsidRDefault="00121752"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Compliance is monitored via reviewing a sample of eligible patients against submitted MRSA screens.</w:t>
                  </w:r>
                </w:p>
                <w:p w:rsidR="00121752" w:rsidRPr="00425B30" w:rsidRDefault="00121752"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 xml:space="preserve">SCN's are informed of results at the time of audit and </w:t>
                  </w:r>
                  <w:r>
                    <w:rPr>
                      <w:rFonts w:ascii="Arial" w:hAnsi="Arial" w:cs="Arial"/>
                      <w:sz w:val="20"/>
                      <w:szCs w:val="20"/>
                    </w:rPr>
                    <w:t xml:space="preserve">informed an </w:t>
                  </w:r>
                  <w:r w:rsidRPr="00425B30">
                    <w:rPr>
                      <w:rFonts w:ascii="Arial" w:hAnsi="Arial" w:cs="Arial"/>
                      <w:sz w:val="20"/>
                      <w:szCs w:val="20"/>
                    </w:rPr>
                    <w:t>action plan</w:t>
                  </w:r>
                  <w:r>
                    <w:rPr>
                      <w:rFonts w:ascii="Arial" w:hAnsi="Arial" w:cs="Arial"/>
                      <w:sz w:val="20"/>
                      <w:szCs w:val="20"/>
                    </w:rPr>
                    <w:t xml:space="preserve"> required to improve compliance should be submitted</w:t>
                  </w:r>
                  <w:r w:rsidR="00130D60">
                    <w:rPr>
                      <w:rFonts w:ascii="Arial" w:hAnsi="Arial" w:cs="Arial"/>
                      <w:sz w:val="20"/>
                      <w:szCs w:val="20"/>
                    </w:rPr>
                    <w:t>.</w:t>
                  </w:r>
                </w:p>
              </w:txbxContent>
            </v:textbox>
          </v:shape>
        </w:pict>
      </w:r>
      <w:r w:rsidR="00E747C2" w:rsidRPr="00425B30">
        <w:rPr>
          <w:rFonts w:ascii="Arial" w:hAnsi="Arial" w:cs="Arial"/>
          <w:b/>
        </w:rPr>
        <w:t>MRSA Screening Compliance</w:t>
      </w:r>
    </w:p>
    <w:p w:rsidR="00425B30" w:rsidRPr="00425B30" w:rsidRDefault="00425B30" w:rsidP="003909DC">
      <w:pPr>
        <w:spacing w:after="120"/>
        <w:ind w:left="-284"/>
        <w:jc w:val="both"/>
        <w:rPr>
          <w:rFonts w:ascii="Arial" w:hAnsi="Arial" w:cs="Arial"/>
          <w:b/>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DB5CE3" w:rsidRDefault="00DB5CE3" w:rsidP="00A62F57">
      <w:pPr>
        <w:spacing w:after="120"/>
        <w:ind w:left="-284"/>
        <w:jc w:val="both"/>
        <w:rPr>
          <w:rFonts w:ascii="Arial" w:hAnsi="Arial" w:cs="Arial"/>
          <w:sz w:val="22"/>
          <w:szCs w:val="22"/>
        </w:rPr>
      </w:pPr>
      <w:r w:rsidRPr="00DB5CE3">
        <w:rPr>
          <w:rFonts w:ascii="Arial" w:hAnsi="Arial" w:cs="Arial"/>
          <w:noProof/>
          <w:sz w:val="22"/>
          <w:szCs w:val="22"/>
        </w:rPr>
        <w:drawing>
          <wp:inline distT="0" distB="0" distL="0" distR="0">
            <wp:extent cx="6120130" cy="1230416"/>
            <wp:effectExtent l="19050" t="0" r="0" b="0"/>
            <wp:docPr id="2"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a:srcRect/>
                    <a:stretch>
                      <a:fillRect/>
                    </a:stretch>
                  </pic:blipFill>
                  <pic:spPr bwMode="auto">
                    <a:xfrm>
                      <a:off x="0" y="0"/>
                      <a:ext cx="6120130" cy="1230416"/>
                    </a:xfrm>
                    <a:prstGeom prst="rect">
                      <a:avLst/>
                    </a:prstGeom>
                    <a:noFill/>
                    <a:ln w="9525">
                      <a:noFill/>
                      <a:miter lim="800000"/>
                      <a:headEnd/>
                      <a:tailEnd/>
                    </a:ln>
                  </pic:spPr>
                </pic:pic>
              </a:graphicData>
            </a:graphic>
          </wp:inline>
        </w:drawing>
      </w:r>
    </w:p>
    <w:p w:rsidR="00DB5CE3" w:rsidRDefault="00DB5CE3" w:rsidP="00A62F57">
      <w:pPr>
        <w:spacing w:after="120"/>
        <w:ind w:left="-284"/>
        <w:jc w:val="both"/>
        <w:rPr>
          <w:rFonts w:ascii="Arial" w:hAnsi="Arial" w:cs="Arial"/>
          <w:sz w:val="22"/>
          <w:szCs w:val="22"/>
        </w:rPr>
      </w:pPr>
      <w:r>
        <w:rPr>
          <w:rFonts w:ascii="Arial" w:hAnsi="Arial" w:cs="Arial"/>
          <w:sz w:val="22"/>
          <w:szCs w:val="22"/>
        </w:rPr>
        <w:t>December data</w:t>
      </w:r>
    </w:p>
    <w:p w:rsidR="00A62F57" w:rsidRPr="00CF6598" w:rsidRDefault="00CF6598" w:rsidP="00A62F57">
      <w:pPr>
        <w:spacing w:after="120"/>
        <w:ind w:left="-284"/>
        <w:jc w:val="both"/>
        <w:rPr>
          <w:rFonts w:ascii="Arial" w:hAnsi="Arial" w:cs="Arial"/>
          <w:sz w:val="22"/>
          <w:szCs w:val="22"/>
        </w:rPr>
      </w:pPr>
      <w:r w:rsidRPr="00CF6598">
        <w:rPr>
          <w:rFonts w:ascii="Arial" w:hAnsi="Arial" w:cs="Arial"/>
          <w:sz w:val="22"/>
          <w:szCs w:val="22"/>
        </w:rPr>
        <w:t xml:space="preserve">Three of the four </w:t>
      </w:r>
      <w:r w:rsidR="00D25529">
        <w:rPr>
          <w:rFonts w:ascii="Arial" w:hAnsi="Arial" w:cs="Arial"/>
          <w:sz w:val="22"/>
          <w:szCs w:val="22"/>
        </w:rPr>
        <w:t xml:space="preserve">omitted </w:t>
      </w:r>
      <w:r w:rsidRPr="00CF6598">
        <w:rPr>
          <w:rFonts w:ascii="Arial" w:hAnsi="Arial" w:cs="Arial"/>
          <w:sz w:val="22"/>
          <w:szCs w:val="22"/>
        </w:rPr>
        <w:t>admit screens were from patients transferred from SDU/CCU to another clinical area post procedure.</w:t>
      </w:r>
      <w:r>
        <w:rPr>
          <w:rFonts w:ascii="Arial" w:hAnsi="Arial" w:cs="Arial"/>
          <w:sz w:val="22"/>
          <w:szCs w:val="22"/>
        </w:rPr>
        <w:t xml:space="preserve"> It is the responsibility of the area where the patient is residing for an overnight stay or longer to complete the MRSA screen.</w:t>
      </w:r>
    </w:p>
    <w:p w:rsidR="00D3581A" w:rsidRDefault="00D3581A" w:rsidP="00AD43BB">
      <w:pPr>
        <w:ind w:firstLine="436"/>
        <w:rPr>
          <w:rFonts w:ascii="Arial" w:hAnsi="Arial" w:cs="Arial"/>
          <w:b/>
          <w:sz w:val="22"/>
          <w:szCs w:val="22"/>
        </w:rPr>
      </w:pPr>
    </w:p>
    <w:p w:rsidR="00A62F57" w:rsidRPr="00A62F57" w:rsidRDefault="00A62F57" w:rsidP="00A62F57"/>
    <w:p w:rsidR="00D3581A" w:rsidRDefault="00D3581A" w:rsidP="00A62F57">
      <w:pPr>
        <w:rPr>
          <w:b/>
        </w:rPr>
      </w:pPr>
    </w:p>
    <w:p w:rsidR="00D3581A" w:rsidRDefault="00D3581A" w:rsidP="00AD43BB">
      <w:pPr>
        <w:ind w:firstLine="436"/>
        <w:rPr>
          <w:rFonts w:ascii="Arial" w:hAnsi="Arial" w:cs="Arial"/>
          <w:b/>
          <w:sz w:val="22"/>
          <w:szCs w:val="22"/>
        </w:rPr>
      </w:pPr>
    </w:p>
    <w:p w:rsidR="00D3581A" w:rsidRDefault="00D3581A" w:rsidP="00AD43BB">
      <w:pPr>
        <w:ind w:firstLine="436"/>
        <w:rPr>
          <w:rFonts w:ascii="Arial" w:hAnsi="Arial" w:cs="Arial"/>
          <w:b/>
          <w:sz w:val="22"/>
          <w:szCs w:val="22"/>
        </w:rPr>
      </w:pPr>
    </w:p>
    <w:p w:rsidR="00D3581A" w:rsidRDefault="00D3581A" w:rsidP="00AD43BB">
      <w:pPr>
        <w:ind w:firstLine="436"/>
        <w:rPr>
          <w:rFonts w:ascii="Arial" w:hAnsi="Arial" w:cs="Arial"/>
          <w:b/>
          <w:sz w:val="22"/>
          <w:szCs w:val="22"/>
        </w:rPr>
      </w:pPr>
    </w:p>
    <w:p w:rsidR="00D3581A" w:rsidRDefault="00D3581A" w:rsidP="00AD43BB">
      <w:pPr>
        <w:ind w:firstLine="436"/>
        <w:rPr>
          <w:rFonts w:ascii="Arial" w:hAnsi="Arial" w:cs="Arial"/>
          <w:b/>
          <w:sz w:val="22"/>
          <w:szCs w:val="22"/>
        </w:rPr>
      </w:pPr>
    </w:p>
    <w:p w:rsidR="00D3581A" w:rsidRDefault="00D3581A" w:rsidP="00AD43BB">
      <w:pPr>
        <w:ind w:firstLine="436"/>
        <w:rPr>
          <w:rFonts w:ascii="Arial" w:hAnsi="Arial" w:cs="Arial"/>
          <w:b/>
          <w:sz w:val="22"/>
          <w:szCs w:val="22"/>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7"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8"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9"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541CEE" w:rsidP="002D4C8A">
      <w:pPr>
        <w:jc w:val="both"/>
        <w:rPr>
          <w:rFonts w:ascii="Arial" w:hAnsi="Arial" w:cs="Arial"/>
          <w:sz w:val="20"/>
          <w:szCs w:val="20"/>
        </w:rPr>
      </w:pPr>
      <w:hyperlink r:id="rId30"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541CEE" w:rsidP="002D4C8A">
      <w:pPr>
        <w:jc w:val="both"/>
        <w:rPr>
          <w:rFonts w:ascii="Arial" w:hAnsi="Arial" w:cs="Arial"/>
          <w:color w:val="000000"/>
          <w:sz w:val="20"/>
          <w:szCs w:val="20"/>
        </w:rPr>
      </w:pPr>
      <w:hyperlink r:id="rId31"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 xml:space="preserve">are all associated with being treated in hospitals.  However, this is not the only place a patient may contract an infection.  This total will also include infection from community sources such as GP surgeries and care </w:t>
      </w:r>
      <w:r w:rsidRPr="008B4214">
        <w:rPr>
          <w:rFonts w:ascii="Arial" w:hAnsi="Arial" w:cs="Arial"/>
          <w:sz w:val="20"/>
          <w:szCs w:val="20"/>
        </w:rPr>
        <w:lastRenderedPageBreak/>
        <w:t>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32"/>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6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9"/>
        <w:gridCol w:w="616"/>
        <w:gridCol w:w="615"/>
        <w:gridCol w:w="611"/>
        <w:gridCol w:w="611"/>
        <w:gridCol w:w="611"/>
        <w:gridCol w:w="602"/>
        <w:gridCol w:w="600"/>
        <w:gridCol w:w="598"/>
        <w:gridCol w:w="591"/>
        <w:gridCol w:w="591"/>
        <w:gridCol w:w="591"/>
        <w:gridCol w:w="591"/>
        <w:gridCol w:w="591"/>
      </w:tblGrid>
      <w:tr w:rsidR="00283A71" w:rsidRPr="00B13609" w:rsidTr="00283A71">
        <w:trPr>
          <w:trHeight w:val="276"/>
        </w:trPr>
        <w:tc>
          <w:tcPr>
            <w:tcW w:w="688" w:type="pct"/>
            <w:tcBorders>
              <w:top w:val="nil"/>
              <w:left w:val="nil"/>
            </w:tcBorders>
          </w:tcPr>
          <w:p w:rsidR="00283A71" w:rsidRPr="00483F31"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39"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39"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1"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0" w:type="pct"/>
          </w:tcPr>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6" w:type="pct"/>
          </w:tcPr>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6" w:type="pct"/>
          </w:tcPr>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6" w:type="pct"/>
          </w:tcPr>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6" w:type="pct"/>
          </w:tcPr>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26" w:type="pct"/>
          </w:tcPr>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83A71" w:rsidRDefault="00283A71"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283A71" w:rsidRPr="00B13609" w:rsidTr="00283A71">
        <w:trPr>
          <w:trHeight w:val="276"/>
        </w:trPr>
        <w:tc>
          <w:tcPr>
            <w:tcW w:w="688" w:type="pct"/>
          </w:tcPr>
          <w:p w:rsidR="00283A71" w:rsidRPr="00483F31"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39"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9"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283A71" w:rsidRPr="00B13609" w:rsidTr="00972118">
        <w:trPr>
          <w:trHeight w:val="276"/>
        </w:trPr>
        <w:tc>
          <w:tcPr>
            <w:tcW w:w="688" w:type="pct"/>
          </w:tcPr>
          <w:p w:rsidR="00283A71" w:rsidRPr="00483F31"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39" w:type="pct"/>
            <w:shd w:val="clear" w:color="auto" w:fill="FFFFFF" w:themeFill="background1"/>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9" w:type="pct"/>
            <w:shd w:val="clear" w:color="auto" w:fill="D9D9D9" w:themeFill="background1" w:themeFillShade="D9"/>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7" w:type="pct"/>
            <w:shd w:val="clear" w:color="auto" w:fill="FFFFFF" w:themeFill="background1"/>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shd w:val="clear" w:color="auto" w:fill="D9D9D9" w:themeFill="background1" w:themeFillShade="D9"/>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7" w:type="pct"/>
            <w:shd w:val="clear" w:color="auto" w:fill="FFFFFF" w:themeFill="background1"/>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shd w:val="clear" w:color="auto" w:fill="D9D9D9" w:themeFill="background1" w:themeFillShade="D9"/>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6" w:type="pct"/>
            <w:shd w:val="clear" w:color="auto" w:fill="D9D9D9" w:themeFill="background1" w:themeFillShade="D9"/>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26" w:type="pct"/>
            <w:shd w:val="clear" w:color="auto" w:fill="FFFFFF" w:themeFill="background1"/>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shd w:val="clear" w:color="auto" w:fill="D9D9D9" w:themeFill="background1" w:themeFillShade="D9"/>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26" w:type="pct"/>
            <w:shd w:val="clear" w:color="auto" w:fill="FFFFFF" w:themeFill="background1"/>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shd w:val="clear" w:color="auto" w:fill="D9D9D9" w:themeFill="background1" w:themeFillShade="D9"/>
          </w:tcPr>
          <w:p w:rsidR="00283A71" w:rsidRDefault="00972118"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r w:rsidR="00283A71" w:rsidRPr="00B13609" w:rsidTr="00972118">
        <w:trPr>
          <w:trHeight w:val="276"/>
        </w:trPr>
        <w:tc>
          <w:tcPr>
            <w:tcW w:w="688" w:type="pct"/>
          </w:tcPr>
          <w:p w:rsidR="00283A71" w:rsidRPr="00483F31"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39" w:type="pct"/>
            <w:shd w:val="clear" w:color="auto" w:fill="FFFFFF" w:themeFill="background1"/>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9" w:type="pct"/>
            <w:shd w:val="clear" w:color="auto" w:fill="D9D9D9" w:themeFill="background1" w:themeFillShade="D9"/>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7" w:type="pct"/>
            <w:shd w:val="clear" w:color="auto" w:fill="FFFFFF" w:themeFill="background1"/>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shd w:val="clear" w:color="auto" w:fill="D9D9D9" w:themeFill="background1" w:themeFillShade="D9"/>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7" w:type="pct"/>
            <w:shd w:val="clear" w:color="auto" w:fill="FFFFFF" w:themeFill="background1"/>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shd w:val="clear" w:color="auto" w:fill="D9D9D9" w:themeFill="background1" w:themeFillShade="D9"/>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6" w:type="pct"/>
            <w:shd w:val="clear" w:color="auto" w:fill="D9D9D9" w:themeFill="background1" w:themeFillShade="D9"/>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26" w:type="pct"/>
            <w:shd w:val="clear" w:color="auto" w:fill="FFFFFF" w:themeFill="background1"/>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shd w:val="clear" w:color="auto" w:fill="D9D9D9" w:themeFill="background1" w:themeFillShade="D9"/>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26" w:type="pct"/>
            <w:shd w:val="clear" w:color="auto" w:fill="FFFFFF" w:themeFill="background1"/>
          </w:tcPr>
          <w:p w:rsidR="00283A71" w:rsidRDefault="00283A71"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shd w:val="clear" w:color="auto" w:fill="D9D9D9" w:themeFill="background1" w:themeFillShade="D9"/>
          </w:tcPr>
          <w:p w:rsidR="00283A71" w:rsidRDefault="00972118"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6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8"/>
        <w:gridCol w:w="631"/>
        <w:gridCol w:w="631"/>
        <w:gridCol w:w="631"/>
        <w:gridCol w:w="628"/>
        <w:gridCol w:w="620"/>
        <w:gridCol w:w="615"/>
        <w:gridCol w:w="615"/>
        <w:gridCol w:w="611"/>
        <w:gridCol w:w="611"/>
        <w:gridCol w:w="606"/>
        <w:gridCol w:w="602"/>
        <w:gridCol w:w="602"/>
        <w:gridCol w:w="602"/>
      </w:tblGrid>
      <w:tr w:rsidR="00283A71" w:rsidRPr="00424632" w:rsidTr="00283A71">
        <w:trPr>
          <w:trHeight w:val="286"/>
        </w:trPr>
        <w:tc>
          <w:tcPr>
            <w:tcW w:w="612" w:type="pct"/>
          </w:tcPr>
          <w:p w:rsidR="00283A71" w:rsidRPr="00424632"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4"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283A71" w:rsidRDefault="00283A7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283A71" w:rsidRDefault="00283A7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283A71" w:rsidRDefault="00283A7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283A71" w:rsidRDefault="00283A7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283A71" w:rsidRDefault="00283A7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83A71" w:rsidRDefault="00283A7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0" w:type="pct"/>
          </w:tcPr>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0" w:type="pct"/>
          </w:tcPr>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30" w:type="pct"/>
          </w:tcPr>
          <w:p w:rsidR="00283A71" w:rsidRDefault="00283A71"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83A71" w:rsidRDefault="00283A71"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283A71" w:rsidRPr="00424632" w:rsidTr="00283A71">
        <w:trPr>
          <w:trHeight w:val="286"/>
        </w:trPr>
        <w:tc>
          <w:tcPr>
            <w:tcW w:w="612" w:type="pct"/>
          </w:tcPr>
          <w:p w:rsidR="00283A71" w:rsidRPr="008D5EEE"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4"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283A71" w:rsidRPr="00424632" w:rsidTr="00283A71">
        <w:trPr>
          <w:trHeight w:val="286"/>
        </w:trPr>
        <w:tc>
          <w:tcPr>
            <w:tcW w:w="612" w:type="pct"/>
          </w:tcPr>
          <w:p w:rsidR="00283A71" w:rsidRPr="008D5EEE" w:rsidRDefault="00283A71"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4" w:type="pct"/>
            <w:shd w:val="clear" w:color="auto" w:fill="D9D9D9" w:themeFill="background1" w:themeFillShade="D9"/>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40" w:type="pct"/>
            <w:shd w:val="clear" w:color="auto" w:fill="FFFFFF" w:themeFill="background1"/>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283A71" w:rsidRPr="00424632" w:rsidTr="00283A71">
        <w:trPr>
          <w:trHeight w:val="286"/>
        </w:trPr>
        <w:tc>
          <w:tcPr>
            <w:tcW w:w="612" w:type="pct"/>
          </w:tcPr>
          <w:p w:rsidR="00283A71" w:rsidRPr="008D5EEE" w:rsidRDefault="00283A71"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4"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5"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283A71" w:rsidRDefault="00283A71"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3"/>
        <w:gridCol w:w="619"/>
        <w:gridCol w:w="618"/>
        <w:gridCol w:w="618"/>
        <w:gridCol w:w="636"/>
        <w:gridCol w:w="620"/>
        <w:gridCol w:w="636"/>
        <w:gridCol w:w="618"/>
        <w:gridCol w:w="614"/>
        <w:gridCol w:w="614"/>
        <w:gridCol w:w="636"/>
        <w:gridCol w:w="611"/>
        <w:gridCol w:w="636"/>
        <w:gridCol w:w="631"/>
      </w:tblGrid>
      <w:tr w:rsidR="00283A71" w:rsidRPr="00194B34" w:rsidTr="00283A71">
        <w:trPr>
          <w:trHeight w:val="276"/>
        </w:trPr>
        <w:tc>
          <w:tcPr>
            <w:tcW w:w="579"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283A71" w:rsidRDefault="00283A7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283A71" w:rsidRDefault="00283A7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5" w:type="pct"/>
          </w:tcPr>
          <w:p w:rsidR="00283A71" w:rsidRDefault="00283A7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283A71" w:rsidRDefault="00283A7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7" w:type="pct"/>
          </w:tcPr>
          <w:p w:rsidR="00283A71" w:rsidRDefault="00283A7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83A71" w:rsidRDefault="00283A7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7" w:type="pct"/>
          </w:tcPr>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45" w:type="pct"/>
          </w:tcPr>
          <w:p w:rsidR="00283A71" w:rsidRDefault="00283A71"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83A71" w:rsidRDefault="00283A71"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283A71" w:rsidRPr="00194B34" w:rsidTr="00283A71">
        <w:trPr>
          <w:trHeight w:val="276"/>
        </w:trPr>
        <w:tc>
          <w:tcPr>
            <w:tcW w:w="579"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8"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3"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4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283A71" w:rsidRPr="00194B34" w:rsidTr="00283A71">
        <w:trPr>
          <w:trHeight w:val="276"/>
        </w:trPr>
        <w:tc>
          <w:tcPr>
            <w:tcW w:w="579"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8"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7709B6">
              <w:rPr>
                <w:rFonts w:ascii="Arial Narrow" w:hAnsi="Arial Narrow"/>
                <w:sz w:val="20"/>
                <w:szCs w:val="20"/>
              </w:rPr>
              <w:t>86%</w:t>
            </w:r>
          </w:p>
        </w:tc>
        <w:tc>
          <w:tcPr>
            <w:tcW w:w="337" w:type="pct"/>
          </w:tcPr>
          <w:p w:rsidR="00283A71" w:rsidRPr="007709B6"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283A71" w:rsidRPr="007709B6"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3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3"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4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283A71" w:rsidRPr="00194B34" w:rsidTr="00283A71">
        <w:trPr>
          <w:trHeight w:val="276"/>
        </w:trPr>
        <w:tc>
          <w:tcPr>
            <w:tcW w:w="579"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8"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3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3"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4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283A71" w:rsidRPr="00194B34" w:rsidTr="00283A71">
        <w:trPr>
          <w:trHeight w:val="276"/>
        </w:trPr>
        <w:tc>
          <w:tcPr>
            <w:tcW w:w="579"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8"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33"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283A71" w:rsidRPr="00194B34" w:rsidTr="00283A71">
        <w:trPr>
          <w:trHeight w:val="276"/>
        </w:trPr>
        <w:tc>
          <w:tcPr>
            <w:tcW w:w="579"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3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7" w:type="pct"/>
          </w:tcPr>
          <w:p w:rsidR="00283A71" w:rsidRPr="004D5D23"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38"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37"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94%</w:t>
            </w:r>
          </w:p>
        </w:tc>
        <w:tc>
          <w:tcPr>
            <w:tcW w:w="33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33"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7"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45" w:type="pct"/>
          </w:tcPr>
          <w:p w:rsidR="00283A71" w:rsidRDefault="00283A71"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2"/>
        <w:gridCol w:w="578"/>
        <w:gridCol w:w="627"/>
        <w:gridCol w:w="627"/>
        <w:gridCol w:w="627"/>
        <w:gridCol w:w="627"/>
        <w:gridCol w:w="627"/>
        <w:gridCol w:w="600"/>
        <w:gridCol w:w="627"/>
        <w:gridCol w:w="627"/>
        <w:gridCol w:w="627"/>
        <w:gridCol w:w="627"/>
        <w:gridCol w:w="627"/>
        <w:gridCol w:w="627"/>
      </w:tblGrid>
      <w:tr w:rsidR="00283A71" w:rsidRPr="00194B34" w:rsidTr="00283A71">
        <w:trPr>
          <w:trHeight w:val="276"/>
        </w:trPr>
        <w:tc>
          <w:tcPr>
            <w:tcW w:w="625"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13"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5"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283A71" w:rsidRDefault="00283A7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283A71" w:rsidRDefault="00283A7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83A71" w:rsidRDefault="00283A7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40" w:type="pct"/>
          </w:tcPr>
          <w:p w:rsidR="00283A71" w:rsidRDefault="00283A71"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83A71" w:rsidRDefault="00283A71"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283A71" w:rsidRPr="00194B34" w:rsidTr="00283A71">
        <w:trPr>
          <w:trHeight w:val="276"/>
        </w:trPr>
        <w:tc>
          <w:tcPr>
            <w:tcW w:w="625"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13" w:type="pct"/>
          </w:tcPr>
          <w:p w:rsidR="00283A71" w:rsidRDefault="00283A71" w:rsidP="00EB73B3">
            <w:pPr>
              <w:rPr>
                <w:rFonts w:ascii="Arial Narrow" w:hAnsi="Arial Narrow"/>
                <w:sz w:val="20"/>
                <w:szCs w:val="20"/>
              </w:rPr>
            </w:pPr>
            <w:r>
              <w:rPr>
                <w:rFonts w:ascii="Arial Narrow" w:hAnsi="Arial Narrow"/>
                <w:sz w:val="20"/>
                <w:szCs w:val="20"/>
              </w:rPr>
              <w:t>98.5</w:t>
            </w:r>
          </w:p>
        </w:tc>
        <w:tc>
          <w:tcPr>
            <w:tcW w:w="340" w:type="pct"/>
          </w:tcPr>
          <w:p w:rsidR="00283A71" w:rsidRDefault="00283A71" w:rsidP="00EB73B3">
            <w:pPr>
              <w:rPr>
                <w:rFonts w:ascii="Arial Narrow" w:hAnsi="Arial Narrow"/>
                <w:sz w:val="20"/>
                <w:szCs w:val="20"/>
              </w:rPr>
            </w:pPr>
            <w:r>
              <w:rPr>
                <w:rFonts w:ascii="Arial Narrow" w:hAnsi="Arial Narrow"/>
                <w:sz w:val="20"/>
                <w:szCs w:val="20"/>
              </w:rPr>
              <w:t>99.05</w:t>
            </w:r>
          </w:p>
        </w:tc>
        <w:tc>
          <w:tcPr>
            <w:tcW w:w="340" w:type="pct"/>
          </w:tcPr>
          <w:p w:rsidR="00283A71" w:rsidRDefault="00283A71" w:rsidP="00EB73B3">
            <w:pPr>
              <w:rPr>
                <w:rFonts w:ascii="Arial Narrow" w:hAnsi="Arial Narrow"/>
                <w:sz w:val="20"/>
                <w:szCs w:val="20"/>
              </w:rPr>
            </w:pPr>
            <w:r>
              <w:rPr>
                <w:rFonts w:ascii="Arial Narrow" w:hAnsi="Arial Narrow"/>
                <w:sz w:val="20"/>
                <w:szCs w:val="20"/>
              </w:rPr>
              <w:t>97.65</w:t>
            </w:r>
          </w:p>
        </w:tc>
        <w:tc>
          <w:tcPr>
            <w:tcW w:w="340" w:type="pct"/>
          </w:tcPr>
          <w:p w:rsidR="00283A71" w:rsidRDefault="00283A71" w:rsidP="00EB73B3">
            <w:pPr>
              <w:rPr>
                <w:rFonts w:ascii="Arial Narrow" w:hAnsi="Arial Narrow"/>
                <w:sz w:val="20"/>
                <w:szCs w:val="20"/>
              </w:rPr>
            </w:pPr>
            <w:r>
              <w:rPr>
                <w:rFonts w:ascii="Arial Narrow" w:hAnsi="Arial Narrow"/>
                <w:sz w:val="20"/>
                <w:szCs w:val="20"/>
              </w:rPr>
              <w:t>98.61</w:t>
            </w:r>
          </w:p>
        </w:tc>
        <w:tc>
          <w:tcPr>
            <w:tcW w:w="340" w:type="pct"/>
          </w:tcPr>
          <w:p w:rsidR="00283A71" w:rsidRDefault="00283A71" w:rsidP="00EB73B3">
            <w:pPr>
              <w:rPr>
                <w:rFonts w:ascii="Arial Narrow" w:hAnsi="Arial Narrow"/>
                <w:sz w:val="20"/>
                <w:szCs w:val="20"/>
              </w:rPr>
            </w:pPr>
            <w:r>
              <w:rPr>
                <w:rFonts w:ascii="Arial Narrow" w:hAnsi="Arial Narrow"/>
                <w:sz w:val="20"/>
                <w:szCs w:val="20"/>
              </w:rPr>
              <w:t>99.17</w:t>
            </w:r>
          </w:p>
        </w:tc>
        <w:tc>
          <w:tcPr>
            <w:tcW w:w="340" w:type="pct"/>
          </w:tcPr>
          <w:p w:rsidR="00283A71" w:rsidRDefault="00283A71" w:rsidP="00EB73B3">
            <w:pPr>
              <w:rPr>
                <w:rFonts w:ascii="Arial Narrow" w:hAnsi="Arial Narrow"/>
                <w:sz w:val="20"/>
                <w:szCs w:val="20"/>
              </w:rPr>
            </w:pPr>
            <w:r>
              <w:rPr>
                <w:rFonts w:ascii="Arial Narrow" w:hAnsi="Arial Narrow"/>
                <w:sz w:val="20"/>
                <w:szCs w:val="20"/>
              </w:rPr>
              <w:t>98.42</w:t>
            </w:r>
          </w:p>
        </w:tc>
        <w:tc>
          <w:tcPr>
            <w:tcW w:w="325" w:type="pct"/>
          </w:tcPr>
          <w:p w:rsidR="00283A71" w:rsidRDefault="00283A71" w:rsidP="00EB73B3">
            <w:pPr>
              <w:rPr>
                <w:rFonts w:ascii="Arial Narrow" w:hAnsi="Arial Narrow"/>
                <w:sz w:val="20"/>
                <w:szCs w:val="20"/>
              </w:rPr>
            </w:pPr>
            <w:r>
              <w:rPr>
                <w:rFonts w:ascii="Arial Narrow" w:hAnsi="Arial Narrow"/>
                <w:sz w:val="20"/>
                <w:szCs w:val="20"/>
              </w:rPr>
              <w:t>98.6</w:t>
            </w:r>
          </w:p>
        </w:tc>
        <w:tc>
          <w:tcPr>
            <w:tcW w:w="340" w:type="pct"/>
          </w:tcPr>
          <w:p w:rsidR="00283A71" w:rsidRDefault="00283A71">
            <w:pPr>
              <w:rPr>
                <w:rFonts w:ascii="Arial Narrow" w:hAnsi="Arial Narrow"/>
                <w:sz w:val="20"/>
                <w:szCs w:val="20"/>
              </w:rPr>
            </w:pPr>
            <w:r>
              <w:rPr>
                <w:rFonts w:ascii="Arial Narrow" w:hAnsi="Arial Narrow"/>
                <w:sz w:val="20"/>
                <w:szCs w:val="20"/>
              </w:rPr>
              <w:t>98.48</w:t>
            </w:r>
          </w:p>
        </w:tc>
        <w:tc>
          <w:tcPr>
            <w:tcW w:w="340" w:type="pct"/>
          </w:tcPr>
          <w:p w:rsidR="00283A71" w:rsidRDefault="00283A71">
            <w:pPr>
              <w:rPr>
                <w:rFonts w:ascii="Arial Narrow" w:hAnsi="Arial Narrow"/>
                <w:sz w:val="20"/>
                <w:szCs w:val="20"/>
              </w:rPr>
            </w:pPr>
            <w:r>
              <w:rPr>
                <w:rFonts w:ascii="Arial Narrow" w:hAnsi="Arial Narrow"/>
                <w:sz w:val="20"/>
                <w:szCs w:val="20"/>
              </w:rPr>
              <w:t>98.21</w:t>
            </w:r>
          </w:p>
        </w:tc>
        <w:tc>
          <w:tcPr>
            <w:tcW w:w="340" w:type="pct"/>
          </w:tcPr>
          <w:p w:rsidR="00283A71" w:rsidRDefault="00283A71">
            <w:pPr>
              <w:rPr>
                <w:rFonts w:ascii="Arial Narrow" w:hAnsi="Arial Narrow"/>
                <w:sz w:val="20"/>
                <w:szCs w:val="20"/>
              </w:rPr>
            </w:pPr>
            <w:r>
              <w:rPr>
                <w:rFonts w:ascii="Arial Narrow" w:hAnsi="Arial Narrow"/>
                <w:sz w:val="20"/>
                <w:szCs w:val="20"/>
              </w:rPr>
              <w:t>98.46</w:t>
            </w:r>
          </w:p>
        </w:tc>
        <w:tc>
          <w:tcPr>
            <w:tcW w:w="340" w:type="pct"/>
          </w:tcPr>
          <w:p w:rsidR="00283A71" w:rsidRDefault="00283A71">
            <w:pPr>
              <w:rPr>
                <w:rFonts w:ascii="Arial Narrow" w:hAnsi="Arial Narrow"/>
                <w:sz w:val="20"/>
                <w:szCs w:val="20"/>
              </w:rPr>
            </w:pPr>
            <w:r>
              <w:rPr>
                <w:rFonts w:ascii="Arial Narrow" w:hAnsi="Arial Narrow"/>
                <w:sz w:val="20"/>
                <w:szCs w:val="20"/>
              </w:rPr>
              <w:t>98.78</w:t>
            </w:r>
          </w:p>
        </w:tc>
        <w:tc>
          <w:tcPr>
            <w:tcW w:w="340" w:type="pct"/>
          </w:tcPr>
          <w:p w:rsidR="00283A71" w:rsidRDefault="00283A71">
            <w:pPr>
              <w:rPr>
                <w:rFonts w:ascii="Arial Narrow" w:hAnsi="Arial Narrow"/>
                <w:sz w:val="20"/>
                <w:szCs w:val="20"/>
              </w:rPr>
            </w:pPr>
            <w:r>
              <w:rPr>
                <w:rFonts w:ascii="Arial Narrow" w:hAnsi="Arial Narrow"/>
                <w:sz w:val="20"/>
                <w:szCs w:val="20"/>
              </w:rPr>
              <w:t>98.88</w:t>
            </w:r>
          </w:p>
        </w:tc>
        <w:tc>
          <w:tcPr>
            <w:tcW w:w="340" w:type="pct"/>
          </w:tcPr>
          <w:p w:rsidR="00283A71" w:rsidRDefault="0024668B">
            <w:pPr>
              <w:rPr>
                <w:rFonts w:ascii="Arial Narrow" w:hAnsi="Arial Narrow"/>
                <w:sz w:val="20"/>
                <w:szCs w:val="20"/>
              </w:rPr>
            </w:pPr>
            <w:r>
              <w:rPr>
                <w:rFonts w:ascii="Arial Narrow" w:hAnsi="Arial Narrow"/>
                <w:sz w:val="20"/>
                <w:szCs w:val="20"/>
              </w:rPr>
              <w:t>98.66</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2"/>
        <w:gridCol w:w="627"/>
        <w:gridCol w:w="578"/>
        <w:gridCol w:w="627"/>
        <w:gridCol w:w="627"/>
        <w:gridCol w:w="627"/>
        <w:gridCol w:w="627"/>
        <w:gridCol w:w="600"/>
        <w:gridCol w:w="627"/>
        <w:gridCol w:w="627"/>
        <w:gridCol w:w="627"/>
        <w:gridCol w:w="627"/>
        <w:gridCol w:w="627"/>
        <w:gridCol w:w="627"/>
      </w:tblGrid>
      <w:tr w:rsidR="00283A71" w:rsidRPr="00194B34" w:rsidTr="00283A71">
        <w:trPr>
          <w:trHeight w:val="276"/>
        </w:trPr>
        <w:tc>
          <w:tcPr>
            <w:tcW w:w="625"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13"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5"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283A71" w:rsidRDefault="00283A71"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283A71" w:rsidRDefault="00283A71"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283A71" w:rsidRDefault="00283A71"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283A71" w:rsidRDefault="00283A71"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40" w:type="pct"/>
          </w:tcPr>
          <w:p w:rsidR="00283A71" w:rsidRDefault="00283A71"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283A71" w:rsidRDefault="00283A71"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283A71" w:rsidRPr="00194B34" w:rsidTr="00283A71">
        <w:trPr>
          <w:trHeight w:val="276"/>
        </w:trPr>
        <w:tc>
          <w:tcPr>
            <w:tcW w:w="625" w:type="pct"/>
          </w:tcPr>
          <w:p w:rsidR="00283A71" w:rsidRPr="00194B34" w:rsidRDefault="00283A71"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13"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99.15</w:t>
            </w:r>
          </w:p>
        </w:tc>
        <w:tc>
          <w:tcPr>
            <w:tcW w:w="340"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99.04</w:t>
            </w:r>
          </w:p>
        </w:tc>
        <w:tc>
          <w:tcPr>
            <w:tcW w:w="325" w:type="pct"/>
          </w:tcPr>
          <w:p w:rsidR="00283A71" w:rsidRDefault="00283A71"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w:t>
            </w:r>
          </w:p>
        </w:tc>
        <w:tc>
          <w:tcPr>
            <w:tcW w:w="340" w:type="pct"/>
          </w:tcPr>
          <w:p w:rsidR="00283A71" w:rsidRDefault="00283A71"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99.17</w:t>
            </w:r>
          </w:p>
        </w:tc>
        <w:tc>
          <w:tcPr>
            <w:tcW w:w="340" w:type="pct"/>
          </w:tcPr>
          <w:p w:rsidR="00283A71" w:rsidRDefault="00283A71"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99.06</w:t>
            </w:r>
          </w:p>
        </w:tc>
        <w:tc>
          <w:tcPr>
            <w:tcW w:w="340" w:type="pct"/>
          </w:tcPr>
          <w:p w:rsidR="00283A71" w:rsidRDefault="00283A71"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40" w:type="pct"/>
          </w:tcPr>
          <w:p w:rsidR="00283A71" w:rsidRDefault="00283A71"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99.31</w:t>
            </w:r>
          </w:p>
        </w:tc>
        <w:tc>
          <w:tcPr>
            <w:tcW w:w="340" w:type="pct"/>
          </w:tcPr>
          <w:p w:rsidR="00283A71" w:rsidRDefault="00283A71"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98.48</w:t>
            </w:r>
          </w:p>
        </w:tc>
        <w:tc>
          <w:tcPr>
            <w:tcW w:w="340" w:type="pct"/>
          </w:tcPr>
          <w:p w:rsidR="00283A71" w:rsidRDefault="0024668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99.52</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3"/>
          <w:headerReference w:type="default" r:id="rId34"/>
          <w:headerReference w:type="first" r:id="rId35"/>
          <w:pgSz w:w="11906" w:h="16838" w:code="9"/>
          <w:pgMar w:top="1134" w:right="1134" w:bottom="1134" w:left="1134" w:header="567" w:footer="567" w:gutter="0"/>
          <w:cols w:space="708"/>
          <w:docGrid w:linePitch="360"/>
        </w:sectPr>
      </w:pPr>
    </w:p>
    <w:p w:rsidR="00E747C2" w:rsidRDefault="00541CEE" w:rsidP="008C6465">
      <w:pPr>
        <w:spacing w:after="120"/>
        <w:rPr>
          <w:rFonts w:ascii="Arial" w:hAnsi="Arial"/>
          <w:b/>
          <w:szCs w:val="20"/>
          <w:lang w:eastAsia="en-US"/>
        </w:rPr>
      </w:pPr>
      <w:r w:rsidRPr="00541CEE">
        <w:rPr>
          <w:noProof/>
        </w:rPr>
        <w:lastRenderedPageBreak/>
        <w:pict>
          <v:shape id="_x0000_s1036" type="#_x0000_t202" style="position:absolute;margin-left:568.05pt;margin-top:-21.45pt;width:187.5pt;height:100.5pt;z-index:251661312">
            <v:textbox style="mso-next-textbox:#_x0000_s1036">
              <w:txbxContent>
                <w:p w:rsidR="00121752" w:rsidRPr="008B6409" w:rsidRDefault="00121752" w:rsidP="00A51714">
                  <w:pPr>
                    <w:rPr>
                      <w:rFonts w:ascii="Arial Narrow" w:hAnsi="Arial Narrow"/>
                      <w:b/>
                      <w:sz w:val="18"/>
                      <w:szCs w:val="18"/>
                    </w:rPr>
                  </w:pPr>
                  <w:r w:rsidRPr="008B6409">
                    <w:rPr>
                      <w:rFonts w:ascii="Arial Narrow" w:hAnsi="Arial Narrow"/>
                      <w:b/>
                      <w:sz w:val="18"/>
                      <w:szCs w:val="18"/>
                    </w:rPr>
                    <w:t>CABG</w:t>
                  </w:r>
                </w:p>
                <w:p w:rsidR="00121752" w:rsidRPr="001906BB" w:rsidRDefault="00121752" w:rsidP="00A51714">
                  <w:pPr>
                    <w:ind w:left="567" w:hanging="567"/>
                    <w:rPr>
                      <w:rFonts w:ascii="Arial Narrow" w:hAnsi="Arial Narrow"/>
                      <w:sz w:val="18"/>
                      <w:szCs w:val="18"/>
                    </w:rPr>
                  </w:pPr>
                  <w:r w:rsidRPr="001906BB">
                    <w:rPr>
                      <w:rFonts w:ascii="Arial Narrow" w:hAnsi="Arial Narrow"/>
                      <w:sz w:val="18"/>
                      <w:szCs w:val="18"/>
                    </w:rPr>
                    <w:t>Jan 17 – 2 Superficial Sternum</w:t>
                  </w:r>
                </w:p>
                <w:p w:rsidR="00121752" w:rsidRPr="001906BB" w:rsidRDefault="00121752" w:rsidP="00A51714">
                  <w:pPr>
                    <w:ind w:left="567" w:hanging="567"/>
                    <w:rPr>
                      <w:rFonts w:ascii="Arial Narrow" w:hAnsi="Arial Narrow"/>
                      <w:sz w:val="18"/>
                      <w:szCs w:val="18"/>
                    </w:rPr>
                  </w:pPr>
                  <w:r w:rsidRPr="001906BB">
                    <w:rPr>
                      <w:rFonts w:ascii="Arial Narrow" w:hAnsi="Arial Narrow"/>
                      <w:sz w:val="18"/>
                      <w:szCs w:val="18"/>
                    </w:rPr>
                    <w:t>Feb 17- 2 Superficial Sternum</w:t>
                  </w:r>
                </w:p>
                <w:p w:rsidR="00121752" w:rsidRPr="001906BB" w:rsidRDefault="00121752" w:rsidP="00A51714">
                  <w:pPr>
                    <w:ind w:left="567" w:hanging="567"/>
                    <w:rPr>
                      <w:rFonts w:ascii="Arial Narrow" w:hAnsi="Arial Narrow"/>
                      <w:sz w:val="18"/>
                      <w:szCs w:val="18"/>
                    </w:rPr>
                  </w:pPr>
                  <w:r w:rsidRPr="001906BB">
                    <w:rPr>
                      <w:rFonts w:ascii="Arial Narrow" w:hAnsi="Arial Narrow"/>
                      <w:sz w:val="18"/>
                      <w:szCs w:val="18"/>
                    </w:rPr>
                    <w:t>Mar 17-2 Superficial Sternum/ 1 Superficial Leg</w:t>
                  </w:r>
                </w:p>
                <w:p w:rsidR="00121752" w:rsidRPr="001906BB" w:rsidRDefault="00121752" w:rsidP="00A51714">
                  <w:pPr>
                    <w:ind w:left="567" w:hanging="567"/>
                    <w:rPr>
                      <w:rFonts w:ascii="Arial Narrow" w:hAnsi="Arial Narrow"/>
                      <w:sz w:val="18"/>
                      <w:szCs w:val="18"/>
                    </w:rPr>
                  </w:pPr>
                  <w:r w:rsidRPr="001906BB">
                    <w:rPr>
                      <w:rFonts w:ascii="Arial Narrow" w:hAnsi="Arial Narrow"/>
                      <w:sz w:val="18"/>
                      <w:szCs w:val="18"/>
                    </w:rPr>
                    <w:t>May 17- 2 Superficial Sternum</w:t>
                  </w:r>
                </w:p>
                <w:p w:rsidR="00121752" w:rsidRPr="001906BB" w:rsidRDefault="00121752" w:rsidP="00A51714">
                  <w:pPr>
                    <w:ind w:left="567" w:hanging="567"/>
                    <w:rPr>
                      <w:rFonts w:ascii="Arial Narrow" w:hAnsi="Arial Narrow"/>
                      <w:sz w:val="18"/>
                      <w:szCs w:val="18"/>
                    </w:rPr>
                  </w:pPr>
                  <w:r w:rsidRPr="001906BB">
                    <w:rPr>
                      <w:rFonts w:ascii="Arial Narrow" w:hAnsi="Arial Narrow"/>
                      <w:sz w:val="18"/>
                      <w:szCs w:val="18"/>
                    </w:rPr>
                    <w:t>Jun17- 1 Superficial leg</w:t>
                  </w:r>
                </w:p>
                <w:p w:rsidR="00121752" w:rsidRPr="001906BB" w:rsidRDefault="00121752" w:rsidP="00A51714">
                  <w:pPr>
                    <w:ind w:left="567" w:hanging="567"/>
                    <w:rPr>
                      <w:rFonts w:ascii="Arial Narrow" w:hAnsi="Arial Narrow"/>
                      <w:sz w:val="18"/>
                      <w:szCs w:val="18"/>
                    </w:rPr>
                  </w:pPr>
                  <w:r w:rsidRPr="001906BB">
                    <w:rPr>
                      <w:rFonts w:ascii="Arial Narrow" w:hAnsi="Arial Narrow"/>
                      <w:sz w:val="18"/>
                      <w:szCs w:val="18"/>
                    </w:rPr>
                    <w:t>Sept 17- 1 Deep/ 1 Superficial</w:t>
                  </w:r>
                  <w:r>
                    <w:rPr>
                      <w:rFonts w:ascii="Arial Narrow" w:hAnsi="Arial Narrow"/>
                      <w:sz w:val="18"/>
                      <w:szCs w:val="18"/>
                    </w:rPr>
                    <w:t xml:space="preserve"> Sternum</w:t>
                  </w:r>
                </w:p>
                <w:p w:rsidR="00121752" w:rsidRDefault="00121752" w:rsidP="00A51714">
                  <w:pPr>
                    <w:ind w:left="567" w:hanging="567"/>
                    <w:rPr>
                      <w:rFonts w:ascii="Arial Narrow" w:hAnsi="Arial Narrow"/>
                      <w:sz w:val="18"/>
                      <w:szCs w:val="18"/>
                    </w:rPr>
                  </w:pPr>
                  <w:r w:rsidRPr="001906BB">
                    <w:rPr>
                      <w:rFonts w:ascii="Arial Narrow" w:hAnsi="Arial Narrow"/>
                      <w:sz w:val="18"/>
                      <w:szCs w:val="18"/>
                    </w:rPr>
                    <w:t>Oct 17- 2 Superficial</w:t>
                  </w:r>
                  <w:r>
                    <w:rPr>
                      <w:rFonts w:ascii="Arial Narrow" w:hAnsi="Arial Narrow"/>
                      <w:sz w:val="18"/>
                      <w:szCs w:val="18"/>
                    </w:rPr>
                    <w:t xml:space="preserve"> Sternum</w:t>
                  </w:r>
                </w:p>
                <w:p w:rsidR="00121752" w:rsidRDefault="00121752" w:rsidP="00A51714">
                  <w:pPr>
                    <w:ind w:left="567" w:hanging="567"/>
                    <w:rPr>
                      <w:rFonts w:ascii="Arial Narrow" w:hAnsi="Arial Narrow"/>
                      <w:sz w:val="18"/>
                      <w:szCs w:val="18"/>
                    </w:rPr>
                  </w:pPr>
                  <w:r>
                    <w:rPr>
                      <w:rFonts w:ascii="Arial Narrow" w:hAnsi="Arial Narrow"/>
                      <w:sz w:val="18"/>
                      <w:szCs w:val="18"/>
                    </w:rPr>
                    <w:t>Dec 17-</w:t>
                  </w:r>
                  <w:r w:rsidRPr="001906BB">
                    <w:rPr>
                      <w:rFonts w:ascii="Arial Narrow" w:hAnsi="Arial Narrow"/>
                      <w:sz w:val="18"/>
                      <w:szCs w:val="18"/>
                    </w:rPr>
                    <w:t>2 Superficial</w:t>
                  </w:r>
                  <w:r>
                    <w:rPr>
                      <w:rFonts w:ascii="Arial Narrow" w:hAnsi="Arial Narrow"/>
                      <w:sz w:val="18"/>
                      <w:szCs w:val="18"/>
                    </w:rPr>
                    <w:t xml:space="preserve"> Sternum</w:t>
                  </w:r>
                </w:p>
                <w:p w:rsidR="00121752" w:rsidRPr="001906BB" w:rsidRDefault="00121752" w:rsidP="00A51714">
                  <w:pPr>
                    <w:ind w:left="567" w:hanging="567"/>
                    <w:rPr>
                      <w:rFonts w:ascii="Arial Narrow" w:hAnsi="Arial Narrow"/>
                      <w:sz w:val="18"/>
                      <w:szCs w:val="18"/>
                    </w:rPr>
                  </w:pPr>
                </w:p>
                <w:p w:rsidR="00121752" w:rsidRDefault="00121752" w:rsidP="00A51714">
                  <w:pPr>
                    <w:rPr>
                      <w:rFonts w:ascii="Arial Narrow" w:hAnsi="Arial Narrow"/>
                      <w:sz w:val="20"/>
                      <w:szCs w:val="20"/>
                    </w:rPr>
                  </w:pPr>
                </w:p>
                <w:p w:rsidR="00121752" w:rsidRPr="00B443D6" w:rsidRDefault="00121752" w:rsidP="00A51714">
                  <w:pPr>
                    <w:rPr>
                      <w:rFonts w:ascii="Arial Narrow" w:hAnsi="Arial Narrow"/>
                      <w:sz w:val="20"/>
                      <w:szCs w:val="20"/>
                    </w:rPr>
                  </w:pPr>
                </w:p>
              </w:txbxContent>
            </v:textbox>
          </v:shape>
        </w:pict>
      </w:r>
      <w:r w:rsidR="00E747C2" w:rsidRPr="00E13F7C">
        <w:rPr>
          <w:rFonts w:ascii="Arial" w:hAnsi="Arial"/>
          <w:b/>
          <w:szCs w:val="20"/>
          <w:lang w:eastAsia="en-US"/>
        </w:rPr>
        <w:t>Surgical Site Surveillance</w:t>
      </w:r>
    </w:p>
    <w:p w:rsidR="00E747C2" w:rsidRDefault="00E747C2"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E747C2" w:rsidRPr="00067E5F" w:rsidRDefault="00E747C2" w:rsidP="00B443D6">
      <w:pPr>
        <w:tabs>
          <w:tab w:val="left" w:pos="1065"/>
        </w:tabs>
        <w:rPr>
          <w:noProof/>
          <w:lang w:val="en-US" w:eastAsia="en-US"/>
        </w:rPr>
      </w:pPr>
      <w:r w:rsidRPr="000436F3">
        <w:rPr>
          <w:noProof/>
          <w:lang w:val="en-US" w:eastAsia="en-US"/>
        </w:rPr>
        <w:t xml:space="preserve"> </w:t>
      </w:r>
      <w:r w:rsidR="004E1CEB" w:rsidRPr="004E1CEB">
        <w:rPr>
          <w:noProof/>
        </w:rPr>
        <w:drawing>
          <wp:inline distT="0" distB="0" distL="0" distR="0">
            <wp:extent cx="9251950" cy="2342160"/>
            <wp:effectExtent l="1905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srcRect/>
                    <a:stretch>
                      <a:fillRect/>
                    </a:stretch>
                  </pic:blipFill>
                  <pic:spPr bwMode="auto">
                    <a:xfrm>
                      <a:off x="0" y="0"/>
                      <a:ext cx="9251950" cy="2342160"/>
                    </a:xfrm>
                    <a:prstGeom prst="rect">
                      <a:avLst/>
                    </a:prstGeom>
                    <a:noFill/>
                    <a:ln w="9525">
                      <a:noFill/>
                      <a:miter lim="800000"/>
                      <a:headEnd/>
                      <a:tailEnd/>
                    </a:ln>
                  </pic:spPr>
                </pic:pic>
              </a:graphicData>
            </a:graphic>
          </wp:inline>
        </w:drawing>
      </w:r>
    </w:p>
    <w:p w:rsidR="00E747C2" w:rsidRDefault="00541CEE" w:rsidP="008C1A05">
      <w:pPr>
        <w:pStyle w:val="Default"/>
        <w:rPr>
          <w:b/>
          <w:szCs w:val="20"/>
        </w:rPr>
      </w:pPr>
      <w:r w:rsidRPr="00541CEE">
        <w:rPr>
          <w:noProof/>
        </w:rPr>
        <w:pict>
          <v:shape id="_x0000_s1084" type="#_x0000_t202" style="position:absolute;margin-left:599.55pt;margin-top:.25pt;width:139.5pt;height:102pt;z-index:251664384">
            <v:textbox style="mso-next-textbox:#_x0000_s1084">
              <w:txbxContent>
                <w:p w:rsidR="00121752" w:rsidRPr="00092AB9" w:rsidRDefault="00121752" w:rsidP="00C868CC">
                  <w:pPr>
                    <w:rPr>
                      <w:rFonts w:ascii="Arial Narrow" w:hAnsi="Arial Narrow"/>
                      <w:b/>
                      <w:sz w:val="18"/>
                      <w:szCs w:val="18"/>
                    </w:rPr>
                  </w:pPr>
                  <w:r w:rsidRPr="00092AB9">
                    <w:rPr>
                      <w:rFonts w:ascii="Arial Narrow" w:hAnsi="Arial Narrow"/>
                      <w:b/>
                      <w:sz w:val="18"/>
                      <w:szCs w:val="18"/>
                    </w:rPr>
                    <w:t>Valve +/- CABG</w:t>
                  </w:r>
                </w:p>
                <w:p w:rsidR="00121752" w:rsidRPr="00092AB9" w:rsidRDefault="00121752" w:rsidP="00C868CC">
                  <w:pPr>
                    <w:rPr>
                      <w:rFonts w:ascii="Arial Narrow" w:hAnsi="Arial Narrow"/>
                      <w:sz w:val="18"/>
                      <w:szCs w:val="18"/>
                    </w:rPr>
                  </w:pPr>
                  <w:r w:rsidRPr="00092AB9">
                    <w:rPr>
                      <w:rFonts w:ascii="Arial Narrow" w:hAnsi="Arial Narrow"/>
                      <w:sz w:val="18"/>
                      <w:szCs w:val="18"/>
                    </w:rPr>
                    <w:t>Jan 17 – 4 Superficial Sternum</w:t>
                  </w:r>
                </w:p>
                <w:p w:rsidR="00121752" w:rsidRPr="00092AB9" w:rsidRDefault="00121752" w:rsidP="00C868CC">
                  <w:pPr>
                    <w:rPr>
                      <w:rFonts w:ascii="Arial Narrow" w:hAnsi="Arial Narrow"/>
                      <w:sz w:val="18"/>
                      <w:szCs w:val="18"/>
                    </w:rPr>
                  </w:pPr>
                  <w:r w:rsidRPr="00092AB9">
                    <w:rPr>
                      <w:rFonts w:ascii="Arial Narrow" w:hAnsi="Arial Narrow"/>
                      <w:sz w:val="18"/>
                      <w:szCs w:val="18"/>
                    </w:rPr>
                    <w:t>Feb 17- 2 Superficial Sternum</w:t>
                  </w:r>
                </w:p>
                <w:p w:rsidR="00121752" w:rsidRPr="00092AB9" w:rsidRDefault="00121752" w:rsidP="00C868CC">
                  <w:pPr>
                    <w:rPr>
                      <w:rFonts w:ascii="Arial Narrow" w:hAnsi="Arial Narrow"/>
                      <w:sz w:val="18"/>
                      <w:szCs w:val="18"/>
                    </w:rPr>
                  </w:pPr>
                  <w:r w:rsidRPr="00092AB9">
                    <w:rPr>
                      <w:rFonts w:ascii="Arial Narrow" w:hAnsi="Arial Narrow"/>
                      <w:sz w:val="18"/>
                      <w:szCs w:val="18"/>
                    </w:rPr>
                    <w:t>Mar 17- 1 Superficial Sternum</w:t>
                  </w:r>
                </w:p>
                <w:p w:rsidR="00121752" w:rsidRPr="00092AB9" w:rsidRDefault="00121752" w:rsidP="00C868CC">
                  <w:pPr>
                    <w:rPr>
                      <w:rFonts w:ascii="Arial Narrow" w:hAnsi="Arial Narrow"/>
                      <w:sz w:val="18"/>
                      <w:szCs w:val="18"/>
                    </w:rPr>
                  </w:pPr>
                  <w:r w:rsidRPr="00092AB9">
                    <w:rPr>
                      <w:rFonts w:ascii="Arial Narrow" w:hAnsi="Arial Narrow"/>
                      <w:sz w:val="18"/>
                      <w:szCs w:val="18"/>
                    </w:rPr>
                    <w:t>May 17- 1 Superficial Sternum</w:t>
                  </w:r>
                </w:p>
                <w:p w:rsidR="00121752" w:rsidRPr="00092AB9" w:rsidRDefault="00121752" w:rsidP="00C868CC">
                  <w:pPr>
                    <w:rPr>
                      <w:rFonts w:ascii="Arial Narrow" w:hAnsi="Arial Narrow"/>
                      <w:sz w:val="18"/>
                      <w:szCs w:val="18"/>
                    </w:rPr>
                  </w:pPr>
                  <w:r w:rsidRPr="00092AB9">
                    <w:rPr>
                      <w:rFonts w:ascii="Arial Narrow" w:hAnsi="Arial Narrow"/>
                      <w:sz w:val="18"/>
                      <w:szCs w:val="18"/>
                    </w:rPr>
                    <w:t>Jun 17- 2 Superficial Leg</w:t>
                  </w:r>
                </w:p>
                <w:p w:rsidR="00121752" w:rsidRDefault="00121752" w:rsidP="00C868CC">
                  <w:pPr>
                    <w:rPr>
                      <w:rFonts w:ascii="Arial Narrow" w:hAnsi="Arial Narrow"/>
                      <w:sz w:val="18"/>
                      <w:szCs w:val="18"/>
                    </w:rPr>
                  </w:pPr>
                  <w:r w:rsidRPr="00092AB9">
                    <w:rPr>
                      <w:rFonts w:ascii="Arial Narrow" w:hAnsi="Arial Narrow"/>
                      <w:sz w:val="18"/>
                      <w:szCs w:val="18"/>
                    </w:rPr>
                    <w:t>Jul 17 – 1 Superficial Sternum</w:t>
                  </w:r>
                </w:p>
                <w:p w:rsidR="00121752" w:rsidRDefault="00121752" w:rsidP="00C868CC">
                  <w:pPr>
                    <w:rPr>
                      <w:rFonts w:ascii="Arial Narrow" w:hAnsi="Arial Narrow"/>
                      <w:sz w:val="18"/>
                      <w:szCs w:val="18"/>
                    </w:rPr>
                  </w:pPr>
                  <w:r>
                    <w:rPr>
                      <w:rFonts w:ascii="Arial Narrow" w:hAnsi="Arial Narrow"/>
                      <w:sz w:val="18"/>
                      <w:szCs w:val="18"/>
                    </w:rPr>
                    <w:t>Sept17- 1 Superficial Sternum</w:t>
                  </w:r>
                </w:p>
                <w:p w:rsidR="00121752" w:rsidRDefault="00121752" w:rsidP="00C868CC">
                  <w:pPr>
                    <w:rPr>
                      <w:rFonts w:ascii="Arial Narrow" w:hAnsi="Arial Narrow"/>
                      <w:sz w:val="18"/>
                      <w:szCs w:val="18"/>
                    </w:rPr>
                  </w:pPr>
                  <w:r>
                    <w:rPr>
                      <w:rFonts w:ascii="Arial Narrow" w:hAnsi="Arial Narrow"/>
                      <w:sz w:val="18"/>
                      <w:szCs w:val="18"/>
                    </w:rPr>
                    <w:t>Oct 17- 2 Superficial Sternum</w:t>
                  </w:r>
                </w:p>
                <w:p w:rsidR="00121752" w:rsidRPr="00092AB9" w:rsidRDefault="00121752" w:rsidP="00C868CC">
                  <w:pPr>
                    <w:rPr>
                      <w:rFonts w:ascii="Arial Narrow" w:hAnsi="Arial Narrow"/>
                      <w:sz w:val="18"/>
                      <w:szCs w:val="18"/>
                    </w:rPr>
                  </w:pPr>
                </w:p>
                <w:p w:rsidR="00121752" w:rsidRPr="00CC29AB" w:rsidRDefault="00121752" w:rsidP="00C868CC">
                  <w:pPr>
                    <w:rPr>
                      <w:rFonts w:ascii="Arial Narrow" w:hAnsi="Arial Narrow"/>
                      <w:sz w:val="20"/>
                      <w:szCs w:val="20"/>
                    </w:rPr>
                  </w:pPr>
                </w:p>
              </w:txbxContent>
            </v:textbox>
          </v:shape>
        </w:pict>
      </w:r>
      <w:r w:rsidR="00E747C2" w:rsidRPr="00231C3C">
        <w:rPr>
          <w:noProof/>
          <w:szCs w:val="20"/>
        </w:rPr>
        <w:t xml:space="preserve"> </w:t>
      </w:r>
      <w:r w:rsidR="006D16B6" w:rsidRPr="006D16B6">
        <w:rPr>
          <w:b/>
          <w:szCs w:val="20"/>
        </w:rPr>
        <w:t xml:space="preserve"> </w:t>
      </w:r>
      <w:r w:rsidR="00465C8C" w:rsidRPr="00465C8C">
        <w:rPr>
          <w:noProof/>
          <w:szCs w:val="20"/>
          <w:lang w:val="en-GB" w:eastAsia="en-GB"/>
        </w:rPr>
        <w:drawing>
          <wp:inline distT="0" distB="0" distL="0" distR="0">
            <wp:extent cx="9248865" cy="2333625"/>
            <wp:effectExtent l="19050" t="0" r="9435" b="0"/>
            <wp:docPr id="1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srcRect/>
                    <a:stretch>
                      <a:fillRect/>
                    </a:stretch>
                  </pic:blipFill>
                  <pic:spPr bwMode="auto">
                    <a:xfrm>
                      <a:off x="0" y="0"/>
                      <a:ext cx="9251950" cy="2334403"/>
                    </a:xfrm>
                    <a:prstGeom prst="rect">
                      <a:avLst/>
                    </a:prstGeom>
                    <a:noFill/>
                    <a:ln w="9525">
                      <a:noFill/>
                      <a:miter lim="800000"/>
                      <a:headEnd/>
                      <a:tailEnd/>
                    </a:ln>
                  </pic:spPr>
                </pic:pic>
              </a:graphicData>
            </a:graphic>
          </wp:inline>
        </w:drawing>
      </w:r>
    </w:p>
    <w:p w:rsidR="00092AB9" w:rsidRDefault="00E747C2" w:rsidP="008C1A05">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E747C2" w:rsidRDefault="00E747C2" w:rsidP="008C1A05">
      <w:pPr>
        <w:pStyle w:val="Default"/>
        <w:rPr>
          <w:bCs/>
          <w:sz w:val="22"/>
          <w:szCs w:val="22"/>
        </w:rPr>
      </w:pPr>
      <w:r>
        <w:rPr>
          <w:sz w:val="22"/>
          <w:szCs w:val="22"/>
        </w:rPr>
        <w:t>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541CEE" w:rsidP="00EF53BB">
      <w:pPr>
        <w:rPr>
          <w:rFonts w:ascii="Arial" w:hAnsi="Arial" w:cs="Arial"/>
          <w:b/>
        </w:rPr>
      </w:pPr>
      <w:r w:rsidRPr="00541CEE">
        <w:rPr>
          <w:noProof/>
          <w:lang w:val="en-US" w:eastAsia="en-US"/>
        </w:rPr>
        <w:lastRenderedPageBreak/>
        <w:pict>
          <v:shape id="_x0000_s1038" type="#_x0000_t202" style="position:absolute;margin-left:589.05pt;margin-top:200.55pt;width:151.5pt;height:72.2pt;z-index:251660288">
            <v:textbox style="mso-next-textbox:#_x0000_s1038">
              <w:txbxContent>
                <w:p w:rsidR="00121752" w:rsidRPr="00FD3AF4" w:rsidRDefault="00121752" w:rsidP="000F0E6B">
                  <w:pPr>
                    <w:rPr>
                      <w:rFonts w:ascii="Arial Narrow" w:hAnsi="Arial Narrow"/>
                      <w:b/>
                      <w:sz w:val="20"/>
                      <w:szCs w:val="20"/>
                    </w:rPr>
                  </w:pPr>
                  <w:r w:rsidRPr="00FD3AF4">
                    <w:rPr>
                      <w:rFonts w:ascii="Arial Narrow" w:hAnsi="Arial Narrow"/>
                      <w:b/>
                      <w:sz w:val="20"/>
                      <w:szCs w:val="20"/>
                    </w:rPr>
                    <w:t>THR</w:t>
                  </w:r>
                </w:p>
                <w:p w:rsidR="00121752" w:rsidRDefault="00121752" w:rsidP="000F0E6B">
                  <w:pPr>
                    <w:rPr>
                      <w:rFonts w:ascii="Arial Narrow" w:hAnsi="Arial Narrow"/>
                      <w:sz w:val="20"/>
                      <w:szCs w:val="20"/>
                    </w:rPr>
                  </w:pPr>
                  <w:r>
                    <w:rPr>
                      <w:rFonts w:ascii="Arial Narrow" w:hAnsi="Arial Narrow"/>
                      <w:sz w:val="20"/>
                      <w:szCs w:val="20"/>
                    </w:rPr>
                    <w:t>May 17 – 1 Deep Infection</w:t>
                  </w:r>
                </w:p>
                <w:p w:rsidR="00121752" w:rsidRDefault="00121752" w:rsidP="000F0E6B">
                  <w:pPr>
                    <w:rPr>
                      <w:rFonts w:ascii="Arial Narrow" w:hAnsi="Arial Narrow"/>
                      <w:sz w:val="20"/>
                      <w:szCs w:val="20"/>
                    </w:rPr>
                  </w:pPr>
                  <w:r>
                    <w:rPr>
                      <w:rFonts w:ascii="Arial Narrow" w:hAnsi="Arial Narrow"/>
                      <w:sz w:val="20"/>
                      <w:szCs w:val="20"/>
                    </w:rPr>
                    <w:t>July- 1 Deep Infection</w:t>
                  </w:r>
                </w:p>
                <w:p w:rsidR="00121752" w:rsidRDefault="00121752" w:rsidP="000F0E6B">
                  <w:pPr>
                    <w:rPr>
                      <w:rFonts w:ascii="Arial Narrow" w:hAnsi="Arial Narrow"/>
                      <w:sz w:val="20"/>
                      <w:szCs w:val="20"/>
                    </w:rPr>
                  </w:pPr>
                  <w:r>
                    <w:rPr>
                      <w:rFonts w:ascii="Arial Narrow" w:hAnsi="Arial Narrow"/>
                      <w:sz w:val="20"/>
                      <w:szCs w:val="20"/>
                    </w:rPr>
                    <w:t>Oct 17- 1 Deep/1 Superficial</w:t>
                  </w:r>
                </w:p>
                <w:p w:rsidR="00121752" w:rsidRDefault="00121752" w:rsidP="000F0E6B">
                  <w:pPr>
                    <w:rPr>
                      <w:rFonts w:ascii="Arial Narrow" w:hAnsi="Arial Narrow"/>
                      <w:sz w:val="20"/>
                      <w:szCs w:val="20"/>
                    </w:rPr>
                  </w:pPr>
                  <w:r>
                    <w:rPr>
                      <w:rFonts w:ascii="Arial Narrow" w:hAnsi="Arial Narrow"/>
                      <w:sz w:val="20"/>
                      <w:szCs w:val="20"/>
                    </w:rPr>
                    <w:t>Nov 17- 1 Superficial</w:t>
                  </w:r>
                </w:p>
                <w:p w:rsidR="00121752" w:rsidRPr="00030C37" w:rsidRDefault="00121752" w:rsidP="000F0E6B">
                  <w:pPr>
                    <w:rPr>
                      <w:rFonts w:ascii="Arial Narrow" w:hAnsi="Arial Narrow"/>
                      <w:sz w:val="20"/>
                      <w:szCs w:val="20"/>
                    </w:rPr>
                  </w:pPr>
                </w:p>
              </w:txbxContent>
            </v:textbox>
          </v:shape>
        </w:pict>
      </w:r>
      <w:r w:rsidRPr="00541CEE">
        <w:rPr>
          <w:noProof/>
        </w:rPr>
        <w:pict>
          <v:shape id="_x0000_s1140" type="#_x0000_t202" style="position:absolute;margin-left:592.8pt;margin-top:31.8pt;width:151.5pt;height:43.6pt;z-index:251668480">
            <v:textbox style="mso-next-textbox:#_x0000_s1140">
              <w:txbxContent>
                <w:p w:rsidR="00121752" w:rsidRPr="00FD3AF4" w:rsidRDefault="00121752" w:rsidP="009646E3">
                  <w:pPr>
                    <w:rPr>
                      <w:rFonts w:ascii="Arial Narrow" w:hAnsi="Arial Narrow"/>
                      <w:b/>
                      <w:sz w:val="20"/>
                      <w:szCs w:val="20"/>
                    </w:rPr>
                  </w:pPr>
                  <w:r>
                    <w:rPr>
                      <w:rFonts w:ascii="Arial Narrow" w:hAnsi="Arial Narrow"/>
                      <w:b/>
                      <w:sz w:val="20"/>
                      <w:szCs w:val="20"/>
                    </w:rPr>
                    <w:t>TKR</w:t>
                  </w:r>
                </w:p>
                <w:p w:rsidR="00121752" w:rsidRDefault="00121752" w:rsidP="009646E3">
                  <w:pPr>
                    <w:rPr>
                      <w:rFonts w:ascii="Arial Narrow" w:hAnsi="Arial Narrow"/>
                      <w:sz w:val="20"/>
                      <w:szCs w:val="20"/>
                    </w:rPr>
                  </w:pPr>
                  <w:r>
                    <w:rPr>
                      <w:rFonts w:ascii="Arial Narrow" w:hAnsi="Arial Narrow"/>
                      <w:sz w:val="20"/>
                      <w:szCs w:val="20"/>
                    </w:rPr>
                    <w:t>Sept 17- 1 Deep/1 Sup</w:t>
                  </w:r>
                </w:p>
                <w:p w:rsidR="00121752" w:rsidRPr="00030C37" w:rsidRDefault="00121752" w:rsidP="009646E3">
                  <w:pPr>
                    <w:rPr>
                      <w:rFonts w:ascii="Arial Narrow" w:hAnsi="Arial Narrow"/>
                      <w:sz w:val="20"/>
                      <w:szCs w:val="20"/>
                    </w:rPr>
                  </w:pPr>
                </w:p>
              </w:txbxContent>
            </v:textbox>
          </v:shape>
        </w:pict>
      </w:r>
      <w:r w:rsidR="00E747C2" w:rsidRPr="000D6D5D">
        <w:rPr>
          <w:rFonts w:ascii="Arial" w:hAnsi="Arial"/>
          <w:b/>
          <w:szCs w:val="20"/>
          <w:lang w:eastAsia="en-US"/>
        </w:rPr>
        <w:t xml:space="preserve">Orthopaedic </w:t>
      </w:r>
      <w:r w:rsidR="00E747C2" w:rsidRPr="000D6D5D">
        <w:rPr>
          <w:rFonts w:ascii="Arial" w:hAnsi="Arial" w:cs="Arial"/>
          <w:b/>
        </w:rPr>
        <w:t xml:space="preserve">SSI </w:t>
      </w:r>
      <w:r w:rsidR="00E747C2">
        <w:rPr>
          <w:rFonts w:ascii="Arial" w:hAnsi="Arial" w:cs="Arial"/>
          <w:b/>
        </w:rPr>
        <w:t>Local data</w:t>
      </w:r>
      <w:r w:rsidR="008F5975" w:rsidRPr="008F5975">
        <w:rPr>
          <w:noProof/>
        </w:rPr>
        <w:t xml:space="preserve"> </w:t>
      </w:r>
      <w:r w:rsidR="009F4600" w:rsidRPr="009F4600">
        <w:rPr>
          <w:noProof/>
        </w:rPr>
        <w:drawing>
          <wp:inline distT="0" distB="0" distL="0" distR="0">
            <wp:extent cx="9240746" cy="238125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srcRect/>
                    <a:stretch>
                      <a:fillRect/>
                    </a:stretch>
                  </pic:blipFill>
                  <pic:spPr bwMode="auto">
                    <a:xfrm>
                      <a:off x="0" y="0"/>
                      <a:ext cx="9251950" cy="2384137"/>
                    </a:xfrm>
                    <a:prstGeom prst="rect">
                      <a:avLst/>
                    </a:prstGeom>
                    <a:noFill/>
                    <a:ln w="9525">
                      <a:noFill/>
                      <a:miter lim="800000"/>
                      <a:headEnd/>
                      <a:tailEnd/>
                    </a:ln>
                  </pic:spPr>
                </pic:pic>
              </a:graphicData>
            </a:graphic>
          </wp:inline>
        </w:drawing>
      </w:r>
      <w:r w:rsidR="008F5975" w:rsidRPr="008F5975">
        <w:rPr>
          <w:noProof/>
        </w:rPr>
        <w:t xml:space="preserve"> </w:t>
      </w:r>
      <w:r w:rsidR="009F4600" w:rsidRPr="009F4600">
        <w:rPr>
          <w:noProof/>
        </w:rPr>
        <w:drawing>
          <wp:inline distT="0" distB="0" distL="0" distR="0">
            <wp:extent cx="9251950" cy="2440753"/>
            <wp:effectExtent l="1905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a:srcRect/>
                    <a:stretch>
                      <a:fillRect/>
                    </a:stretch>
                  </pic:blipFill>
                  <pic:spPr bwMode="auto">
                    <a:xfrm>
                      <a:off x="0" y="0"/>
                      <a:ext cx="9251950" cy="2440753"/>
                    </a:xfrm>
                    <a:prstGeom prst="rect">
                      <a:avLst/>
                    </a:prstGeom>
                    <a:noFill/>
                    <a:ln w="9525">
                      <a:noFill/>
                      <a:miter lim="800000"/>
                      <a:headEnd/>
                      <a:tailEnd/>
                    </a:ln>
                  </pic:spPr>
                </pic:pic>
              </a:graphicData>
            </a:graphic>
          </wp:inline>
        </w:drawing>
      </w:r>
    </w:p>
    <w:p w:rsidR="00E747C2" w:rsidRDefault="00E747C2" w:rsidP="008F5975">
      <w:pPr>
        <w:tabs>
          <w:tab w:val="left" w:pos="0"/>
          <w:tab w:val="left" w:pos="1440"/>
          <w:tab w:val="left" w:pos="2160"/>
          <w:tab w:val="left" w:pos="2880"/>
          <w:tab w:val="left" w:pos="4680"/>
          <w:tab w:val="left" w:pos="5400"/>
          <w:tab w:val="right" w:pos="9000"/>
        </w:tabs>
        <w:jc w:val="both"/>
        <w:rPr>
          <w:szCs w:val="20"/>
        </w:rPr>
      </w:pPr>
      <w:r w:rsidRPr="001204BB">
        <w:rPr>
          <w:rFonts w:ascii="Arial" w:hAnsi="Arial"/>
          <w:szCs w:val="20"/>
          <w:lang w:eastAsia="en-US"/>
        </w:rPr>
        <w:tab/>
      </w:r>
      <w:r w:rsidRPr="001C5CD1">
        <w:rPr>
          <w:rFonts w:ascii="Arial" w:hAnsi="Arial"/>
          <w:szCs w:val="20"/>
          <w:lang w:eastAsia="en-US"/>
        </w:rPr>
        <w:t xml:space="preserve"> </w:t>
      </w:r>
    </w:p>
    <w:p w:rsidR="00E747C2" w:rsidRPr="00E2019C" w:rsidRDefault="00E747C2"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A202B2">
      <w:pPr>
        <w:pStyle w:val="Default"/>
        <w:rPr>
          <w:szCs w:val="20"/>
        </w:rPr>
      </w:pPr>
    </w:p>
    <w:p w:rsidR="007C7FA8" w:rsidRDefault="007C7FA8" w:rsidP="00E2019C">
      <w:pPr>
        <w:pStyle w:val="Default"/>
        <w:rPr>
          <w:szCs w:val="20"/>
        </w:rPr>
      </w:pPr>
    </w:p>
    <w:p w:rsidR="00896B78" w:rsidRDefault="00E747C2" w:rsidP="00E2019C">
      <w:pPr>
        <w:pStyle w:val="Default"/>
        <w:rPr>
          <w:szCs w:val="20"/>
        </w:rPr>
      </w:pPr>
      <w:r>
        <w:rPr>
          <w:szCs w:val="20"/>
        </w:rPr>
        <w:t>HAIRT Table of Abbreviations</w:t>
      </w:r>
    </w:p>
    <w:p w:rsidR="00F27F37" w:rsidRDefault="00F27F37" w:rsidP="00E2019C">
      <w:pPr>
        <w:pStyle w:val="Default"/>
        <w:rPr>
          <w:szCs w:val="20"/>
        </w:rPr>
      </w:pPr>
    </w:p>
    <w:tbl>
      <w:tblPr>
        <w:tblpPr w:leftFromText="180" w:rightFromText="180" w:vertAnchor="page" w:horzAnchor="margin" w:tblpY="2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AHP</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Allied Healthcare Practitioner</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CABG</w:t>
            </w:r>
          </w:p>
        </w:tc>
        <w:tc>
          <w:tcPr>
            <w:tcW w:w="4994" w:type="dxa"/>
          </w:tcPr>
          <w:p w:rsidR="009F4600" w:rsidRDefault="009F4600" w:rsidP="009F4600">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CCU</w:t>
            </w:r>
          </w:p>
        </w:tc>
        <w:tc>
          <w:tcPr>
            <w:tcW w:w="4994" w:type="dxa"/>
          </w:tcPr>
          <w:p w:rsidR="009F4600" w:rsidRDefault="009F4600" w:rsidP="009F4600">
            <w:pPr>
              <w:rPr>
                <w:rFonts w:ascii="Arial" w:hAnsi="Arial" w:cs="Arial"/>
                <w:sz w:val="16"/>
                <w:szCs w:val="16"/>
              </w:rPr>
            </w:pPr>
            <w:r>
              <w:rPr>
                <w:rFonts w:ascii="Arial" w:hAnsi="Arial" w:cs="Arial"/>
                <w:sz w:val="16"/>
                <w:szCs w:val="16"/>
              </w:rPr>
              <w:t>Coronary Care Unit</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CVC</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Central Venous Catheter</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DMT</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Domestic Monitoring Tool</w:t>
            </w:r>
          </w:p>
        </w:tc>
      </w:tr>
      <w:tr w:rsidR="009F4600" w:rsidRPr="00933712"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9F4600" w:rsidRPr="006F3D56" w:rsidRDefault="009F4600" w:rsidP="009F4600">
            <w:pPr>
              <w:rPr>
                <w:rFonts w:ascii="Arial" w:hAnsi="Arial" w:cs="Arial"/>
                <w:sz w:val="16"/>
                <w:szCs w:val="16"/>
              </w:rPr>
            </w:pPr>
            <w:r w:rsidRPr="006F3D56">
              <w:rPr>
                <w:rFonts w:ascii="Arial" w:hAnsi="Arial" w:cs="Arial"/>
                <w:iCs/>
                <w:sz w:val="16"/>
                <w:szCs w:val="16"/>
              </w:rPr>
              <w:t>Escherichia coli</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FMT</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Facilities Monitoring Tool</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GJNH</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Golden Jubilee National Hospital</w:t>
            </w:r>
          </w:p>
        </w:tc>
      </w:tr>
      <w:tr w:rsidR="009F4600" w:rsidRPr="008D7A8C" w:rsidTr="009F4600">
        <w:tc>
          <w:tcPr>
            <w:tcW w:w="3528" w:type="dxa"/>
          </w:tcPr>
          <w:p w:rsidR="009F4600" w:rsidRDefault="009F4600" w:rsidP="009F4600">
            <w:pPr>
              <w:rPr>
                <w:rFonts w:ascii="Arial" w:hAnsi="Arial" w:cs="Arial"/>
                <w:sz w:val="16"/>
                <w:szCs w:val="16"/>
              </w:rPr>
            </w:pPr>
            <w:r>
              <w:rPr>
                <w:rFonts w:ascii="Arial" w:hAnsi="Arial" w:cs="Arial"/>
                <w:sz w:val="16"/>
                <w:szCs w:val="16"/>
              </w:rPr>
              <w:t>GP</w:t>
            </w:r>
          </w:p>
        </w:tc>
        <w:tc>
          <w:tcPr>
            <w:tcW w:w="4994" w:type="dxa"/>
          </w:tcPr>
          <w:p w:rsidR="009F4600" w:rsidRDefault="009F4600" w:rsidP="009F4600">
            <w:pPr>
              <w:rPr>
                <w:rFonts w:ascii="Arial" w:hAnsi="Arial" w:cs="Arial"/>
                <w:sz w:val="16"/>
                <w:szCs w:val="16"/>
              </w:rPr>
            </w:pPr>
            <w:r>
              <w:rPr>
                <w:rFonts w:ascii="Arial" w:hAnsi="Arial" w:cs="Arial"/>
                <w:sz w:val="16"/>
                <w:szCs w:val="16"/>
              </w:rPr>
              <w:t>General Practitioner</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HAI</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Healthcare Associated Infection</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HAIRT</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HA MRSA</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HEI</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Healthcare Environment Inspection</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HFS</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Healthcare Facilities Scotland</w:t>
            </w:r>
          </w:p>
        </w:tc>
      </w:tr>
      <w:tr w:rsidR="009F4600"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HH</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Hand Hygiene</w:t>
            </w:r>
          </w:p>
        </w:tc>
      </w:tr>
      <w:tr w:rsidR="009F4600"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HIS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Healthcare Improvement Scotland</w:t>
            </w:r>
          </w:p>
        </w:tc>
      </w:tr>
      <w:tr w:rsidR="009F4600"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HPA</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Health Protection Agency</w:t>
            </w:r>
          </w:p>
        </w:tc>
      </w:tr>
      <w:tr w:rsidR="009F4600"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HPS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 Protection Scotland</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IABP</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Intra aortic balloon pump</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IC</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Infection Control</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ICAR</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Infection Control Audit Review</w:t>
            </w:r>
          </w:p>
        </w:tc>
      </w:tr>
      <w:tr w:rsidR="009F4600"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LDP</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Local Delivery Plan</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MRSA</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Meticillin Resistant Staphylococcus Aureus</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MSSA</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Meticillin Sensitive Staphylococcus Aureus</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NAT</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National</w:t>
            </w:r>
          </w:p>
        </w:tc>
      </w:tr>
      <w:tr w:rsidR="009F4600" w:rsidRPr="008D7A8C" w:rsidTr="009F4600">
        <w:tc>
          <w:tcPr>
            <w:tcW w:w="3528" w:type="dxa"/>
          </w:tcPr>
          <w:p w:rsidR="009F4600" w:rsidRDefault="009F4600" w:rsidP="009F4600">
            <w:pPr>
              <w:rPr>
                <w:rFonts w:ascii="Arial" w:hAnsi="Arial" w:cs="Arial"/>
                <w:sz w:val="16"/>
                <w:szCs w:val="16"/>
              </w:rPr>
            </w:pPr>
            <w:r>
              <w:rPr>
                <w:rFonts w:ascii="Arial" w:hAnsi="Arial" w:cs="Arial"/>
                <w:sz w:val="16"/>
                <w:szCs w:val="16"/>
              </w:rPr>
              <w:t>NCSS</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National Cleaning Standard Specification</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PAG</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Problem Assessment Group</w:t>
            </w:r>
          </w:p>
        </w:tc>
      </w:tr>
      <w:tr w:rsidR="009F4600" w:rsidRPr="008D7A8C" w:rsidTr="009F4600">
        <w:tc>
          <w:tcPr>
            <w:tcW w:w="3528" w:type="dxa"/>
          </w:tcPr>
          <w:p w:rsidR="009F4600" w:rsidRDefault="009F4600" w:rsidP="009F4600">
            <w:pPr>
              <w:rPr>
                <w:rFonts w:ascii="Arial" w:hAnsi="Arial" w:cs="Arial"/>
                <w:sz w:val="16"/>
                <w:szCs w:val="16"/>
              </w:rPr>
            </w:pPr>
            <w:r>
              <w:rPr>
                <w:rFonts w:ascii="Arial" w:hAnsi="Arial" w:cs="Arial"/>
                <w:sz w:val="16"/>
                <w:szCs w:val="16"/>
              </w:rPr>
              <w:t>PCIC</w:t>
            </w:r>
          </w:p>
        </w:tc>
        <w:tc>
          <w:tcPr>
            <w:tcW w:w="4994" w:type="dxa"/>
          </w:tcPr>
          <w:p w:rsidR="009F4600" w:rsidRDefault="009F4600" w:rsidP="009F4600">
            <w:pPr>
              <w:rPr>
                <w:rFonts w:ascii="Arial" w:hAnsi="Arial" w:cs="Arial"/>
                <w:sz w:val="16"/>
                <w:szCs w:val="16"/>
              </w:rPr>
            </w:pPr>
            <w:r>
              <w:rPr>
                <w:rFonts w:ascii="Arial" w:hAnsi="Arial" w:cs="Arial"/>
                <w:sz w:val="16"/>
                <w:szCs w:val="16"/>
              </w:rPr>
              <w:t>Prevention &amp; Control of Infection Committee</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PCINs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Prevention &amp; Control of Infection Nurses</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PCIT</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Prevention &amp; Control of Infection Team</w:t>
            </w:r>
          </w:p>
        </w:tc>
      </w:tr>
      <w:tr w:rsidR="009F4600" w:rsidRPr="008D7A8C" w:rsidTr="009F4600">
        <w:trPr>
          <w:trHeight w:val="173"/>
        </w:trPr>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PICC Line</w:t>
            </w:r>
          </w:p>
        </w:tc>
        <w:tc>
          <w:tcPr>
            <w:tcW w:w="4994" w:type="dxa"/>
          </w:tcPr>
          <w:p w:rsidR="009F4600" w:rsidRPr="006F3D56" w:rsidRDefault="009F4600" w:rsidP="009F4600">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9F4600" w:rsidRPr="008D7A8C" w:rsidTr="009F4600">
        <w:trPr>
          <w:trHeight w:val="173"/>
        </w:trPr>
        <w:tc>
          <w:tcPr>
            <w:tcW w:w="3528" w:type="dxa"/>
          </w:tcPr>
          <w:p w:rsidR="009F4600" w:rsidRPr="006F3D56" w:rsidRDefault="009F4600" w:rsidP="009F4600">
            <w:pPr>
              <w:rPr>
                <w:rFonts w:ascii="Arial" w:hAnsi="Arial" w:cs="Arial"/>
                <w:sz w:val="16"/>
                <w:szCs w:val="16"/>
              </w:rPr>
            </w:pPr>
            <w:r>
              <w:rPr>
                <w:rFonts w:ascii="Arial" w:hAnsi="Arial" w:cs="Arial"/>
                <w:sz w:val="16"/>
                <w:szCs w:val="16"/>
              </w:rPr>
              <w:t>PNE</w:t>
            </w:r>
          </w:p>
        </w:tc>
        <w:tc>
          <w:tcPr>
            <w:tcW w:w="4994" w:type="dxa"/>
          </w:tcPr>
          <w:p w:rsidR="009F4600" w:rsidRPr="006F3D56" w:rsidRDefault="009F4600" w:rsidP="009F4600">
            <w:pPr>
              <w:pStyle w:val="Heading1"/>
              <w:rPr>
                <w:rFonts w:ascii="Arial" w:hAnsi="Arial" w:cs="Arial"/>
                <w:b w:val="0"/>
                <w:sz w:val="16"/>
                <w:szCs w:val="16"/>
              </w:rPr>
            </w:pPr>
            <w:r>
              <w:rPr>
                <w:rFonts w:ascii="Arial" w:hAnsi="Arial" w:cs="Arial"/>
                <w:b w:val="0"/>
                <w:sz w:val="16"/>
                <w:szCs w:val="16"/>
              </w:rPr>
              <w:t>Patient Notification Exercise</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PVC</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SAB</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SCN</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Senior Charge Nurse</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SICP 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Standard Infection Control Precautions</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SPSP</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 xml:space="preserve">Scottish Patient Safety Programme </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SSI</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Surgical Site Infection</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TBPs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Transmission Based Precautions</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THR</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Total Hip Replacement</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VAP</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Ventilator Associated Pneumonia</w:t>
            </w:r>
          </w:p>
        </w:tc>
      </w:tr>
    </w:tbl>
    <w:p w:rsidR="00E747C2" w:rsidRPr="00896B78" w:rsidRDefault="00E747C2" w:rsidP="00896B78">
      <w:pPr>
        <w:rPr>
          <w:lang w:val="en-US" w:eastAsia="en-US"/>
        </w:rPr>
      </w:pPr>
    </w:p>
    <w:sectPr w:rsidR="00E747C2" w:rsidRPr="00896B78"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C1B" w:rsidRDefault="00CB3C1B">
      <w:r>
        <w:separator/>
      </w:r>
    </w:p>
  </w:endnote>
  <w:endnote w:type="continuationSeparator" w:id="0">
    <w:p w:rsidR="00CB3C1B" w:rsidRDefault="00CB3C1B">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52" w:rsidRDefault="00121752"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121752" w:rsidRPr="00952190" w:rsidRDefault="00121752"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121752" w:rsidRPr="00952190" w:rsidRDefault="00121752"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-26/01/17</w:t>
    </w:r>
  </w:p>
  <w:p w:rsidR="00121752" w:rsidRDefault="00121752" w:rsidP="00FB7EA9">
    <w:pPr>
      <w:pStyle w:val="Footer"/>
      <w:jc w:val="center"/>
    </w:pPr>
    <w:r>
      <w:t xml:space="preserve">Page </w:t>
    </w:r>
    <w:fldSimple w:instr=" PAGE ">
      <w:r w:rsidR="00021A98">
        <w:rPr>
          <w:noProof/>
        </w:rPr>
        <w:t>1</w:t>
      </w:r>
    </w:fldSimple>
    <w:r>
      <w:t xml:space="preserve"> of </w:t>
    </w:r>
    <w:fldSimple w:instr=" NUMPAGES ">
      <w:r w:rsidR="00021A98">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C1B" w:rsidRDefault="00CB3C1B">
      <w:r>
        <w:separator/>
      </w:r>
    </w:p>
  </w:footnote>
  <w:footnote w:type="continuationSeparator" w:id="0">
    <w:p w:rsidR="00CB3C1B" w:rsidRDefault="00CB3C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52" w:rsidRDefault="001217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52" w:rsidRDefault="00121752"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52" w:rsidRDefault="001217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pt;height:9pt" o:bullet="t">
        <v:imagedata r:id="rId1" o:title=""/>
      </v:shape>
    </w:pict>
  </w:numPicBullet>
  <w:numPicBullet w:numPicBulletId="1">
    <w:pict>
      <v:shape id="_x0000_i1034" type="#_x0000_t75" style="width:9pt;height:9pt" o:bullet="t">
        <v:imagedata r:id="rId2" o:title=""/>
      </v:shape>
    </w:pict>
  </w:numPicBullet>
  <w:numPicBullet w:numPicBulletId="2">
    <w:pict>
      <v:shape id="_x0000_i1035" type="#_x0000_t75" style="width:11.25pt;height:9.75pt" o:bullet="t">
        <v:imagedata r:id="rId3" o:title=""/>
      </v:shape>
    </w:pict>
  </w:numPicBullet>
  <w:numPicBullet w:numPicBulletId="3">
    <w:pict>
      <v:shape id="_x0000_i1036" type="#_x0000_t75" style="width:11.25pt;height:11.25pt" o:bullet="t">
        <v:imagedata r:id="rId4" o:title=""/>
        <o:lock v:ext="edit" cropping="t"/>
      </v:shape>
    </w:pict>
  </w:numPicBullet>
  <w:numPicBullet w:numPicBulletId="4">
    <w:pict>
      <v:shape id="_x0000_i1037" type="#_x0000_t75" style="width:9pt;height:9pt" o:bullet="t">
        <v:imagedata r:id="rId5" o:title=""/>
      </v:shape>
    </w:pict>
  </w:numPicBullet>
  <w:numPicBullet w:numPicBulletId="5">
    <w:pict>
      <v:shape id="_x0000_i1038" type="#_x0000_t75" style="width:11.25pt;height:11.25pt" o:bullet="t">
        <v:imagedata r:id="rId6" o:title=""/>
      </v:shape>
    </w:pict>
  </w:numPicBullet>
  <w:numPicBullet w:numPicBulletId="6">
    <w:pict>
      <v:shape id="_x0000_i1039" type="#_x0000_t75" style="width:11.25pt;height:11.25pt" o:bullet="t">
        <v:imagedata r:id="rId7" o:title="mso6BF8"/>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5896C99E"/>
    <w:lvl w:ilvl="0" w:tplc="08090007">
      <w:start w:val="1"/>
      <w:numFmt w:val="bullet"/>
      <w:lvlText w:val=""/>
      <w:lvlPicBulletId w:val="6"/>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5"/>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6850D08"/>
    <w:multiLevelType w:val="hybridMultilevel"/>
    <w:tmpl w:val="C4C2DE18"/>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9">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0">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0756EED"/>
    <w:multiLevelType w:val="hybridMultilevel"/>
    <w:tmpl w:val="8E38A09E"/>
    <w:lvl w:ilvl="0" w:tplc="08090007">
      <w:start w:val="1"/>
      <w:numFmt w:val="bullet"/>
      <w:lvlText w:val=""/>
      <w:lvlPicBulletId w:val="5"/>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2">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8">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9">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3">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4">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8">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9">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2">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6"/>
  </w:num>
  <w:num w:numId="2">
    <w:abstractNumId w:val="25"/>
  </w:num>
  <w:num w:numId="3">
    <w:abstractNumId w:val="4"/>
  </w:num>
  <w:num w:numId="4">
    <w:abstractNumId w:val="35"/>
  </w:num>
  <w:num w:numId="5">
    <w:abstractNumId w:val="24"/>
  </w:num>
  <w:num w:numId="6">
    <w:abstractNumId w:val="22"/>
  </w:num>
  <w:num w:numId="7">
    <w:abstractNumId w:val="23"/>
  </w:num>
  <w:num w:numId="8">
    <w:abstractNumId w:val="8"/>
  </w:num>
  <w:num w:numId="9">
    <w:abstractNumId w:val="11"/>
  </w:num>
  <w:num w:numId="10">
    <w:abstractNumId w:val="30"/>
  </w:num>
  <w:num w:numId="11">
    <w:abstractNumId w:val="40"/>
  </w:num>
  <w:num w:numId="12">
    <w:abstractNumId w:val="32"/>
  </w:num>
  <w:num w:numId="13">
    <w:abstractNumId w:val="34"/>
  </w:num>
  <w:num w:numId="14">
    <w:abstractNumId w:val="14"/>
  </w:num>
  <w:num w:numId="15">
    <w:abstractNumId w:val="2"/>
  </w:num>
  <w:num w:numId="16">
    <w:abstractNumId w:val="27"/>
  </w:num>
  <w:num w:numId="17">
    <w:abstractNumId w:val="0"/>
  </w:num>
  <w:num w:numId="1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6"/>
  </w:num>
  <w:num w:numId="29">
    <w:abstractNumId w:val="31"/>
  </w:num>
  <w:num w:numId="30">
    <w:abstractNumId w:val="16"/>
  </w:num>
  <w:num w:numId="31">
    <w:abstractNumId w:val="15"/>
  </w:num>
  <w:num w:numId="32">
    <w:abstractNumId w:val="39"/>
  </w:num>
  <w:num w:numId="33">
    <w:abstractNumId w:val="1"/>
  </w:num>
  <w:num w:numId="34">
    <w:abstractNumId w:val="9"/>
  </w:num>
  <w:num w:numId="35">
    <w:abstractNumId w:val="17"/>
  </w:num>
  <w:num w:numId="36">
    <w:abstractNumId w:val="13"/>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3"/>
  </w:num>
  <w:num w:numId="41">
    <w:abstractNumId w:val="12"/>
  </w:num>
  <w:num w:numId="42">
    <w:abstractNumId w:val="5"/>
  </w:num>
  <w:num w:numId="43">
    <w:abstractNumId w:val="10"/>
  </w:num>
  <w:num w:numId="44">
    <w:abstractNumId w:val="7"/>
  </w:num>
  <w:num w:numId="45">
    <w:abstractNumId w:val="3"/>
  </w:num>
  <w:num w:numId="46">
    <w:abstractNumId w:val="21"/>
  </w:num>
  <w:num w:numId="47">
    <w:abstractNumId w:val="20"/>
  </w:num>
  <w:num w:numId="48">
    <w:abstractNumId w:val="18"/>
  </w:num>
  <w:num w:numId="49">
    <w:abstractNumId w:val="2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87"/>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A98"/>
    <w:rsid w:val="00021D07"/>
    <w:rsid w:val="00025339"/>
    <w:rsid w:val="00025918"/>
    <w:rsid w:val="00026D1D"/>
    <w:rsid w:val="000274AE"/>
    <w:rsid w:val="00027706"/>
    <w:rsid w:val="00027852"/>
    <w:rsid w:val="000308C4"/>
    <w:rsid w:val="00030C37"/>
    <w:rsid w:val="00030D78"/>
    <w:rsid w:val="000314F6"/>
    <w:rsid w:val="000335A1"/>
    <w:rsid w:val="00033C8F"/>
    <w:rsid w:val="00035DBE"/>
    <w:rsid w:val="0003642D"/>
    <w:rsid w:val="00036691"/>
    <w:rsid w:val="00036C6E"/>
    <w:rsid w:val="0004034B"/>
    <w:rsid w:val="00040B16"/>
    <w:rsid w:val="00041B80"/>
    <w:rsid w:val="00041BE8"/>
    <w:rsid w:val="00041CF2"/>
    <w:rsid w:val="00042149"/>
    <w:rsid w:val="00042EEA"/>
    <w:rsid w:val="0004351D"/>
    <w:rsid w:val="000436F3"/>
    <w:rsid w:val="00047C02"/>
    <w:rsid w:val="00047D46"/>
    <w:rsid w:val="000506C4"/>
    <w:rsid w:val="00051D3B"/>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AB9"/>
    <w:rsid w:val="00092E8C"/>
    <w:rsid w:val="00092F48"/>
    <w:rsid w:val="00094B63"/>
    <w:rsid w:val="0009586E"/>
    <w:rsid w:val="000958B4"/>
    <w:rsid w:val="000A056C"/>
    <w:rsid w:val="000A27E1"/>
    <w:rsid w:val="000A3C9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C018D"/>
    <w:rsid w:val="000C0733"/>
    <w:rsid w:val="000C0DA9"/>
    <w:rsid w:val="000C2EB7"/>
    <w:rsid w:val="000C4858"/>
    <w:rsid w:val="000C4D8D"/>
    <w:rsid w:val="000C56B7"/>
    <w:rsid w:val="000C57E2"/>
    <w:rsid w:val="000C5CF6"/>
    <w:rsid w:val="000C6183"/>
    <w:rsid w:val="000D019A"/>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36F7"/>
    <w:rsid w:val="000E454A"/>
    <w:rsid w:val="000E6D10"/>
    <w:rsid w:val="000E77A2"/>
    <w:rsid w:val="000F0853"/>
    <w:rsid w:val="000F0E6B"/>
    <w:rsid w:val="000F1EB4"/>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5F1"/>
    <w:rsid w:val="0011163B"/>
    <w:rsid w:val="00111B9E"/>
    <w:rsid w:val="001120F0"/>
    <w:rsid w:val="00113E37"/>
    <w:rsid w:val="00113F1C"/>
    <w:rsid w:val="00114339"/>
    <w:rsid w:val="00114CC6"/>
    <w:rsid w:val="00115F21"/>
    <w:rsid w:val="001172DE"/>
    <w:rsid w:val="00117548"/>
    <w:rsid w:val="00117EEC"/>
    <w:rsid w:val="001204BB"/>
    <w:rsid w:val="00120826"/>
    <w:rsid w:val="00121752"/>
    <w:rsid w:val="00122B64"/>
    <w:rsid w:val="001242A8"/>
    <w:rsid w:val="0012451A"/>
    <w:rsid w:val="0013087A"/>
    <w:rsid w:val="00130D60"/>
    <w:rsid w:val="001326FC"/>
    <w:rsid w:val="001328CF"/>
    <w:rsid w:val="00135083"/>
    <w:rsid w:val="0013604D"/>
    <w:rsid w:val="00136CA7"/>
    <w:rsid w:val="0013751B"/>
    <w:rsid w:val="001415FC"/>
    <w:rsid w:val="001433B9"/>
    <w:rsid w:val="00143BA7"/>
    <w:rsid w:val="001473E0"/>
    <w:rsid w:val="001475B9"/>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3077"/>
    <w:rsid w:val="00164521"/>
    <w:rsid w:val="00164802"/>
    <w:rsid w:val="00166C14"/>
    <w:rsid w:val="001701A6"/>
    <w:rsid w:val="00170DAE"/>
    <w:rsid w:val="001717E3"/>
    <w:rsid w:val="00171DBC"/>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CD8"/>
    <w:rsid w:val="001822DC"/>
    <w:rsid w:val="00182363"/>
    <w:rsid w:val="00182576"/>
    <w:rsid w:val="00182848"/>
    <w:rsid w:val="0018341A"/>
    <w:rsid w:val="00183E81"/>
    <w:rsid w:val="00184043"/>
    <w:rsid w:val="0018560E"/>
    <w:rsid w:val="0018732B"/>
    <w:rsid w:val="001906B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68FD"/>
    <w:rsid w:val="001D79DE"/>
    <w:rsid w:val="001D7D22"/>
    <w:rsid w:val="001E0792"/>
    <w:rsid w:val="001E0820"/>
    <w:rsid w:val="001E3130"/>
    <w:rsid w:val="001E4293"/>
    <w:rsid w:val="001E49AA"/>
    <w:rsid w:val="001E5243"/>
    <w:rsid w:val="001E5629"/>
    <w:rsid w:val="001E5F93"/>
    <w:rsid w:val="001E6B1B"/>
    <w:rsid w:val="001F0612"/>
    <w:rsid w:val="001F148B"/>
    <w:rsid w:val="001F175D"/>
    <w:rsid w:val="001F1E8F"/>
    <w:rsid w:val="001F2490"/>
    <w:rsid w:val="001F26FB"/>
    <w:rsid w:val="001F4790"/>
    <w:rsid w:val="001F4F59"/>
    <w:rsid w:val="001F4FEB"/>
    <w:rsid w:val="001F62B4"/>
    <w:rsid w:val="001F7266"/>
    <w:rsid w:val="001F7D0A"/>
    <w:rsid w:val="00200A57"/>
    <w:rsid w:val="00200CB9"/>
    <w:rsid w:val="00200DF1"/>
    <w:rsid w:val="00202A25"/>
    <w:rsid w:val="00202CC3"/>
    <w:rsid w:val="00202DB3"/>
    <w:rsid w:val="002046A3"/>
    <w:rsid w:val="0020476B"/>
    <w:rsid w:val="0020521A"/>
    <w:rsid w:val="00205812"/>
    <w:rsid w:val="00210253"/>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505"/>
    <w:rsid w:val="00252A46"/>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5C2"/>
    <w:rsid w:val="00277DF4"/>
    <w:rsid w:val="00280ECF"/>
    <w:rsid w:val="0028231F"/>
    <w:rsid w:val="00282602"/>
    <w:rsid w:val="002830C5"/>
    <w:rsid w:val="00283595"/>
    <w:rsid w:val="0028369E"/>
    <w:rsid w:val="00283A71"/>
    <w:rsid w:val="00283EB0"/>
    <w:rsid w:val="00284E04"/>
    <w:rsid w:val="00285231"/>
    <w:rsid w:val="00287B85"/>
    <w:rsid w:val="00287F83"/>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18D"/>
    <w:rsid w:val="002D54C0"/>
    <w:rsid w:val="002D54DA"/>
    <w:rsid w:val="002D5ED1"/>
    <w:rsid w:val="002D70B5"/>
    <w:rsid w:val="002E1062"/>
    <w:rsid w:val="002E12C7"/>
    <w:rsid w:val="002E1B7C"/>
    <w:rsid w:val="002E3366"/>
    <w:rsid w:val="002E5B1B"/>
    <w:rsid w:val="002E73C4"/>
    <w:rsid w:val="002F0692"/>
    <w:rsid w:val="002F0A9B"/>
    <w:rsid w:val="002F107F"/>
    <w:rsid w:val="002F12F9"/>
    <w:rsid w:val="002F2062"/>
    <w:rsid w:val="002F251D"/>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4D0"/>
    <w:rsid w:val="00305BB9"/>
    <w:rsid w:val="00305BC9"/>
    <w:rsid w:val="00305CA1"/>
    <w:rsid w:val="00306BAD"/>
    <w:rsid w:val="00312369"/>
    <w:rsid w:val="00315E89"/>
    <w:rsid w:val="00316873"/>
    <w:rsid w:val="0032089B"/>
    <w:rsid w:val="00320D7A"/>
    <w:rsid w:val="00322491"/>
    <w:rsid w:val="00325841"/>
    <w:rsid w:val="00326A85"/>
    <w:rsid w:val="00326B52"/>
    <w:rsid w:val="00326DB7"/>
    <w:rsid w:val="0032774F"/>
    <w:rsid w:val="003307A6"/>
    <w:rsid w:val="003312F5"/>
    <w:rsid w:val="00332886"/>
    <w:rsid w:val="00332988"/>
    <w:rsid w:val="0033334D"/>
    <w:rsid w:val="0033394C"/>
    <w:rsid w:val="00333E11"/>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6753B"/>
    <w:rsid w:val="00371756"/>
    <w:rsid w:val="00372A64"/>
    <w:rsid w:val="0037346E"/>
    <w:rsid w:val="00373694"/>
    <w:rsid w:val="003739EF"/>
    <w:rsid w:val="00374540"/>
    <w:rsid w:val="00374FD8"/>
    <w:rsid w:val="00375443"/>
    <w:rsid w:val="00375F6E"/>
    <w:rsid w:val="00377436"/>
    <w:rsid w:val="003774B6"/>
    <w:rsid w:val="00380CEB"/>
    <w:rsid w:val="00381150"/>
    <w:rsid w:val="00381F46"/>
    <w:rsid w:val="00382E49"/>
    <w:rsid w:val="00385549"/>
    <w:rsid w:val="0038635B"/>
    <w:rsid w:val="00386578"/>
    <w:rsid w:val="0038784B"/>
    <w:rsid w:val="00387D6C"/>
    <w:rsid w:val="003901F8"/>
    <w:rsid w:val="0039053F"/>
    <w:rsid w:val="003909DC"/>
    <w:rsid w:val="00391014"/>
    <w:rsid w:val="00391991"/>
    <w:rsid w:val="003927CA"/>
    <w:rsid w:val="00392C6D"/>
    <w:rsid w:val="00392CFC"/>
    <w:rsid w:val="00392E99"/>
    <w:rsid w:val="00394AC5"/>
    <w:rsid w:val="00394E51"/>
    <w:rsid w:val="00395270"/>
    <w:rsid w:val="00395417"/>
    <w:rsid w:val="00395FF0"/>
    <w:rsid w:val="00396002"/>
    <w:rsid w:val="003963C6"/>
    <w:rsid w:val="00397F75"/>
    <w:rsid w:val="003A031C"/>
    <w:rsid w:val="003A2144"/>
    <w:rsid w:val="003A3B08"/>
    <w:rsid w:val="003B10E0"/>
    <w:rsid w:val="003B1A17"/>
    <w:rsid w:val="003B24E3"/>
    <w:rsid w:val="003B3E74"/>
    <w:rsid w:val="003B4278"/>
    <w:rsid w:val="003B4422"/>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3E6"/>
    <w:rsid w:val="003D0F68"/>
    <w:rsid w:val="003D197B"/>
    <w:rsid w:val="003D1B3F"/>
    <w:rsid w:val="003D1C6C"/>
    <w:rsid w:val="003D2287"/>
    <w:rsid w:val="003D36AB"/>
    <w:rsid w:val="003D400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3604"/>
    <w:rsid w:val="003F4447"/>
    <w:rsid w:val="003F4B84"/>
    <w:rsid w:val="003F5174"/>
    <w:rsid w:val="003F5A28"/>
    <w:rsid w:val="003F5F17"/>
    <w:rsid w:val="003F60AA"/>
    <w:rsid w:val="003F7CDE"/>
    <w:rsid w:val="00400260"/>
    <w:rsid w:val="00400548"/>
    <w:rsid w:val="004008A8"/>
    <w:rsid w:val="00401C32"/>
    <w:rsid w:val="0040353A"/>
    <w:rsid w:val="004037FB"/>
    <w:rsid w:val="00403CEB"/>
    <w:rsid w:val="00406030"/>
    <w:rsid w:val="00406620"/>
    <w:rsid w:val="00407793"/>
    <w:rsid w:val="004100E1"/>
    <w:rsid w:val="004113D6"/>
    <w:rsid w:val="004122EA"/>
    <w:rsid w:val="004135F2"/>
    <w:rsid w:val="0041440F"/>
    <w:rsid w:val="0041452F"/>
    <w:rsid w:val="00414A4B"/>
    <w:rsid w:val="00414A69"/>
    <w:rsid w:val="00414FC8"/>
    <w:rsid w:val="004159E6"/>
    <w:rsid w:val="00416359"/>
    <w:rsid w:val="00417579"/>
    <w:rsid w:val="004200B7"/>
    <w:rsid w:val="0042038E"/>
    <w:rsid w:val="00421797"/>
    <w:rsid w:val="00421D5B"/>
    <w:rsid w:val="00421FD4"/>
    <w:rsid w:val="00422337"/>
    <w:rsid w:val="00422766"/>
    <w:rsid w:val="00423171"/>
    <w:rsid w:val="00423ABE"/>
    <w:rsid w:val="00423BDF"/>
    <w:rsid w:val="0042437B"/>
    <w:rsid w:val="00424632"/>
    <w:rsid w:val="004254CB"/>
    <w:rsid w:val="00425658"/>
    <w:rsid w:val="004258B6"/>
    <w:rsid w:val="00425B30"/>
    <w:rsid w:val="00426609"/>
    <w:rsid w:val="004269E9"/>
    <w:rsid w:val="00426E3B"/>
    <w:rsid w:val="004279EF"/>
    <w:rsid w:val="00427FA6"/>
    <w:rsid w:val="00432DA4"/>
    <w:rsid w:val="0043462E"/>
    <w:rsid w:val="00434810"/>
    <w:rsid w:val="00435691"/>
    <w:rsid w:val="00436BA6"/>
    <w:rsid w:val="00440081"/>
    <w:rsid w:val="00440708"/>
    <w:rsid w:val="004408FA"/>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0E"/>
    <w:rsid w:val="00460276"/>
    <w:rsid w:val="00461271"/>
    <w:rsid w:val="00462182"/>
    <w:rsid w:val="0046344C"/>
    <w:rsid w:val="00463FB7"/>
    <w:rsid w:val="00464386"/>
    <w:rsid w:val="00464A20"/>
    <w:rsid w:val="00465C8C"/>
    <w:rsid w:val="00466162"/>
    <w:rsid w:val="00466383"/>
    <w:rsid w:val="00466729"/>
    <w:rsid w:val="00467221"/>
    <w:rsid w:val="00467C3F"/>
    <w:rsid w:val="00470935"/>
    <w:rsid w:val="00473866"/>
    <w:rsid w:val="00473D02"/>
    <w:rsid w:val="0047595D"/>
    <w:rsid w:val="004817D8"/>
    <w:rsid w:val="004837C4"/>
    <w:rsid w:val="00483F31"/>
    <w:rsid w:val="0048444E"/>
    <w:rsid w:val="004860CD"/>
    <w:rsid w:val="0048623B"/>
    <w:rsid w:val="004867AC"/>
    <w:rsid w:val="00486885"/>
    <w:rsid w:val="0048725A"/>
    <w:rsid w:val="00490A79"/>
    <w:rsid w:val="00490B20"/>
    <w:rsid w:val="0049189B"/>
    <w:rsid w:val="004918A2"/>
    <w:rsid w:val="0049243A"/>
    <w:rsid w:val="00492C69"/>
    <w:rsid w:val="00493CD7"/>
    <w:rsid w:val="0049468E"/>
    <w:rsid w:val="00494D80"/>
    <w:rsid w:val="00496685"/>
    <w:rsid w:val="0049687E"/>
    <w:rsid w:val="00497D3A"/>
    <w:rsid w:val="00497EC2"/>
    <w:rsid w:val="004A1511"/>
    <w:rsid w:val="004A2141"/>
    <w:rsid w:val="004A2A29"/>
    <w:rsid w:val="004A4A1B"/>
    <w:rsid w:val="004A55DE"/>
    <w:rsid w:val="004A5BA1"/>
    <w:rsid w:val="004A5EE0"/>
    <w:rsid w:val="004A6968"/>
    <w:rsid w:val="004B0E5F"/>
    <w:rsid w:val="004B2B31"/>
    <w:rsid w:val="004B33C3"/>
    <w:rsid w:val="004B4FB3"/>
    <w:rsid w:val="004B56FE"/>
    <w:rsid w:val="004B61A1"/>
    <w:rsid w:val="004B6712"/>
    <w:rsid w:val="004B6821"/>
    <w:rsid w:val="004C0CD7"/>
    <w:rsid w:val="004C26D9"/>
    <w:rsid w:val="004C4956"/>
    <w:rsid w:val="004C6027"/>
    <w:rsid w:val="004D1742"/>
    <w:rsid w:val="004D293E"/>
    <w:rsid w:val="004D3166"/>
    <w:rsid w:val="004D3726"/>
    <w:rsid w:val="004D5169"/>
    <w:rsid w:val="004D5D23"/>
    <w:rsid w:val="004D7620"/>
    <w:rsid w:val="004D7673"/>
    <w:rsid w:val="004E05B0"/>
    <w:rsid w:val="004E08EB"/>
    <w:rsid w:val="004E0B0B"/>
    <w:rsid w:val="004E1CE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657"/>
    <w:rsid w:val="004F3C36"/>
    <w:rsid w:val="004F5EB1"/>
    <w:rsid w:val="005008EA"/>
    <w:rsid w:val="0050093A"/>
    <w:rsid w:val="00500F62"/>
    <w:rsid w:val="005052C3"/>
    <w:rsid w:val="005058E5"/>
    <w:rsid w:val="00505F30"/>
    <w:rsid w:val="005074C0"/>
    <w:rsid w:val="0050750C"/>
    <w:rsid w:val="00512E81"/>
    <w:rsid w:val="00514AB9"/>
    <w:rsid w:val="0051500E"/>
    <w:rsid w:val="0051562F"/>
    <w:rsid w:val="00521340"/>
    <w:rsid w:val="00523062"/>
    <w:rsid w:val="00523996"/>
    <w:rsid w:val="00524245"/>
    <w:rsid w:val="005263F5"/>
    <w:rsid w:val="0053185B"/>
    <w:rsid w:val="0053232A"/>
    <w:rsid w:val="00532A25"/>
    <w:rsid w:val="00533AF0"/>
    <w:rsid w:val="00533CC2"/>
    <w:rsid w:val="005340E0"/>
    <w:rsid w:val="00535088"/>
    <w:rsid w:val="00535B44"/>
    <w:rsid w:val="00537287"/>
    <w:rsid w:val="005372B0"/>
    <w:rsid w:val="005412DE"/>
    <w:rsid w:val="005417C0"/>
    <w:rsid w:val="00541CEE"/>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5B75"/>
    <w:rsid w:val="005675ED"/>
    <w:rsid w:val="00567B7F"/>
    <w:rsid w:val="0057120A"/>
    <w:rsid w:val="00573219"/>
    <w:rsid w:val="0057340A"/>
    <w:rsid w:val="00573632"/>
    <w:rsid w:val="0057489B"/>
    <w:rsid w:val="00575734"/>
    <w:rsid w:val="00575CB6"/>
    <w:rsid w:val="00575D3F"/>
    <w:rsid w:val="00580934"/>
    <w:rsid w:val="00581D89"/>
    <w:rsid w:val="00581EEA"/>
    <w:rsid w:val="00582E14"/>
    <w:rsid w:val="0058779C"/>
    <w:rsid w:val="00587E07"/>
    <w:rsid w:val="00590A2B"/>
    <w:rsid w:val="005918D0"/>
    <w:rsid w:val="00592ADF"/>
    <w:rsid w:val="00596090"/>
    <w:rsid w:val="00596C7A"/>
    <w:rsid w:val="0059703B"/>
    <w:rsid w:val="00597364"/>
    <w:rsid w:val="005A01DF"/>
    <w:rsid w:val="005A0375"/>
    <w:rsid w:val="005A2145"/>
    <w:rsid w:val="005A32EA"/>
    <w:rsid w:val="005A36DB"/>
    <w:rsid w:val="005A44A1"/>
    <w:rsid w:val="005A468E"/>
    <w:rsid w:val="005A48D9"/>
    <w:rsid w:val="005A4EA9"/>
    <w:rsid w:val="005A4FAD"/>
    <w:rsid w:val="005A54C3"/>
    <w:rsid w:val="005A69A2"/>
    <w:rsid w:val="005A773F"/>
    <w:rsid w:val="005A78D4"/>
    <w:rsid w:val="005A7CF0"/>
    <w:rsid w:val="005A7F3D"/>
    <w:rsid w:val="005B02C2"/>
    <w:rsid w:val="005B04D9"/>
    <w:rsid w:val="005B0B09"/>
    <w:rsid w:val="005B262D"/>
    <w:rsid w:val="005B562B"/>
    <w:rsid w:val="005B57DF"/>
    <w:rsid w:val="005B5D90"/>
    <w:rsid w:val="005B6208"/>
    <w:rsid w:val="005B62D8"/>
    <w:rsid w:val="005B6FB4"/>
    <w:rsid w:val="005C0016"/>
    <w:rsid w:val="005C0E01"/>
    <w:rsid w:val="005C13D2"/>
    <w:rsid w:val="005C31B9"/>
    <w:rsid w:val="005C323E"/>
    <w:rsid w:val="005C3A6F"/>
    <w:rsid w:val="005C3E3D"/>
    <w:rsid w:val="005C6612"/>
    <w:rsid w:val="005C7514"/>
    <w:rsid w:val="005C7584"/>
    <w:rsid w:val="005D03BE"/>
    <w:rsid w:val="005D1016"/>
    <w:rsid w:val="005D1107"/>
    <w:rsid w:val="005D27CA"/>
    <w:rsid w:val="005D2DC1"/>
    <w:rsid w:val="005D2F03"/>
    <w:rsid w:val="005D3DDF"/>
    <w:rsid w:val="005D3DEB"/>
    <w:rsid w:val="005D5F54"/>
    <w:rsid w:val="005D6055"/>
    <w:rsid w:val="005D7B21"/>
    <w:rsid w:val="005E13DB"/>
    <w:rsid w:val="005E2BC4"/>
    <w:rsid w:val="005E2C73"/>
    <w:rsid w:val="005E2CA7"/>
    <w:rsid w:val="005E46F5"/>
    <w:rsid w:val="005E54D4"/>
    <w:rsid w:val="005E56B3"/>
    <w:rsid w:val="005E5CA9"/>
    <w:rsid w:val="005E66D7"/>
    <w:rsid w:val="005E6F37"/>
    <w:rsid w:val="005E76AC"/>
    <w:rsid w:val="005E787A"/>
    <w:rsid w:val="005F03D9"/>
    <w:rsid w:val="005F11DF"/>
    <w:rsid w:val="005F180C"/>
    <w:rsid w:val="005F30E8"/>
    <w:rsid w:val="005F38CE"/>
    <w:rsid w:val="005F3938"/>
    <w:rsid w:val="005F5194"/>
    <w:rsid w:val="005F57DE"/>
    <w:rsid w:val="005F5C0C"/>
    <w:rsid w:val="005F6342"/>
    <w:rsid w:val="005F7248"/>
    <w:rsid w:val="006022F5"/>
    <w:rsid w:val="00603055"/>
    <w:rsid w:val="0060460B"/>
    <w:rsid w:val="00604D6B"/>
    <w:rsid w:val="00605A75"/>
    <w:rsid w:val="00606198"/>
    <w:rsid w:val="006064F1"/>
    <w:rsid w:val="006068E6"/>
    <w:rsid w:val="0061020A"/>
    <w:rsid w:val="00611631"/>
    <w:rsid w:val="006117BD"/>
    <w:rsid w:val="00612EEC"/>
    <w:rsid w:val="00613ABF"/>
    <w:rsid w:val="0061492E"/>
    <w:rsid w:val="00616361"/>
    <w:rsid w:val="00616FE0"/>
    <w:rsid w:val="006209D4"/>
    <w:rsid w:val="0062167D"/>
    <w:rsid w:val="0062226F"/>
    <w:rsid w:val="006229CE"/>
    <w:rsid w:val="00622B62"/>
    <w:rsid w:val="00624526"/>
    <w:rsid w:val="00625D16"/>
    <w:rsid w:val="0063049B"/>
    <w:rsid w:val="00631944"/>
    <w:rsid w:val="00632742"/>
    <w:rsid w:val="00632F9F"/>
    <w:rsid w:val="00633B96"/>
    <w:rsid w:val="006348FC"/>
    <w:rsid w:val="00635311"/>
    <w:rsid w:val="0063584E"/>
    <w:rsid w:val="00635D1F"/>
    <w:rsid w:val="006369BB"/>
    <w:rsid w:val="00636CFA"/>
    <w:rsid w:val="00640968"/>
    <w:rsid w:val="00643C92"/>
    <w:rsid w:val="00645232"/>
    <w:rsid w:val="00645D3B"/>
    <w:rsid w:val="00646F28"/>
    <w:rsid w:val="00647CC1"/>
    <w:rsid w:val="0065008F"/>
    <w:rsid w:val="0065059C"/>
    <w:rsid w:val="00651521"/>
    <w:rsid w:val="006548EC"/>
    <w:rsid w:val="006571A4"/>
    <w:rsid w:val="006574D0"/>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2C8E"/>
    <w:rsid w:val="00674037"/>
    <w:rsid w:val="006746A7"/>
    <w:rsid w:val="00674BD0"/>
    <w:rsid w:val="00675C1E"/>
    <w:rsid w:val="00675E97"/>
    <w:rsid w:val="00677477"/>
    <w:rsid w:val="00680646"/>
    <w:rsid w:val="00680A7D"/>
    <w:rsid w:val="006832D1"/>
    <w:rsid w:val="0068355E"/>
    <w:rsid w:val="00684D58"/>
    <w:rsid w:val="00685217"/>
    <w:rsid w:val="006859F8"/>
    <w:rsid w:val="0068745E"/>
    <w:rsid w:val="00691137"/>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14F"/>
    <w:rsid w:val="006B2AC5"/>
    <w:rsid w:val="006B4C31"/>
    <w:rsid w:val="006B66CF"/>
    <w:rsid w:val="006B72E8"/>
    <w:rsid w:val="006C02DA"/>
    <w:rsid w:val="006C0C3F"/>
    <w:rsid w:val="006C1DEB"/>
    <w:rsid w:val="006C1E1B"/>
    <w:rsid w:val="006C2203"/>
    <w:rsid w:val="006C2FBD"/>
    <w:rsid w:val="006C4352"/>
    <w:rsid w:val="006C447C"/>
    <w:rsid w:val="006C4BB4"/>
    <w:rsid w:val="006C4CD6"/>
    <w:rsid w:val="006C5DDA"/>
    <w:rsid w:val="006C6383"/>
    <w:rsid w:val="006C7D2C"/>
    <w:rsid w:val="006D0595"/>
    <w:rsid w:val="006D0E36"/>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2E65"/>
    <w:rsid w:val="006E3874"/>
    <w:rsid w:val="006E4D1D"/>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2A84"/>
    <w:rsid w:val="00704475"/>
    <w:rsid w:val="00704719"/>
    <w:rsid w:val="00704CF9"/>
    <w:rsid w:val="007057C6"/>
    <w:rsid w:val="00710438"/>
    <w:rsid w:val="00711CBA"/>
    <w:rsid w:val="00712D42"/>
    <w:rsid w:val="0071307F"/>
    <w:rsid w:val="00715A1D"/>
    <w:rsid w:val="007161F7"/>
    <w:rsid w:val="0071646B"/>
    <w:rsid w:val="00716751"/>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889"/>
    <w:rsid w:val="00725AE5"/>
    <w:rsid w:val="0072759C"/>
    <w:rsid w:val="007300E7"/>
    <w:rsid w:val="007302E4"/>
    <w:rsid w:val="00731D88"/>
    <w:rsid w:val="0073299A"/>
    <w:rsid w:val="00732D35"/>
    <w:rsid w:val="00732DD2"/>
    <w:rsid w:val="007351C5"/>
    <w:rsid w:val="00735DC2"/>
    <w:rsid w:val="0073669F"/>
    <w:rsid w:val="00736732"/>
    <w:rsid w:val="00736968"/>
    <w:rsid w:val="00737C3B"/>
    <w:rsid w:val="00737E39"/>
    <w:rsid w:val="00740008"/>
    <w:rsid w:val="007412E0"/>
    <w:rsid w:val="00741D09"/>
    <w:rsid w:val="00742C07"/>
    <w:rsid w:val="007439E1"/>
    <w:rsid w:val="00747837"/>
    <w:rsid w:val="00747947"/>
    <w:rsid w:val="007501F5"/>
    <w:rsid w:val="00750430"/>
    <w:rsid w:val="00750CF6"/>
    <w:rsid w:val="00750E14"/>
    <w:rsid w:val="007515B9"/>
    <w:rsid w:val="00752914"/>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C11"/>
    <w:rsid w:val="00782EDA"/>
    <w:rsid w:val="00783840"/>
    <w:rsid w:val="007848A9"/>
    <w:rsid w:val="00784F97"/>
    <w:rsid w:val="00785E98"/>
    <w:rsid w:val="00786563"/>
    <w:rsid w:val="007871F8"/>
    <w:rsid w:val="00787273"/>
    <w:rsid w:val="00787A27"/>
    <w:rsid w:val="0079188E"/>
    <w:rsid w:val="0079330B"/>
    <w:rsid w:val="007933B5"/>
    <w:rsid w:val="00793510"/>
    <w:rsid w:val="00793AAD"/>
    <w:rsid w:val="00793E88"/>
    <w:rsid w:val="00794193"/>
    <w:rsid w:val="00797B77"/>
    <w:rsid w:val="007A0F57"/>
    <w:rsid w:val="007A1CA8"/>
    <w:rsid w:val="007A2C90"/>
    <w:rsid w:val="007A484D"/>
    <w:rsid w:val="007A5531"/>
    <w:rsid w:val="007A5D3B"/>
    <w:rsid w:val="007A6334"/>
    <w:rsid w:val="007A687B"/>
    <w:rsid w:val="007B022F"/>
    <w:rsid w:val="007B07C5"/>
    <w:rsid w:val="007B0B50"/>
    <w:rsid w:val="007B14AC"/>
    <w:rsid w:val="007B25E9"/>
    <w:rsid w:val="007B371D"/>
    <w:rsid w:val="007B49E7"/>
    <w:rsid w:val="007B6527"/>
    <w:rsid w:val="007B668A"/>
    <w:rsid w:val="007B7661"/>
    <w:rsid w:val="007B7B9D"/>
    <w:rsid w:val="007C185E"/>
    <w:rsid w:val="007C2427"/>
    <w:rsid w:val="007C541B"/>
    <w:rsid w:val="007C657F"/>
    <w:rsid w:val="007C710D"/>
    <w:rsid w:val="007C794C"/>
    <w:rsid w:val="007C7C92"/>
    <w:rsid w:val="007C7FA8"/>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E26"/>
    <w:rsid w:val="007F73F8"/>
    <w:rsid w:val="008015F2"/>
    <w:rsid w:val="00802E6B"/>
    <w:rsid w:val="00805A7A"/>
    <w:rsid w:val="008060A4"/>
    <w:rsid w:val="008069DF"/>
    <w:rsid w:val="00806B0C"/>
    <w:rsid w:val="008118D1"/>
    <w:rsid w:val="008124CA"/>
    <w:rsid w:val="00813328"/>
    <w:rsid w:val="00815776"/>
    <w:rsid w:val="00815CBB"/>
    <w:rsid w:val="00816868"/>
    <w:rsid w:val="00816C67"/>
    <w:rsid w:val="0081756B"/>
    <w:rsid w:val="00817D61"/>
    <w:rsid w:val="00820FDF"/>
    <w:rsid w:val="008217D5"/>
    <w:rsid w:val="00821C7A"/>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5C11"/>
    <w:rsid w:val="008479C4"/>
    <w:rsid w:val="00850EEF"/>
    <w:rsid w:val="00851132"/>
    <w:rsid w:val="008529BE"/>
    <w:rsid w:val="00853E97"/>
    <w:rsid w:val="0085466B"/>
    <w:rsid w:val="00854DA0"/>
    <w:rsid w:val="0085547F"/>
    <w:rsid w:val="00856A0F"/>
    <w:rsid w:val="00856DE8"/>
    <w:rsid w:val="008578C6"/>
    <w:rsid w:val="00860274"/>
    <w:rsid w:val="008612D9"/>
    <w:rsid w:val="008633B3"/>
    <w:rsid w:val="008637B3"/>
    <w:rsid w:val="008639F4"/>
    <w:rsid w:val="00863CA3"/>
    <w:rsid w:val="0086451D"/>
    <w:rsid w:val="008649E8"/>
    <w:rsid w:val="008653B6"/>
    <w:rsid w:val="008656D3"/>
    <w:rsid w:val="00866F1E"/>
    <w:rsid w:val="008679B5"/>
    <w:rsid w:val="00867B3D"/>
    <w:rsid w:val="00867DF1"/>
    <w:rsid w:val="0087126C"/>
    <w:rsid w:val="008712F5"/>
    <w:rsid w:val="0087161E"/>
    <w:rsid w:val="0087254F"/>
    <w:rsid w:val="008739E4"/>
    <w:rsid w:val="00874F01"/>
    <w:rsid w:val="00875F19"/>
    <w:rsid w:val="008760C1"/>
    <w:rsid w:val="00877203"/>
    <w:rsid w:val="008775C4"/>
    <w:rsid w:val="00880A23"/>
    <w:rsid w:val="00881994"/>
    <w:rsid w:val="00884387"/>
    <w:rsid w:val="0088446C"/>
    <w:rsid w:val="00885D06"/>
    <w:rsid w:val="00887ED6"/>
    <w:rsid w:val="00890768"/>
    <w:rsid w:val="008909EB"/>
    <w:rsid w:val="00890E38"/>
    <w:rsid w:val="00890FFD"/>
    <w:rsid w:val="00891077"/>
    <w:rsid w:val="008912D2"/>
    <w:rsid w:val="008919B6"/>
    <w:rsid w:val="00891B73"/>
    <w:rsid w:val="00892539"/>
    <w:rsid w:val="008929D1"/>
    <w:rsid w:val="00893686"/>
    <w:rsid w:val="00893C1C"/>
    <w:rsid w:val="00893EAD"/>
    <w:rsid w:val="008946E5"/>
    <w:rsid w:val="00895207"/>
    <w:rsid w:val="00895EAA"/>
    <w:rsid w:val="00896B78"/>
    <w:rsid w:val="008971A5"/>
    <w:rsid w:val="008974F0"/>
    <w:rsid w:val="008A0573"/>
    <w:rsid w:val="008A09FC"/>
    <w:rsid w:val="008A1381"/>
    <w:rsid w:val="008A2AD9"/>
    <w:rsid w:val="008A35A8"/>
    <w:rsid w:val="008A3661"/>
    <w:rsid w:val="008A3985"/>
    <w:rsid w:val="008A439E"/>
    <w:rsid w:val="008A5875"/>
    <w:rsid w:val="008A72CD"/>
    <w:rsid w:val="008B042D"/>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8A1"/>
    <w:rsid w:val="008C4989"/>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975"/>
    <w:rsid w:val="008F5A60"/>
    <w:rsid w:val="008F5A81"/>
    <w:rsid w:val="008F64EF"/>
    <w:rsid w:val="008F66BE"/>
    <w:rsid w:val="008F6F17"/>
    <w:rsid w:val="008F72CB"/>
    <w:rsid w:val="008F7443"/>
    <w:rsid w:val="00902665"/>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2190"/>
    <w:rsid w:val="00953530"/>
    <w:rsid w:val="0095439F"/>
    <w:rsid w:val="009557EC"/>
    <w:rsid w:val="0095719B"/>
    <w:rsid w:val="00957924"/>
    <w:rsid w:val="00960713"/>
    <w:rsid w:val="00961ADB"/>
    <w:rsid w:val="00961EB9"/>
    <w:rsid w:val="0096205A"/>
    <w:rsid w:val="009624AD"/>
    <w:rsid w:val="009625B1"/>
    <w:rsid w:val="00962E95"/>
    <w:rsid w:val="00963CD2"/>
    <w:rsid w:val="009646E3"/>
    <w:rsid w:val="00965EA7"/>
    <w:rsid w:val="00966D3F"/>
    <w:rsid w:val="00970582"/>
    <w:rsid w:val="00970A20"/>
    <w:rsid w:val="00971A33"/>
    <w:rsid w:val="00972118"/>
    <w:rsid w:val="00972B83"/>
    <w:rsid w:val="00973267"/>
    <w:rsid w:val="00973FFF"/>
    <w:rsid w:val="00974119"/>
    <w:rsid w:val="0097427B"/>
    <w:rsid w:val="009750E4"/>
    <w:rsid w:val="009755AC"/>
    <w:rsid w:val="00975B29"/>
    <w:rsid w:val="00975F56"/>
    <w:rsid w:val="00976485"/>
    <w:rsid w:val="00977CF0"/>
    <w:rsid w:val="00981DB0"/>
    <w:rsid w:val="00982DC5"/>
    <w:rsid w:val="00983C28"/>
    <w:rsid w:val="009847D6"/>
    <w:rsid w:val="00986141"/>
    <w:rsid w:val="009863D2"/>
    <w:rsid w:val="009872A7"/>
    <w:rsid w:val="00990126"/>
    <w:rsid w:val="0099013A"/>
    <w:rsid w:val="00994378"/>
    <w:rsid w:val="009A0091"/>
    <w:rsid w:val="009A0153"/>
    <w:rsid w:val="009A06AC"/>
    <w:rsid w:val="009A0936"/>
    <w:rsid w:val="009A1096"/>
    <w:rsid w:val="009A1727"/>
    <w:rsid w:val="009A3677"/>
    <w:rsid w:val="009A445B"/>
    <w:rsid w:val="009A6A6C"/>
    <w:rsid w:val="009A7073"/>
    <w:rsid w:val="009B00E7"/>
    <w:rsid w:val="009B0329"/>
    <w:rsid w:val="009B1F80"/>
    <w:rsid w:val="009B631D"/>
    <w:rsid w:val="009C0590"/>
    <w:rsid w:val="009C09C5"/>
    <w:rsid w:val="009C3DD7"/>
    <w:rsid w:val="009C4F0E"/>
    <w:rsid w:val="009C5C65"/>
    <w:rsid w:val="009C629F"/>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4600"/>
    <w:rsid w:val="009F5D06"/>
    <w:rsid w:val="009F66FC"/>
    <w:rsid w:val="009F680C"/>
    <w:rsid w:val="009F7953"/>
    <w:rsid w:val="009F79D1"/>
    <w:rsid w:val="009F7C5D"/>
    <w:rsid w:val="00A03547"/>
    <w:rsid w:val="00A04A27"/>
    <w:rsid w:val="00A05599"/>
    <w:rsid w:val="00A06451"/>
    <w:rsid w:val="00A118D3"/>
    <w:rsid w:val="00A12BF6"/>
    <w:rsid w:val="00A15A5D"/>
    <w:rsid w:val="00A200B4"/>
    <w:rsid w:val="00A202B2"/>
    <w:rsid w:val="00A209BC"/>
    <w:rsid w:val="00A2107A"/>
    <w:rsid w:val="00A22169"/>
    <w:rsid w:val="00A22786"/>
    <w:rsid w:val="00A26230"/>
    <w:rsid w:val="00A300E7"/>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1293"/>
    <w:rsid w:val="00A51714"/>
    <w:rsid w:val="00A52757"/>
    <w:rsid w:val="00A53549"/>
    <w:rsid w:val="00A552F9"/>
    <w:rsid w:val="00A56C2B"/>
    <w:rsid w:val="00A577A4"/>
    <w:rsid w:val="00A57B14"/>
    <w:rsid w:val="00A62F57"/>
    <w:rsid w:val="00A6371E"/>
    <w:rsid w:val="00A65B34"/>
    <w:rsid w:val="00A6648C"/>
    <w:rsid w:val="00A668A6"/>
    <w:rsid w:val="00A67B7C"/>
    <w:rsid w:val="00A71F62"/>
    <w:rsid w:val="00A7225A"/>
    <w:rsid w:val="00A7359E"/>
    <w:rsid w:val="00A74F5E"/>
    <w:rsid w:val="00A75139"/>
    <w:rsid w:val="00A75609"/>
    <w:rsid w:val="00A7629B"/>
    <w:rsid w:val="00A80113"/>
    <w:rsid w:val="00A814F9"/>
    <w:rsid w:val="00A820A1"/>
    <w:rsid w:val="00A820F6"/>
    <w:rsid w:val="00A83A67"/>
    <w:rsid w:val="00A847CD"/>
    <w:rsid w:val="00A866FB"/>
    <w:rsid w:val="00A8729F"/>
    <w:rsid w:val="00A900C5"/>
    <w:rsid w:val="00A90992"/>
    <w:rsid w:val="00A90D5C"/>
    <w:rsid w:val="00A941AE"/>
    <w:rsid w:val="00A951C7"/>
    <w:rsid w:val="00A96FEE"/>
    <w:rsid w:val="00A972DB"/>
    <w:rsid w:val="00AA0945"/>
    <w:rsid w:val="00AA2038"/>
    <w:rsid w:val="00AA30F4"/>
    <w:rsid w:val="00AA58CC"/>
    <w:rsid w:val="00AA646C"/>
    <w:rsid w:val="00AA66A1"/>
    <w:rsid w:val="00AA7DF0"/>
    <w:rsid w:val="00AB1360"/>
    <w:rsid w:val="00AB2BEA"/>
    <w:rsid w:val="00AB2E19"/>
    <w:rsid w:val="00AB33D9"/>
    <w:rsid w:val="00AB3F2E"/>
    <w:rsid w:val="00AB433E"/>
    <w:rsid w:val="00AC0DAA"/>
    <w:rsid w:val="00AC1F75"/>
    <w:rsid w:val="00AC30AD"/>
    <w:rsid w:val="00AC3416"/>
    <w:rsid w:val="00AC478B"/>
    <w:rsid w:val="00AC4BEE"/>
    <w:rsid w:val="00AC4D11"/>
    <w:rsid w:val="00AC5F87"/>
    <w:rsid w:val="00AD0048"/>
    <w:rsid w:val="00AD0100"/>
    <w:rsid w:val="00AD04E2"/>
    <w:rsid w:val="00AD2BA9"/>
    <w:rsid w:val="00AD43BB"/>
    <w:rsid w:val="00AD4D2B"/>
    <w:rsid w:val="00AE3446"/>
    <w:rsid w:val="00AE43D8"/>
    <w:rsid w:val="00AE445D"/>
    <w:rsid w:val="00AE494A"/>
    <w:rsid w:val="00AE5085"/>
    <w:rsid w:val="00AE57F3"/>
    <w:rsid w:val="00AE64AE"/>
    <w:rsid w:val="00AE668C"/>
    <w:rsid w:val="00AE73B7"/>
    <w:rsid w:val="00AF00A2"/>
    <w:rsid w:val="00AF0C81"/>
    <w:rsid w:val="00AF0CD8"/>
    <w:rsid w:val="00AF0E3C"/>
    <w:rsid w:val="00AF1935"/>
    <w:rsid w:val="00AF2D0D"/>
    <w:rsid w:val="00AF2E28"/>
    <w:rsid w:val="00AF35FD"/>
    <w:rsid w:val="00AF4B9D"/>
    <w:rsid w:val="00AF4F02"/>
    <w:rsid w:val="00AF5A86"/>
    <w:rsid w:val="00AF7BA8"/>
    <w:rsid w:val="00AF7F18"/>
    <w:rsid w:val="00B0022B"/>
    <w:rsid w:val="00B0357D"/>
    <w:rsid w:val="00B047CD"/>
    <w:rsid w:val="00B04825"/>
    <w:rsid w:val="00B06D58"/>
    <w:rsid w:val="00B06F7C"/>
    <w:rsid w:val="00B07B01"/>
    <w:rsid w:val="00B07E27"/>
    <w:rsid w:val="00B115A8"/>
    <w:rsid w:val="00B13609"/>
    <w:rsid w:val="00B13EF3"/>
    <w:rsid w:val="00B1551C"/>
    <w:rsid w:val="00B15AEF"/>
    <w:rsid w:val="00B15DBA"/>
    <w:rsid w:val="00B167A6"/>
    <w:rsid w:val="00B16F32"/>
    <w:rsid w:val="00B17DC7"/>
    <w:rsid w:val="00B206EA"/>
    <w:rsid w:val="00B20EF5"/>
    <w:rsid w:val="00B21044"/>
    <w:rsid w:val="00B214D0"/>
    <w:rsid w:val="00B22485"/>
    <w:rsid w:val="00B2313E"/>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43D6"/>
    <w:rsid w:val="00B44823"/>
    <w:rsid w:val="00B45163"/>
    <w:rsid w:val="00B45446"/>
    <w:rsid w:val="00B45DBB"/>
    <w:rsid w:val="00B469D3"/>
    <w:rsid w:val="00B46AFB"/>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970"/>
    <w:rsid w:val="00B700AE"/>
    <w:rsid w:val="00B711AA"/>
    <w:rsid w:val="00B72038"/>
    <w:rsid w:val="00B732EA"/>
    <w:rsid w:val="00B73D93"/>
    <w:rsid w:val="00B768BD"/>
    <w:rsid w:val="00B77C4E"/>
    <w:rsid w:val="00B77CAF"/>
    <w:rsid w:val="00B81AB5"/>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07B"/>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549C"/>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34D4"/>
    <w:rsid w:val="00BF4B77"/>
    <w:rsid w:val="00BF7013"/>
    <w:rsid w:val="00C007F3"/>
    <w:rsid w:val="00C03769"/>
    <w:rsid w:val="00C037C9"/>
    <w:rsid w:val="00C05852"/>
    <w:rsid w:val="00C062DF"/>
    <w:rsid w:val="00C11F87"/>
    <w:rsid w:val="00C123E1"/>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8D9"/>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29D6"/>
    <w:rsid w:val="00C740EC"/>
    <w:rsid w:val="00C741F6"/>
    <w:rsid w:val="00C74DCB"/>
    <w:rsid w:val="00C75EFC"/>
    <w:rsid w:val="00C776DF"/>
    <w:rsid w:val="00C82050"/>
    <w:rsid w:val="00C82398"/>
    <w:rsid w:val="00C852DD"/>
    <w:rsid w:val="00C85646"/>
    <w:rsid w:val="00C8590C"/>
    <w:rsid w:val="00C85A53"/>
    <w:rsid w:val="00C867F7"/>
    <w:rsid w:val="00C86885"/>
    <w:rsid w:val="00C868CC"/>
    <w:rsid w:val="00C86ABD"/>
    <w:rsid w:val="00C87881"/>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3C1B"/>
    <w:rsid w:val="00CB540B"/>
    <w:rsid w:val="00CB5689"/>
    <w:rsid w:val="00CB6B67"/>
    <w:rsid w:val="00CC00A0"/>
    <w:rsid w:val="00CC0693"/>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D0060F"/>
    <w:rsid w:val="00D013E2"/>
    <w:rsid w:val="00D01C6D"/>
    <w:rsid w:val="00D03289"/>
    <w:rsid w:val="00D0333E"/>
    <w:rsid w:val="00D03F91"/>
    <w:rsid w:val="00D05031"/>
    <w:rsid w:val="00D052E4"/>
    <w:rsid w:val="00D103F3"/>
    <w:rsid w:val="00D111B2"/>
    <w:rsid w:val="00D12738"/>
    <w:rsid w:val="00D12FB0"/>
    <w:rsid w:val="00D13246"/>
    <w:rsid w:val="00D143B5"/>
    <w:rsid w:val="00D15310"/>
    <w:rsid w:val="00D15CBA"/>
    <w:rsid w:val="00D15F33"/>
    <w:rsid w:val="00D161E7"/>
    <w:rsid w:val="00D16911"/>
    <w:rsid w:val="00D176A9"/>
    <w:rsid w:val="00D2031F"/>
    <w:rsid w:val="00D2155D"/>
    <w:rsid w:val="00D225B9"/>
    <w:rsid w:val="00D24E6E"/>
    <w:rsid w:val="00D25529"/>
    <w:rsid w:val="00D25E2C"/>
    <w:rsid w:val="00D26C25"/>
    <w:rsid w:val="00D27648"/>
    <w:rsid w:val="00D32C3A"/>
    <w:rsid w:val="00D3324D"/>
    <w:rsid w:val="00D3581A"/>
    <w:rsid w:val="00D3623B"/>
    <w:rsid w:val="00D36C6B"/>
    <w:rsid w:val="00D466F7"/>
    <w:rsid w:val="00D471E6"/>
    <w:rsid w:val="00D47D89"/>
    <w:rsid w:val="00D516DA"/>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E5B"/>
    <w:rsid w:val="00D6519F"/>
    <w:rsid w:val="00D6551B"/>
    <w:rsid w:val="00D65AEE"/>
    <w:rsid w:val="00D66077"/>
    <w:rsid w:val="00D66CD3"/>
    <w:rsid w:val="00D701FF"/>
    <w:rsid w:val="00D70253"/>
    <w:rsid w:val="00D71547"/>
    <w:rsid w:val="00D71859"/>
    <w:rsid w:val="00D7280A"/>
    <w:rsid w:val="00D733CD"/>
    <w:rsid w:val="00D7343C"/>
    <w:rsid w:val="00D73F14"/>
    <w:rsid w:val="00D766CC"/>
    <w:rsid w:val="00D76DA6"/>
    <w:rsid w:val="00D77151"/>
    <w:rsid w:val="00D773C9"/>
    <w:rsid w:val="00D777DF"/>
    <w:rsid w:val="00D81F70"/>
    <w:rsid w:val="00D8291E"/>
    <w:rsid w:val="00D845B7"/>
    <w:rsid w:val="00D84D2A"/>
    <w:rsid w:val="00D8522A"/>
    <w:rsid w:val="00D85BE1"/>
    <w:rsid w:val="00D85EA0"/>
    <w:rsid w:val="00D87993"/>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354"/>
    <w:rsid w:val="00DA6DF6"/>
    <w:rsid w:val="00DB14A3"/>
    <w:rsid w:val="00DB1504"/>
    <w:rsid w:val="00DB1F75"/>
    <w:rsid w:val="00DB2DDB"/>
    <w:rsid w:val="00DB33BF"/>
    <w:rsid w:val="00DB386F"/>
    <w:rsid w:val="00DB3BD1"/>
    <w:rsid w:val="00DB3C60"/>
    <w:rsid w:val="00DB3EB8"/>
    <w:rsid w:val="00DB4844"/>
    <w:rsid w:val="00DB4CA4"/>
    <w:rsid w:val="00DB5C9A"/>
    <w:rsid w:val="00DB5CE3"/>
    <w:rsid w:val="00DB6276"/>
    <w:rsid w:val="00DB7002"/>
    <w:rsid w:val="00DB7C30"/>
    <w:rsid w:val="00DB7CDE"/>
    <w:rsid w:val="00DC020D"/>
    <w:rsid w:val="00DC0848"/>
    <w:rsid w:val="00DC0B89"/>
    <w:rsid w:val="00DC0D12"/>
    <w:rsid w:val="00DC0FB5"/>
    <w:rsid w:val="00DC121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2FE"/>
    <w:rsid w:val="00DF16E4"/>
    <w:rsid w:val="00DF25CB"/>
    <w:rsid w:val="00DF3884"/>
    <w:rsid w:val="00DF49A0"/>
    <w:rsid w:val="00DF6D6A"/>
    <w:rsid w:val="00DF7D61"/>
    <w:rsid w:val="00E00662"/>
    <w:rsid w:val="00E0093E"/>
    <w:rsid w:val="00E033F1"/>
    <w:rsid w:val="00E03D1E"/>
    <w:rsid w:val="00E049A5"/>
    <w:rsid w:val="00E04A47"/>
    <w:rsid w:val="00E06D99"/>
    <w:rsid w:val="00E06E55"/>
    <w:rsid w:val="00E10AE2"/>
    <w:rsid w:val="00E12406"/>
    <w:rsid w:val="00E12E32"/>
    <w:rsid w:val="00E1344F"/>
    <w:rsid w:val="00E13F7C"/>
    <w:rsid w:val="00E151A3"/>
    <w:rsid w:val="00E15471"/>
    <w:rsid w:val="00E1616C"/>
    <w:rsid w:val="00E1658C"/>
    <w:rsid w:val="00E16ECE"/>
    <w:rsid w:val="00E2019C"/>
    <w:rsid w:val="00E21054"/>
    <w:rsid w:val="00E21653"/>
    <w:rsid w:val="00E21E84"/>
    <w:rsid w:val="00E230A8"/>
    <w:rsid w:val="00E24913"/>
    <w:rsid w:val="00E249A7"/>
    <w:rsid w:val="00E25516"/>
    <w:rsid w:val="00E26291"/>
    <w:rsid w:val="00E275B2"/>
    <w:rsid w:val="00E302A8"/>
    <w:rsid w:val="00E30857"/>
    <w:rsid w:val="00E30B48"/>
    <w:rsid w:val="00E328D0"/>
    <w:rsid w:val="00E32C09"/>
    <w:rsid w:val="00E36C66"/>
    <w:rsid w:val="00E40F39"/>
    <w:rsid w:val="00E41FA4"/>
    <w:rsid w:val="00E426D8"/>
    <w:rsid w:val="00E42AED"/>
    <w:rsid w:val="00E43DD8"/>
    <w:rsid w:val="00E4529C"/>
    <w:rsid w:val="00E478BD"/>
    <w:rsid w:val="00E47DB3"/>
    <w:rsid w:val="00E51DEB"/>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47C2"/>
    <w:rsid w:val="00E76D04"/>
    <w:rsid w:val="00E76FC0"/>
    <w:rsid w:val="00E807A8"/>
    <w:rsid w:val="00E81577"/>
    <w:rsid w:val="00E81593"/>
    <w:rsid w:val="00E81F35"/>
    <w:rsid w:val="00E82102"/>
    <w:rsid w:val="00E82853"/>
    <w:rsid w:val="00E82CB6"/>
    <w:rsid w:val="00E836BC"/>
    <w:rsid w:val="00E8394B"/>
    <w:rsid w:val="00E845BD"/>
    <w:rsid w:val="00E87792"/>
    <w:rsid w:val="00E87D40"/>
    <w:rsid w:val="00E91796"/>
    <w:rsid w:val="00E918E3"/>
    <w:rsid w:val="00E91CF5"/>
    <w:rsid w:val="00E91E31"/>
    <w:rsid w:val="00E9218D"/>
    <w:rsid w:val="00E943D7"/>
    <w:rsid w:val="00E954F3"/>
    <w:rsid w:val="00E96077"/>
    <w:rsid w:val="00E96EA5"/>
    <w:rsid w:val="00EA0D15"/>
    <w:rsid w:val="00EA14E3"/>
    <w:rsid w:val="00EA17C9"/>
    <w:rsid w:val="00EA288E"/>
    <w:rsid w:val="00EA28EC"/>
    <w:rsid w:val="00EA308A"/>
    <w:rsid w:val="00EA3732"/>
    <w:rsid w:val="00EA5A72"/>
    <w:rsid w:val="00EA74D1"/>
    <w:rsid w:val="00EA7A93"/>
    <w:rsid w:val="00EB02CE"/>
    <w:rsid w:val="00EB0A4A"/>
    <w:rsid w:val="00EB4E66"/>
    <w:rsid w:val="00EB6CC5"/>
    <w:rsid w:val="00EB73B3"/>
    <w:rsid w:val="00EB7464"/>
    <w:rsid w:val="00EC0DB9"/>
    <w:rsid w:val="00EC270F"/>
    <w:rsid w:val="00EC4F38"/>
    <w:rsid w:val="00EC5A1A"/>
    <w:rsid w:val="00ED0102"/>
    <w:rsid w:val="00ED1768"/>
    <w:rsid w:val="00ED3EEB"/>
    <w:rsid w:val="00ED599D"/>
    <w:rsid w:val="00ED6114"/>
    <w:rsid w:val="00ED65CD"/>
    <w:rsid w:val="00ED75B3"/>
    <w:rsid w:val="00EE11D3"/>
    <w:rsid w:val="00EE12A6"/>
    <w:rsid w:val="00EE1B01"/>
    <w:rsid w:val="00EE1E02"/>
    <w:rsid w:val="00EE4367"/>
    <w:rsid w:val="00EE4BF3"/>
    <w:rsid w:val="00EE4D1B"/>
    <w:rsid w:val="00EE60EA"/>
    <w:rsid w:val="00EE62D2"/>
    <w:rsid w:val="00EE6E55"/>
    <w:rsid w:val="00EE7425"/>
    <w:rsid w:val="00EF06C2"/>
    <w:rsid w:val="00EF1225"/>
    <w:rsid w:val="00EF4DA2"/>
    <w:rsid w:val="00EF53BB"/>
    <w:rsid w:val="00EF6960"/>
    <w:rsid w:val="00EF6E04"/>
    <w:rsid w:val="00EF6F8C"/>
    <w:rsid w:val="00F008FD"/>
    <w:rsid w:val="00F0136C"/>
    <w:rsid w:val="00F01566"/>
    <w:rsid w:val="00F02299"/>
    <w:rsid w:val="00F0301F"/>
    <w:rsid w:val="00F03152"/>
    <w:rsid w:val="00F048A3"/>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3947"/>
    <w:rsid w:val="00F3444E"/>
    <w:rsid w:val="00F348CB"/>
    <w:rsid w:val="00F36C1C"/>
    <w:rsid w:val="00F37174"/>
    <w:rsid w:val="00F37B25"/>
    <w:rsid w:val="00F43448"/>
    <w:rsid w:val="00F4399D"/>
    <w:rsid w:val="00F5023F"/>
    <w:rsid w:val="00F503EB"/>
    <w:rsid w:val="00F50714"/>
    <w:rsid w:val="00F50AAE"/>
    <w:rsid w:val="00F527A7"/>
    <w:rsid w:val="00F528AB"/>
    <w:rsid w:val="00F536C8"/>
    <w:rsid w:val="00F545D0"/>
    <w:rsid w:val="00F548B8"/>
    <w:rsid w:val="00F55564"/>
    <w:rsid w:val="00F560A8"/>
    <w:rsid w:val="00F5619B"/>
    <w:rsid w:val="00F5645F"/>
    <w:rsid w:val="00F56811"/>
    <w:rsid w:val="00F56F80"/>
    <w:rsid w:val="00F573F5"/>
    <w:rsid w:val="00F57687"/>
    <w:rsid w:val="00F57780"/>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87B87"/>
    <w:rsid w:val="00F9275D"/>
    <w:rsid w:val="00F92ED0"/>
    <w:rsid w:val="00F957D5"/>
    <w:rsid w:val="00F9635B"/>
    <w:rsid w:val="00FA02AF"/>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4AB"/>
    <w:rsid w:val="00FC4A5A"/>
    <w:rsid w:val="00FC4DA3"/>
    <w:rsid w:val="00FC5348"/>
    <w:rsid w:val="00FC5775"/>
    <w:rsid w:val="00FC693F"/>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2EA7"/>
    <w:rsid w:val="00FE301A"/>
    <w:rsid w:val="00FE3FF8"/>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semiHidden/>
    <w:rsid w:val="00BE675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9.emf"/><Relationship Id="rId18" Type="http://schemas.openxmlformats.org/officeDocument/2006/relationships/hyperlink" Target="http://www.hps.scot.nhs.uk/haiic/ic/nationalhandhygienecampaign.aspx" TargetMode="External"/><Relationship Id="rId26" Type="http://schemas.openxmlformats.org/officeDocument/2006/relationships/image" Target="media/image18.emf"/><Relationship Id="rId39" Type="http://schemas.openxmlformats.org/officeDocument/2006/relationships/image" Target="media/image22.emf"/><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www.washyourhandsofthem.com/" TargetMode="External"/><Relationship Id="rId25" Type="http://schemas.openxmlformats.org/officeDocument/2006/relationships/image" Target="media/image17.emf"/><Relationship Id="rId33" Type="http://schemas.openxmlformats.org/officeDocument/2006/relationships/header" Target="header1.xml"/><Relationship Id="rId38" Type="http://schemas.openxmlformats.org/officeDocument/2006/relationships/image" Target="media/image21.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2.png"/><Relationship Id="rId29" Type="http://schemas.openxmlformats.org/officeDocument/2006/relationships/hyperlink" Target="http://www.nhs24.com/content/default.asp?page=s5_4&amp;articleID=252&amp;sectionID=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emf"/><Relationship Id="rId24" Type="http://schemas.openxmlformats.org/officeDocument/2006/relationships/image" Target="media/image16.emf"/><Relationship Id="rId32" Type="http://schemas.openxmlformats.org/officeDocument/2006/relationships/footer" Target="footer1.xml"/><Relationship Id="rId37" Type="http://schemas.openxmlformats.org/officeDocument/2006/relationships/image" Target="media/image20.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5.emf"/><Relationship Id="rId28" Type="http://schemas.openxmlformats.org/officeDocument/2006/relationships/hyperlink" Target="http://www.nhs24.com/content/default.asp?page=s5_4&amp;articleID=346" TargetMode="External"/><Relationship Id="rId36" Type="http://schemas.openxmlformats.org/officeDocument/2006/relationships/image" Target="media/image19.emf"/><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11.png"/><Relationship Id="rId31" Type="http://schemas.openxmlformats.org/officeDocument/2006/relationships/hyperlink" Target="http://www.hfs.scot.nhs.uk/online-services/publications/hai/" TargetMode="Externa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4.emf"/><Relationship Id="rId27" Type="http://schemas.openxmlformats.org/officeDocument/2006/relationships/hyperlink" Target="http://www.nhs24.com/content/default.asp?page=s5_4&amp;articleID=2139&amp;sectionID=1" TargetMode="External"/><Relationship Id="rId30" Type="http://schemas.openxmlformats.org/officeDocument/2006/relationships/hyperlink" Target="http://www.scotland.gov.uk/About/Performance/scotPerforms/partnerstories/NHSScotlandperformance" TargetMode="External"/><Relationship Id="rId35" Type="http://schemas.openxmlformats.org/officeDocument/2006/relationships/header" Target="header3.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gi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charts/_rels/chart1.xml.rels><?xml version="1.0" encoding="UTF-8" standalone="yes"?>
<Relationships xmlns="http://schemas.openxmlformats.org/package/2006/relationships"><Relationship Id="rId1" Type="http://schemas.openxmlformats.org/officeDocument/2006/relationships/oleObject" Target="file:///\\nwtc-filesrv\InfectionControlPrivate$\PREVENTION%20AND%20CONTROL%20OF%20INFECTION\IC%20PATIENT%20INFORMATION%20DATABASE\IC%20DATABASE%202017-18\IC%20DATABASE%2017-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lgn="ctr">
              <a:defRPr sz="800" b="0" i="0" u="none" strike="noStrike" baseline="0">
                <a:solidFill>
                  <a:srgbClr val="000000"/>
                </a:solidFill>
                <a:latin typeface="+mn-lt"/>
                <a:ea typeface="Arial"/>
                <a:cs typeface="Arial"/>
              </a:defRPr>
            </a:pPr>
            <a:r>
              <a:rPr lang="en-GB" sz="1000" b="1" i="1" u="none" strike="noStrike" baseline="0">
                <a:solidFill>
                  <a:srgbClr val="000000"/>
                </a:solidFill>
                <a:latin typeface="+mn-lt"/>
                <a:cs typeface="Arial"/>
              </a:rPr>
              <a:t>S.aureus</a:t>
            </a:r>
            <a:r>
              <a:rPr lang="en-GB" sz="1000" b="1" i="0" u="none" strike="noStrike" baseline="0">
                <a:solidFill>
                  <a:srgbClr val="000000"/>
                </a:solidFill>
                <a:latin typeface="+mn-lt"/>
                <a:cs typeface="Arial"/>
              </a:rPr>
              <a:t>  BACTERAEMIA (SAB) BY AREA</a:t>
            </a:r>
          </a:p>
          <a:p>
            <a:pPr algn="ctr">
              <a:defRPr sz="800" b="0" i="0" u="none" strike="noStrike" baseline="0">
                <a:solidFill>
                  <a:srgbClr val="000000"/>
                </a:solidFill>
                <a:latin typeface="+mn-lt"/>
                <a:ea typeface="Arial"/>
                <a:cs typeface="Arial"/>
              </a:defRPr>
            </a:pPr>
            <a:r>
              <a:rPr lang="en-GB" sz="1000" b="1" i="0" u="none" strike="noStrike" baseline="0">
                <a:solidFill>
                  <a:srgbClr val="000000"/>
                </a:solidFill>
                <a:latin typeface="+mn-lt"/>
                <a:cs typeface="Arial"/>
              </a:rPr>
              <a:t>ROLLING YEAR Dec 16 -Dec 17 </a:t>
            </a:r>
          </a:p>
        </c:rich>
      </c:tx>
      <c:layout>
        <c:manualLayout>
          <c:xMode val="edge"/>
          <c:yMode val="edge"/>
          <c:x val="0.25835623488241038"/>
          <c:y val="3.5598705501618186E-2"/>
        </c:manualLayout>
      </c:layout>
      <c:spPr>
        <a:noFill/>
        <a:ln w="25400">
          <a:noFill/>
        </a:ln>
      </c:spPr>
    </c:title>
    <c:plotArea>
      <c:layout>
        <c:manualLayout>
          <c:layoutTarget val="inner"/>
          <c:xMode val="edge"/>
          <c:yMode val="edge"/>
          <c:x val="5.6645222717946773E-2"/>
          <c:y val="0.1585763915433204"/>
          <c:w val="0.93243320150278552"/>
          <c:h val="0.55016355103259951"/>
        </c:manualLayout>
      </c:layout>
      <c:barChart>
        <c:barDir val="col"/>
        <c:grouping val="clustered"/>
        <c:ser>
          <c:idx val="0"/>
          <c:order val="0"/>
          <c:spPr>
            <a:solidFill>
              <a:schemeClr val="lt1"/>
            </a:solidFill>
            <a:ln w="25400" cap="flat" cmpd="sng" algn="ctr">
              <a:solidFill>
                <a:schemeClr val="accent6"/>
              </a:solidFill>
              <a:prstDash val="solid"/>
            </a:ln>
            <a:effectLst/>
          </c:spPr>
          <c:cat>
            <c:strRef>
              <c:f>'SANDRAS GRAPHSAB by Source Area'!$A$3:$A$16</c:f>
              <c:strCache>
                <c:ptCount val="14"/>
                <c:pt idx="0">
                  <c:v>2EAST</c:v>
                </c:pt>
                <c:pt idx="1">
                  <c:v>2WEST</c:v>
                </c:pt>
                <c:pt idx="2">
                  <c:v>CCU</c:v>
                </c:pt>
                <c:pt idx="3">
                  <c:v>2C</c:v>
                </c:pt>
                <c:pt idx="4">
                  <c:v>CDU</c:v>
                </c:pt>
                <c:pt idx="5">
                  <c:v>3WEST</c:v>
                </c:pt>
                <c:pt idx="6">
                  <c:v>3EAST</c:v>
                </c:pt>
                <c:pt idx="7">
                  <c:v>NSD</c:v>
                </c:pt>
                <c:pt idx="8">
                  <c:v>SDU</c:v>
                </c:pt>
                <c:pt idx="9">
                  <c:v>ICU1</c:v>
                </c:pt>
                <c:pt idx="10">
                  <c:v>ICU2</c:v>
                </c:pt>
                <c:pt idx="11">
                  <c:v>HDU2</c:v>
                </c:pt>
                <c:pt idx="12">
                  <c:v>HDU3</c:v>
                </c:pt>
                <c:pt idx="13">
                  <c:v>total</c:v>
                </c:pt>
              </c:strCache>
            </c:strRef>
          </c:cat>
          <c:val>
            <c:numRef>
              <c:f>'SANDRAS GRAPHSAB by Source Area'!$P$3:$P$16</c:f>
              <c:numCache>
                <c:formatCode>General</c:formatCode>
                <c:ptCount val="14"/>
                <c:pt idx="0">
                  <c:v>0</c:v>
                </c:pt>
                <c:pt idx="1">
                  <c:v>1</c:v>
                </c:pt>
                <c:pt idx="2">
                  <c:v>1</c:v>
                </c:pt>
                <c:pt idx="3">
                  <c:v>0</c:v>
                </c:pt>
                <c:pt idx="4">
                  <c:v>0</c:v>
                </c:pt>
                <c:pt idx="5">
                  <c:v>1</c:v>
                </c:pt>
                <c:pt idx="6">
                  <c:v>3</c:v>
                </c:pt>
                <c:pt idx="7">
                  <c:v>1</c:v>
                </c:pt>
                <c:pt idx="8">
                  <c:v>0</c:v>
                </c:pt>
                <c:pt idx="9">
                  <c:v>0</c:v>
                </c:pt>
                <c:pt idx="10">
                  <c:v>4</c:v>
                </c:pt>
                <c:pt idx="11">
                  <c:v>0</c:v>
                </c:pt>
                <c:pt idx="12">
                  <c:v>0</c:v>
                </c:pt>
                <c:pt idx="13">
                  <c:v>11</c:v>
                </c:pt>
              </c:numCache>
            </c:numRef>
          </c:val>
        </c:ser>
        <c:axId val="134886528"/>
        <c:axId val="134888448"/>
      </c:barChart>
      <c:catAx>
        <c:axId val="134886528"/>
        <c:scaling>
          <c:orientation val="minMax"/>
        </c:scaling>
        <c:axPos val="b"/>
        <c:title>
          <c:tx>
            <c:rich>
              <a:bodyPr/>
              <a:lstStyle/>
              <a:p>
                <a:pPr>
                  <a:defRPr sz="800" b="1" i="0" u="none" strike="noStrike" baseline="0">
                    <a:solidFill>
                      <a:srgbClr val="000000"/>
                    </a:solidFill>
                    <a:latin typeface="Arial Narrow"/>
                    <a:ea typeface="Arial Narrow"/>
                    <a:cs typeface="Arial Narrow"/>
                  </a:defRPr>
                </a:pPr>
                <a:r>
                  <a:rPr lang="en-GB"/>
                  <a:t>Area</a:t>
                </a:r>
              </a:p>
            </c:rich>
          </c:tx>
          <c:layout>
            <c:manualLayout>
              <c:xMode val="edge"/>
              <c:yMode val="edge"/>
              <c:x val="0.51894035717445464"/>
              <c:y val="0.87055287991913632"/>
            </c:manualLayout>
          </c:layout>
          <c:spPr>
            <a:noFill/>
            <a:ln w="25400">
              <a:noFill/>
            </a:ln>
          </c:spPr>
        </c:title>
        <c:numFmt formatCode="General" sourceLinked="1"/>
        <c:tickLblPos val="nextTo"/>
        <c:spPr>
          <a:ln w="3175">
            <a:solidFill>
              <a:srgbClr val="000000"/>
            </a:solidFill>
            <a:prstDash val="solid"/>
          </a:ln>
        </c:spPr>
        <c:txPr>
          <a:bodyPr rot="-2700000" vert="horz"/>
          <a:lstStyle/>
          <a:p>
            <a:pPr>
              <a:defRPr sz="800" b="0" i="0" u="none" strike="noStrike" baseline="0">
                <a:solidFill>
                  <a:srgbClr val="000000"/>
                </a:solidFill>
                <a:latin typeface="Arial Narrow"/>
                <a:ea typeface="Arial Narrow"/>
                <a:cs typeface="Arial Narrow"/>
              </a:defRPr>
            </a:pPr>
            <a:endParaRPr lang="en-US"/>
          </a:p>
        </c:txPr>
        <c:crossAx val="134888448"/>
        <c:crosses val="autoZero"/>
        <c:auto val="1"/>
        <c:lblAlgn val="ctr"/>
        <c:lblOffset val="100"/>
        <c:tickLblSkip val="1"/>
        <c:tickMarkSkip val="1"/>
      </c:catAx>
      <c:valAx>
        <c:axId val="134888448"/>
        <c:scaling>
          <c:orientation val="minMax"/>
        </c:scaling>
        <c:axPos val="l"/>
        <c:majorGridlines>
          <c:spPr>
            <a:ln w="3175">
              <a:solidFill>
                <a:srgbClr val="000000"/>
              </a:solidFill>
              <a:prstDash val="solid"/>
            </a:ln>
          </c:spPr>
        </c:majorGridlines>
        <c:title>
          <c:tx>
            <c:rich>
              <a:bodyPr rot="0" vert="horz"/>
              <a:lstStyle/>
              <a:p>
                <a:pPr algn="ctr">
                  <a:defRPr sz="800" b="1" i="0" u="none" strike="noStrike" baseline="0">
                    <a:solidFill>
                      <a:srgbClr val="000000"/>
                    </a:solidFill>
                    <a:latin typeface="Arial Narrow"/>
                    <a:ea typeface="Arial Narrow"/>
                    <a:cs typeface="Arial Narrow"/>
                  </a:defRPr>
                </a:pPr>
                <a:r>
                  <a:rPr lang="en-GB"/>
                  <a:t>SAB</a:t>
                </a:r>
              </a:p>
            </c:rich>
          </c:tx>
          <c:layout>
            <c:manualLayout>
              <c:xMode val="edge"/>
              <c:yMode val="edge"/>
              <c:x val="1.5151645370171418E-2"/>
              <c:y val="0.40453210339001588"/>
            </c:manualLayout>
          </c:layout>
          <c:spPr>
            <a:noFill/>
            <a:ln w="25400">
              <a:noFill/>
            </a:ln>
          </c:spPr>
        </c:title>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34886528"/>
        <c:crosses val="autoZero"/>
        <c:crossBetween val="between"/>
        <c:majorUnit val="1"/>
      </c:valAx>
      <c:spPr>
        <a:solidFill>
          <a:srgbClr val="C0C0C0"/>
        </a:solidFill>
        <a:ln w="12700">
          <a:solidFill>
            <a:srgbClr val="808080"/>
          </a:solidFill>
          <a:prstDash val="solid"/>
        </a:ln>
      </c:spPr>
    </c:plotArea>
    <c:plotVisOnly val="1"/>
    <c:dispBlanksAs val="gap"/>
  </c:chart>
  <c:spPr>
    <a:noFill/>
    <a:ln w="19050">
      <a:solidFill>
        <a:srgbClr val="0070C0"/>
      </a:solidFill>
    </a:ln>
  </c:spPr>
  <c:txPr>
    <a:bodyPr/>
    <a:lstStyle/>
    <a:p>
      <a:pPr>
        <a:defRPr sz="800"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D80852-C54C-4EEB-8E7D-52A7E6A1A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1922</Words>
  <Characters>11181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McGuinnessC1</cp:lastModifiedBy>
  <cp:revision>3</cp:revision>
  <cp:lastPrinted>2018-02-14T11:21:00Z</cp:lastPrinted>
  <dcterms:created xsi:type="dcterms:W3CDTF">2018-02-07T16:35:00Z</dcterms:created>
  <dcterms:modified xsi:type="dcterms:W3CDTF">2018-02-14T11:21:00Z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