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FE3A34" w:rsidRDefault="004512CE" w:rsidP="0063555A">
      <w:pPr>
        <w:ind w:left="-540" w:right="183"/>
        <w:jc w:val="right"/>
        <w:rPr>
          <w:rFonts w:ascii="Arial" w:hAnsi="Arial" w:cs="Arial"/>
          <w:b/>
          <w:bCs/>
          <w:color w:val="365F91"/>
        </w:rPr>
      </w:pPr>
      <w:r w:rsidRPr="00FE3A34">
        <w:rPr>
          <w:rFonts w:ascii="Arial" w:hAnsi="Arial" w:cs="Arial"/>
          <w:b/>
          <w:bCs/>
          <w:color w:val="365F91"/>
        </w:rPr>
        <w:t xml:space="preserve">Ref: </w:t>
      </w:r>
      <w:r w:rsidR="002A42DD" w:rsidRPr="00FE3A34">
        <w:rPr>
          <w:rFonts w:ascii="Arial" w:hAnsi="Arial" w:cs="Arial"/>
          <w:b/>
          <w:bCs/>
          <w:color w:val="365F91"/>
        </w:rPr>
        <w:t>GJF</w:t>
      </w:r>
      <w:r w:rsidR="00513DB0" w:rsidRPr="00FE3A34">
        <w:rPr>
          <w:rFonts w:ascii="Arial" w:hAnsi="Arial" w:cs="Arial"/>
          <w:b/>
          <w:bCs/>
          <w:color w:val="365F91"/>
        </w:rPr>
        <w:t>/</w:t>
      </w:r>
      <w:r w:rsidR="005B69F4">
        <w:rPr>
          <w:rFonts w:ascii="Arial" w:hAnsi="Arial" w:cs="Arial"/>
          <w:b/>
          <w:bCs/>
          <w:color w:val="365F91"/>
        </w:rPr>
        <w:t>2018</w:t>
      </w:r>
      <w:r w:rsidR="00513DB0" w:rsidRPr="00FE3A34">
        <w:rPr>
          <w:rFonts w:ascii="Arial" w:hAnsi="Arial" w:cs="Arial"/>
          <w:b/>
          <w:bCs/>
          <w:color w:val="365F91"/>
        </w:rPr>
        <w:t>/</w:t>
      </w:r>
      <w:r w:rsidR="0063555A">
        <w:rPr>
          <w:rFonts w:ascii="Arial" w:hAnsi="Arial" w:cs="Arial"/>
          <w:b/>
          <w:bCs/>
          <w:color w:val="365F91"/>
        </w:rPr>
        <w:t>05/10</w:t>
      </w:r>
    </w:p>
    <w:p w:rsidR="00513DB0" w:rsidRPr="00FE3A34" w:rsidRDefault="002956A9" w:rsidP="0063555A">
      <w:pPr>
        <w:pStyle w:val="Heading1"/>
        <w:ind w:right="183"/>
        <w:rPr>
          <w:rFonts w:ascii="Arial" w:hAnsi="Arial" w:cs="Arial"/>
          <w:sz w:val="24"/>
          <w:szCs w:val="24"/>
        </w:rPr>
      </w:pPr>
      <w:r>
        <w:rPr>
          <w:rFonts w:ascii="Arial" w:hAnsi="Arial" w:cs="Arial"/>
          <w:b w:val="0"/>
          <w:bCs w:val="0"/>
          <w:noProof/>
          <w:color w:val="000000"/>
          <w:sz w:val="24"/>
          <w:szCs w:val="24"/>
          <w:lang w:eastAsia="en-GB"/>
        </w:rPr>
        <w:drawing>
          <wp:anchor distT="0" distB="0" distL="114300" distR="114300" simplePos="0" relativeHeight="251657728" behindDoc="0" locked="0" layoutInCell="1" allowOverlap="1">
            <wp:simplePos x="0" y="0"/>
            <wp:positionH relativeFrom="column">
              <wp:posOffset>4411980</wp:posOffset>
            </wp:positionH>
            <wp:positionV relativeFrom="paragraph">
              <wp:posOffset>148590</wp:posOffset>
            </wp:positionV>
            <wp:extent cx="1388110" cy="1388110"/>
            <wp:effectExtent l="19050" t="0" r="2540" b="0"/>
            <wp:wrapSquare wrapText="bothSides"/>
            <wp:docPr id="15"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8" cstate="print"/>
                    <a:srcRect/>
                    <a:stretch>
                      <a:fillRect/>
                    </a:stretch>
                  </pic:blipFill>
                  <pic:spPr bwMode="auto">
                    <a:xfrm>
                      <a:off x="0" y="0"/>
                      <a:ext cx="1388110" cy="1388110"/>
                    </a:xfrm>
                    <a:prstGeom prst="rect">
                      <a:avLst/>
                    </a:prstGeom>
                    <a:noFill/>
                    <a:ln w="9525">
                      <a:noFill/>
                      <a:miter lim="800000"/>
                      <a:headEnd/>
                      <a:tailEnd/>
                    </a:ln>
                  </pic:spPr>
                </pic:pic>
              </a:graphicData>
            </a:graphic>
          </wp:anchor>
        </w:drawing>
      </w:r>
    </w:p>
    <w:p w:rsidR="00A2577B" w:rsidRPr="00FE3A34" w:rsidRDefault="0093700B" w:rsidP="0063555A">
      <w:pPr>
        <w:pStyle w:val="Heading1"/>
        <w:ind w:right="183"/>
        <w:rPr>
          <w:rFonts w:ascii="Arial" w:hAnsi="Arial" w:cs="Arial"/>
          <w:b w:val="0"/>
          <w:sz w:val="24"/>
          <w:szCs w:val="24"/>
        </w:rPr>
      </w:pPr>
      <w:r w:rsidRPr="00FE3A34">
        <w:rPr>
          <w:rFonts w:ascii="Arial" w:hAnsi="Arial" w:cs="Arial"/>
          <w:sz w:val="24"/>
          <w:szCs w:val="24"/>
        </w:rPr>
        <w:t xml:space="preserve">Board </w:t>
      </w:r>
      <w:r w:rsidR="00513DB0" w:rsidRPr="00FE3A34">
        <w:rPr>
          <w:rFonts w:ascii="Arial" w:hAnsi="Arial" w:cs="Arial"/>
          <w:sz w:val="24"/>
          <w:szCs w:val="24"/>
        </w:rPr>
        <w:t>M</w:t>
      </w:r>
      <w:r w:rsidR="00A2577B" w:rsidRPr="00FE3A34">
        <w:rPr>
          <w:rFonts w:ascii="Arial" w:hAnsi="Arial" w:cs="Arial"/>
          <w:sz w:val="24"/>
          <w:szCs w:val="24"/>
        </w:rPr>
        <w:t>eeting</w:t>
      </w:r>
      <w:r w:rsidR="00A2577B" w:rsidRPr="00FE3A34">
        <w:rPr>
          <w:rFonts w:ascii="Arial" w:hAnsi="Arial" w:cs="Arial"/>
          <w:b w:val="0"/>
          <w:sz w:val="24"/>
          <w:szCs w:val="24"/>
        </w:rPr>
        <w:t>:</w:t>
      </w:r>
      <w:r w:rsidR="00A2577B" w:rsidRPr="00FE3A34">
        <w:rPr>
          <w:rFonts w:ascii="Arial" w:hAnsi="Arial" w:cs="Arial"/>
          <w:b w:val="0"/>
          <w:sz w:val="24"/>
          <w:szCs w:val="24"/>
        </w:rPr>
        <w:tab/>
      </w:r>
      <w:r w:rsidR="003E423D" w:rsidRPr="00FE3A34">
        <w:rPr>
          <w:rFonts w:ascii="Arial" w:hAnsi="Arial" w:cs="Arial"/>
          <w:b w:val="0"/>
          <w:sz w:val="24"/>
          <w:szCs w:val="24"/>
        </w:rPr>
        <w:tab/>
      </w:r>
      <w:r w:rsidR="0063555A">
        <w:rPr>
          <w:rFonts w:ascii="Arial" w:hAnsi="Arial" w:cs="Arial"/>
          <w:b w:val="0"/>
          <w:sz w:val="24"/>
          <w:szCs w:val="24"/>
        </w:rPr>
        <w:t>10 May 2018</w:t>
      </w:r>
    </w:p>
    <w:p w:rsidR="001175E5" w:rsidRPr="00FE3A34" w:rsidRDefault="001175E5" w:rsidP="0063555A">
      <w:pPr>
        <w:ind w:right="183"/>
        <w:rPr>
          <w:rFonts w:ascii="Arial" w:hAnsi="Arial" w:cs="Arial"/>
        </w:rPr>
      </w:pPr>
    </w:p>
    <w:p w:rsidR="0063555A" w:rsidRPr="0063555A" w:rsidRDefault="00A2577B" w:rsidP="0063555A">
      <w:pPr>
        <w:ind w:left="2880" w:hanging="2880"/>
        <w:rPr>
          <w:rFonts w:ascii="Arial" w:hAnsi="Arial" w:cs="Arial"/>
        </w:rPr>
      </w:pPr>
      <w:r w:rsidRPr="00FE3A34">
        <w:rPr>
          <w:rFonts w:ascii="Arial" w:hAnsi="Arial" w:cs="Arial"/>
          <w:b/>
          <w:bCs/>
        </w:rPr>
        <w:t xml:space="preserve">Subject: </w:t>
      </w:r>
      <w:r w:rsidRPr="00FE3A34">
        <w:rPr>
          <w:rFonts w:ascii="Arial" w:hAnsi="Arial" w:cs="Arial"/>
          <w:b/>
          <w:bCs/>
        </w:rPr>
        <w:tab/>
      </w:r>
      <w:r w:rsidR="0063555A" w:rsidRPr="0063555A">
        <w:rPr>
          <w:rFonts w:ascii="Arial" w:hAnsi="Arial" w:cs="Arial"/>
        </w:rPr>
        <w:t xml:space="preserve">Business Services Patient Activity Performance Report – February 2018 </w:t>
      </w:r>
    </w:p>
    <w:p w:rsidR="0063555A" w:rsidRPr="0063555A" w:rsidRDefault="0063555A" w:rsidP="0063555A">
      <w:pPr>
        <w:ind w:left="-360"/>
        <w:rPr>
          <w:rFonts w:ascii="Arial" w:hAnsi="Arial" w:cs="Arial"/>
        </w:rPr>
      </w:pPr>
    </w:p>
    <w:p w:rsidR="00FE14F0" w:rsidRDefault="00A2577B" w:rsidP="0063555A">
      <w:pPr>
        <w:ind w:left="2880" w:right="183" w:hanging="2880"/>
        <w:rPr>
          <w:rFonts w:ascii="Arial" w:hAnsi="Arial" w:cs="Arial"/>
        </w:rPr>
      </w:pPr>
      <w:r w:rsidRPr="00FE3A34">
        <w:rPr>
          <w:rFonts w:ascii="Arial" w:hAnsi="Arial" w:cs="Arial"/>
          <w:b/>
          <w:bCs/>
        </w:rPr>
        <w:t>Recommendation:</w:t>
      </w:r>
      <w:r w:rsidRPr="00FE3A34">
        <w:rPr>
          <w:rFonts w:ascii="Arial" w:hAnsi="Arial" w:cs="Arial"/>
          <w:b/>
          <w:bCs/>
        </w:rPr>
        <w:tab/>
      </w:r>
      <w:r w:rsidR="0093700B" w:rsidRPr="00FE3A34">
        <w:rPr>
          <w:rFonts w:ascii="Arial" w:hAnsi="Arial" w:cs="Arial"/>
        </w:rPr>
        <w:t>Board m</w:t>
      </w:r>
      <w:r w:rsidR="001175E5" w:rsidRPr="00FE3A34">
        <w:rPr>
          <w:rFonts w:ascii="Arial" w:hAnsi="Arial" w:cs="Arial"/>
        </w:rPr>
        <w:t>embers are asked to</w:t>
      </w:r>
      <w:r w:rsidR="005B69F4">
        <w:rPr>
          <w:rFonts w:ascii="Arial" w:hAnsi="Arial" w:cs="Arial"/>
        </w:rPr>
        <w:t xml:space="preserve"> </w:t>
      </w:r>
      <w:r w:rsidR="005B69F4">
        <w:rPr>
          <w:rFonts w:ascii="Arial" w:hAnsi="Arial" w:cs="Arial"/>
          <w:color w:val="000000"/>
        </w:rPr>
        <w:t>discuss, provide suggestions, support and approve the plans for marking this important year</w:t>
      </w:r>
    </w:p>
    <w:p w:rsidR="00C24B4E" w:rsidRPr="00FE3A34" w:rsidRDefault="00C24B4E" w:rsidP="0063555A">
      <w:pPr>
        <w:ind w:right="183"/>
        <w:rPr>
          <w:rFonts w:ascii="Arial" w:hAnsi="Arial" w:cs="Arial"/>
        </w:rPr>
      </w:pPr>
    </w:p>
    <w:p w:rsidR="00A2577B" w:rsidRPr="00FE3A34" w:rsidRDefault="00513DB0" w:rsidP="0063555A">
      <w:pPr>
        <w:ind w:right="-46"/>
        <w:rPr>
          <w:rFonts w:ascii="Arial" w:hAnsi="Arial" w:cs="Arial"/>
          <w:b/>
          <w:bCs/>
        </w:rPr>
      </w:pPr>
      <w:r w:rsidRPr="00FE3A34">
        <w:rPr>
          <w:rFonts w:ascii="Arial" w:hAnsi="Arial" w:cs="Arial"/>
          <w:b/>
          <w:bCs/>
        </w:rPr>
        <w:t>________________________________________</w:t>
      </w:r>
      <w:r w:rsidR="00C24B4E" w:rsidRPr="00FE3A34">
        <w:rPr>
          <w:rFonts w:ascii="Arial" w:hAnsi="Arial" w:cs="Arial"/>
          <w:b/>
          <w:bCs/>
        </w:rPr>
        <w:t>__________________________</w:t>
      </w:r>
    </w:p>
    <w:p w:rsidR="001175E5" w:rsidRDefault="001175E5" w:rsidP="0063555A">
      <w:pPr>
        <w:pStyle w:val="BodyTextIndent"/>
        <w:ind w:left="0" w:right="183" w:firstLine="0"/>
        <w:rPr>
          <w:rFonts w:ascii="Arial" w:hAnsi="Arial" w:cs="Arial"/>
          <w:b/>
          <w:bCs/>
        </w:rPr>
      </w:pPr>
    </w:p>
    <w:p w:rsidR="002956A9" w:rsidRPr="00B50C50" w:rsidRDefault="002956A9" w:rsidP="0063555A">
      <w:pPr>
        <w:ind w:left="-360" w:firstLine="360"/>
        <w:rPr>
          <w:rFonts w:ascii="Arial" w:hAnsi="Arial" w:cs="Arial"/>
          <w:b/>
        </w:rPr>
      </w:pPr>
      <w:r w:rsidRPr="00B50C50">
        <w:rPr>
          <w:rFonts w:ascii="Arial" w:hAnsi="Arial" w:cs="Arial"/>
          <w:b/>
        </w:rPr>
        <w:t>1.</w:t>
      </w:r>
      <w:r w:rsidRPr="00B50C50">
        <w:rPr>
          <w:rFonts w:ascii="Arial" w:hAnsi="Arial" w:cs="Arial"/>
          <w:b/>
        </w:rPr>
        <w:tab/>
        <w:t>Background</w:t>
      </w:r>
    </w:p>
    <w:p w:rsidR="002956A9" w:rsidRPr="00B50C50" w:rsidRDefault="002956A9" w:rsidP="0063555A">
      <w:pPr>
        <w:ind w:left="-360"/>
        <w:rPr>
          <w:rFonts w:ascii="Arial" w:hAnsi="Arial" w:cs="Arial"/>
          <w:b/>
        </w:rPr>
      </w:pPr>
    </w:p>
    <w:p w:rsidR="002956A9" w:rsidRDefault="002956A9" w:rsidP="0063555A">
      <w:pPr>
        <w:ind w:left="720" w:right="180"/>
        <w:rPr>
          <w:rFonts w:ascii="Arial" w:hAnsi="Arial" w:cs="Arial"/>
        </w:rPr>
      </w:pPr>
      <w:r w:rsidRPr="00B50C50">
        <w:rPr>
          <w:rFonts w:ascii="Arial" w:hAnsi="Arial" w:cs="Arial"/>
        </w:rPr>
        <w:t>Patient activity is reported on a monthly basis, both by month and year to d</w:t>
      </w:r>
      <w:r>
        <w:rPr>
          <w:rFonts w:ascii="Arial" w:hAnsi="Arial" w:cs="Arial"/>
        </w:rPr>
        <w:t xml:space="preserve">ate.  Data </w:t>
      </w:r>
      <w:r w:rsidRPr="00B50C50">
        <w:rPr>
          <w:rFonts w:ascii="Arial" w:hAnsi="Arial" w:cs="Arial"/>
        </w:rPr>
        <w:t>is primarily measured in episodes of care.  However, data is also captured to reflect the number of procedures being carried out by Board, by specialty.  This information is particularly relevant to referring Boards who are allocated activity and measure their activity/throughput at</w:t>
      </w:r>
      <w:r w:rsidR="00AF6CB4">
        <w:rPr>
          <w:rFonts w:ascii="Arial" w:hAnsi="Arial" w:cs="Arial"/>
        </w:rPr>
        <w:t xml:space="preserve"> the Golden Jubilee National Hospital (</w:t>
      </w:r>
      <w:r w:rsidRPr="00B50C50">
        <w:rPr>
          <w:rFonts w:ascii="Arial" w:hAnsi="Arial" w:cs="Arial"/>
        </w:rPr>
        <w:t>GJNH</w:t>
      </w:r>
      <w:r w:rsidR="00AF6CB4">
        <w:rPr>
          <w:rFonts w:ascii="Arial" w:hAnsi="Arial" w:cs="Arial"/>
        </w:rPr>
        <w:t>)</w:t>
      </w:r>
      <w:r w:rsidRPr="00B50C50">
        <w:rPr>
          <w:rFonts w:ascii="Arial" w:hAnsi="Arial" w:cs="Arial"/>
        </w:rPr>
        <w:t xml:space="preserve"> in numbers of procedures.  </w:t>
      </w:r>
    </w:p>
    <w:p w:rsidR="002956A9" w:rsidRDefault="002956A9" w:rsidP="0063555A">
      <w:pPr>
        <w:ind w:left="720" w:right="180"/>
        <w:rPr>
          <w:rFonts w:ascii="Arial" w:hAnsi="Arial" w:cs="Arial"/>
        </w:rPr>
      </w:pPr>
    </w:p>
    <w:p w:rsidR="002956A9" w:rsidRDefault="002956A9" w:rsidP="0063555A">
      <w:pPr>
        <w:ind w:left="720" w:right="180"/>
        <w:rPr>
          <w:rFonts w:ascii="Arial" w:hAnsi="Arial" w:cs="Arial"/>
        </w:rPr>
      </w:pPr>
      <w:r>
        <w:rPr>
          <w:rFonts w:ascii="Arial" w:hAnsi="Arial" w:cs="Arial"/>
        </w:rPr>
        <w:t>Appendix A to this document is provided for information purposes and reflects the number of patients treated against an annual plan of 16,546 (patients).</w:t>
      </w:r>
    </w:p>
    <w:p w:rsidR="002956A9" w:rsidRDefault="002956A9" w:rsidP="0063555A">
      <w:pPr>
        <w:ind w:left="720" w:right="180"/>
        <w:rPr>
          <w:rFonts w:ascii="Arial" w:hAnsi="Arial" w:cs="Arial"/>
        </w:rPr>
      </w:pPr>
    </w:p>
    <w:p w:rsidR="002956A9" w:rsidRDefault="002956A9" w:rsidP="0063555A">
      <w:pPr>
        <w:ind w:left="720" w:right="180"/>
        <w:rPr>
          <w:rFonts w:ascii="Arial" w:hAnsi="Arial" w:cs="Arial"/>
        </w:rPr>
      </w:pPr>
      <w:r>
        <w:rPr>
          <w:rFonts w:ascii="Arial" w:hAnsi="Arial" w:cs="Arial"/>
        </w:rPr>
        <w:t>Appendix B to this document is adjusted to represent theatre slots used (as opposed to numbers of patients) in both orthopaedic surgery and plastic surgery.  This allows us to more accurately reflect actual theatre utilisation and allows us to focus on maximising the theatre capacity that is available to us.</w:t>
      </w:r>
    </w:p>
    <w:p w:rsidR="002956A9" w:rsidRDefault="002956A9" w:rsidP="0063555A">
      <w:pPr>
        <w:ind w:left="720" w:right="180"/>
        <w:rPr>
          <w:rFonts w:ascii="Arial" w:hAnsi="Arial" w:cs="Arial"/>
        </w:rPr>
      </w:pPr>
    </w:p>
    <w:p w:rsidR="002956A9" w:rsidRDefault="002956A9" w:rsidP="0063555A">
      <w:pPr>
        <w:ind w:left="720" w:right="180"/>
        <w:rPr>
          <w:rFonts w:ascii="Arial" w:hAnsi="Arial" w:cs="Arial"/>
        </w:rPr>
      </w:pPr>
      <w:r>
        <w:rPr>
          <w:rFonts w:ascii="Arial" w:hAnsi="Arial" w:cs="Arial"/>
        </w:rPr>
        <w:t>Referring Boards receive a monthly monitoring document which provides them with a detailed breakdown of the number of patients referred, their complexity and the number of theatre slots used to treat them.</w:t>
      </w:r>
    </w:p>
    <w:p w:rsidR="002956A9" w:rsidRDefault="002956A9" w:rsidP="0063555A">
      <w:pPr>
        <w:ind w:right="180"/>
        <w:rPr>
          <w:rFonts w:ascii="Arial" w:hAnsi="Arial" w:cs="Arial"/>
        </w:rPr>
      </w:pPr>
    </w:p>
    <w:p w:rsidR="00AF6CB4" w:rsidRDefault="00AF6CB4" w:rsidP="0063555A">
      <w:pPr>
        <w:ind w:right="180"/>
        <w:rPr>
          <w:rFonts w:ascii="Arial" w:hAnsi="Arial" w:cs="Arial"/>
        </w:rPr>
      </w:pPr>
    </w:p>
    <w:p w:rsidR="002956A9" w:rsidRPr="00B50C50" w:rsidRDefault="002956A9" w:rsidP="0063555A">
      <w:pPr>
        <w:numPr>
          <w:ilvl w:val="0"/>
          <w:numId w:val="6"/>
        </w:numPr>
        <w:tabs>
          <w:tab w:val="clear" w:pos="720"/>
          <w:tab w:val="num" w:pos="-360"/>
        </w:tabs>
        <w:ind w:left="-360" w:firstLine="360"/>
        <w:rPr>
          <w:rFonts w:ascii="Arial" w:hAnsi="Arial" w:cs="Arial"/>
          <w:b/>
        </w:rPr>
      </w:pPr>
      <w:r w:rsidRPr="00B50C50">
        <w:rPr>
          <w:rFonts w:ascii="Arial" w:hAnsi="Arial" w:cs="Arial"/>
          <w:b/>
        </w:rPr>
        <w:t>Operational Governance</w:t>
      </w:r>
    </w:p>
    <w:p w:rsidR="002956A9" w:rsidRDefault="002956A9" w:rsidP="0063555A">
      <w:pPr>
        <w:ind w:left="-360"/>
        <w:rPr>
          <w:rFonts w:ascii="Arial" w:hAnsi="Arial" w:cs="Arial"/>
        </w:rPr>
      </w:pPr>
    </w:p>
    <w:p w:rsidR="002956A9" w:rsidRDefault="002956A9" w:rsidP="0063555A">
      <w:pPr>
        <w:ind w:left="720"/>
        <w:rPr>
          <w:rFonts w:ascii="Arial" w:hAnsi="Arial" w:cs="Arial"/>
          <w:b/>
        </w:rPr>
      </w:pPr>
      <w:r w:rsidRPr="00B50C50">
        <w:rPr>
          <w:rFonts w:ascii="Arial" w:hAnsi="Arial" w:cs="Arial"/>
          <w:b/>
        </w:rPr>
        <w:t>In</w:t>
      </w:r>
      <w:r w:rsidR="0063555A">
        <w:rPr>
          <w:rFonts w:ascii="Arial" w:hAnsi="Arial" w:cs="Arial"/>
          <w:b/>
        </w:rPr>
        <w:t>p</w:t>
      </w:r>
      <w:r w:rsidRPr="00B50C50">
        <w:rPr>
          <w:rFonts w:ascii="Arial" w:hAnsi="Arial" w:cs="Arial"/>
          <w:b/>
        </w:rPr>
        <w:t>atient/Day Case</w:t>
      </w:r>
      <w:r>
        <w:rPr>
          <w:rFonts w:ascii="Arial" w:hAnsi="Arial" w:cs="Arial"/>
          <w:b/>
        </w:rPr>
        <w:t>/Diagnostic Imaging</w:t>
      </w:r>
      <w:r w:rsidRPr="00B50C50">
        <w:rPr>
          <w:rFonts w:ascii="Arial" w:hAnsi="Arial" w:cs="Arial"/>
          <w:b/>
        </w:rPr>
        <w:t xml:space="preserve"> Activity Analysis </w:t>
      </w:r>
      <w:r>
        <w:rPr>
          <w:rFonts w:ascii="Arial" w:hAnsi="Arial" w:cs="Arial"/>
          <w:b/>
        </w:rPr>
        <w:t>February 2018</w:t>
      </w:r>
    </w:p>
    <w:p w:rsidR="002956A9" w:rsidRDefault="002956A9" w:rsidP="0063555A">
      <w:pPr>
        <w:ind w:left="360" w:firstLine="360"/>
        <w:rPr>
          <w:rFonts w:ascii="Arial" w:hAnsi="Arial" w:cs="Arial"/>
          <w:b/>
        </w:rPr>
      </w:pPr>
    </w:p>
    <w:p w:rsidR="002956A9" w:rsidRDefault="002956A9" w:rsidP="0063555A">
      <w:pPr>
        <w:ind w:left="720"/>
        <w:rPr>
          <w:rFonts w:ascii="Arial" w:hAnsi="Arial" w:cs="Arial"/>
        </w:rPr>
      </w:pPr>
      <w:r>
        <w:rPr>
          <w:rFonts w:ascii="Arial" w:hAnsi="Arial" w:cs="Arial"/>
        </w:rPr>
        <w:t xml:space="preserve">Activity for inpatients/day case procedures measured against a projection of 16,621 (which excludes cardiothoracic/cardiology activity) was behind the plan by 13.2% for the month of February when activity is adjusted to reflect complexity (Appendix B) and 4.9% behind the full year to date plan. </w:t>
      </w:r>
    </w:p>
    <w:p w:rsidR="002956A9" w:rsidRDefault="002956A9" w:rsidP="0063555A">
      <w:pPr>
        <w:ind w:left="720"/>
        <w:rPr>
          <w:rFonts w:ascii="Arial" w:hAnsi="Arial" w:cs="Arial"/>
        </w:rPr>
      </w:pPr>
    </w:p>
    <w:p w:rsidR="002956A9" w:rsidRDefault="002956A9" w:rsidP="0063555A">
      <w:pPr>
        <w:ind w:left="720"/>
        <w:rPr>
          <w:rFonts w:ascii="Arial" w:hAnsi="Arial" w:cs="Arial"/>
        </w:rPr>
      </w:pPr>
      <w:r w:rsidRPr="005D1E9E">
        <w:rPr>
          <w:rFonts w:ascii="Arial" w:hAnsi="Arial" w:cs="Arial"/>
        </w:rPr>
        <w:lastRenderedPageBreak/>
        <w:t xml:space="preserve">Measured against </w:t>
      </w:r>
      <w:r>
        <w:rPr>
          <w:rFonts w:ascii="Arial" w:hAnsi="Arial" w:cs="Arial"/>
        </w:rPr>
        <w:t xml:space="preserve">a total activity projection of 46,071, the </w:t>
      </w:r>
      <w:r w:rsidRPr="005D1E9E">
        <w:rPr>
          <w:rFonts w:ascii="Arial" w:hAnsi="Arial" w:cs="Arial"/>
        </w:rPr>
        <w:t xml:space="preserve">combined </w:t>
      </w:r>
      <w:r>
        <w:rPr>
          <w:rFonts w:ascii="Arial" w:hAnsi="Arial" w:cs="Arial"/>
        </w:rPr>
        <w:t>in</w:t>
      </w:r>
      <w:r w:rsidRPr="005D1E9E">
        <w:rPr>
          <w:rFonts w:ascii="Arial" w:hAnsi="Arial" w:cs="Arial"/>
        </w:rPr>
        <w:t xml:space="preserve">patient/day case and imaging activity at </w:t>
      </w:r>
      <w:r>
        <w:rPr>
          <w:rFonts w:ascii="Arial" w:hAnsi="Arial" w:cs="Arial"/>
        </w:rPr>
        <w:t>the end of February</w:t>
      </w:r>
      <w:r w:rsidRPr="005D1E9E">
        <w:rPr>
          <w:rFonts w:ascii="Arial" w:hAnsi="Arial" w:cs="Arial"/>
        </w:rPr>
        <w:t xml:space="preserve"> </w:t>
      </w:r>
      <w:r w:rsidRPr="00D57FC8">
        <w:rPr>
          <w:rFonts w:ascii="Arial" w:hAnsi="Arial" w:cs="Arial"/>
        </w:rPr>
        <w:t>was</w:t>
      </w:r>
      <w:r>
        <w:rPr>
          <w:rFonts w:ascii="Arial" w:hAnsi="Arial" w:cs="Arial"/>
        </w:rPr>
        <w:t xml:space="preserve"> behind the plan by 5.1</w:t>
      </w:r>
      <w:r w:rsidRPr="00D57FC8">
        <w:rPr>
          <w:rFonts w:ascii="Arial" w:hAnsi="Arial" w:cs="Arial"/>
        </w:rPr>
        <w:t xml:space="preserve">% </w:t>
      </w:r>
      <w:r>
        <w:rPr>
          <w:rFonts w:ascii="Arial" w:hAnsi="Arial" w:cs="Arial"/>
        </w:rPr>
        <w:t>for the month of February w</w:t>
      </w:r>
      <w:r w:rsidRPr="005D1E9E">
        <w:rPr>
          <w:rFonts w:ascii="Arial" w:hAnsi="Arial" w:cs="Arial"/>
        </w:rPr>
        <w:t>hen adjusted to reflect complexity (Appendix B</w:t>
      </w:r>
      <w:r>
        <w:rPr>
          <w:rFonts w:ascii="Arial" w:hAnsi="Arial" w:cs="Arial"/>
        </w:rPr>
        <w:t>) and 0.1% behind the full year to date plan.</w:t>
      </w:r>
    </w:p>
    <w:p w:rsidR="002956A9" w:rsidRDefault="002956A9" w:rsidP="0063555A">
      <w:pPr>
        <w:ind w:left="720"/>
        <w:rPr>
          <w:rFonts w:ascii="Arial" w:hAnsi="Arial" w:cs="Arial"/>
        </w:rPr>
      </w:pPr>
    </w:p>
    <w:p w:rsidR="00AF6CB4" w:rsidRDefault="00AF6CB4" w:rsidP="0063555A">
      <w:pPr>
        <w:ind w:left="720"/>
        <w:rPr>
          <w:rFonts w:ascii="Arial" w:hAnsi="Arial" w:cs="Arial"/>
        </w:rPr>
      </w:pPr>
    </w:p>
    <w:p w:rsidR="002956A9" w:rsidRPr="008A7AAB" w:rsidRDefault="002956A9" w:rsidP="0063555A">
      <w:pPr>
        <w:numPr>
          <w:ilvl w:val="0"/>
          <w:numId w:val="6"/>
        </w:numPr>
        <w:tabs>
          <w:tab w:val="clear" w:pos="720"/>
          <w:tab w:val="num" w:pos="0"/>
        </w:tabs>
        <w:ind w:left="-360" w:firstLine="360"/>
        <w:rPr>
          <w:rFonts w:ascii="Arial" w:hAnsi="Arial" w:cs="Arial"/>
          <w:b/>
        </w:rPr>
      </w:pPr>
      <w:r w:rsidRPr="008A7AAB">
        <w:rPr>
          <w:rFonts w:ascii="Arial" w:hAnsi="Arial" w:cs="Arial"/>
          <w:b/>
        </w:rPr>
        <w:t xml:space="preserve">Analysis of Performance Against Plan at End </w:t>
      </w:r>
      <w:r>
        <w:rPr>
          <w:rFonts w:ascii="Arial" w:hAnsi="Arial" w:cs="Arial"/>
          <w:b/>
        </w:rPr>
        <w:t>February 2018</w:t>
      </w:r>
    </w:p>
    <w:p w:rsidR="002956A9" w:rsidRDefault="002956A9" w:rsidP="0063555A">
      <w:pPr>
        <w:pStyle w:val="BodyTextIndent3"/>
        <w:spacing w:after="0"/>
        <w:ind w:left="0" w:right="-360"/>
        <w:rPr>
          <w:rFonts w:ascii="Arial" w:hAnsi="Arial" w:cs="Arial"/>
          <w:sz w:val="24"/>
        </w:rPr>
      </w:pPr>
    </w:p>
    <w:p w:rsidR="002956A9" w:rsidRPr="000B7F9B" w:rsidRDefault="0063555A" w:rsidP="0063555A">
      <w:pPr>
        <w:pStyle w:val="BodyTextIndent3"/>
        <w:spacing w:after="0"/>
        <w:ind w:left="0" w:right="-360"/>
        <w:rPr>
          <w:rFonts w:ascii="Arial" w:hAnsi="Arial" w:cs="Arial"/>
          <w:b/>
          <w:sz w:val="24"/>
        </w:rPr>
      </w:pPr>
      <w:r>
        <w:rPr>
          <w:rFonts w:ascii="Arial" w:hAnsi="Arial" w:cs="Arial"/>
          <w:b/>
          <w:sz w:val="24"/>
        </w:rPr>
        <w:t>3.1</w:t>
      </w:r>
      <w:r>
        <w:rPr>
          <w:rFonts w:ascii="Arial" w:hAnsi="Arial" w:cs="Arial"/>
          <w:b/>
          <w:sz w:val="24"/>
        </w:rPr>
        <w:tab/>
      </w:r>
      <w:r w:rsidR="00AF6CB4">
        <w:rPr>
          <w:rFonts w:ascii="Arial" w:hAnsi="Arial" w:cs="Arial"/>
          <w:b/>
          <w:sz w:val="24"/>
        </w:rPr>
        <w:t>Orthopaedic Surgery</w:t>
      </w:r>
    </w:p>
    <w:p w:rsidR="002956A9" w:rsidRDefault="002956A9" w:rsidP="0063555A">
      <w:pPr>
        <w:pStyle w:val="BodyTextIndent3"/>
        <w:spacing w:after="0"/>
        <w:ind w:left="720" w:right="-360"/>
        <w:rPr>
          <w:rFonts w:ascii="Arial" w:hAnsi="Arial" w:cs="Arial"/>
          <w:sz w:val="24"/>
        </w:rPr>
      </w:pPr>
    </w:p>
    <w:p w:rsidR="002956A9" w:rsidRDefault="002956A9" w:rsidP="0063555A">
      <w:pPr>
        <w:pStyle w:val="BodyTextIndent3"/>
        <w:spacing w:after="0"/>
        <w:ind w:left="720"/>
        <w:rPr>
          <w:rFonts w:ascii="Arial" w:hAnsi="Arial" w:cs="Arial"/>
          <w:sz w:val="24"/>
        </w:rPr>
      </w:pPr>
      <w:r w:rsidRPr="009D7B6C">
        <w:rPr>
          <w:rFonts w:ascii="Arial" w:hAnsi="Arial" w:cs="Arial"/>
          <w:sz w:val="24"/>
        </w:rPr>
        <w:t xml:space="preserve">The annual target for orthopaedic joint replacements </w:t>
      </w:r>
      <w:r>
        <w:rPr>
          <w:rFonts w:ascii="Arial" w:hAnsi="Arial" w:cs="Arial"/>
          <w:sz w:val="24"/>
        </w:rPr>
        <w:t>for 2016/17 is based on 3,803 primary joint replacements</w:t>
      </w:r>
      <w:r w:rsidRPr="009D7B6C">
        <w:rPr>
          <w:rFonts w:ascii="Arial" w:hAnsi="Arial" w:cs="Arial"/>
          <w:sz w:val="24"/>
        </w:rPr>
        <w:t xml:space="preserve">.  This number is calculated on the basis of one patient to one theatre slot.  Each session equals two </w:t>
      </w:r>
      <w:r>
        <w:rPr>
          <w:rFonts w:ascii="Arial" w:hAnsi="Arial" w:cs="Arial"/>
          <w:sz w:val="24"/>
        </w:rPr>
        <w:t xml:space="preserve">primary joint </w:t>
      </w:r>
      <w:r w:rsidRPr="009D7B6C">
        <w:rPr>
          <w:rFonts w:ascii="Arial" w:hAnsi="Arial" w:cs="Arial"/>
          <w:sz w:val="24"/>
        </w:rPr>
        <w:t>theatre slots.</w:t>
      </w:r>
      <w:r>
        <w:rPr>
          <w:rFonts w:ascii="Arial" w:hAnsi="Arial" w:cs="Arial"/>
          <w:sz w:val="24"/>
        </w:rPr>
        <w:t xml:space="preserve">  However, based on experience over the recent years, we have made the assumption that t</w:t>
      </w:r>
      <w:r w:rsidRPr="003821FC">
        <w:rPr>
          <w:rFonts w:ascii="Arial" w:hAnsi="Arial" w:cs="Arial"/>
          <w:sz w:val="24"/>
        </w:rPr>
        <w:t xml:space="preserve">he number of complex joint replacements </w:t>
      </w:r>
      <w:r>
        <w:rPr>
          <w:rFonts w:ascii="Arial" w:hAnsi="Arial" w:cs="Arial"/>
          <w:sz w:val="24"/>
        </w:rPr>
        <w:t xml:space="preserve">likely to be referred </w:t>
      </w:r>
      <w:r w:rsidRPr="003821FC">
        <w:rPr>
          <w:rFonts w:ascii="Arial" w:hAnsi="Arial" w:cs="Arial"/>
          <w:sz w:val="24"/>
        </w:rPr>
        <w:t>for treatment</w:t>
      </w:r>
      <w:r>
        <w:rPr>
          <w:rFonts w:ascii="Arial" w:hAnsi="Arial" w:cs="Arial"/>
          <w:sz w:val="24"/>
        </w:rPr>
        <w:t xml:space="preserve"> would be approximately 9</w:t>
      </w:r>
      <w:r w:rsidRPr="003821FC">
        <w:rPr>
          <w:rFonts w:ascii="Arial" w:hAnsi="Arial" w:cs="Arial"/>
          <w:sz w:val="24"/>
        </w:rPr>
        <w:t>%</w:t>
      </w:r>
      <w:r>
        <w:rPr>
          <w:rFonts w:ascii="Arial" w:hAnsi="Arial" w:cs="Arial"/>
          <w:sz w:val="24"/>
        </w:rPr>
        <w:t xml:space="preserve">.  </w:t>
      </w:r>
      <w:r w:rsidRPr="003821FC">
        <w:rPr>
          <w:rFonts w:ascii="Arial" w:hAnsi="Arial" w:cs="Arial"/>
          <w:sz w:val="24"/>
        </w:rPr>
        <w:t xml:space="preserve">These procedures typically take the </w:t>
      </w:r>
      <w:r w:rsidR="00AF6CB4">
        <w:rPr>
          <w:rFonts w:ascii="Arial" w:hAnsi="Arial" w:cs="Arial"/>
          <w:sz w:val="24"/>
        </w:rPr>
        <w:t>equivalent theatre space of 1.5</w:t>
      </w:r>
      <w:r w:rsidRPr="003821FC">
        <w:rPr>
          <w:rFonts w:ascii="Arial" w:hAnsi="Arial" w:cs="Arial"/>
          <w:sz w:val="24"/>
        </w:rPr>
        <w:t>-2 primary joint replacements.</w:t>
      </w:r>
      <w:r>
        <w:rPr>
          <w:rFonts w:ascii="Arial" w:hAnsi="Arial" w:cs="Arial"/>
          <w:sz w:val="24"/>
        </w:rPr>
        <w:t xml:space="preserve">  </w:t>
      </w:r>
    </w:p>
    <w:p w:rsidR="002956A9" w:rsidRDefault="002956A9" w:rsidP="0063555A">
      <w:pPr>
        <w:pStyle w:val="BodyTextIndent3"/>
        <w:spacing w:after="0"/>
        <w:ind w:left="720"/>
        <w:rPr>
          <w:rFonts w:ascii="Arial" w:hAnsi="Arial" w:cs="Arial"/>
          <w:sz w:val="24"/>
        </w:rPr>
      </w:pPr>
    </w:p>
    <w:p w:rsidR="002956A9" w:rsidRDefault="002956A9" w:rsidP="0063555A">
      <w:pPr>
        <w:pStyle w:val="BodyTextIndent3"/>
        <w:spacing w:after="0"/>
        <w:ind w:left="720"/>
        <w:rPr>
          <w:rFonts w:ascii="Arial" w:hAnsi="Arial" w:cs="Arial"/>
          <w:sz w:val="24"/>
        </w:rPr>
      </w:pPr>
      <w:r>
        <w:rPr>
          <w:rFonts w:ascii="Arial" w:hAnsi="Arial" w:cs="Arial"/>
          <w:sz w:val="24"/>
        </w:rPr>
        <w:t xml:space="preserve">In addition to the 3,803 primary joint replacements, there </w:t>
      </w:r>
      <w:proofErr w:type="gramStart"/>
      <w:r>
        <w:rPr>
          <w:rFonts w:ascii="Arial" w:hAnsi="Arial" w:cs="Arial"/>
          <w:sz w:val="24"/>
        </w:rPr>
        <w:t>is</w:t>
      </w:r>
      <w:proofErr w:type="gramEnd"/>
      <w:r>
        <w:rPr>
          <w:rFonts w:ascii="Arial" w:hAnsi="Arial" w:cs="Arial"/>
          <w:sz w:val="24"/>
        </w:rPr>
        <w:t xml:space="preserve"> a target number of 681 orthopaedic non joint procedures and 550 foot and ankle procedures for the year.  This equates to a total of 5034 orthopaedic theatre slots per annum (as documented in Appendix B).</w:t>
      </w:r>
    </w:p>
    <w:p w:rsidR="002956A9" w:rsidRDefault="002956A9" w:rsidP="0063555A">
      <w:pPr>
        <w:pStyle w:val="BodyTextIndent3"/>
        <w:spacing w:after="0"/>
        <w:ind w:left="720"/>
        <w:rPr>
          <w:rFonts w:ascii="Arial" w:hAnsi="Arial" w:cs="Arial"/>
          <w:sz w:val="24"/>
        </w:rPr>
      </w:pPr>
    </w:p>
    <w:p w:rsidR="002956A9" w:rsidRDefault="002956A9" w:rsidP="0063555A">
      <w:pPr>
        <w:pStyle w:val="BodyTextIndent3"/>
        <w:spacing w:after="0"/>
        <w:ind w:left="720"/>
        <w:rPr>
          <w:rFonts w:ascii="Arial" w:hAnsi="Arial" w:cs="Arial"/>
          <w:sz w:val="24"/>
        </w:rPr>
      </w:pPr>
      <w:r>
        <w:rPr>
          <w:rFonts w:ascii="Arial" w:hAnsi="Arial" w:cs="Arial"/>
          <w:sz w:val="24"/>
        </w:rPr>
        <w:t xml:space="preserve">At the end of February, orthopaedic joint activity was ahead of the year to date plan by 141 primary joint replacements and 107 foot and ankle procedures although behind by 113 other ‘non joint’ procedures (which consists of intermediate/minor procedures such as </w:t>
      </w:r>
      <w:r w:rsidR="00AF6CB4">
        <w:rPr>
          <w:rFonts w:ascii="Arial" w:hAnsi="Arial" w:cs="Arial"/>
          <w:sz w:val="24"/>
        </w:rPr>
        <w:t>Anterior Cruciate Ligament (</w:t>
      </w:r>
      <w:r>
        <w:rPr>
          <w:rFonts w:ascii="Arial" w:hAnsi="Arial" w:cs="Arial"/>
          <w:sz w:val="24"/>
        </w:rPr>
        <w:t>ACL</w:t>
      </w:r>
      <w:r w:rsidR="00AF6CB4">
        <w:rPr>
          <w:rFonts w:ascii="Arial" w:hAnsi="Arial" w:cs="Arial"/>
          <w:sz w:val="24"/>
        </w:rPr>
        <w:t>)</w:t>
      </w:r>
      <w:r>
        <w:rPr>
          <w:rFonts w:ascii="Arial" w:hAnsi="Arial" w:cs="Arial"/>
          <w:sz w:val="24"/>
        </w:rPr>
        <w:t xml:space="preserve"> repair, arthroscopy etc).  Overall, orthopaedic surgery is currently ahead of the full year plan by 135 procedures/theatre slots.</w:t>
      </w:r>
    </w:p>
    <w:p w:rsidR="002956A9" w:rsidRDefault="002956A9" w:rsidP="0063555A">
      <w:pPr>
        <w:pStyle w:val="BodyTextIndent3"/>
        <w:spacing w:after="0"/>
        <w:ind w:left="720"/>
        <w:rPr>
          <w:rFonts w:ascii="Arial" w:hAnsi="Arial" w:cs="Arial"/>
          <w:b/>
          <w:sz w:val="24"/>
        </w:rPr>
      </w:pPr>
    </w:p>
    <w:p w:rsidR="002956A9" w:rsidRPr="00FD6400" w:rsidRDefault="0063555A" w:rsidP="0063555A">
      <w:pPr>
        <w:pStyle w:val="BodyTextIndent3"/>
        <w:spacing w:after="0"/>
        <w:ind w:left="0"/>
        <w:rPr>
          <w:rFonts w:ascii="Arial" w:hAnsi="Arial" w:cs="Arial"/>
          <w:b/>
          <w:sz w:val="24"/>
        </w:rPr>
      </w:pPr>
      <w:r>
        <w:rPr>
          <w:rFonts w:ascii="Arial" w:hAnsi="Arial" w:cs="Arial"/>
          <w:b/>
          <w:sz w:val="24"/>
        </w:rPr>
        <w:t>3.2</w:t>
      </w:r>
      <w:r>
        <w:rPr>
          <w:rFonts w:ascii="Arial" w:hAnsi="Arial" w:cs="Arial"/>
          <w:b/>
          <w:sz w:val="24"/>
        </w:rPr>
        <w:tab/>
      </w:r>
      <w:r w:rsidR="002956A9" w:rsidRPr="00FD6400">
        <w:rPr>
          <w:rFonts w:ascii="Arial" w:hAnsi="Arial" w:cs="Arial"/>
          <w:b/>
          <w:sz w:val="24"/>
        </w:rPr>
        <w:t>Ophthalmic Surgery</w:t>
      </w:r>
    </w:p>
    <w:p w:rsidR="002956A9" w:rsidRDefault="002956A9" w:rsidP="0063555A">
      <w:pPr>
        <w:pStyle w:val="BodyTextIndent3"/>
        <w:spacing w:after="0"/>
        <w:ind w:left="720"/>
        <w:rPr>
          <w:rFonts w:ascii="Arial" w:hAnsi="Arial" w:cs="Arial"/>
          <w:sz w:val="24"/>
        </w:rPr>
      </w:pPr>
    </w:p>
    <w:p w:rsidR="002956A9" w:rsidRDefault="002956A9" w:rsidP="0063555A">
      <w:pPr>
        <w:pStyle w:val="BodyTextIndent3"/>
        <w:spacing w:after="0"/>
        <w:ind w:left="720"/>
        <w:rPr>
          <w:rFonts w:ascii="Arial" w:hAnsi="Arial" w:cs="Arial"/>
          <w:sz w:val="24"/>
        </w:rPr>
      </w:pPr>
      <w:r>
        <w:rPr>
          <w:rFonts w:ascii="Arial" w:hAnsi="Arial" w:cs="Arial"/>
          <w:sz w:val="24"/>
        </w:rPr>
        <w:t>Ophthalmology activity was 115 procedures behind plan for the month of February.  The ophthalmology year to date shortfall is currently 734 procedures.  This co</w:t>
      </w:r>
      <w:r w:rsidR="00AF6CB4">
        <w:rPr>
          <w:rFonts w:ascii="Arial" w:hAnsi="Arial" w:cs="Arial"/>
          <w:sz w:val="24"/>
        </w:rPr>
        <w:t>ntinues to be primarily due to C</w:t>
      </w:r>
      <w:r>
        <w:rPr>
          <w:rFonts w:ascii="Arial" w:hAnsi="Arial" w:cs="Arial"/>
          <w:sz w:val="24"/>
        </w:rPr>
        <w:t xml:space="preserve">onsultant availability and productivity in the mobile theatre.  </w:t>
      </w:r>
    </w:p>
    <w:p w:rsidR="002956A9" w:rsidRDefault="002956A9" w:rsidP="0063555A">
      <w:pPr>
        <w:pStyle w:val="BodyTextIndent3"/>
        <w:spacing w:after="0"/>
        <w:ind w:left="720"/>
        <w:rPr>
          <w:rFonts w:ascii="Arial" w:hAnsi="Arial" w:cs="Arial"/>
          <w:b/>
          <w:sz w:val="24"/>
        </w:rPr>
      </w:pPr>
    </w:p>
    <w:p w:rsidR="002956A9" w:rsidRDefault="0063555A" w:rsidP="0063555A">
      <w:pPr>
        <w:pStyle w:val="BodyTextIndent3"/>
        <w:spacing w:after="0"/>
        <w:ind w:left="0"/>
        <w:rPr>
          <w:rFonts w:ascii="Arial" w:hAnsi="Arial" w:cs="Arial"/>
          <w:b/>
          <w:sz w:val="24"/>
        </w:rPr>
      </w:pPr>
      <w:r>
        <w:rPr>
          <w:rFonts w:ascii="Arial" w:hAnsi="Arial" w:cs="Arial"/>
          <w:b/>
          <w:sz w:val="24"/>
        </w:rPr>
        <w:t>3.3</w:t>
      </w:r>
      <w:r>
        <w:rPr>
          <w:rFonts w:ascii="Arial" w:hAnsi="Arial" w:cs="Arial"/>
          <w:b/>
          <w:sz w:val="24"/>
        </w:rPr>
        <w:tab/>
      </w:r>
      <w:r w:rsidR="002956A9">
        <w:rPr>
          <w:rFonts w:ascii="Arial" w:hAnsi="Arial" w:cs="Arial"/>
          <w:b/>
          <w:sz w:val="24"/>
        </w:rPr>
        <w:t>General Surgery</w:t>
      </w:r>
    </w:p>
    <w:p w:rsidR="002956A9" w:rsidRDefault="002956A9" w:rsidP="0063555A">
      <w:pPr>
        <w:pStyle w:val="BodyTextIndent3"/>
        <w:spacing w:after="0"/>
        <w:ind w:left="720"/>
        <w:rPr>
          <w:rFonts w:ascii="Arial" w:hAnsi="Arial" w:cs="Arial"/>
          <w:b/>
          <w:sz w:val="24"/>
        </w:rPr>
      </w:pPr>
    </w:p>
    <w:p w:rsidR="002956A9" w:rsidRDefault="002956A9" w:rsidP="0063555A">
      <w:pPr>
        <w:pStyle w:val="BodyTextIndent3"/>
        <w:spacing w:after="0"/>
        <w:ind w:left="720"/>
        <w:rPr>
          <w:rFonts w:ascii="Arial" w:hAnsi="Arial" w:cs="Arial"/>
          <w:sz w:val="24"/>
        </w:rPr>
      </w:pPr>
      <w:r>
        <w:rPr>
          <w:rFonts w:ascii="Arial" w:hAnsi="Arial" w:cs="Arial"/>
          <w:sz w:val="24"/>
        </w:rPr>
        <w:t>General</w:t>
      </w:r>
      <w:r w:rsidR="00AF6CB4">
        <w:rPr>
          <w:rFonts w:ascii="Arial" w:hAnsi="Arial" w:cs="Arial"/>
          <w:sz w:val="24"/>
        </w:rPr>
        <w:t xml:space="preserve"> S</w:t>
      </w:r>
      <w:r>
        <w:rPr>
          <w:rFonts w:ascii="Arial" w:hAnsi="Arial" w:cs="Arial"/>
          <w:sz w:val="24"/>
        </w:rPr>
        <w:t xml:space="preserve">urgery performed slightly ahead of the monthly target in February and remains ahead of the year to date plan. </w:t>
      </w:r>
    </w:p>
    <w:p w:rsidR="002956A9" w:rsidRPr="004740F6" w:rsidRDefault="002956A9" w:rsidP="0063555A">
      <w:pPr>
        <w:pStyle w:val="BodyTextIndent3"/>
        <w:spacing w:after="0"/>
        <w:ind w:left="720"/>
        <w:rPr>
          <w:rFonts w:ascii="Arial" w:hAnsi="Arial" w:cs="Arial"/>
          <w:sz w:val="24"/>
        </w:rPr>
      </w:pPr>
    </w:p>
    <w:p w:rsidR="002956A9" w:rsidRDefault="0063555A" w:rsidP="0063555A">
      <w:pPr>
        <w:pStyle w:val="BodyTextIndent3"/>
        <w:spacing w:after="0"/>
        <w:ind w:left="0"/>
        <w:rPr>
          <w:rFonts w:ascii="Arial" w:hAnsi="Arial" w:cs="Arial"/>
          <w:b/>
          <w:sz w:val="24"/>
        </w:rPr>
      </w:pPr>
      <w:r>
        <w:rPr>
          <w:rFonts w:ascii="Arial" w:hAnsi="Arial" w:cs="Arial"/>
          <w:b/>
          <w:sz w:val="24"/>
        </w:rPr>
        <w:t>3.4</w:t>
      </w:r>
      <w:r>
        <w:rPr>
          <w:rFonts w:ascii="Arial" w:hAnsi="Arial" w:cs="Arial"/>
          <w:b/>
          <w:sz w:val="24"/>
        </w:rPr>
        <w:tab/>
      </w:r>
      <w:r w:rsidR="002956A9">
        <w:rPr>
          <w:rFonts w:ascii="Arial" w:hAnsi="Arial" w:cs="Arial"/>
          <w:b/>
          <w:sz w:val="24"/>
        </w:rPr>
        <w:t>Plastic Surgery</w:t>
      </w:r>
    </w:p>
    <w:p w:rsidR="002956A9" w:rsidRDefault="002956A9" w:rsidP="0063555A">
      <w:pPr>
        <w:pStyle w:val="BodyTextIndent3"/>
        <w:spacing w:after="0"/>
        <w:ind w:left="720"/>
        <w:rPr>
          <w:rFonts w:ascii="Arial" w:hAnsi="Arial" w:cs="Arial"/>
          <w:b/>
          <w:sz w:val="24"/>
        </w:rPr>
      </w:pPr>
    </w:p>
    <w:p w:rsidR="002956A9" w:rsidRDefault="002956A9" w:rsidP="00AF6CB4">
      <w:pPr>
        <w:pStyle w:val="BodyTextIndent3"/>
        <w:spacing w:after="0"/>
        <w:ind w:left="720"/>
        <w:rPr>
          <w:rFonts w:ascii="Arial" w:hAnsi="Arial" w:cs="Arial"/>
          <w:sz w:val="24"/>
        </w:rPr>
      </w:pPr>
      <w:r>
        <w:rPr>
          <w:rFonts w:ascii="Arial" w:hAnsi="Arial" w:cs="Arial"/>
          <w:sz w:val="24"/>
        </w:rPr>
        <w:t>For reporting purposes</w:t>
      </w:r>
      <w:r w:rsidR="00AF6CB4">
        <w:rPr>
          <w:rFonts w:ascii="Arial" w:hAnsi="Arial" w:cs="Arial"/>
          <w:sz w:val="24"/>
        </w:rPr>
        <w:t>,</w:t>
      </w:r>
      <w:r>
        <w:rPr>
          <w:rFonts w:ascii="Arial" w:hAnsi="Arial" w:cs="Arial"/>
          <w:sz w:val="24"/>
        </w:rPr>
        <w:t xml:space="preserve"> Plastic Surgery has been split and will be monitored throughout 2017/18 as hand surgery, minor plastic surgery and major plastic surgery. Hand surgery was slightly behind plan for the month of February by 5 procedures.  Minor plastic surgery procedures were also behind </w:t>
      </w:r>
      <w:r w:rsidR="0063555A">
        <w:rPr>
          <w:rFonts w:ascii="Arial" w:hAnsi="Arial" w:cs="Arial"/>
          <w:sz w:val="24"/>
        </w:rPr>
        <w:t xml:space="preserve">plan and </w:t>
      </w:r>
      <w:r>
        <w:rPr>
          <w:rFonts w:ascii="Arial" w:hAnsi="Arial" w:cs="Arial"/>
          <w:sz w:val="24"/>
        </w:rPr>
        <w:t xml:space="preserve">major plastics procedures were on target) for the month of February.  </w:t>
      </w:r>
    </w:p>
    <w:p w:rsidR="002956A9" w:rsidRDefault="002956A9" w:rsidP="0063555A">
      <w:pPr>
        <w:pStyle w:val="BodyTextIndent3"/>
        <w:spacing w:after="0"/>
        <w:ind w:left="720"/>
        <w:rPr>
          <w:rFonts w:ascii="Arial" w:hAnsi="Arial" w:cs="Arial"/>
          <w:sz w:val="24"/>
        </w:rPr>
      </w:pPr>
      <w:r>
        <w:rPr>
          <w:rFonts w:ascii="Arial" w:hAnsi="Arial" w:cs="Arial"/>
          <w:sz w:val="24"/>
        </w:rPr>
        <w:t xml:space="preserve"> </w:t>
      </w:r>
    </w:p>
    <w:p w:rsidR="002956A9" w:rsidRDefault="0063555A" w:rsidP="0063555A">
      <w:pPr>
        <w:pStyle w:val="BodyTextIndent3"/>
        <w:spacing w:after="0"/>
        <w:ind w:left="0"/>
        <w:rPr>
          <w:rFonts w:ascii="Arial" w:hAnsi="Arial" w:cs="Arial"/>
          <w:b/>
          <w:sz w:val="24"/>
        </w:rPr>
      </w:pPr>
      <w:r>
        <w:rPr>
          <w:rFonts w:ascii="Arial" w:hAnsi="Arial" w:cs="Arial"/>
          <w:b/>
          <w:sz w:val="24"/>
        </w:rPr>
        <w:lastRenderedPageBreak/>
        <w:t>3.5</w:t>
      </w:r>
      <w:r>
        <w:rPr>
          <w:rFonts w:ascii="Arial" w:hAnsi="Arial" w:cs="Arial"/>
          <w:b/>
          <w:sz w:val="24"/>
        </w:rPr>
        <w:tab/>
      </w:r>
      <w:r w:rsidR="002956A9">
        <w:rPr>
          <w:rFonts w:ascii="Arial" w:hAnsi="Arial" w:cs="Arial"/>
          <w:b/>
          <w:sz w:val="24"/>
        </w:rPr>
        <w:t>Endoscopy</w:t>
      </w:r>
    </w:p>
    <w:p w:rsidR="002956A9" w:rsidRDefault="002956A9" w:rsidP="0063555A">
      <w:pPr>
        <w:pStyle w:val="BodyTextIndent3"/>
        <w:spacing w:after="0"/>
        <w:ind w:left="720"/>
        <w:rPr>
          <w:rFonts w:ascii="Arial" w:hAnsi="Arial" w:cs="Arial"/>
          <w:b/>
          <w:sz w:val="24"/>
        </w:rPr>
      </w:pPr>
    </w:p>
    <w:p w:rsidR="002956A9" w:rsidRPr="00447210" w:rsidRDefault="002956A9" w:rsidP="0063555A">
      <w:pPr>
        <w:pStyle w:val="BodyTextIndent3"/>
        <w:spacing w:after="0"/>
        <w:ind w:left="720"/>
        <w:rPr>
          <w:rFonts w:ascii="Arial" w:hAnsi="Arial" w:cs="Arial"/>
          <w:sz w:val="24"/>
        </w:rPr>
      </w:pPr>
      <w:r>
        <w:rPr>
          <w:rFonts w:ascii="Arial" w:hAnsi="Arial" w:cs="Arial"/>
          <w:sz w:val="24"/>
        </w:rPr>
        <w:t xml:space="preserve">The endoscopy service performed was also behind plan by 29 procedures in the month of February. </w:t>
      </w:r>
    </w:p>
    <w:p w:rsidR="002956A9" w:rsidRDefault="002956A9" w:rsidP="0063555A">
      <w:pPr>
        <w:pStyle w:val="BodyTextIndent3"/>
        <w:spacing w:after="0"/>
        <w:ind w:left="720"/>
        <w:rPr>
          <w:rFonts w:ascii="Arial" w:hAnsi="Arial" w:cs="Arial"/>
          <w:sz w:val="24"/>
        </w:rPr>
      </w:pPr>
    </w:p>
    <w:p w:rsidR="002956A9" w:rsidRPr="00C3217E" w:rsidRDefault="0063555A" w:rsidP="0063555A">
      <w:pPr>
        <w:pStyle w:val="BodyTextIndent3"/>
        <w:spacing w:after="0"/>
        <w:ind w:left="0"/>
        <w:rPr>
          <w:rFonts w:ascii="Arial" w:hAnsi="Arial" w:cs="Arial"/>
          <w:b/>
          <w:sz w:val="24"/>
        </w:rPr>
      </w:pPr>
      <w:r>
        <w:rPr>
          <w:rFonts w:ascii="Arial" w:hAnsi="Arial" w:cs="Arial"/>
          <w:b/>
          <w:sz w:val="24"/>
        </w:rPr>
        <w:t>3.6</w:t>
      </w:r>
      <w:r>
        <w:rPr>
          <w:rFonts w:ascii="Arial" w:hAnsi="Arial" w:cs="Arial"/>
          <w:b/>
          <w:sz w:val="24"/>
        </w:rPr>
        <w:tab/>
      </w:r>
      <w:r w:rsidR="002956A9" w:rsidRPr="00C729C5">
        <w:rPr>
          <w:rFonts w:ascii="Arial" w:hAnsi="Arial" w:cs="Arial"/>
          <w:b/>
          <w:sz w:val="24"/>
        </w:rPr>
        <w:t>Diagnostic Imaging</w:t>
      </w:r>
    </w:p>
    <w:p w:rsidR="002956A9" w:rsidRDefault="002956A9" w:rsidP="0063555A">
      <w:pPr>
        <w:pStyle w:val="BodyTextIndent3"/>
        <w:spacing w:after="0"/>
        <w:ind w:left="720"/>
        <w:rPr>
          <w:rFonts w:ascii="Arial" w:hAnsi="Arial" w:cs="Arial"/>
          <w:sz w:val="24"/>
        </w:rPr>
      </w:pPr>
    </w:p>
    <w:p w:rsidR="002956A9" w:rsidRDefault="002956A9" w:rsidP="0063555A">
      <w:pPr>
        <w:pStyle w:val="BodyTextIndent3"/>
        <w:spacing w:after="0"/>
        <w:ind w:left="720"/>
        <w:rPr>
          <w:rFonts w:ascii="Arial" w:hAnsi="Arial" w:cs="Arial"/>
          <w:sz w:val="24"/>
        </w:rPr>
      </w:pPr>
      <w:r>
        <w:rPr>
          <w:rFonts w:ascii="Arial" w:hAnsi="Arial" w:cs="Arial"/>
          <w:sz w:val="24"/>
        </w:rPr>
        <w:t>For the first time this year, although activity has remained high in diagnostic imaging</w:t>
      </w:r>
      <w:r w:rsidR="00AF6CB4">
        <w:rPr>
          <w:rFonts w:ascii="Arial" w:hAnsi="Arial" w:cs="Arial"/>
          <w:sz w:val="24"/>
        </w:rPr>
        <w:t>,</w:t>
      </w:r>
      <w:r>
        <w:rPr>
          <w:rFonts w:ascii="Arial" w:hAnsi="Arial" w:cs="Arial"/>
          <w:sz w:val="24"/>
        </w:rPr>
        <w:t xml:space="preserve"> there was a slight underperformance of 17 examinations in February although ahead of the year to date plan by 703 examinations.  </w:t>
      </w:r>
    </w:p>
    <w:p w:rsidR="002956A9" w:rsidRDefault="002956A9" w:rsidP="0063555A">
      <w:pPr>
        <w:ind w:left="720"/>
        <w:rPr>
          <w:rFonts w:ascii="Arial" w:hAnsi="Arial" w:cs="Arial"/>
        </w:rPr>
      </w:pPr>
    </w:p>
    <w:p w:rsidR="00AF6CB4" w:rsidRDefault="00AF6CB4" w:rsidP="0063555A">
      <w:pPr>
        <w:ind w:left="720"/>
        <w:rPr>
          <w:rFonts w:ascii="Arial" w:hAnsi="Arial" w:cs="Arial"/>
        </w:rPr>
      </w:pPr>
    </w:p>
    <w:p w:rsidR="002956A9" w:rsidRPr="0063555A" w:rsidRDefault="002956A9" w:rsidP="0063555A">
      <w:pPr>
        <w:pStyle w:val="ListParagraph"/>
        <w:numPr>
          <w:ilvl w:val="0"/>
          <w:numId w:val="6"/>
        </w:numPr>
        <w:ind w:hanging="720"/>
        <w:rPr>
          <w:rFonts w:ascii="Arial" w:hAnsi="Arial" w:cs="Arial"/>
          <w:b/>
        </w:rPr>
      </w:pPr>
      <w:r w:rsidRPr="0063555A">
        <w:rPr>
          <w:rFonts w:ascii="Arial" w:hAnsi="Arial" w:cs="Arial"/>
          <w:b/>
        </w:rPr>
        <w:t>Current Situation (February 2018)</w:t>
      </w:r>
    </w:p>
    <w:p w:rsidR="002956A9" w:rsidRDefault="002956A9" w:rsidP="0063555A">
      <w:pPr>
        <w:rPr>
          <w:rFonts w:ascii="Arial" w:hAnsi="Arial" w:cs="Arial"/>
          <w:b/>
        </w:rPr>
      </w:pPr>
    </w:p>
    <w:p w:rsidR="002956A9" w:rsidRDefault="002956A9" w:rsidP="0063555A">
      <w:pPr>
        <w:numPr>
          <w:ilvl w:val="0"/>
          <w:numId w:val="20"/>
        </w:numPr>
        <w:ind w:left="1080"/>
        <w:rPr>
          <w:rFonts w:ascii="Arial" w:hAnsi="Arial" w:cs="Arial"/>
        </w:rPr>
      </w:pPr>
      <w:r>
        <w:rPr>
          <w:rFonts w:ascii="Arial" w:hAnsi="Arial" w:cs="Arial"/>
        </w:rPr>
        <w:t>For various reasons</w:t>
      </w:r>
      <w:r w:rsidR="00AF6CB4">
        <w:rPr>
          <w:rFonts w:ascii="Arial" w:hAnsi="Arial" w:cs="Arial"/>
        </w:rPr>
        <w:t>,</w:t>
      </w:r>
      <w:r>
        <w:rPr>
          <w:rFonts w:ascii="Arial" w:hAnsi="Arial" w:cs="Arial"/>
        </w:rPr>
        <w:t xml:space="preserve"> activity in February was very disappointing.  These reasons include: availability of </w:t>
      </w:r>
      <w:r w:rsidR="00AF6CB4">
        <w:rPr>
          <w:rFonts w:ascii="Arial" w:hAnsi="Arial" w:cs="Arial"/>
        </w:rPr>
        <w:t>C</w:t>
      </w:r>
      <w:r>
        <w:rPr>
          <w:rFonts w:ascii="Arial" w:hAnsi="Arial" w:cs="Arial"/>
        </w:rPr>
        <w:t>onsultants (particularly over the school holiday period) and the high number of cancellations we experienced at the end of the month due to adverse weather conditions.  Unfortunately, cancellations due to adverse</w:t>
      </w:r>
      <w:r w:rsidR="00AF6CB4">
        <w:rPr>
          <w:rFonts w:ascii="Arial" w:hAnsi="Arial" w:cs="Arial"/>
        </w:rPr>
        <w:t xml:space="preserve"> weather continued into March. O</w:t>
      </w:r>
      <w:r>
        <w:rPr>
          <w:rFonts w:ascii="Arial" w:hAnsi="Arial" w:cs="Arial"/>
        </w:rPr>
        <w:t xml:space="preserve">phthalmology, endoscopy and diagnostic imaging were most affected by these challenges. </w:t>
      </w:r>
    </w:p>
    <w:p w:rsidR="002956A9" w:rsidRDefault="002956A9" w:rsidP="0063555A">
      <w:pPr>
        <w:ind w:left="1080"/>
        <w:rPr>
          <w:rFonts w:ascii="Arial" w:hAnsi="Arial" w:cs="Arial"/>
        </w:rPr>
      </w:pPr>
    </w:p>
    <w:p w:rsidR="002956A9" w:rsidRDefault="002956A9" w:rsidP="0063555A">
      <w:pPr>
        <w:numPr>
          <w:ilvl w:val="0"/>
          <w:numId w:val="20"/>
        </w:numPr>
        <w:ind w:left="1080"/>
        <w:rPr>
          <w:rFonts w:ascii="Arial" w:hAnsi="Arial" w:cs="Arial"/>
        </w:rPr>
      </w:pPr>
      <w:r w:rsidRPr="00DB0979">
        <w:rPr>
          <w:rFonts w:ascii="Arial" w:hAnsi="Arial" w:cs="Arial"/>
        </w:rPr>
        <w:t xml:space="preserve">Orthopaedic activity remained high in the month of </w:t>
      </w:r>
      <w:r>
        <w:rPr>
          <w:rFonts w:ascii="Arial" w:hAnsi="Arial" w:cs="Arial"/>
        </w:rPr>
        <w:t xml:space="preserve">February and the service has continued to over perform. </w:t>
      </w:r>
    </w:p>
    <w:p w:rsidR="002956A9" w:rsidRDefault="002956A9" w:rsidP="0063555A">
      <w:pPr>
        <w:pStyle w:val="ListParagraph"/>
        <w:ind w:left="1080"/>
        <w:rPr>
          <w:rFonts w:ascii="Arial" w:hAnsi="Arial" w:cs="Arial"/>
        </w:rPr>
      </w:pPr>
    </w:p>
    <w:p w:rsidR="002956A9" w:rsidRDefault="002956A9" w:rsidP="0063555A">
      <w:pPr>
        <w:numPr>
          <w:ilvl w:val="0"/>
          <w:numId w:val="20"/>
        </w:numPr>
        <w:ind w:left="1080"/>
        <w:rPr>
          <w:rFonts w:ascii="Arial" w:hAnsi="Arial" w:cs="Arial"/>
        </w:rPr>
      </w:pPr>
      <w:r>
        <w:rPr>
          <w:rFonts w:ascii="Arial" w:hAnsi="Arial" w:cs="Arial"/>
        </w:rPr>
        <w:t xml:space="preserve">Demand for foot and ankle surgery continues to exceed our capacity.  However, this service has been working extremely well and has already exceeded the full year plan of 550 procedures/theatre slots.    </w:t>
      </w:r>
    </w:p>
    <w:p w:rsidR="002956A9" w:rsidRPr="00DB0979" w:rsidRDefault="002956A9" w:rsidP="0063555A">
      <w:pPr>
        <w:ind w:left="360"/>
        <w:rPr>
          <w:rFonts w:ascii="Arial" w:hAnsi="Arial" w:cs="Arial"/>
        </w:rPr>
      </w:pPr>
    </w:p>
    <w:p w:rsidR="002956A9" w:rsidRDefault="002956A9" w:rsidP="0063555A">
      <w:pPr>
        <w:numPr>
          <w:ilvl w:val="0"/>
          <w:numId w:val="19"/>
        </w:numPr>
        <w:tabs>
          <w:tab w:val="left" w:pos="709"/>
        </w:tabs>
        <w:ind w:left="1080"/>
        <w:rPr>
          <w:rFonts w:ascii="Arial" w:hAnsi="Arial" w:cs="Arial"/>
        </w:rPr>
      </w:pPr>
      <w:r>
        <w:rPr>
          <w:rFonts w:ascii="Arial" w:hAnsi="Arial" w:cs="Arial"/>
        </w:rPr>
        <w:t>Ophthalmology was 115</w:t>
      </w:r>
      <w:r w:rsidRPr="000D14B5">
        <w:rPr>
          <w:rFonts w:ascii="Arial" w:hAnsi="Arial" w:cs="Arial"/>
        </w:rPr>
        <w:t xml:space="preserve"> proce</w:t>
      </w:r>
      <w:r>
        <w:rPr>
          <w:rFonts w:ascii="Arial" w:hAnsi="Arial" w:cs="Arial"/>
        </w:rPr>
        <w:t>dures behind their monthly plan</w:t>
      </w:r>
      <w:r w:rsidR="00AF6CB4">
        <w:rPr>
          <w:rFonts w:ascii="Arial" w:hAnsi="Arial" w:cs="Arial"/>
        </w:rPr>
        <w:t>,</w:t>
      </w:r>
      <w:r>
        <w:rPr>
          <w:rFonts w:ascii="Arial" w:hAnsi="Arial" w:cs="Arial"/>
        </w:rPr>
        <w:t xml:space="preserve"> which is the equivalent </w:t>
      </w:r>
      <w:r w:rsidR="00AF6CB4">
        <w:rPr>
          <w:rFonts w:ascii="Arial" w:hAnsi="Arial" w:cs="Arial"/>
        </w:rPr>
        <w:t>to the workload of a full time C</w:t>
      </w:r>
      <w:r>
        <w:rPr>
          <w:rFonts w:ascii="Arial" w:hAnsi="Arial" w:cs="Arial"/>
        </w:rPr>
        <w:t>onsultant.  Having now reinforced the floor in the mobile theatre and purchased a new microscope, w</w:t>
      </w:r>
      <w:r w:rsidRPr="000D14B5">
        <w:rPr>
          <w:rFonts w:ascii="Arial" w:hAnsi="Arial" w:cs="Arial"/>
        </w:rPr>
        <w:t>e</w:t>
      </w:r>
      <w:r>
        <w:rPr>
          <w:rFonts w:ascii="Arial" w:hAnsi="Arial" w:cs="Arial"/>
        </w:rPr>
        <w:t xml:space="preserve"> are hopeful that productivity in the mobile unit will now improve.</w:t>
      </w:r>
      <w:r w:rsidRPr="000D14B5">
        <w:rPr>
          <w:rFonts w:ascii="Arial" w:hAnsi="Arial" w:cs="Arial"/>
        </w:rPr>
        <w:t xml:space="preserve">  </w:t>
      </w:r>
    </w:p>
    <w:p w:rsidR="002956A9" w:rsidRDefault="002956A9" w:rsidP="0063555A">
      <w:pPr>
        <w:tabs>
          <w:tab w:val="left" w:pos="709"/>
        </w:tabs>
        <w:ind w:left="1080"/>
        <w:rPr>
          <w:rFonts w:ascii="Arial" w:hAnsi="Arial" w:cs="Arial"/>
        </w:rPr>
      </w:pPr>
    </w:p>
    <w:p w:rsidR="002956A9" w:rsidRDefault="00AF6CB4" w:rsidP="0063555A">
      <w:pPr>
        <w:numPr>
          <w:ilvl w:val="0"/>
          <w:numId w:val="19"/>
        </w:numPr>
        <w:tabs>
          <w:tab w:val="left" w:pos="709"/>
        </w:tabs>
        <w:ind w:left="1080"/>
        <w:rPr>
          <w:rFonts w:ascii="Arial" w:hAnsi="Arial" w:cs="Arial"/>
        </w:rPr>
      </w:pPr>
      <w:r>
        <w:rPr>
          <w:rFonts w:ascii="Arial" w:hAnsi="Arial" w:cs="Arial"/>
        </w:rPr>
        <w:t>The recovery plan for E</w:t>
      </w:r>
      <w:r w:rsidR="002956A9" w:rsidRPr="00326EE3">
        <w:rPr>
          <w:rFonts w:ascii="Arial" w:hAnsi="Arial" w:cs="Arial"/>
        </w:rPr>
        <w:t>ndoscopy had proven to be successful</w:t>
      </w:r>
      <w:r w:rsidR="002956A9">
        <w:rPr>
          <w:rFonts w:ascii="Arial" w:hAnsi="Arial" w:cs="Arial"/>
        </w:rPr>
        <w:t>, however, this was</w:t>
      </w:r>
      <w:r w:rsidR="002956A9" w:rsidRPr="00326EE3">
        <w:rPr>
          <w:rFonts w:ascii="Arial" w:hAnsi="Arial" w:cs="Arial"/>
        </w:rPr>
        <w:t xml:space="preserve"> </w:t>
      </w:r>
      <w:r w:rsidR="002956A9">
        <w:rPr>
          <w:rFonts w:ascii="Arial" w:hAnsi="Arial" w:cs="Arial"/>
        </w:rPr>
        <w:t xml:space="preserve">impacted by </w:t>
      </w:r>
      <w:r w:rsidR="002956A9" w:rsidRPr="00326EE3">
        <w:rPr>
          <w:rFonts w:ascii="Arial" w:hAnsi="Arial" w:cs="Arial"/>
        </w:rPr>
        <w:t>th</w:t>
      </w:r>
      <w:r w:rsidR="002956A9">
        <w:rPr>
          <w:rFonts w:ascii="Arial" w:hAnsi="Arial" w:cs="Arial"/>
        </w:rPr>
        <w:t>e adverse weather when there were</w:t>
      </w:r>
      <w:r w:rsidR="002956A9" w:rsidRPr="00326EE3">
        <w:rPr>
          <w:rFonts w:ascii="Arial" w:hAnsi="Arial" w:cs="Arial"/>
        </w:rPr>
        <w:t xml:space="preserve"> a high number of cancella</w:t>
      </w:r>
      <w:r w:rsidR="002956A9">
        <w:rPr>
          <w:rFonts w:ascii="Arial" w:hAnsi="Arial" w:cs="Arial"/>
        </w:rPr>
        <w:t>tions and consultants</w:t>
      </w:r>
      <w:r w:rsidR="002956A9" w:rsidRPr="00326EE3">
        <w:rPr>
          <w:rFonts w:ascii="Arial" w:hAnsi="Arial" w:cs="Arial"/>
        </w:rPr>
        <w:t xml:space="preserve"> were unavailable to recover the shortfall. </w:t>
      </w:r>
    </w:p>
    <w:p w:rsidR="002956A9" w:rsidRDefault="002956A9" w:rsidP="0063555A">
      <w:pPr>
        <w:pStyle w:val="ListParagraph"/>
        <w:ind w:left="360"/>
        <w:rPr>
          <w:rFonts w:ascii="Arial" w:hAnsi="Arial" w:cs="Arial"/>
        </w:rPr>
      </w:pPr>
    </w:p>
    <w:p w:rsidR="00AF6CB4" w:rsidRDefault="00AF6CB4" w:rsidP="0063555A">
      <w:pPr>
        <w:pStyle w:val="ListParagraph"/>
        <w:ind w:left="360"/>
        <w:rPr>
          <w:rFonts w:ascii="Arial" w:hAnsi="Arial" w:cs="Arial"/>
        </w:rPr>
      </w:pPr>
    </w:p>
    <w:p w:rsidR="002956A9" w:rsidRDefault="002956A9" w:rsidP="0063555A">
      <w:pPr>
        <w:pStyle w:val="ListParagraph"/>
        <w:numPr>
          <w:ilvl w:val="0"/>
          <w:numId w:val="6"/>
        </w:numPr>
        <w:ind w:hanging="720"/>
        <w:rPr>
          <w:rFonts w:ascii="Arial" w:hAnsi="Arial" w:cs="Arial"/>
          <w:b/>
        </w:rPr>
      </w:pPr>
      <w:r>
        <w:rPr>
          <w:rFonts w:ascii="Arial" w:hAnsi="Arial" w:cs="Arial"/>
          <w:b/>
        </w:rPr>
        <w:t>Update Year End Position (March 2018)</w:t>
      </w:r>
    </w:p>
    <w:p w:rsidR="002956A9" w:rsidRDefault="002956A9" w:rsidP="0063555A">
      <w:pPr>
        <w:pStyle w:val="ListParagraph"/>
        <w:ind w:left="0"/>
        <w:rPr>
          <w:rFonts w:ascii="Arial" w:hAnsi="Arial" w:cs="Arial"/>
          <w:b/>
        </w:rPr>
      </w:pPr>
    </w:p>
    <w:p w:rsidR="002956A9" w:rsidRPr="00AA5EAE" w:rsidRDefault="002956A9" w:rsidP="0063555A">
      <w:pPr>
        <w:pStyle w:val="ListParagraph"/>
        <w:numPr>
          <w:ilvl w:val="0"/>
          <w:numId w:val="21"/>
        </w:numPr>
        <w:ind w:left="1080"/>
        <w:rPr>
          <w:rFonts w:ascii="Arial" w:hAnsi="Arial" w:cs="Arial"/>
          <w:b/>
        </w:rPr>
      </w:pPr>
      <w:r>
        <w:rPr>
          <w:rFonts w:ascii="Arial" w:hAnsi="Arial" w:cs="Arial"/>
        </w:rPr>
        <w:t>Although the 2017/18 year end activity still needs to be finalised, early indications of the end of March position is as follows:</w:t>
      </w:r>
    </w:p>
    <w:p w:rsidR="002956A9" w:rsidRDefault="002956A9" w:rsidP="0063555A">
      <w:pPr>
        <w:pStyle w:val="ListParagraph"/>
        <w:ind w:left="1080"/>
        <w:rPr>
          <w:rFonts w:ascii="Arial" w:hAnsi="Arial" w:cs="Arial"/>
        </w:rPr>
      </w:pPr>
    </w:p>
    <w:p w:rsidR="002956A9" w:rsidRDefault="002956A9" w:rsidP="0063555A">
      <w:pPr>
        <w:pStyle w:val="ListParagraph"/>
        <w:numPr>
          <w:ilvl w:val="1"/>
          <w:numId w:val="21"/>
        </w:numPr>
        <w:rPr>
          <w:rFonts w:ascii="Arial" w:hAnsi="Arial" w:cs="Arial"/>
        </w:rPr>
      </w:pPr>
      <w:r>
        <w:rPr>
          <w:rFonts w:ascii="Arial" w:hAnsi="Arial" w:cs="Arial"/>
        </w:rPr>
        <w:t>Inpatients/Day Cases  -  5.5% behind full year plan</w:t>
      </w:r>
    </w:p>
    <w:p w:rsidR="002956A9" w:rsidRDefault="002956A9" w:rsidP="0063555A">
      <w:pPr>
        <w:pStyle w:val="ListParagraph"/>
        <w:numPr>
          <w:ilvl w:val="1"/>
          <w:numId w:val="21"/>
        </w:numPr>
        <w:rPr>
          <w:rFonts w:ascii="Arial" w:hAnsi="Arial" w:cs="Arial"/>
        </w:rPr>
      </w:pPr>
      <w:r>
        <w:rPr>
          <w:rFonts w:ascii="Arial" w:hAnsi="Arial" w:cs="Arial"/>
        </w:rPr>
        <w:t>Total Inpatients/Day Cases/Diagnostics  -  0.1% behind full year plan</w:t>
      </w:r>
    </w:p>
    <w:p w:rsidR="00AF6CB4" w:rsidRDefault="00AF6CB4" w:rsidP="0063555A">
      <w:pPr>
        <w:pStyle w:val="ListParagraph"/>
        <w:rPr>
          <w:rFonts w:ascii="Arial" w:hAnsi="Arial" w:cs="Arial"/>
          <w:b/>
        </w:rPr>
      </w:pPr>
    </w:p>
    <w:p w:rsidR="00AF6CB4" w:rsidRDefault="00AF6CB4" w:rsidP="0063555A">
      <w:pPr>
        <w:pStyle w:val="ListParagraph"/>
        <w:rPr>
          <w:rFonts w:ascii="Arial" w:hAnsi="Arial" w:cs="Arial"/>
          <w:b/>
        </w:rPr>
      </w:pPr>
    </w:p>
    <w:p w:rsidR="00AF6CB4" w:rsidRDefault="00AF6CB4" w:rsidP="0063555A">
      <w:pPr>
        <w:pStyle w:val="ListParagraph"/>
        <w:rPr>
          <w:rFonts w:ascii="Arial" w:hAnsi="Arial" w:cs="Arial"/>
          <w:b/>
        </w:rPr>
      </w:pPr>
    </w:p>
    <w:p w:rsidR="002956A9" w:rsidRPr="00495150" w:rsidRDefault="002956A9" w:rsidP="0063555A">
      <w:pPr>
        <w:pStyle w:val="ListParagraph"/>
        <w:rPr>
          <w:rFonts w:ascii="Arial" w:hAnsi="Arial" w:cs="Arial"/>
          <w:b/>
        </w:rPr>
      </w:pPr>
      <w:r w:rsidRPr="00495150">
        <w:rPr>
          <w:rFonts w:ascii="Arial" w:hAnsi="Arial" w:cs="Arial"/>
          <w:b/>
        </w:rPr>
        <w:lastRenderedPageBreak/>
        <w:t>Key Points</w:t>
      </w:r>
    </w:p>
    <w:p w:rsidR="002956A9" w:rsidRDefault="002956A9" w:rsidP="0063555A">
      <w:pPr>
        <w:pStyle w:val="ListParagraph"/>
        <w:rPr>
          <w:rFonts w:ascii="Arial" w:hAnsi="Arial" w:cs="Arial"/>
        </w:rPr>
      </w:pPr>
    </w:p>
    <w:p w:rsidR="002956A9" w:rsidRDefault="002956A9" w:rsidP="00AF6CB4">
      <w:pPr>
        <w:pStyle w:val="ListParagraph"/>
        <w:numPr>
          <w:ilvl w:val="0"/>
          <w:numId w:val="21"/>
        </w:numPr>
        <w:ind w:left="1134"/>
        <w:rPr>
          <w:rFonts w:ascii="Arial" w:hAnsi="Arial" w:cs="Arial"/>
        </w:rPr>
      </w:pPr>
      <w:r>
        <w:rPr>
          <w:rFonts w:ascii="Arial" w:hAnsi="Arial" w:cs="Arial"/>
        </w:rPr>
        <w:t>Challenging activity target were set for 2017/18 as indicated below:</w:t>
      </w:r>
    </w:p>
    <w:p w:rsidR="002956A9" w:rsidRDefault="002956A9" w:rsidP="0063555A">
      <w:pPr>
        <w:pStyle w:val="ListParagraph"/>
        <w:ind w:left="1440"/>
        <w:rPr>
          <w:rFonts w:ascii="Arial" w:hAnsi="Arial" w:cs="Arial"/>
        </w:rPr>
      </w:pPr>
    </w:p>
    <w:tbl>
      <w:tblPr>
        <w:tblW w:w="7398" w:type="dxa"/>
        <w:tblInd w:w="1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79"/>
        <w:gridCol w:w="1615"/>
        <w:gridCol w:w="1560"/>
        <w:gridCol w:w="1444"/>
      </w:tblGrid>
      <w:tr w:rsidR="002956A9" w:rsidRPr="003D115B" w:rsidTr="0063555A">
        <w:tc>
          <w:tcPr>
            <w:tcW w:w="2779" w:type="dxa"/>
          </w:tcPr>
          <w:p w:rsidR="002956A9" w:rsidRPr="002956A9" w:rsidRDefault="002956A9" w:rsidP="0063555A">
            <w:pPr>
              <w:pStyle w:val="ListParagraph"/>
              <w:ind w:left="-108"/>
              <w:rPr>
                <w:rFonts w:ascii="Arial" w:hAnsi="Arial" w:cs="Arial"/>
              </w:rPr>
            </w:pPr>
          </w:p>
        </w:tc>
        <w:tc>
          <w:tcPr>
            <w:tcW w:w="1615" w:type="dxa"/>
            <w:shd w:val="clear" w:color="auto" w:fill="C6D9F1" w:themeFill="text2" w:themeFillTint="33"/>
          </w:tcPr>
          <w:p w:rsidR="002956A9" w:rsidRPr="002956A9" w:rsidRDefault="002956A9" w:rsidP="0063555A">
            <w:pPr>
              <w:pStyle w:val="ListParagraph"/>
              <w:ind w:left="0"/>
              <w:rPr>
                <w:rFonts w:ascii="Arial" w:hAnsi="Arial" w:cs="Arial"/>
              </w:rPr>
            </w:pPr>
            <w:r w:rsidRPr="002956A9">
              <w:rPr>
                <w:rFonts w:ascii="Arial" w:hAnsi="Arial" w:cs="Arial"/>
              </w:rPr>
              <w:t>2016/17 Target</w:t>
            </w:r>
          </w:p>
        </w:tc>
        <w:tc>
          <w:tcPr>
            <w:tcW w:w="1560" w:type="dxa"/>
            <w:shd w:val="clear" w:color="auto" w:fill="C6D9F1" w:themeFill="text2" w:themeFillTint="33"/>
          </w:tcPr>
          <w:p w:rsidR="002956A9" w:rsidRPr="002956A9" w:rsidRDefault="002956A9" w:rsidP="0063555A">
            <w:pPr>
              <w:pStyle w:val="ListParagraph"/>
              <w:ind w:left="0"/>
              <w:rPr>
                <w:rFonts w:ascii="Arial" w:hAnsi="Arial" w:cs="Arial"/>
              </w:rPr>
            </w:pPr>
            <w:r w:rsidRPr="002956A9">
              <w:rPr>
                <w:rFonts w:ascii="Arial" w:hAnsi="Arial" w:cs="Arial"/>
              </w:rPr>
              <w:t>2017/18 Target</w:t>
            </w:r>
          </w:p>
        </w:tc>
        <w:tc>
          <w:tcPr>
            <w:tcW w:w="1444" w:type="dxa"/>
            <w:shd w:val="clear" w:color="auto" w:fill="C6D9F1" w:themeFill="text2" w:themeFillTint="33"/>
          </w:tcPr>
          <w:p w:rsidR="002956A9" w:rsidRPr="002956A9" w:rsidRDefault="002956A9" w:rsidP="0063555A">
            <w:pPr>
              <w:pStyle w:val="ListParagraph"/>
              <w:ind w:left="0"/>
              <w:rPr>
                <w:rFonts w:ascii="Arial" w:hAnsi="Arial" w:cs="Arial"/>
              </w:rPr>
            </w:pPr>
            <w:r w:rsidRPr="002956A9">
              <w:rPr>
                <w:rFonts w:ascii="Arial" w:hAnsi="Arial" w:cs="Arial"/>
              </w:rPr>
              <w:t>Percentage Increase</w:t>
            </w:r>
          </w:p>
        </w:tc>
      </w:tr>
      <w:tr w:rsidR="002956A9" w:rsidTr="0063555A">
        <w:tc>
          <w:tcPr>
            <w:tcW w:w="2779" w:type="dxa"/>
          </w:tcPr>
          <w:p w:rsidR="002956A9" w:rsidRPr="002956A9" w:rsidRDefault="002956A9" w:rsidP="0063555A">
            <w:pPr>
              <w:pStyle w:val="ListParagraph"/>
              <w:ind w:left="-108"/>
              <w:rPr>
                <w:rFonts w:ascii="Arial" w:hAnsi="Arial" w:cs="Arial"/>
              </w:rPr>
            </w:pPr>
            <w:r w:rsidRPr="002956A9">
              <w:rPr>
                <w:rFonts w:ascii="Arial" w:hAnsi="Arial" w:cs="Arial"/>
              </w:rPr>
              <w:t>In</w:t>
            </w:r>
            <w:r w:rsidR="0063555A">
              <w:rPr>
                <w:rFonts w:ascii="Arial" w:hAnsi="Arial" w:cs="Arial"/>
              </w:rPr>
              <w:t>p</w:t>
            </w:r>
            <w:r w:rsidRPr="002956A9">
              <w:rPr>
                <w:rFonts w:ascii="Arial" w:hAnsi="Arial" w:cs="Arial"/>
              </w:rPr>
              <w:t>atients/Day Cases</w:t>
            </w:r>
          </w:p>
        </w:tc>
        <w:tc>
          <w:tcPr>
            <w:tcW w:w="1615" w:type="dxa"/>
          </w:tcPr>
          <w:p w:rsidR="002956A9" w:rsidRPr="002956A9" w:rsidRDefault="002956A9" w:rsidP="0063555A">
            <w:pPr>
              <w:pStyle w:val="ListParagraph"/>
              <w:ind w:left="0"/>
              <w:rPr>
                <w:rFonts w:ascii="Arial" w:hAnsi="Arial" w:cs="Arial"/>
              </w:rPr>
            </w:pPr>
            <w:r w:rsidRPr="002956A9">
              <w:rPr>
                <w:rFonts w:ascii="Arial" w:hAnsi="Arial" w:cs="Arial"/>
              </w:rPr>
              <w:t>14,946</w:t>
            </w:r>
          </w:p>
        </w:tc>
        <w:tc>
          <w:tcPr>
            <w:tcW w:w="1560" w:type="dxa"/>
          </w:tcPr>
          <w:p w:rsidR="002956A9" w:rsidRPr="002956A9" w:rsidRDefault="002956A9" w:rsidP="0063555A">
            <w:pPr>
              <w:pStyle w:val="ListParagraph"/>
              <w:ind w:left="0"/>
              <w:rPr>
                <w:rFonts w:ascii="Arial" w:hAnsi="Arial" w:cs="Arial"/>
              </w:rPr>
            </w:pPr>
            <w:r w:rsidRPr="002956A9">
              <w:rPr>
                <w:rFonts w:ascii="Arial" w:hAnsi="Arial" w:cs="Arial"/>
              </w:rPr>
              <w:t>16,621</w:t>
            </w:r>
          </w:p>
        </w:tc>
        <w:tc>
          <w:tcPr>
            <w:tcW w:w="1444" w:type="dxa"/>
          </w:tcPr>
          <w:p w:rsidR="002956A9" w:rsidRPr="002956A9" w:rsidRDefault="002956A9" w:rsidP="0063555A">
            <w:pPr>
              <w:pStyle w:val="ListParagraph"/>
              <w:ind w:left="0"/>
              <w:rPr>
                <w:rFonts w:ascii="Arial" w:hAnsi="Arial" w:cs="Arial"/>
              </w:rPr>
            </w:pPr>
            <w:r w:rsidRPr="002956A9">
              <w:rPr>
                <w:rFonts w:ascii="Arial" w:hAnsi="Arial" w:cs="Arial"/>
              </w:rPr>
              <w:t>11.2%</w:t>
            </w:r>
          </w:p>
        </w:tc>
      </w:tr>
      <w:tr w:rsidR="002956A9" w:rsidRPr="003D115B" w:rsidTr="0063555A">
        <w:tc>
          <w:tcPr>
            <w:tcW w:w="2779" w:type="dxa"/>
          </w:tcPr>
          <w:p w:rsidR="002956A9" w:rsidRPr="002956A9" w:rsidRDefault="002956A9" w:rsidP="0063555A">
            <w:pPr>
              <w:pStyle w:val="ListParagraph"/>
              <w:ind w:left="-108"/>
              <w:rPr>
                <w:rFonts w:ascii="Arial" w:hAnsi="Arial" w:cs="Arial"/>
              </w:rPr>
            </w:pPr>
            <w:r w:rsidRPr="002956A9">
              <w:rPr>
                <w:rFonts w:ascii="Arial" w:hAnsi="Arial" w:cs="Arial"/>
              </w:rPr>
              <w:t>Diagnostic Imaging</w:t>
            </w:r>
          </w:p>
        </w:tc>
        <w:tc>
          <w:tcPr>
            <w:tcW w:w="1615" w:type="dxa"/>
          </w:tcPr>
          <w:p w:rsidR="002956A9" w:rsidRPr="002956A9" w:rsidRDefault="002956A9" w:rsidP="0063555A">
            <w:pPr>
              <w:pStyle w:val="ListParagraph"/>
              <w:ind w:left="0"/>
              <w:rPr>
                <w:rFonts w:ascii="Arial" w:hAnsi="Arial" w:cs="Arial"/>
              </w:rPr>
            </w:pPr>
            <w:r w:rsidRPr="002956A9">
              <w:rPr>
                <w:rFonts w:ascii="Arial" w:hAnsi="Arial" w:cs="Arial"/>
              </w:rPr>
              <w:t>22,925</w:t>
            </w:r>
          </w:p>
        </w:tc>
        <w:tc>
          <w:tcPr>
            <w:tcW w:w="1560" w:type="dxa"/>
          </w:tcPr>
          <w:p w:rsidR="002956A9" w:rsidRPr="002956A9" w:rsidRDefault="002956A9" w:rsidP="0063555A">
            <w:pPr>
              <w:pStyle w:val="ListParagraph"/>
              <w:ind w:left="0"/>
              <w:rPr>
                <w:rFonts w:ascii="Arial" w:hAnsi="Arial" w:cs="Arial"/>
              </w:rPr>
            </w:pPr>
            <w:r w:rsidRPr="002956A9">
              <w:rPr>
                <w:rFonts w:ascii="Arial" w:hAnsi="Arial" w:cs="Arial"/>
              </w:rPr>
              <w:t>19,450</w:t>
            </w:r>
          </w:p>
        </w:tc>
        <w:tc>
          <w:tcPr>
            <w:tcW w:w="1444" w:type="dxa"/>
          </w:tcPr>
          <w:p w:rsidR="002956A9" w:rsidRPr="002956A9" w:rsidRDefault="002956A9" w:rsidP="0063555A">
            <w:pPr>
              <w:pStyle w:val="ListParagraph"/>
              <w:ind w:left="0"/>
              <w:rPr>
                <w:rFonts w:ascii="Arial" w:hAnsi="Arial" w:cs="Arial"/>
              </w:rPr>
            </w:pPr>
            <w:r w:rsidRPr="002956A9">
              <w:rPr>
                <w:rFonts w:ascii="Arial" w:hAnsi="Arial" w:cs="Arial"/>
              </w:rPr>
              <w:t>28%</w:t>
            </w:r>
          </w:p>
        </w:tc>
      </w:tr>
      <w:tr w:rsidR="002956A9" w:rsidTr="0063555A">
        <w:tc>
          <w:tcPr>
            <w:tcW w:w="2779" w:type="dxa"/>
          </w:tcPr>
          <w:p w:rsidR="002956A9" w:rsidRPr="002956A9" w:rsidRDefault="002956A9" w:rsidP="0063555A">
            <w:pPr>
              <w:pStyle w:val="ListParagraph"/>
              <w:ind w:left="-108"/>
              <w:rPr>
                <w:rFonts w:ascii="Arial" w:hAnsi="Arial" w:cs="Arial"/>
              </w:rPr>
            </w:pPr>
            <w:r w:rsidRPr="002956A9">
              <w:rPr>
                <w:rFonts w:ascii="Arial" w:hAnsi="Arial" w:cs="Arial"/>
              </w:rPr>
              <w:t>Total</w:t>
            </w:r>
          </w:p>
        </w:tc>
        <w:tc>
          <w:tcPr>
            <w:tcW w:w="1615" w:type="dxa"/>
          </w:tcPr>
          <w:p w:rsidR="002956A9" w:rsidRPr="002956A9" w:rsidRDefault="002956A9" w:rsidP="0063555A">
            <w:pPr>
              <w:pStyle w:val="ListParagraph"/>
              <w:ind w:left="0"/>
              <w:rPr>
                <w:rFonts w:ascii="Arial" w:hAnsi="Arial" w:cs="Arial"/>
              </w:rPr>
            </w:pPr>
            <w:r w:rsidRPr="002956A9">
              <w:rPr>
                <w:rFonts w:ascii="Arial" w:hAnsi="Arial" w:cs="Arial"/>
              </w:rPr>
              <w:t>37,871</w:t>
            </w:r>
          </w:p>
        </w:tc>
        <w:tc>
          <w:tcPr>
            <w:tcW w:w="1560" w:type="dxa"/>
          </w:tcPr>
          <w:p w:rsidR="002956A9" w:rsidRPr="002956A9" w:rsidRDefault="002956A9" w:rsidP="0063555A">
            <w:pPr>
              <w:pStyle w:val="ListParagraph"/>
              <w:ind w:left="0"/>
              <w:rPr>
                <w:rFonts w:ascii="Arial" w:hAnsi="Arial" w:cs="Arial"/>
              </w:rPr>
            </w:pPr>
            <w:r w:rsidRPr="002956A9">
              <w:rPr>
                <w:rFonts w:ascii="Arial" w:hAnsi="Arial" w:cs="Arial"/>
              </w:rPr>
              <w:t>46,071</w:t>
            </w:r>
          </w:p>
        </w:tc>
        <w:tc>
          <w:tcPr>
            <w:tcW w:w="1444" w:type="dxa"/>
          </w:tcPr>
          <w:p w:rsidR="002956A9" w:rsidRPr="002956A9" w:rsidRDefault="002956A9" w:rsidP="0063555A">
            <w:pPr>
              <w:pStyle w:val="ListParagraph"/>
              <w:ind w:left="0"/>
              <w:rPr>
                <w:rFonts w:ascii="Arial" w:hAnsi="Arial" w:cs="Arial"/>
              </w:rPr>
            </w:pPr>
            <w:r w:rsidRPr="002956A9">
              <w:rPr>
                <w:rFonts w:ascii="Arial" w:hAnsi="Arial" w:cs="Arial"/>
              </w:rPr>
              <w:t>21.6%</w:t>
            </w:r>
          </w:p>
        </w:tc>
      </w:tr>
    </w:tbl>
    <w:p w:rsidR="002956A9" w:rsidRDefault="002956A9" w:rsidP="0063555A">
      <w:pPr>
        <w:pStyle w:val="ListParagraph"/>
        <w:ind w:left="2160"/>
        <w:rPr>
          <w:rFonts w:ascii="Arial" w:hAnsi="Arial" w:cs="Arial"/>
        </w:rPr>
      </w:pPr>
    </w:p>
    <w:p w:rsidR="002956A9" w:rsidRDefault="002956A9" w:rsidP="00AF6CB4">
      <w:pPr>
        <w:pStyle w:val="ListParagraph"/>
        <w:numPr>
          <w:ilvl w:val="0"/>
          <w:numId w:val="21"/>
        </w:numPr>
        <w:ind w:left="1134" w:hanging="425"/>
        <w:rPr>
          <w:rFonts w:ascii="Arial" w:hAnsi="Arial" w:cs="Arial"/>
        </w:rPr>
      </w:pPr>
      <w:r>
        <w:rPr>
          <w:rFonts w:ascii="Arial" w:hAnsi="Arial" w:cs="Arial"/>
        </w:rPr>
        <w:t>Due to the increasing demand from referring Boards, a mobile theatre was commissioned and became operational in May 2017.  The Ophthalmology activity target was set at 14% higher than in 2016/17 (2,145 additional out patients and 1,650 additional procedures).</w:t>
      </w:r>
    </w:p>
    <w:p w:rsidR="002956A9" w:rsidRDefault="002956A9" w:rsidP="00AF6CB4">
      <w:pPr>
        <w:pStyle w:val="ListParagraph"/>
        <w:ind w:left="1134" w:hanging="425"/>
        <w:rPr>
          <w:rFonts w:ascii="Arial" w:hAnsi="Arial" w:cs="Arial"/>
        </w:rPr>
      </w:pPr>
    </w:p>
    <w:p w:rsidR="002956A9" w:rsidRDefault="002956A9" w:rsidP="00AF6CB4">
      <w:pPr>
        <w:pStyle w:val="ListParagraph"/>
        <w:numPr>
          <w:ilvl w:val="0"/>
          <w:numId w:val="21"/>
        </w:numPr>
        <w:ind w:left="1134" w:hanging="425"/>
        <w:rPr>
          <w:rFonts w:ascii="Arial" w:hAnsi="Arial" w:cs="Arial"/>
        </w:rPr>
      </w:pPr>
      <w:r>
        <w:rPr>
          <w:rFonts w:ascii="Arial" w:hAnsi="Arial" w:cs="Arial"/>
        </w:rPr>
        <w:t>The majority of the shortfall experienced in 2017/18 was accumulated throughout the year in ophthalmology.  This was predominantly due to the following:</w:t>
      </w:r>
    </w:p>
    <w:p w:rsidR="002956A9" w:rsidRDefault="002956A9" w:rsidP="00AF6CB4">
      <w:pPr>
        <w:pStyle w:val="ListParagraph"/>
        <w:ind w:left="1134" w:hanging="425"/>
        <w:rPr>
          <w:rFonts w:ascii="Arial" w:hAnsi="Arial" w:cs="Arial"/>
        </w:rPr>
      </w:pPr>
    </w:p>
    <w:p w:rsidR="002956A9" w:rsidRDefault="002956A9" w:rsidP="00AF6CB4">
      <w:pPr>
        <w:pStyle w:val="ListParagraph"/>
        <w:numPr>
          <w:ilvl w:val="1"/>
          <w:numId w:val="21"/>
        </w:numPr>
        <w:ind w:left="1134" w:hanging="425"/>
        <w:rPr>
          <w:rFonts w:ascii="Arial" w:hAnsi="Arial" w:cs="Arial"/>
        </w:rPr>
      </w:pPr>
      <w:r>
        <w:rPr>
          <w:rFonts w:ascii="Arial" w:hAnsi="Arial" w:cs="Arial"/>
        </w:rPr>
        <w:t xml:space="preserve">A surgeon was recruited and accepted his appointment prior to the start of the financial year.  However, this surgeon did not ever take up his post at GJNH.  The expectation is that this surgeon would have carried out approximately 1,200 of the procedures planned and allocated to Boards for 2017/18. </w:t>
      </w:r>
    </w:p>
    <w:p w:rsidR="002956A9" w:rsidRDefault="002956A9" w:rsidP="00AF6CB4">
      <w:pPr>
        <w:pStyle w:val="ListParagraph"/>
        <w:ind w:left="1134" w:hanging="425"/>
        <w:rPr>
          <w:rFonts w:ascii="Arial" w:hAnsi="Arial" w:cs="Arial"/>
        </w:rPr>
      </w:pPr>
    </w:p>
    <w:p w:rsidR="002956A9" w:rsidRDefault="002956A9" w:rsidP="00AF6CB4">
      <w:pPr>
        <w:pStyle w:val="ListParagraph"/>
        <w:numPr>
          <w:ilvl w:val="1"/>
          <w:numId w:val="21"/>
        </w:numPr>
        <w:ind w:left="1134" w:hanging="425"/>
        <w:rPr>
          <w:rFonts w:ascii="Arial" w:hAnsi="Arial" w:cs="Arial"/>
        </w:rPr>
      </w:pPr>
      <w:r>
        <w:rPr>
          <w:rFonts w:ascii="Arial" w:hAnsi="Arial" w:cs="Arial"/>
        </w:rPr>
        <w:t>An assumption was made that seven cataracts per list could be achieved in the mobile theatre.  However, numerous infrastructure issues prevented this from being achievable.</w:t>
      </w:r>
    </w:p>
    <w:p w:rsidR="002956A9" w:rsidRDefault="002956A9" w:rsidP="00AF6CB4">
      <w:pPr>
        <w:pStyle w:val="ListParagraph"/>
        <w:ind w:left="1134" w:hanging="425"/>
        <w:rPr>
          <w:rFonts w:ascii="Arial" w:hAnsi="Arial" w:cs="Arial"/>
        </w:rPr>
      </w:pPr>
    </w:p>
    <w:p w:rsidR="002956A9" w:rsidRDefault="002956A9" w:rsidP="00AF6CB4">
      <w:pPr>
        <w:pStyle w:val="ListParagraph"/>
        <w:numPr>
          <w:ilvl w:val="1"/>
          <w:numId w:val="21"/>
        </w:numPr>
        <w:ind w:left="1134" w:hanging="425"/>
        <w:rPr>
          <w:rFonts w:ascii="Arial" w:hAnsi="Arial" w:cs="Arial"/>
        </w:rPr>
      </w:pPr>
      <w:r>
        <w:rPr>
          <w:rFonts w:ascii="Arial" w:hAnsi="Arial" w:cs="Arial"/>
        </w:rPr>
        <w:t>Additionally, on scrutinising ophthalmology data, approximately 25% of all patients treated in 2017/18 were categorised as having a complexity of DSD 3 (formula used by surgeons to indicate the degree of surgical difficulty).  Patients who in this category require a longer period of time in theatre.  This has also impacted the overall numbers of patients that could be treated.</w:t>
      </w:r>
    </w:p>
    <w:p w:rsidR="002956A9" w:rsidRDefault="002956A9" w:rsidP="00AF6CB4">
      <w:pPr>
        <w:pStyle w:val="ListParagraph"/>
        <w:ind w:left="1134" w:hanging="425"/>
        <w:rPr>
          <w:rFonts w:ascii="Arial" w:hAnsi="Arial" w:cs="Arial"/>
        </w:rPr>
      </w:pPr>
    </w:p>
    <w:p w:rsidR="002956A9" w:rsidRDefault="002956A9" w:rsidP="00AF6CB4">
      <w:pPr>
        <w:pStyle w:val="ListParagraph"/>
        <w:numPr>
          <w:ilvl w:val="0"/>
          <w:numId w:val="21"/>
        </w:numPr>
        <w:ind w:left="1134" w:hanging="425"/>
        <w:rPr>
          <w:rFonts w:ascii="Arial" w:hAnsi="Arial" w:cs="Arial"/>
        </w:rPr>
      </w:pPr>
      <w:r>
        <w:rPr>
          <w:rFonts w:ascii="Arial" w:hAnsi="Arial" w:cs="Arial"/>
        </w:rPr>
        <w:t>Orthopaedic surgery was in high demand throughout the year and this service over performed significantly by the year end.</w:t>
      </w:r>
    </w:p>
    <w:p w:rsidR="002956A9" w:rsidRDefault="002956A9" w:rsidP="00AF6CB4">
      <w:pPr>
        <w:pStyle w:val="ListParagraph"/>
        <w:ind w:left="1134" w:hanging="425"/>
        <w:rPr>
          <w:rFonts w:ascii="Arial" w:hAnsi="Arial" w:cs="Arial"/>
        </w:rPr>
      </w:pPr>
    </w:p>
    <w:p w:rsidR="002956A9" w:rsidRDefault="002956A9" w:rsidP="00AF6CB4">
      <w:pPr>
        <w:pStyle w:val="ListParagraph"/>
        <w:numPr>
          <w:ilvl w:val="0"/>
          <w:numId w:val="21"/>
        </w:numPr>
        <w:ind w:left="1134" w:hanging="425"/>
        <w:rPr>
          <w:rFonts w:ascii="Arial" w:hAnsi="Arial" w:cs="Arial"/>
        </w:rPr>
      </w:pPr>
      <w:r>
        <w:rPr>
          <w:rFonts w:ascii="Arial" w:hAnsi="Arial" w:cs="Arial"/>
        </w:rPr>
        <w:t>Diagnostic imaging also significantly exceeded their full year plan.</w:t>
      </w:r>
    </w:p>
    <w:p w:rsidR="002956A9" w:rsidRDefault="002956A9" w:rsidP="00AF6CB4">
      <w:pPr>
        <w:pStyle w:val="ListParagraph"/>
        <w:ind w:left="1134" w:hanging="425"/>
        <w:rPr>
          <w:rFonts w:ascii="Arial" w:hAnsi="Arial" w:cs="Arial"/>
        </w:rPr>
      </w:pPr>
    </w:p>
    <w:p w:rsidR="002956A9" w:rsidRPr="00AA5EAE" w:rsidRDefault="002956A9" w:rsidP="00AF6CB4">
      <w:pPr>
        <w:pStyle w:val="ListParagraph"/>
        <w:numPr>
          <w:ilvl w:val="0"/>
          <w:numId w:val="22"/>
        </w:numPr>
        <w:ind w:left="1134" w:hanging="425"/>
        <w:rPr>
          <w:rFonts w:ascii="Arial" w:hAnsi="Arial" w:cs="Arial"/>
        </w:rPr>
      </w:pPr>
      <w:r>
        <w:rPr>
          <w:rFonts w:ascii="Arial" w:hAnsi="Arial" w:cs="Arial"/>
        </w:rPr>
        <w:t>A full report will be present</w:t>
      </w:r>
      <w:r w:rsidR="00AF6CB4">
        <w:rPr>
          <w:rFonts w:ascii="Arial" w:hAnsi="Arial" w:cs="Arial"/>
        </w:rPr>
        <w:t>ed when the year-</w:t>
      </w:r>
      <w:r>
        <w:rPr>
          <w:rFonts w:ascii="Arial" w:hAnsi="Arial" w:cs="Arial"/>
        </w:rPr>
        <w:t xml:space="preserve">end activity has been ratified.  </w:t>
      </w:r>
    </w:p>
    <w:p w:rsidR="002956A9" w:rsidRDefault="002956A9" w:rsidP="0063555A">
      <w:pPr>
        <w:pStyle w:val="ListParagraph"/>
        <w:ind w:left="360"/>
        <w:rPr>
          <w:rFonts w:ascii="Arial" w:hAnsi="Arial" w:cs="Arial"/>
          <w:b/>
        </w:rPr>
      </w:pPr>
    </w:p>
    <w:p w:rsidR="002956A9" w:rsidRPr="0063555A" w:rsidRDefault="002956A9" w:rsidP="0063555A">
      <w:pPr>
        <w:pStyle w:val="BodyTextIndent3"/>
        <w:spacing w:after="0"/>
        <w:ind w:left="0" w:right="-360"/>
        <w:rPr>
          <w:rFonts w:ascii="Arial" w:hAnsi="Arial" w:cs="Arial"/>
          <w:sz w:val="24"/>
          <w:szCs w:val="24"/>
        </w:rPr>
      </w:pPr>
      <w:r w:rsidRPr="0063555A">
        <w:rPr>
          <w:rFonts w:ascii="Arial" w:hAnsi="Arial" w:cs="Arial"/>
          <w:b/>
          <w:sz w:val="24"/>
          <w:szCs w:val="24"/>
        </w:rPr>
        <w:t>June Rogers</w:t>
      </w:r>
    </w:p>
    <w:p w:rsidR="002956A9" w:rsidRPr="0063555A" w:rsidRDefault="002956A9" w:rsidP="0063555A">
      <w:pPr>
        <w:pStyle w:val="BodyTextIndent3"/>
        <w:spacing w:after="0"/>
        <w:ind w:left="0" w:right="-360"/>
        <w:rPr>
          <w:rFonts w:ascii="Arial" w:hAnsi="Arial" w:cs="Arial"/>
          <w:b/>
          <w:sz w:val="24"/>
          <w:szCs w:val="24"/>
        </w:rPr>
      </w:pPr>
      <w:r w:rsidRPr="0063555A">
        <w:rPr>
          <w:rFonts w:ascii="Arial" w:hAnsi="Arial" w:cs="Arial"/>
          <w:b/>
          <w:sz w:val="24"/>
          <w:szCs w:val="24"/>
        </w:rPr>
        <w:t xml:space="preserve">Director of Operations </w:t>
      </w:r>
    </w:p>
    <w:p w:rsidR="002956A9" w:rsidRPr="0063555A" w:rsidRDefault="002956A9" w:rsidP="0063555A">
      <w:pPr>
        <w:pStyle w:val="BodyTextIndent3"/>
        <w:spacing w:after="0"/>
        <w:ind w:left="0" w:right="-360"/>
        <w:rPr>
          <w:rFonts w:ascii="Arial" w:hAnsi="Arial" w:cs="Arial"/>
          <w:b/>
          <w:sz w:val="24"/>
          <w:szCs w:val="24"/>
        </w:rPr>
      </w:pPr>
      <w:r w:rsidRPr="0063555A">
        <w:rPr>
          <w:rFonts w:ascii="Arial" w:hAnsi="Arial" w:cs="Arial"/>
          <w:b/>
          <w:sz w:val="24"/>
          <w:szCs w:val="24"/>
        </w:rPr>
        <w:t>30 April 2018</w:t>
      </w:r>
    </w:p>
    <w:p w:rsidR="005239DB" w:rsidRDefault="005239DB" w:rsidP="0063555A">
      <w:pPr>
        <w:pStyle w:val="BodyTextIndent"/>
        <w:ind w:left="0" w:right="183" w:firstLine="0"/>
        <w:rPr>
          <w:rFonts w:ascii="Arial" w:hAnsi="Arial" w:cs="Arial"/>
          <w:b/>
          <w:bCs/>
        </w:rPr>
      </w:pPr>
    </w:p>
    <w:sectPr w:rsidR="005239DB" w:rsidSect="005B69F4">
      <w:footerReference w:type="default" r:id="rId9"/>
      <w:footerReference w:type="first" r:id="rId10"/>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555A" w:rsidRDefault="0063555A">
      <w:r>
        <w:separator/>
      </w:r>
    </w:p>
  </w:endnote>
  <w:endnote w:type="continuationSeparator" w:id="0">
    <w:p w:rsidR="0063555A" w:rsidRDefault="0063555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55A" w:rsidRPr="00513DB0" w:rsidRDefault="0063555A" w:rsidP="00C24B4E">
    <w:pPr>
      <w:jc w:val="center"/>
      <w:rPr>
        <w:rFonts w:ascii="Arial" w:hAnsi="Arial" w:cs="Arial"/>
        <w:sz w:val="20"/>
        <w:szCs w:val="20"/>
      </w:rPr>
    </w:pPr>
    <w:r>
      <w:rPr>
        <w:rStyle w:val="PageNumber"/>
        <w:rFonts w:ascii="Arial" w:hAnsi="Arial" w:cs="Arial"/>
      </w:rPr>
      <w:t>___________________________________________________________________</w:t>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AF6CB4">
      <w:rPr>
        <w:rStyle w:val="PageNumber"/>
        <w:rFonts w:ascii="Arial" w:hAnsi="Arial" w:cs="Arial"/>
        <w:noProof/>
      </w:rPr>
      <w:t>4</w:t>
    </w:r>
    <w:r w:rsidRPr="00513DB0">
      <w:rPr>
        <w:rStyle w:val="PageNumber"/>
        <w:rFonts w:ascii="Arial" w:hAnsi="Arial" w:cs="Arial"/>
      </w:rPr>
      <w:fldChar w:fldCharType="end"/>
    </w:r>
  </w:p>
  <w:p w:rsidR="0063555A" w:rsidRDefault="0063555A"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55A" w:rsidRPr="00513DB0" w:rsidRDefault="0063555A" w:rsidP="005B69F4">
    <w:pPr>
      <w:jc w:val="center"/>
      <w:rPr>
        <w:rFonts w:ascii="Arial" w:hAnsi="Arial" w:cs="Arial"/>
        <w:sz w:val="20"/>
        <w:szCs w:val="20"/>
      </w:rPr>
    </w:pPr>
    <w:r>
      <w:rPr>
        <w:rStyle w:val="PageNumber"/>
        <w:rFonts w:ascii="Arial" w:hAnsi="Arial" w:cs="Arial"/>
      </w:rPr>
      <w:t>___________________________________________________________________</w:t>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AF6CB4">
      <w:rPr>
        <w:rStyle w:val="PageNumber"/>
        <w:rFonts w:ascii="Arial" w:hAnsi="Arial" w:cs="Arial"/>
        <w:noProof/>
      </w:rPr>
      <w:t>1</w:t>
    </w:r>
    <w:r w:rsidRPr="00513DB0">
      <w:rPr>
        <w:rStyle w:val="PageNumber"/>
        <w:rFonts w:ascii="Arial" w:hAnsi="Arial" w:cs="Arial"/>
      </w:rPr>
      <w:fldChar w:fldCharType="end"/>
    </w:r>
  </w:p>
  <w:p w:rsidR="0063555A" w:rsidRDefault="0063555A"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63555A" w:rsidRPr="008F5DB5" w:rsidRDefault="0063555A"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63555A" w:rsidRPr="005B69F4" w:rsidRDefault="0063555A"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555A" w:rsidRDefault="0063555A">
      <w:r>
        <w:separator/>
      </w:r>
    </w:p>
  </w:footnote>
  <w:footnote w:type="continuationSeparator" w:id="0">
    <w:p w:rsidR="0063555A" w:rsidRDefault="006355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1">
    <w:nsid w:val="3E2D782A"/>
    <w:multiLevelType w:val="hybridMultilevel"/>
    <w:tmpl w:val="F79017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49EB7593"/>
    <w:multiLevelType w:val="hybridMultilevel"/>
    <w:tmpl w:val="B15C9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5E470E85"/>
    <w:multiLevelType w:val="hybridMultilevel"/>
    <w:tmpl w:val="790AE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46003EA"/>
    <w:multiLevelType w:val="hybridMultilevel"/>
    <w:tmpl w:val="68D8A7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8"/>
  </w:num>
  <w:num w:numId="2">
    <w:abstractNumId w:val="21"/>
  </w:num>
  <w:num w:numId="3">
    <w:abstractNumId w:val="14"/>
  </w:num>
  <w:num w:numId="4">
    <w:abstractNumId w:val="1"/>
  </w:num>
  <w:num w:numId="5">
    <w:abstractNumId w:val="3"/>
  </w:num>
  <w:num w:numId="6">
    <w:abstractNumId w:val="10"/>
  </w:num>
  <w:num w:numId="7">
    <w:abstractNumId w:val="20"/>
  </w:num>
  <w:num w:numId="8">
    <w:abstractNumId w:val="0"/>
  </w:num>
  <w:num w:numId="9">
    <w:abstractNumId w:val="19"/>
  </w:num>
  <w:num w:numId="10">
    <w:abstractNumId w:val="8"/>
  </w:num>
  <w:num w:numId="11">
    <w:abstractNumId w:val="7"/>
  </w:num>
  <w:num w:numId="12">
    <w:abstractNumId w:val="16"/>
  </w:num>
  <w:num w:numId="13">
    <w:abstractNumId w:val="5"/>
  </w:num>
  <w:num w:numId="14">
    <w:abstractNumId w:val="4"/>
  </w:num>
  <w:num w:numId="15">
    <w:abstractNumId w:val="9"/>
  </w:num>
  <w:num w:numId="16">
    <w:abstractNumId w:val="6"/>
  </w:num>
  <w:num w:numId="17">
    <w:abstractNumId w:val="12"/>
  </w:num>
  <w:num w:numId="18">
    <w:abstractNumId w:val="2"/>
  </w:num>
  <w:num w:numId="19">
    <w:abstractNumId w:val="17"/>
  </w:num>
  <w:num w:numId="20">
    <w:abstractNumId w:val="13"/>
  </w:num>
  <w:num w:numId="21">
    <w:abstractNumId w:val="11"/>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rsids>
    <w:rsidRoot w:val="00A2577B"/>
    <w:rsid w:val="00075AAA"/>
    <w:rsid w:val="00097EAE"/>
    <w:rsid w:val="000B5923"/>
    <w:rsid w:val="000D0952"/>
    <w:rsid w:val="00115F97"/>
    <w:rsid w:val="001175E5"/>
    <w:rsid w:val="002956A9"/>
    <w:rsid w:val="002A42DD"/>
    <w:rsid w:val="003E423D"/>
    <w:rsid w:val="003F19CA"/>
    <w:rsid w:val="004512CE"/>
    <w:rsid w:val="00513DB0"/>
    <w:rsid w:val="005239DB"/>
    <w:rsid w:val="00526532"/>
    <w:rsid w:val="005B69F4"/>
    <w:rsid w:val="005F02B7"/>
    <w:rsid w:val="0060634D"/>
    <w:rsid w:val="0063555A"/>
    <w:rsid w:val="00661EF1"/>
    <w:rsid w:val="006A1357"/>
    <w:rsid w:val="006D6F99"/>
    <w:rsid w:val="00711E7A"/>
    <w:rsid w:val="00815350"/>
    <w:rsid w:val="00825B2D"/>
    <w:rsid w:val="00844E0E"/>
    <w:rsid w:val="008A07AE"/>
    <w:rsid w:val="008C26A2"/>
    <w:rsid w:val="0093700B"/>
    <w:rsid w:val="00937BE5"/>
    <w:rsid w:val="00974594"/>
    <w:rsid w:val="009E6A39"/>
    <w:rsid w:val="00A2577B"/>
    <w:rsid w:val="00A3124D"/>
    <w:rsid w:val="00A560AF"/>
    <w:rsid w:val="00AF6CB4"/>
    <w:rsid w:val="00C0017D"/>
    <w:rsid w:val="00C24B4E"/>
    <w:rsid w:val="00C36974"/>
    <w:rsid w:val="00C956E2"/>
    <w:rsid w:val="00CA6DDF"/>
    <w:rsid w:val="00CE4B72"/>
    <w:rsid w:val="00D306B6"/>
    <w:rsid w:val="00D92AA6"/>
    <w:rsid w:val="00DD7115"/>
    <w:rsid w:val="00DE5902"/>
    <w:rsid w:val="00E24BFC"/>
    <w:rsid w:val="00E95856"/>
    <w:rsid w:val="00EA4869"/>
    <w:rsid w:val="00EB7C07"/>
    <w:rsid w:val="00F12826"/>
    <w:rsid w:val="00F7206C"/>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2956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A168E2-7DE9-4739-93A8-11B1F2B42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1228</Words>
  <Characters>6837</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8049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3</cp:revision>
  <dcterms:created xsi:type="dcterms:W3CDTF">2018-05-04T07:41:00Z</dcterms:created>
  <dcterms:modified xsi:type="dcterms:W3CDTF">2018-05-04T07:57:00Z</dcterms:modified>
</cp:coreProperties>
</file>