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297D08" w:rsidRDefault="004512CE" w:rsidP="00506517">
      <w:pPr>
        <w:ind w:right="183"/>
        <w:jc w:val="right"/>
        <w:rPr>
          <w:rFonts w:ascii="Arial" w:hAnsi="Arial" w:cs="Arial"/>
          <w:bCs/>
          <w:color w:val="244061"/>
          <w:sz w:val="20"/>
          <w:szCs w:val="20"/>
        </w:rPr>
      </w:pPr>
      <w:r w:rsidRPr="00297D08">
        <w:rPr>
          <w:rFonts w:ascii="Arial" w:hAnsi="Arial" w:cs="Arial"/>
          <w:bCs/>
          <w:color w:val="244061"/>
          <w:sz w:val="20"/>
          <w:szCs w:val="20"/>
        </w:rPr>
        <w:t xml:space="preserve">Ref: </w:t>
      </w:r>
      <w:r w:rsidR="001849E6" w:rsidRPr="00297D08">
        <w:rPr>
          <w:rFonts w:ascii="Arial" w:hAnsi="Arial" w:cs="Arial"/>
          <w:bCs/>
          <w:color w:val="244061"/>
          <w:sz w:val="20"/>
          <w:szCs w:val="20"/>
        </w:rPr>
        <w:t>GJF/</w:t>
      </w:r>
      <w:r w:rsidR="00CC727D">
        <w:rPr>
          <w:rFonts w:ascii="Arial" w:hAnsi="Arial" w:cs="Arial"/>
          <w:bCs/>
          <w:color w:val="244061"/>
          <w:sz w:val="20"/>
          <w:szCs w:val="20"/>
        </w:rPr>
        <w:t>2018/</w:t>
      </w:r>
      <w:r w:rsidR="000C76A9">
        <w:rPr>
          <w:rFonts w:ascii="Arial" w:hAnsi="Arial" w:cs="Arial"/>
          <w:bCs/>
          <w:color w:val="244061"/>
          <w:sz w:val="20"/>
          <w:szCs w:val="20"/>
        </w:rPr>
        <w:t>05/14</w:t>
      </w:r>
    </w:p>
    <w:p w:rsidR="00513DB0" w:rsidRDefault="00DC298A"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4390390</wp:posOffset>
            </wp:positionH>
            <wp:positionV relativeFrom="paragraph">
              <wp:posOffset>62865</wp:posOffset>
            </wp:positionV>
            <wp:extent cx="1372235" cy="1372235"/>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72235" cy="137223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CC727D">
        <w:rPr>
          <w:rFonts w:ascii="Arial" w:hAnsi="Arial" w:cs="Arial"/>
          <w:b w:val="0"/>
          <w:sz w:val="24"/>
          <w:szCs w:val="24"/>
        </w:rPr>
        <w:t>10 May 2018</w:t>
      </w:r>
    </w:p>
    <w:p w:rsidR="001175E5" w:rsidRPr="00682309" w:rsidRDefault="001175E5" w:rsidP="00506517">
      <w:pPr>
        <w:ind w:left="-426" w:right="183"/>
        <w:rPr>
          <w:rFonts w:ascii="Arial" w:hAnsi="Arial" w:cs="Arial"/>
        </w:rPr>
      </w:pPr>
    </w:p>
    <w:p w:rsidR="00A2577B" w:rsidRDefault="00A2577B" w:rsidP="00EC2A68">
      <w:pPr>
        <w:ind w:left="2154" w:right="183" w:hanging="2580"/>
        <w:rPr>
          <w:rFonts w:ascii="Arial" w:hAnsi="Arial" w:cs="Arial"/>
          <w:b/>
          <w:bCs/>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0C76A9">
        <w:rPr>
          <w:rFonts w:ascii="Arial" w:hAnsi="Arial" w:cs="Arial"/>
          <w:bCs/>
        </w:rPr>
        <w:t>Endowments Sub-</w:t>
      </w:r>
      <w:r w:rsidR="00EC2A68">
        <w:rPr>
          <w:rFonts w:ascii="Arial" w:hAnsi="Arial" w:cs="Arial"/>
          <w:bCs/>
        </w:rPr>
        <w:t>Committee (ESC)</w:t>
      </w:r>
      <w:r w:rsidR="00A37FB1" w:rsidRPr="00A37FB1">
        <w:rPr>
          <w:rFonts w:ascii="Arial" w:hAnsi="Arial" w:cs="Arial"/>
          <w:bCs/>
        </w:rPr>
        <w:t xml:space="preserve"> </w:t>
      </w:r>
      <w:r w:rsidR="00EC2A68">
        <w:rPr>
          <w:rFonts w:ascii="Arial" w:hAnsi="Arial" w:cs="Arial"/>
          <w:bCs/>
        </w:rPr>
        <w:br/>
      </w:r>
      <w:r w:rsidR="00A37FB1" w:rsidRPr="00A37FB1">
        <w:rPr>
          <w:rFonts w:ascii="Arial" w:hAnsi="Arial" w:cs="Arial"/>
          <w:bCs/>
        </w:rPr>
        <w:t>update</w:t>
      </w:r>
      <w:r w:rsidR="00CC727D">
        <w:rPr>
          <w:rFonts w:ascii="Arial" w:hAnsi="Arial" w:cs="Arial"/>
          <w:bCs/>
        </w:rPr>
        <w:t xml:space="preserve"> from meeting held on 24 April 2018</w:t>
      </w:r>
    </w:p>
    <w:p w:rsidR="00A37FB1" w:rsidRPr="00682309" w:rsidRDefault="00A37FB1" w:rsidP="00506517">
      <w:pPr>
        <w:ind w:left="-426" w:right="183"/>
        <w:rPr>
          <w:rFonts w:ascii="Arial" w:hAnsi="Arial" w:cs="Arial"/>
          <w:b/>
          <w:bCs/>
        </w:rPr>
      </w:pPr>
    </w:p>
    <w:p w:rsidR="00A37FB1" w:rsidRDefault="00A2577B" w:rsidP="00A37FB1">
      <w:pPr>
        <w:ind w:left="2154" w:right="183" w:hanging="2580"/>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Board members are asked to</w:t>
      </w:r>
      <w:r w:rsidR="00A37FB1">
        <w:rPr>
          <w:rFonts w:ascii="Arial" w:hAnsi="Arial" w:cs="Arial"/>
        </w:rPr>
        <w:t xml:space="preserve"> discuss and note the update</w:t>
      </w:r>
    </w:p>
    <w:p w:rsidR="00297D08" w:rsidRPr="00A37FB1" w:rsidRDefault="00297D08" w:rsidP="00A37FB1">
      <w:pPr>
        <w:ind w:left="2154" w:right="183" w:hanging="2580"/>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A37FB1" w:rsidRDefault="001175E5" w:rsidP="00506517">
      <w:pPr>
        <w:pStyle w:val="Heading2"/>
        <w:ind w:left="-426" w:right="183"/>
        <w:rPr>
          <w:i w:val="0"/>
          <w:sz w:val="24"/>
          <w:szCs w:val="24"/>
        </w:rPr>
      </w:pPr>
      <w:r w:rsidRPr="001175E5">
        <w:rPr>
          <w:i w:val="0"/>
          <w:sz w:val="24"/>
          <w:szCs w:val="24"/>
        </w:rPr>
        <w:t>1</w:t>
      </w:r>
      <w:r w:rsidRPr="001175E5">
        <w:rPr>
          <w:i w:val="0"/>
          <w:sz w:val="24"/>
          <w:szCs w:val="24"/>
        </w:rPr>
        <w:tab/>
      </w:r>
      <w:r w:rsidRPr="00A37FB1">
        <w:rPr>
          <w:i w:val="0"/>
          <w:sz w:val="24"/>
          <w:szCs w:val="24"/>
        </w:rPr>
        <w:t>Background</w:t>
      </w:r>
    </w:p>
    <w:p w:rsidR="006D232B" w:rsidRPr="00A37FB1" w:rsidRDefault="001175E5" w:rsidP="00506517">
      <w:pPr>
        <w:ind w:left="-426" w:right="183"/>
        <w:rPr>
          <w:rFonts w:ascii="Arial" w:hAnsi="Arial" w:cs="Arial"/>
          <w:b/>
          <w:bCs/>
        </w:rPr>
      </w:pPr>
      <w:r w:rsidRPr="00A37FB1">
        <w:rPr>
          <w:rFonts w:ascii="Arial" w:hAnsi="Arial" w:cs="Arial"/>
          <w:b/>
          <w:bCs/>
        </w:rPr>
        <w:tab/>
      </w:r>
    </w:p>
    <w:p w:rsidR="006D232B" w:rsidRPr="00A37FB1" w:rsidRDefault="006D232B" w:rsidP="00506517">
      <w:pPr>
        <w:rPr>
          <w:rFonts w:ascii="Arial" w:hAnsi="Arial" w:cs="Arial"/>
        </w:rPr>
      </w:pPr>
      <w:r w:rsidRPr="00A37FB1">
        <w:rPr>
          <w:rFonts w:ascii="Arial" w:hAnsi="Arial" w:cs="Arial"/>
        </w:rPr>
        <w:t>The following key points were agreed at the meeting and have been split into the three high level quality ambitions of person centred, safe, and effective.</w:t>
      </w: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EC2A68" w:rsidTr="00A37FB1">
        <w:trPr>
          <w:trHeight w:val="388"/>
        </w:trPr>
        <w:tc>
          <w:tcPr>
            <w:tcW w:w="1251" w:type="dxa"/>
            <w:shd w:val="clear" w:color="auto" w:fill="0000FF"/>
          </w:tcPr>
          <w:p w:rsidR="006D232B" w:rsidRPr="00EC2A68" w:rsidRDefault="006D232B" w:rsidP="00A37FB1">
            <w:pPr>
              <w:ind w:left="34"/>
              <w:rPr>
                <w:rFonts w:ascii="Arial" w:hAnsi="Arial" w:cs="Arial"/>
                <w:b/>
                <w:bCs/>
                <w:color w:val="FFFFFF"/>
                <w:lang w:val="en-US"/>
              </w:rPr>
            </w:pPr>
            <w:r w:rsidRPr="00EC2A68">
              <w:rPr>
                <w:rFonts w:ascii="Arial" w:hAnsi="Arial" w:cs="Arial"/>
                <w:b/>
                <w:bCs/>
                <w:color w:val="FFFFFF"/>
                <w:lang w:val="en-US"/>
              </w:rPr>
              <w:t>Item</w:t>
            </w:r>
          </w:p>
        </w:tc>
        <w:tc>
          <w:tcPr>
            <w:tcW w:w="7929" w:type="dxa"/>
            <w:shd w:val="clear" w:color="auto" w:fill="0000FF"/>
          </w:tcPr>
          <w:p w:rsidR="006D232B" w:rsidRPr="00EC2A68" w:rsidRDefault="006D232B" w:rsidP="00A37FB1">
            <w:pPr>
              <w:rPr>
                <w:rFonts w:ascii="Arial" w:hAnsi="Arial" w:cs="Arial"/>
                <w:b/>
                <w:bCs/>
                <w:color w:val="FFFFFF"/>
                <w:lang w:val="en-US"/>
              </w:rPr>
            </w:pPr>
            <w:r w:rsidRPr="00EC2A68">
              <w:rPr>
                <w:rFonts w:ascii="Arial" w:hAnsi="Arial" w:cs="Arial"/>
                <w:b/>
                <w:bCs/>
                <w:color w:val="FFFFFF"/>
                <w:lang w:val="en-US"/>
              </w:rPr>
              <w:t>Details</w:t>
            </w:r>
          </w:p>
        </w:tc>
      </w:tr>
      <w:tr w:rsidR="006D232B" w:rsidRPr="00EC2A68" w:rsidTr="00A37FB1">
        <w:tc>
          <w:tcPr>
            <w:tcW w:w="1251" w:type="dxa"/>
          </w:tcPr>
          <w:p w:rsidR="006D232B" w:rsidRPr="00EC2A68" w:rsidRDefault="006D232B" w:rsidP="00A37FB1">
            <w:pPr>
              <w:ind w:left="34"/>
              <w:rPr>
                <w:rFonts w:ascii="Arial" w:hAnsi="Arial" w:cs="Arial"/>
                <w:b/>
                <w:bCs/>
                <w:lang w:val="en-US"/>
              </w:rPr>
            </w:pPr>
            <w:r w:rsidRPr="00EC2A68">
              <w:rPr>
                <w:rFonts w:ascii="Arial" w:hAnsi="Arial" w:cs="Arial"/>
                <w:b/>
                <w:bCs/>
                <w:lang w:val="en-US"/>
              </w:rPr>
              <w:t xml:space="preserve">Person </w:t>
            </w:r>
            <w:proofErr w:type="spellStart"/>
            <w:r w:rsidRPr="00EC2A68">
              <w:rPr>
                <w:rFonts w:ascii="Arial" w:hAnsi="Arial" w:cs="Arial"/>
                <w:b/>
                <w:bCs/>
                <w:lang w:val="en-US"/>
              </w:rPr>
              <w:t>Centred</w:t>
            </w:r>
            <w:proofErr w:type="spellEnd"/>
          </w:p>
          <w:p w:rsidR="006D232B" w:rsidRPr="00EC2A68" w:rsidRDefault="006D232B" w:rsidP="00A37FB1">
            <w:pPr>
              <w:ind w:left="34"/>
              <w:rPr>
                <w:rFonts w:ascii="Arial" w:hAnsi="Arial" w:cs="Arial"/>
                <w:bCs/>
                <w:lang w:val="en-US"/>
              </w:rPr>
            </w:pPr>
          </w:p>
          <w:p w:rsidR="006D232B" w:rsidRPr="00EC2A68" w:rsidRDefault="006D232B" w:rsidP="00A37FB1">
            <w:pPr>
              <w:ind w:left="34"/>
              <w:rPr>
                <w:rFonts w:ascii="Arial" w:hAnsi="Arial" w:cs="Arial"/>
                <w:bCs/>
                <w:lang w:val="en-US"/>
              </w:rPr>
            </w:pPr>
          </w:p>
          <w:p w:rsidR="006D232B" w:rsidRPr="00EC2A68" w:rsidRDefault="006D232B" w:rsidP="00A37FB1">
            <w:pPr>
              <w:ind w:left="34"/>
              <w:rPr>
                <w:rFonts w:ascii="Arial" w:hAnsi="Arial" w:cs="Arial"/>
                <w:bCs/>
                <w:lang w:val="en-US"/>
              </w:rPr>
            </w:pPr>
          </w:p>
        </w:tc>
        <w:tc>
          <w:tcPr>
            <w:tcW w:w="7929" w:type="dxa"/>
          </w:tcPr>
          <w:p w:rsidR="006D232B" w:rsidRPr="00EC2A68" w:rsidRDefault="006D232B" w:rsidP="00A37FB1">
            <w:pPr>
              <w:ind w:right="283"/>
              <w:rPr>
                <w:rFonts w:ascii="Arial" w:hAnsi="Arial" w:cs="Arial"/>
                <w:b/>
                <w:color w:val="000000"/>
              </w:rPr>
            </w:pPr>
            <w:r w:rsidRPr="00EC2A68">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C2A68" w:rsidRDefault="006D232B" w:rsidP="00A37FB1">
            <w:pPr>
              <w:ind w:right="283"/>
              <w:rPr>
                <w:rFonts w:ascii="Arial" w:hAnsi="Arial" w:cs="Arial"/>
                <w:bCs/>
                <w:lang w:val="en-US"/>
              </w:rPr>
            </w:pPr>
          </w:p>
          <w:p w:rsidR="00CC727D" w:rsidRPr="000C76A9" w:rsidRDefault="00CC727D" w:rsidP="00CC727D">
            <w:pPr>
              <w:pStyle w:val="ListParagraph"/>
              <w:numPr>
                <w:ilvl w:val="0"/>
                <w:numId w:val="16"/>
              </w:numPr>
              <w:ind w:left="484" w:hanging="425"/>
            </w:pPr>
            <w:r>
              <w:t>The Sub-Committee reviewed the current status of endowment fund balances</w:t>
            </w:r>
            <w:r w:rsidR="000C76A9">
              <w:t>. A</w:t>
            </w:r>
            <w:r w:rsidR="00A1685E" w:rsidRPr="00D5158F">
              <w:rPr>
                <w:bCs/>
              </w:rPr>
              <w:t>ll of the expenditure transactions are less than £10k per transaction and are in line with existing Board S</w:t>
            </w:r>
            <w:r w:rsidR="00F158F0">
              <w:rPr>
                <w:bCs/>
              </w:rPr>
              <w:t>tanding Financial Instructions.</w:t>
            </w:r>
            <w:r w:rsidR="00E31E61">
              <w:rPr>
                <w:bCs/>
              </w:rPr>
              <w:t xml:space="preserve"> </w:t>
            </w:r>
            <w:r w:rsidR="00DE1CF0">
              <w:rPr>
                <w:bCs/>
              </w:rPr>
              <w:t>No major items were noted.</w:t>
            </w:r>
          </w:p>
          <w:p w:rsidR="000C76A9" w:rsidRDefault="000C76A9" w:rsidP="000C76A9">
            <w:pPr>
              <w:pStyle w:val="ListParagraph"/>
              <w:ind w:left="484"/>
            </w:pPr>
          </w:p>
          <w:p w:rsidR="00CC727D" w:rsidRPr="00CC727D" w:rsidRDefault="00CC727D" w:rsidP="00CC727D">
            <w:pPr>
              <w:pStyle w:val="ListParagraph"/>
              <w:numPr>
                <w:ilvl w:val="0"/>
                <w:numId w:val="16"/>
              </w:numPr>
              <w:ind w:left="484" w:hanging="425"/>
            </w:pPr>
            <w:r w:rsidRPr="00CC727D">
              <w:t>A</w:t>
            </w:r>
            <w:r>
              <w:t xml:space="preserve"> progress report </w:t>
            </w:r>
            <w:r w:rsidRPr="00CC727D">
              <w:t xml:space="preserve">was provided on the activities to date from the Director of </w:t>
            </w:r>
            <w:r w:rsidRPr="00CC727D">
              <w:rPr>
                <w:bCs/>
              </w:rPr>
              <w:t>Global D</w:t>
            </w:r>
            <w:r w:rsidRPr="00CC727D">
              <w:t>evelopment and Strategic Partnerships</w:t>
            </w:r>
            <w:r w:rsidR="00F158F0">
              <w:t>.</w:t>
            </w:r>
            <w:r w:rsidRPr="00CC727D">
              <w:t xml:space="preserve"> </w:t>
            </w:r>
          </w:p>
          <w:p w:rsidR="00EC2A68" w:rsidRPr="00EC2A68" w:rsidRDefault="00EC2A68" w:rsidP="00CC727D">
            <w:pPr>
              <w:ind w:right="283"/>
              <w:rPr>
                <w:rFonts w:ascii="Arial" w:hAnsi="Arial" w:cs="Arial"/>
                <w:bCs/>
                <w:lang w:val="en-US"/>
              </w:rPr>
            </w:pPr>
          </w:p>
        </w:tc>
      </w:tr>
      <w:tr w:rsidR="006D232B" w:rsidRPr="00EC2A68" w:rsidTr="00A37FB1">
        <w:tc>
          <w:tcPr>
            <w:tcW w:w="1251" w:type="dxa"/>
          </w:tcPr>
          <w:p w:rsidR="006D232B" w:rsidRPr="00EC2A68" w:rsidRDefault="006D232B" w:rsidP="00A37FB1">
            <w:pPr>
              <w:ind w:left="34"/>
              <w:rPr>
                <w:rFonts w:ascii="Arial" w:hAnsi="Arial" w:cs="Arial"/>
                <w:b/>
                <w:bCs/>
                <w:lang w:val="en-US"/>
              </w:rPr>
            </w:pPr>
            <w:r w:rsidRPr="00EC2A68">
              <w:rPr>
                <w:rFonts w:ascii="Arial" w:hAnsi="Arial" w:cs="Arial"/>
                <w:b/>
                <w:bCs/>
                <w:lang w:val="en-US"/>
              </w:rPr>
              <w:t>Safe</w:t>
            </w: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rPr>
                <w:rFonts w:ascii="Arial" w:hAnsi="Arial" w:cs="Arial"/>
              </w:rPr>
            </w:pPr>
          </w:p>
          <w:p w:rsidR="006D232B" w:rsidRPr="00EC2A68" w:rsidRDefault="006D232B" w:rsidP="00A37FB1">
            <w:pPr>
              <w:ind w:left="34"/>
              <w:rPr>
                <w:rFonts w:ascii="Arial" w:hAnsi="Arial" w:cs="Arial"/>
              </w:rPr>
            </w:pPr>
          </w:p>
        </w:tc>
        <w:tc>
          <w:tcPr>
            <w:tcW w:w="7929" w:type="dxa"/>
          </w:tcPr>
          <w:p w:rsidR="006D232B" w:rsidRPr="00EC2A68" w:rsidRDefault="006D232B" w:rsidP="00A37FB1">
            <w:pPr>
              <w:pStyle w:val="ListParagraph"/>
              <w:ind w:left="0" w:right="283"/>
              <w:rPr>
                <w:b/>
                <w:color w:val="000000"/>
              </w:rPr>
            </w:pPr>
            <w:r w:rsidRPr="00EC2A68">
              <w:rPr>
                <w:b/>
                <w:color w:val="000000"/>
              </w:rPr>
              <w:t>There will be no avoidable injury or harm to people from healthcare they receive, and an appropriate, clean and safe environment will be provided for the delivery of healthcare services at all times.</w:t>
            </w:r>
          </w:p>
          <w:p w:rsidR="000C76A9" w:rsidRPr="000C76A9" w:rsidRDefault="00CC727D" w:rsidP="000C76A9">
            <w:pPr>
              <w:pStyle w:val="NormalWeb"/>
              <w:numPr>
                <w:ilvl w:val="0"/>
                <w:numId w:val="20"/>
              </w:numPr>
              <w:ind w:left="484" w:hanging="425"/>
              <w:rPr>
                <w:rFonts w:ascii="Arial" w:hAnsi="Arial" w:cs="Arial"/>
              </w:rPr>
            </w:pPr>
            <w:r w:rsidRPr="00BB286F">
              <w:rPr>
                <w:rFonts w:ascii="Arial" w:hAnsi="Arial" w:cs="Arial"/>
                <w:color w:val="000000"/>
              </w:rPr>
              <w:t>Members received information on ‘Keeping Vulnerable Beneficiaries, Volunteers and Staff Safe’</w:t>
            </w:r>
            <w:r w:rsidR="000C76A9">
              <w:rPr>
                <w:rFonts w:ascii="Arial" w:hAnsi="Arial" w:cs="Arial"/>
                <w:color w:val="000000"/>
              </w:rPr>
              <w:t>. T</w:t>
            </w:r>
            <w:r w:rsidRPr="00BB286F">
              <w:rPr>
                <w:rFonts w:ascii="Arial" w:hAnsi="Arial" w:cs="Arial"/>
                <w:color w:val="000000"/>
              </w:rPr>
              <w:t xml:space="preserve">he </w:t>
            </w:r>
            <w:r w:rsidRPr="00BB286F">
              <w:rPr>
                <w:rFonts w:ascii="Arial" w:hAnsi="Arial" w:cs="Arial"/>
              </w:rPr>
              <w:t>two key points highlighted were for the following topics to be included i</w:t>
            </w:r>
            <w:r w:rsidR="00BB286F" w:rsidRPr="00BB286F">
              <w:rPr>
                <w:rFonts w:ascii="Arial" w:hAnsi="Arial" w:cs="Arial"/>
              </w:rPr>
              <w:t>n future agendas for discussion</w:t>
            </w:r>
            <w:r w:rsidR="00BB286F">
              <w:rPr>
                <w:rFonts w:ascii="Arial" w:hAnsi="Arial" w:cs="Arial"/>
              </w:rPr>
              <w:t>:</w:t>
            </w:r>
            <w:r w:rsidR="000C76A9">
              <w:rPr>
                <w:rFonts w:ascii="Arial" w:hAnsi="Arial" w:cs="Arial"/>
              </w:rPr>
              <w:br/>
            </w:r>
          </w:p>
          <w:p w:rsidR="00A1685E" w:rsidRDefault="000C76A9" w:rsidP="00BB286F">
            <w:pPr>
              <w:pStyle w:val="NormalWeb"/>
              <w:numPr>
                <w:ilvl w:val="0"/>
                <w:numId w:val="20"/>
              </w:numPr>
              <w:ind w:left="1335" w:hanging="425"/>
              <w:rPr>
                <w:rFonts w:ascii="Arial" w:hAnsi="Arial" w:cs="Arial"/>
              </w:rPr>
            </w:pPr>
            <w:r>
              <w:rPr>
                <w:rFonts w:ascii="Arial" w:hAnsi="Arial" w:cs="Arial"/>
              </w:rPr>
              <w:t>Safeguarding; and</w:t>
            </w:r>
          </w:p>
          <w:p w:rsidR="00EC2A68" w:rsidRPr="000C76A9" w:rsidRDefault="00BB286F" w:rsidP="000C76A9">
            <w:pPr>
              <w:pStyle w:val="NormalWeb"/>
              <w:numPr>
                <w:ilvl w:val="0"/>
                <w:numId w:val="20"/>
              </w:numPr>
              <w:ind w:left="1335" w:hanging="425"/>
              <w:rPr>
                <w:rFonts w:ascii="Arial" w:hAnsi="Arial" w:cs="Arial"/>
              </w:rPr>
            </w:pPr>
            <w:proofErr w:type="spellStart"/>
            <w:r w:rsidRPr="00BB286F">
              <w:rPr>
                <w:rFonts w:ascii="Arial" w:hAnsi="Arial" w:cs="Arial"/>
              </w:rPr>
              <w:t>N</w:t>
            </w:r>
            <w:r w:rsidR="00A1685E" w:rsidRPr="00BB286F">
              <w:rPr>
                <w:rFonts w:ascii="Arial" w:hAnsi="Arial" w:cs="Arial"/>
              </w:rPr>
              <w:t>otifiable</w:t>
            </w:r>
            <w:proofErr w:type="spellEnd"/>
            <w:r w:rsidR="00A1685E" w:rsidRPr="00BB286F">
              <w:rPr>
                <w:rFonts w:ascii="Arial" w:hAnsi="Arial" w:cs="Arial"/>
              </w:rPr>
              <w:t xml:space="preserve"> Events</w:t>
            </w:r>
            <w:r w:rsidR="000C76A9">
              <w:rPr>
                <w:rFonts w:ascii="Arial" w:hAnsi="Arial" w:cs="Arial"/>
              </w:rPr>
              <w:t>.</w:t>
            </w:r>
            <w:r w:rsidR="00CC727D" w:rsidRPr="00BB286F">
              <w:rPr>
                <w:rFonts w:ascii="Arial" w:hAnsi="Arial" w:cs="Arial"/>
              </w:rPr>
              <w:t xml:space="preserve"> </w:t>
            </w:r>
          </w:p>
        </w:tc>
      </w:tr>
    </w:tbl>
    <w:p w:rsidR="000C76A9" w:rsidRDefault="000C76A9">
      <w: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A37FB1" w:rsidRPr="00EC2A68" w:rsidTr="00A37FB1">
        <w:trPr>
          <w:trHeight w:val="388"/>
        </w:trPr>
        <w:tc>
          <w:tcPr>
            <w:tcW w:w="1251" w:type="dxa"/>
            <w:shd w:val="clear" w:color="auto" w:fill="0000FF"/>
          </w:tcPr>
          <w:p w:rsidR="00A37FB1" w:rsidRPr="00EC2A68" w:rsidRDefault="00A37FB1" w:rsidP="00A37FB1">
            <w:pPr>
              <w:ind w:left="34"/>
              <w:rPr>
                <w:rFonts w:ascii="Arial" w:hAnsi="Arial" w:cs="Arial"/>
                <w:b/>
                <w:bCs/>
                <w:color w:val="FFFFFF"/>
                <w:lang w:val="en-US"/>
              </w:rPr>
            </w:pPr>
            <w:r w:rsidRPr="00EC2A68">
              <w:rPr>
                <w:rFonts w:ascii="Arial" w:hAnsi="Arial" w:cs="Arial"/>
                <w:b/>
                <w:bCs/>
                <w:color w:val="FFFFFF"/>
                <w:lang w:val="en-US"/>
              </w:rPr>
              <w:lastRenderedPageBreak/>
              <w:t>Item</w:t>
            </w:r>
          </w:p>
        </w:tc>
        <w:tc>
          <w:tcPr>
            <w:tcW w:w="7929" w:type="dxa"/>
            <w:shd w:val="clear" w:color="auto" w:fill="0000FF"/>
          </w:tcPr>
          <w:p w:rsidR="00A37FB1" w:rsidRPr="00EC2A68" w:rsidRDefault="00A37FB1" w:rsidP="00A37FB1">
            <w:pPr>
              <w:rPr>
                <w:rFonts w:ascii="Arial" w:hAnsi="Arial" w:cs="Arial"/>
                <w:b/>
                <w:bCs/>
                <w:color w:val="FFFFFF"/>
                <w:lang w:val="en-US"/>
              </w:rPr>
            </w:pPr>
            <w:r w:rsidRPr="00EC2A68">
              <w:rPr>
                <w:rFonts w:ascii="Arial" w:hAnsi="Arial" w:cs="Arial"/>
                <w:b/>
                <w:bCs/>
                <w:color w:val="FFFFFF"/>
                <w:lang w:val="en-US"/>
              </w:rPr>
              <w:t>Details</w:t>
            </w:r>
          </w:p>
        </w:tc>
      </w:tr>
      <w:tr w:rsidR="000C76A9" w:rsidRPr="00EC2A68" w:rsidTr="00A37FB1">
        <w:tc>
          <w:tcPr>
            <w:tcW w:w="1251" w:type="dxa"/>
          </w:tcPr>
          <w:p w:rsidR="000C76A9" w:rsidRDefault="000C76A9" w:rsidP="00A37FB1">
            <w:pPr>
              <w:ind w:left="34"/>
              <w:rPr>
                <w:rFonts w:ascii="Arial" w:hAnsi="Arial" w:cs="Arial"/>
                <w:b/>
                <w:lang w:val="en-US"/>
              </w:rPr>
            </w:pPr>
            <w:r>
              <w:rPr>
                <w:rFonts w:ascii="Arial" w:hAnsi="Arial" w:cs="Arial"/>
                <w:b/>
                <w:lang w:val="en-US"/>
              </w:rPr>
              <w:t>Safe (cont’d)</w:t>
            </w:r>
          </w:p>
          <w:p w:rsidR="000C76A9" w:rsidRPr="00EC2A68" w:rsidRDefault="000C76A9" w:rsidP="00A37FB1">
            <w:pPr>
              <w:ind w:left="34"/>
              <w:rPr>
                <w:rFonts w:ascii="Arial" w:hAnsi="Arial" w:cs="Arial"/>
                <w:b/>
                <w:lang w:val="en-US"/>
              </w:rPr>
            </w:pPr>
          </w:p>
        </w:tc>
        <w:tc>
          <w:tcPr>
            <w:tcW w:w="7929" w:type="dxa"/>
          </w:tcPr>
          <w:p w:rsidR="000C76A9" w:rsidRPr="000C76A9" w:rsidRDefault="000C76A9" w:rsidP="000C76A9">
            <w:pPr>
              <w:pStyle w:val="NormalWeb"/>
              <w:numPr>
                <w:ilvl w:val="0"/>
                <w:numId w:val="20"/>
              </w:numPr>
              <w:autoSpaceDE w:val="0"/>
              <w:autoSpaceDN w:val="0"/>
              <w:adjustRightInd w:val="0"/>
              <w:ind w:left="484" w:hanging="425"/>
              <w:rPr>
                <w:rFonts w:ascii="Arial" w:hAnsi="Arial" w:cs="Arial"/>
                <w:color w:val="000000"/>
              </w:rPr>
            </w:pPr>
            <w:r>
              <w:rPr>
                <w:rFonts w:ascii="Arial" w:hAnsi="Arial" w:cs="Arial"/>
              </w:rPr>
              <w:t xml:space="preserve">The Sub-Committee received an update on the </w:t>
            </w:r>
            <w:r w:rsidRPr="00A1685E">
              <w:rPr>
                <w:rFonts w:ascii="Arial" w:hAnsi="Arial" w:cs="Arial"/>
                <w:lang w:val="en-US"/>
              </w:rPr>
              <w:t>Use of NHS Endowment Funds</w:t>
            </w:r>
            <w:r>
              <w:rPr>
                <w:rFonts w:ascii="Arial" w:hAnsi="Arial" w:cs="Arial"/>
                <w:lang w:val="en-US"/>
              </w:rPr>
              <w:t xml:space="preserve"> which has arisen </w:t>
            </w:r>
            <w:proofErr w:type="spellStart"/>
            <w:r>
              <w:rPr>
                <w:rFonts w:ascii="Arial" w:hAnsi="Arial" w:cs="Arial"/>
                <w:lang w:val="en-US"/>
              </w:rPr>
              <w:t>fo</w:t>
            </w:r>
            <w:r w:rsidRPr="00A1685E">
              <w:rPr>
                <w:rFonts w:ascii="Arial" w:hAnsi="Arial" w:cs="Arial"/>
                <w:color w:val="000000"/>
              </w:rPr>
              <w:t>llowing</w:t>
            </w:r>
            <w:proofErr w:type="spellEnd"/>
            <w:r w:rsidRPr="00A1685E">
              <w:rPr>
                <w:rFonts w:ascii="Arial" w:hAnsi="Arial" w:cs="Arial"/>
                <w:color w:val="000000"/>
              </w:rPr>
              <w:t xml:space="preserve"> an issue in an</w:t>
            </w:r>
            <w:r>
              <w:rPr>
                <w:rFonts w:ascii="Arial" w:hAnsi="Arial" w:cs="Arial"/>
                <w:color w:val="000000"/>
              </w:rPr>
              <w:t>other</w:t>
            </w:r>
            <w:r w:rsidRPr="00A1685E">
              <w:rPr>
                <w:rFonts w:ascii="Arial" w:hAnsi="Arial" w:cs="Arial"/>
                <w:color w:val="000000"/>
              </w:rPr>
              <w:t xml:space="preserve"> NHS Board </w:t>
            </w:r>
            <w:r>
              <w:rPr>
                <w:rFonts w:ascii="Arial" w:hAnsi="Arial" w:cs="Arial"/>
                <w:color w:val="000000"/>
              </w:rPr>
              <w:t>regarding the</w:t>
            </w:r>
            <w:r w:rsidRPr="00A1685E">
              <w:rPr>
                <w:rFonts w:ascii="Arial" w:hAnsi="Arial" w:cs="Arial"/>
                <w:color w:val="000000"/>
              </w:rPr>
              <w:t xml:space="preserve"> use of charitable assets and</w:t>
            </w:r>
            <w:r>
              <w:rPr>
                <w:rFonts w:ascii="Arial" w:hAnsi="Arial" w:cs="Arial"/>
                <w:color w:val="000000"/>
              </w:rPr>
              <w:t>,</w:t>
            </w:r>
            <w:r w:rsidRPr="00A1685E">
              <w:rPr>
                <w:rFonts w:ascii="Arial" w:hAnsi="Arial" w:cs="Arial"/>
                <w:color w:val="000000"/>
              </w:rPr>
              <w:t xml:space="preserve"> in particular</w:t>
            </w:r>
            <w:r>
              <w:rPr>
                <w:rFonts w:ascii="Arial" w:hAnsi="Arial" w:cs="Arial"/>
                <w:color w:val="000000"/>
              </w:rPr>
              <w:t>,</w:t>
            </w:r>
            <w:r w:rsidRPr="00A1685E">
              <w:rPr>
                <w:rFonts w:ascii="Arial" w:hAnsi="Arial" w:cs="Arial"/>
                <w:color w:val="000000"/>
              </w:rPr>
              <w:t xml:space="preserve"> the retrospective application of Endowment Funds</w:t>
            </w:r>
            <w:r>
              <w:rPr>
                <w:rFonts w:ascii="Arial" w:hAnsi="Arial" w:cs="Arial"/>
                <w:color w:val="000000"/>
              </w:rPr>
              <w:t xml:space="preserve">. Members approved a response letter to the Scottish Government which provides assurance that the Charity funds are being used in line with charities test and retrospective awards are not permitted with </w:t>
            </w:r>
            <w:proofErr w:type="gramStart"/>
            <w:r>
              <w:rPr>
                <w:rFonts w:ascii="Arial" w:hAnsi="Arial" w:cs="Arial"/>
                <w:color w:val="000000"/>
              </w:rPr>
              <w:t>no</w:t>
            </w:r>
            <w:proofErr w:type="gramEnd"/>
            <w:r>
              <w:rPr>
                <w:rFonts w:ascii="Arial" w:hAnsi="Arial" w:cs="Arial"/>
                <w:color w:val="000000"/>
              </w:rPr>
              <w:t xml:space="preserve"> exceptions.</w:t>
            </w:r>
            <w:r>
              <w:rPr>
                <w:rFonts w:ascii="Arial" w:hAnsi="Arial" w:cs="Arial"/>
                <w:color w:val="000000"/>
              </w:rPr>
              <w:br/>
            </w:r>
          </w:p>
          <w:p w:rsidR="000C76A9" w:rsidRPr="000C76A9" w:rsidRDefault="000C76A9" w:rsidP="000C76A9">
            <w:pPr>
              <w:pStyle w:val="NormalWeb"/>
              <w:numPr>
                <w:ilvl w:val="0"/>
                <w:numId w:val="20"/>
              </w:numPr>
              <w:autoSpaceDE w:val="0"/>
              <w:autoSpaceDN w:val="0"/>
              <w:adjustRightInd w:val="0"/>
              <w:ind w:left="484" w:hanging="425"/>
              <w:rPr>
                <w:rFonts w:ascii="Arial" w:hAnsi="Arial" w:cs="Arial"/>
                <w:color w:val="000000"/>
              </w:rPr>
            </w:pPr>
            <w:r w:rsidRPr="00A1685E">
              <w:rPr>
                <w:rFonts w:ascii="Arial" w:hAnsi="Arial" w:cs="Arial"/>
              </w:rPr>
              <w:t>Members were asked to support implementation of an action plan which will ensure compliance with the new General</w:t>
            </w:r>
            <w:r w:rsidRPr="000C76A9">
              <w:rPr>
                <w:rFonts w:ascii="Arial" w:hAnsi="Arial" w:cs="Arial"/>
                <w:color w:val="000000"/>
              </w:rPr>
              <w:t xml:space="preserve"> Data Protection Regulation (GDPR) which comes into force on 25 May 2018.</w:t>
            </w:r>
          </w:p>
        </w:tc>
      </w:tr>
      <w:tr w:rsidR="006D232B" w:rsidRPr="00EC2A68" w:rsidTr="00A37FB1">
        <w:tc>
          <w:tcPr>
            <w:tcW w:w="1251" w:type="dxa"/>
          </w:tcPr>
          <w:p w:rsidR="006D232B" w:rsidRPr="00EC2A68" w:rsidRDefault="006D232B" w:rsidP="00A37FB1">
            <w:pPr>
              <w:ind w:left="34"/>
              <w:rPr>
                <w:rFonts w:ascii="Arial" w:hAnsi="Arial" w:cs="Arial"/>
                <w:b/>
                <w:lang w:val="en-US"/>
              </w:rPr>
            </w:pPr>
            <w:r w:rsidRPr="00EC2A68">
              <w:rPr>
                <w:rFonts w:ascii="Arial" w:hAnsi="Arial" w:cs="Arial"/>
                <w:b/>
                <w:lang w:val="en-US"/>
              </w:rPr>
              <w:t>Effective</w:t>
            </w: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p w:rsidR="006D232B" w:rsidRPr="00EC2A68" w:rsidRDefault="006D232B" w:rsidP="00A37FB1">
            <w:pPr>
              <w:ind w:left="34"/>
              <w:rPr>
                <w:rFonts w:ascii="Arial" w:hAnsi="Arial" w:cs="Arial"/>
              </w:rPr>
            </w:pPr>
          </w:p>
        </w:tc>
        <w:tc>
          <w:tcPr>
            <w:tcW w:w="7929" w:type="dxa"/>
          </w:tcPr>
          <w:p w:rsidR="006D232B" w:rsidRPr="00EC2A68" w:rsidRDefault="006D232B" w:rsidP="00A37FB1">
            <w:pPr>
              <w:pStyle w:val="ListParagraph"/>
              <w:ind w:left="0" w:right="283"/>
              <w:rPr>
                <w:b/>
                <w:color w:val="000000"/>
              </w:rPr>
            </w:pPr>
            <w:r w:rsidRPr="00EC2A68">
              <w:rPr>
                <w:b/>
                <w:color w:val="000000"/>
              </w:rPr>
              <w:t>The most appropriate treatments, interventions, support and services will be provided at the right time to everyone who will benefit, and wasteful or harmful variation will be eradicated.</w:t>
            </w:r>
          </w:p>
          <w:p w:rsidR="00A37FB1" w:rsidRPr="00EC2A68" w:rsidRDefault="00A37FB1" w:rsidP="00A37FB1">
            <w:pPr>
              <w:pStyle w:val="ListParagraph"/>
              <w:ind w:left="0" w:right="283"/>
              <w:rPr>
                <w:b/>
                <w:color w:val="000000"/>
              </w:rPr>
            </w:pPr>
          </w:p>
          <w:p w:rsidR="00CC727D" w:rsidRPr="00CC727D" w:rsidRDefault="00F158F0" w:rsidP="00CC727D">
            <w:pPr>
              <w:pStyle w:val="ListParagraph"/>
              <w:numPr>
                <w:ilvl w:val="0"/>
                <w:numId w:val="18"/>
              </w:numPr>
              <w:ind w:left="484" w:hanging="484"/>
            </w:pPr>
            <w:r>
              <w:t>Members approved the d</w:t>
            </w:r>
            <w:r w:rsidR="00CC727D" w:rsidRPr="00CC727D">
              <w:t>raft Endowments Sub-Committee Annual Report</w:t>
            </w:r>
            <w:r w:rsidR="0071665D">
              <w:t>,</w:t>
            </w:r>
            <w:r>
              <w:t xml:space="preserve"> which will be presented to the next Board of Trustees meeting for f</w:t>
            </w:r>
            <w:r w:rsidR="0071665D">
              <w:t>ormal approval. Th</w:t>
            </w:r>
            <w:r>
              <w:t xml:space="preserve">is can then be used for the annual report submission to </w:t>
            </w:r>
            <w:r w:rsidR="001C10BA">
              <w:t>the Office of the Scottish Charity Register (OSC</w:t>
            </w:r>
            <w:r>
              <w:t>R</w:t>
            </w:r>
            <w:r w:rsidR="001C10BA">
              <w:t>)</w:t>
            </w:r>
            <w:r>
              <w:t xml:space="preserve"> incorporating all charity activities for the </w:t>
            </w:r>
            <w:r w:rsidR="00DE1CF0">
              <w:t>year 2017/18.</w:t>
            </w:r>
            <w:r>
              <w:br/>
            </w:r>
          </w:p>
          <w:p w:rsidR="00CC727D" w:rsidRPr="00CC727D" w:rsidRDefault="00F158F0" w:rsidP="00CC727D">
            <w:pPr>
              <w:pStyle w:val="ListParagraph"/>
              <w:numPr>
                <w:ilvl w:val="0"/>
                <w:numId w:val="18"/>
              </w:numPr>
              <w:ind w:left="484" w:hanging="484"/>
            </w:pPr>
            <w:r>
              <w:t>Members noted the c</w:t>
            </w:r>
            <w:r w:rsidR="00CC727D" w:rsidRPr="00CC727D">
              <w:t xml:space="preserve">onsolidation </w:t>
            </w:r>
            <w:r>
              <w:t>process of the Charity</w:t>
            </w:r>
            <w:r w:rsidR="00CC727D" w:rsidRPr="00CC727D">
              <w:t xml:space="preserve"> Accounts</w:t>
            </w:r>
            <w:r>
              <w:br/>
              <w:t>being merged into the Board Accounts.</w:t>
            </w:r>
            <w:r>
              <w:br/>
            </w:r>
          </w:p>
          <w:p w:rsidR="00EC2A68" w:rsidRPr="00EC2A68" w:rsidRDefault="00CC727D" w:rsidP="000C76A9">
            <w:pPr>
              <w:pStyle w:val="ListParagraph"/>
              <w:numPr>
                <w:ilvl w:val="0"/>
                <w:numId w:val="18"/>
              </w:numPr>
              <w:ind w:left="484" w:hanging="484"/>
              <w:rPr>
                <w:b/>
                <w:lang w:val="en-US"/>
              </w:rPr>
            </w:pPr>
            <w:proofErr w:type="spellStart"/>
            <w:r w:rsidRPr="00CC727D">
              <w:t>P</w:t>
            </w:r>
            <w:r w:rsidR="0071665D">
              <w:t>rice</w:t>
            </w:r>
            <w:r w:rsidRPr="00CC727D">
              <w:t>w</w:t>
            </w:r>
            <w:r w:rsidR="0071665D">
              <w:t>aterhouse</w:t>
            </w:r>
            <w:r w:rsidRPr="00CC727D">
              <w:t>C</w:t>
            </w:r>
            <w:r w:rsidR="0071665D">
              <w:t>ooper</w:t>
            </w:r>
            <w:proofErr w:type="spellEnd"/>
            <w:r w:rsidR="0071665D">
              <w:t xml:space="preserve"> (PwC)</w:t>
            </w:r>
            <w:r w:rsidRPr="00CC727D">
              <w:t xml:space="preserve"> </w:t>
            </w:r>
            <w:r w:rsidR="00F158F0">
              <w:t>undertook an i</w:t>
            </w:r>
            <w:r w:rsidRPr="00CC727D">
              <w:t xml:space="preserve">nternal </w:t>
            </w:r>
            <w:r w:rsidR="00F158F0">
              <w:t xml:space="preserve">audit on the Endowment Fund which </w:t>
            </w:r>
            <w:proofErr w:type="spellStart"/>
            <w:r w:rsidR="00F158F0">
              <w:t>i</w:t>
            </w:r>
            <w:r w:rsidR="00F158F0" w:rsidRPr="00F7580D">
              <w:rPr>
                <w:lang w:val="en-US"/>
              </w:rPr>
              <w:t>dentified</w:t>
            </w:r>
            <w:proofErr w:type="spellEnd"/>
            <w:r w:rsidR="00F158F0" w:rsidRPr="00F7580D">
              <w:rPr>
                <w:lang w:val="en-US"/>
              </w:rPr>
              <w:t xml:space="preserve"> t</w:t>
            </w:r>
            <w:r w:rsidR="00F158F0">
              <w:rPr>
                <w:lang w:val="en-US"/>
              </w:rPr>
              <w:t>wo</w:t>
            </w:r>
            <w:r w:rsidR="00F158F0" w:rsidRPr="00F7580D">
              <w:rPr>
                <w:lang w:val="en-US"/>
              </w:rPr>
              <w:t xml:space="preserve"> low rating findings</w:t>
            </w:r>
            <w:r w:rsidR="00F158F0">
              <w:rPr>
                <w:lang w:val="en-US"/>
              </w:rPr>
              <w:t xml:space="preserve">. Management have accepted these findings and taken </w:t>
            </w:r>
            <w:r w:rsidR="000C76A9">
              <w:rPr>
                <w:lang w:val="en-US"/>
              </w:rPr>
              <w:t xml:space="preserve">action </w:t>
            </w:r>
            <w:r w:rsidR="00F158F0">
              <w:rPr>
                <w:lang w:val="en-US"/>
              </w:rPr>
              <w:t>to address them.</w:t>
            </w:r>
            <w:r w:rsidR="000C76A9">
              <w:rPr>
                <w:lang w:val="en-US"/>
              </w:rPr>
              <w:br/>
            </w:r>
          </w:p>
        </w:tc>
      </w:tr>
    </w:tbl>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A37FB1"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A37FB1">
        <w:rPr>
          <w:rFonts w:hAnsi="Arial" w:cs="Arial"/>
          <w:lang w:val="en-US"/>
        </w:rPr>
        <w:t>The n</w:t>
      </w:r>
      <w:r w:rsidR="00A37FB1" w:rsidRPr="00A37FB1">
        <w:rPr>
          <w:rFonts w:hAnsi="Arial" w:cs="Arial"/>
          <w:lang w:val="en-US"/>
        </w:rPr>
        <w:t xml:space="preserve">ext meeting is scheduled for </w:t>
      </w:r>
      <w:r w:rsidR="00CC727D">
        <w:rPr>
          <w:rFonts w:hAnsi="Arial" w:cs="Arial"/>
          <w:lang w:val="en-US"/>
        </w:rPr>
        <w:t>12 June</w:t>
      </w:r>
      <w:r w:rsidR="00A37FB1" w:rsidRPr="00A37FB1">
        <w:rPr>
          <w:rFonts w:hAnsi="Arial" w:cs="Arial"/>
          <w:lang w:val="en-US"/>
        </w:rPr>
        <w:t xml:space="preserve"> 2018.</w:t>
      </w:r>
    </w:p>
    <w:p w:rsidR="001175E5" w:rsidRDefault="001175E5" w:rsidP="00506517">
      <w:pPr>
        <w:ind w:right="183"/>
        <w:rPr>
          <w:rFonts w:ascii="Arial" w:hAnsi="Arial" w:cs="Arial"/>
          <w:bCs/>
        </w:rPr>
      </w:pPr>
    </w:p>
    <w:p w:rsidR="00297D08" w:rsidRDefault="00297D08" w:rsidP="00BB286F">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r>
        <w:rPr>
          <w:rFonts w:ascii="Arial Bold"/>
          <w:lang w:val="en-US"/>
        </w:rPr>
        <w:t>2</w:t>
      </w:r>
      <w:r>
        <w:rPr>
          <w:rFonts w:ascii="Arial Bold"/>
          <w:lang w:val="en-US"/>
        </w:rPr>
        <w:tab/>
        <w:t>Recommendation</w:t>
      </w:r>
    </w:p>
    <w:p w:rsidR="00297D08" w:rsidRDefault="00297D08" w:rsidP="00BB286F">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p>
    <w:p w:rsidR="00297D08" w:rsidRDefault="00297D08" w:rsidP="00BB286F">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hanging="709"/>
        <w:rPr>
          <w:rFonts w:ascii="Arial Bold"/>
          <w:lang w:val="en-US"/>
        </w:rPr>
      </w:pPr>
      <w:r>
        <w:rPr>
          <w:rFonts w:ascii="Arial Bold"/>
          <w:lang w:val="en-US"/>
        </w:rPr>
        <w:tab/>
      </w:r>
      <w:r w:rsidRPr="00C92710">
        <w:rPr>
          <w:rFonts w:hAnsi="Arial" w:cs="Arial"/>
        </w:rPr>
        <w:t xml:space="preserve">Board members are asked to </w:t>
      </w:r>
      <w:r>
        <w:rPr>
          <w:rFonts w:hAnsi="Arial" w:cs="Arial"/>
        </w:rPr>
        <w:t xml:space="preserve">discuss and </w:t>
      </w:r>
      <w:r w:rsidRPr="00C92710">
        <w:rPr>
          <w:rFonts w:hAnsi="Arial" w:cs="Arial"/>
        </w:rPr>
        <w:t>note</w:t>
      </w:r>
      <w:r>
        <w:rPr>
          <w:rFonts w:hAnsi="Arial" w:cs="Arial"/>
          <w:iCs/>
        </w:rPr>
        <w:t xml:space="preserve"> the update.</w:t>
      </w:r>
      <w:r>
        <w:rPr>
          <w:rFonts w:hAnsi="Arial" w:cs="Arial"/>
          <w:i/>
          <w:iCs/>
        </w:rPr>
        <w:br/>
      </w:r>
    </w:p>
    <w:p w:rsidR="00297D08" w:rsidRPr="00A37FB1" w:rsidRDefault="00297D08" w:rsidP="00506517">
      <w:pPr>
        <w:ind w:right="183"/>
        <w:rPr>
          <w:rFonts w:ascii="Arial" w:hAnsi="Arial" w:cs="Arial"/>
          <w:bCs/>
        </w:rPr>
      </w:pPr>
    </w:p>
    <w:p w:rsidR="00EA1E2D" w:rsidRPr="00A37FB1" w:rsidRDefault="00EA1E2D" w:rsidP="00EA1E2D">
      <w:pPr>
        <w:rPr>
          <w:rFonts w:ascii="Arial" w:hAnsi="Arial" w:cs="Arial"/>
          <w:b/>
          <w:bCs/>
        </w:rPr>
      </w:pPr>
      <w:r w:rsidRPr="00A37FB1">
        <w:rPr>
          <w:rFonts w:ascii="Arial" w:hAnsi="Arial" w:cs="Arial"/>
          <w:b/>
          <w:bCs/>
        </w:rPr>
        <w:t>Phil Cox</w:t>
      </w:r>
    </w:p>
    <w:p w:rsidR="00EA1E2D" w:rsidRPr="00A37FB1" w:rsidRDefault="00EA1E2D" w:rsidP="00EA1E2D">
      <w:pPr>
        <w:rPr>
          <w:rFonts w:ascii="Arial" w:hAnsi="Arial" w:cs="Arial"/>
          <w:b/>
          <w:bCs/>
        </w:rPr>
      </w:pPr>
      <w:r w:rsidRPr="00A37FB1">
        <w:rPr>
          <w:rFonts w:ascii="Arial" w:hAnsi="Arial" w:cs="Arial"/>
          <w:b/>
          <w:bCs/>
        </w:rPr>
        <w:t>Audit and Risk Committee Chair</w:t>
      </w:r>
    </w:p>
    <w:p w:rsidR="00EA1E2D" w:rsidRPr="00A37FB1" w:rsidRDefault="00CC727D" w:rsidP="00EA1E2D">
      <w:pPr>
        <w:rPr>
          <w:rFonts w:ascii="Arial" w:hAnsi="Arial" w:cs="Arial"/>
          <w:b/>
          <w:bCs/>
        </w:rPr>
      </w:pPr>
      <w:r>
        <w:rPr>
          <w:rFonts w:ascii="Arial" w:hAnsi="Arial" w:cs="Arial"/>
          <w:b/>
          <w:bCs/>
        </w:rPr>
        <w:t>27 April 2018</w:t>
      </w:r>
    </w:p>
    <w:p w:rsidR="00EA1E2D" w:rsidRPr="00A37FB1" w:rsidRDefault="00EA1E2D" w:rsidP="00EA1E2D">
      <w:pPr>
        <w:rPr>
          <w:rFonts w:ascii="Arial" w:hAnsi="Arial" w:cs="Arial"/>
          <w:b/>
          <w:bCs/>
        </w:rPr>
      </w:pPr>
    </w:p>
    <w:p w:rsidR="00EA1E2D" w:rsidRPr="00A37FB1" w:rsidRDefault="00EA1E2D" w:rsidP="00EA1E2D">
      <w:pPr>
        <w:rPr>
          <w:rFonts w:ascii="Arial" w:hAnsi="Arial" w:cs="Arial"/>
        </w:rPr>
      </w:pPr>
      <w:r w:rsidRPr="00A37FB1">
        <w:rPr>
          <w:rFonts w:ascii="Arial" w:hAnsi="Arial" w:cs="Arial"/>
          <w:b/>
          <w:bCs/>
        </w:rPr>
        <w:t xml:space="preserve">(Julie Carter, Director of Finance) </w:t>
      </w:r>
    </w:p>
    <w:p w:rsidR="00EA1E2D" w:rsidRDefault="00EA1E2D" w:rsidP="00506517">
      <w:pPr>
        <w:ind w:right="183"/>
      </w:pPr>
    </w:p>
    <w:sectPr w:rsidR="00EA1E2D" w:rsidSect="00297D08">
      <w:footerReference w:type="default" r:id="rId8"/>
      <w:footerReference w:type="first" r:id="rId9"/>
      <w:pgSz w:w="11906" w:h="16838"/>
      <w:pgMar w:top="993"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0BA" w:rsidRDefault="001C10BA">
      <w:r>
        <w:separator/>
      </w:r>
    </w:p>
  </w:endnote>
  <w:endnote w:type="continuationSeparator" w:id="0">
    <w:p w:rsidR="001C10BA" w:rsidRDefault="001C10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0BA" w:rsidRPr="00513DB0" w:rsidRDefault="001C10BA" w:rsidP="00513DB0">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71665D">
      <w:rPr>
        <w:rStyle w:val="PageNumber"/>
        <w:rFonts w:ascii="Arial" w:hAnsi="Arial" w:cs="Arial"/>
        <w:noProof/>
      </w:rPr>
      <w:t>2</w:t>
    </w:r>
    <w:r w:rsidRPr="00513DB0">
      <w:rPr>
        <w:rStyle w:val="PageNumber"/>
        <w:rFonts w:ascii="Arial" w:hAnsi="Arial" w:cs="Arial"/>
      </w:rPr>
      <w:fldChar w:fldCharType="end"/>
    </w:r>
  </w:p>
  <w:p w:rsidR="001C10BA" w:rsidRDefault="001C10BA" w:rsidP="00513DB0">
    <w:pPr>
      <w:ind w:left="-540" w:right="184"/>
      <w:jc w:val="center"/>
      <w:rPr>
        <w:rFonts w:ascii="Arial" w:hAnsi="Arial" w:cs="Arial"/>
        <w:noProof/>
        <w:sz w:val="18"/>
        <w:szCs w:val="18"/>
        <w:lang w:eastAsia="en-GB"/>
      </w:rPr>
    </w:pPr>
  </w:p>
  <w:p w:rsidR="001C10BA" w:rsidRDefault="001C10BA" w:rsidP="00513DB0">
    <w:pPr>
      <w:ind w:left="-540"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0BA" w:rsidRPr="00513DB0" w:rsidRDefault="001C10BA" w:rsidP="00297D08">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1C10BA" w:rsidRDefault="001C10BA" w:rsidP="00297D08">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1C10BA" w:rsidRPr="008F5DB5" w:rsidRDefault="001C10BA" w:rsidP="00297D08">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1C10BA" w:rsidRPr="00297D08" w:rsidRDefault="001C10BA" w:rsidP="00297D08">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0BA" w:rsidRDefault="001C10BA">
      <w:r>
        <w:separator/>
      </w:r>
    </w:p>
  </w:footnote>
  <w:footnote w:type="continuationSeparator" w:id="0">
    <w:p w:rsidR="001C10BA" w:rsidRDefault="001C10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21DD"/>
    <w:multiLevelType w:val="hybridMultilevel"/>
    <w:tmpl w:val="E0C0B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B106ECA"/>
    <w:multiLevelType w:val="hybridMultilevel"/>
    <w:tmpl w:val="20B07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7C0937"/>
    <w:multiLevelType w:val="hybridMultilevel"/>
    <w:tmpl w:val="48F6915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Times New Roman" w:hint="default"/>
      </w:r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6">
    <w:nsid w:val="3F136C91"/>
    <w:multiLevelType w:val="hybridMultilevel"/>
    <w:tmpl w:val="8932D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64F55B4C"/>
    <w:multiLevelType w:val="hybridMultilevel"/>
    <w:tmpl w:val="6DE0A42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E7C5D69"/>
    <w:multiLevelType w:val="hybridMultilevel"/>
    <w:tmpl w:val="80465A0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2">
    <w:nsid w:val="70331FDA"/>
    <w:multiLevelType w:val="hybridMultilevel"/>
    <w:tmpl w:val="431875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C54664C"/>
    <w:multiLevelType w:val="hybridMultilevel"/>
    <w:tmpl w:val="DB74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0"/>
  </w:num>
  <w:num w:numId="2">
    <w:abstractNumId w:val="17"/>
  </w:num>
  <w:num w:numId="3">
    <w:abstractNumId w:val="7"/>
  </w:num>
  <w:num w:numId="4">
    <w:abstractNumId w:val="1"/>
  </w:num>
  <w:num w:numId="5">
    <w:abstractNumId w:val="3"/>
  </w:num>
  <w:num w:numId="6">
    <w:abstractNumId w:val="14"/>
  </w:num>
  <w:num w:numId="7">
    <w:abstractNumId w:val="18"/>
  </w:num>
  <w:num w:numId="8">
    <w:abstractNumId w:val="2"/>
  </w:num>
  <w:num w:numId="9">
    <w:abstractNumId w:val="16"/>
  </w:num>
  <w:num w:numId="10">
    <w:abstractNumId w:val="8"/>
  </w:num>
  <w:num w:numId="11">
    <w:abstractNumId w:val="13"/>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2"/>
  </w:num>
  <w:num w:numId="16">
    <w:abstractNumId w:val="11"/>
  </w:num>
  <w:num w:numId="17">
    <w:abstractNumId w:val="6"/>
  </w:num>
  <w:num w:numId="18">
    <w:abstractNumId w:val="4"/>
  </w:num>
  <w:num w:numId="19">
    <w:abstractNumId w:val="15"/>
  </w:num>
  <w:num w:numId="20">
    <w:abstractNumId w:val="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rsids>
    <w:rsidRoot w:val="00A2577B"/>
    <w:rsid w:val="00075AAA"/>
    <w:rsid w:val="0009417C"/>
    <w:rsid w:val="000A0F2E"/>
    <w:rsid w:val="000B5923"/>
    <w:rsid w:val="000C76A9"/>
    <w:rsid w:val="001175E5"/>
    <w:rsid w:val="0014213C"/>
    <w:rsid w:val="00162874"/>
    <w:rsid w:val="001849E6"/>
    <w:rsid w:val="001A624A"/>
    <w:rsid w:val="001B200D"/>
    <w:rsid w:val="001B3FD3"/>
    <w:rsid w:val="001C10BA"/>
    <w:rsid w:val="00200176"/>
    <w:rsid w:val="00233E6E"/>
    <w:rsid w:val="00297D08"/>
    <w:rsid w:val="00346759"/>
    <w:rsid w:val="00362A4C"/>
    <w:rsid w:val="003B3DCF"/>
    <w:rsid w:val="003E423D"/>
    <w:rsid w:val="003F19CA"/>
    <w:rsid w:val="004512CE"/>
    <w:rsid w:val="00463DB0"/>
    <w:rsid w:val="00506517"/>
    <w:rsid w:val="00513DB0"/>
    <w:rsid w:val="005158AF"/>
    <w:rsid w:val="00590B0A"/>
    <w:rsid w:val="005B0453"/>
    <w:rsid w:val="006A1357"/>
    <w:rsid w:val="006D232B"/>
    <w:rsid w:val="0071665D"/>
    <w:rsid w:val="00745A4B"/>
    <w:rsid w:val="00815350"/>
    <w:rsid w:val="008553E2"/>
    <w:rsid w:val="00867E1A"/>
    <w:rsid w:val="00882F92"/>
    <w:rsid w:val="008C26A2"/>
    <w:rsid w:val="009238FC"/>
    <w:rsid w:val="00952AC2"/>
    <w:rsid w:val="009802BB"/>
    <w:rsid w:val="00992558"/>
    <w:rsid w:val="009F4001"/>
    <w:rsid w:val="009F7274"/>
    <w:rsid w:val="00A1685E"/>
    <w:rsid w:val="00A2577B"/>
    <w:rsid w:val="00A37FB1"/>
    <w:rsid w:val="00AA58FC"/>
    <w:rsid w:val="00AF2363"/>
    <w:rsid w:val="00BB286F"/>
    <w:rsid w:val="00C956E2"/>
    <w:rsid w:val="00CA3EE9"/>
    <w:rsid w:val="00CB502D"/>
    <w:rsid w:val="00CC727D"/>
    <w:rsid w:val="00D346C3"/>
    <w:rsid w:val="00D92AA6"/>
    <w:rsid w:val="00DC298A"/>
    <w:rsid w:val="00DE1CF0"/>
    <w:rsid w:val="00DE30D2"/>
    <w:rsid w:val="00E31E61"/>
    <w:rsid w:val="00E95856"/>
    <w:rsid w:val="00EA1E2D"/>
    <w:rsid w:val="00EB7C07"/>
    <w:rsid w:val="00EC2A68"/>
    <w:rsid w:val="00F158F0"/>
    <w:rsid w:val="00F66DC3"/>
    <w:rsid w:val="00FB3513"/>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EA1E2D"/>
    <w:rPr>
      <w:b/>
      <w:bCs/>
      <w:sz w:val="32"/>
      <w:szCs w:val="32"/>
      <w:lang w:eastAsia="en-US"/>
    </w:rPr>
  </w:style>
  <w:style w:type="paragraph" w:styleId="NormalWeb">
    <w:name w:val="Normal (Web)"/>
    <w:basedOn w:val="Normal"/>
    <w:uiPriority w:val="99"/>
    <w:unhideWhenUsed/>
    <w:rsid w:val="00CC727D"/>
    <w:pPr>
      <w:spacing w:before="100" w:beforeAutospacing="1" w:after="100" w:afterAutospacing="1"/>
    </w:pPr>
    <w:rPr>
      <w:rFonts w:eastAsia="Calibri"/>
      <w:lang w:eastAsia="en-GB"/>
    </w:rPr>
  </w:style>
</w:styles>
</file>

<file path=word/webSettings.xml><?xml version="1.0" encoding="utf-8"?>
<w:webSettings xmlns:r="http://schemas.openxmlformats.org/officeDocument/2006/relationships" xmlns:w="http://schemas.openxmlformats.org/wordprocessingml/2006/main">
  <w:divs>
    <w:div w:id="44568544">
      <w:bodyDiv w:val="1"/>
      <w:marLeft w:val="0"/>
      <w:marRight w:val="0"/>
      <w:marTop w:val="0"/>
      <w:marBottom w:val="0"/>
      <w:divBdr>
        <w:top w:val="none" w:sz="0" w:space="0" w:color="auto"/>
        <w:left w:val="none" w:sz="0" w:space="0" w:color="auto"/>
        <w:bottom w:val="none" w:sz="0" w:space="0" w:color="auto"/>
        <w:right w:val="none" w:sz="0" w:space="0" w:color="auto"/>
      </w:divBdr>
    </w:div>
    <w:div w:id="18775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484</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7</cp:revision>
  <cp:lastPrinted>2018-05-01T09:08:00Z</cp:lastPrinted>
  <dcterms:created xsi:type="dcterms:W3CDTF">2018-05-01T07:44:00Z</dcterms:created>
  <dcterms:modified xsi:type="dcterms:W3CDTF">2018-05-03T08:56:00Z</dcterms:modified>
</cp:coreProperties>
</file>