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2557"/>
        <w:gridCol w:w="4814"/>
        <w:gridCol w:w="1985"/>
      </w:tblGrid>
      <w:tr w:rsidR="00B04E5E" w:rsidRPr="005B4BA8" w:rsidTr="004175B5">
        <w:trPr>
          <w:trHeight w:val="557"/>
        </w:trPr>
        <w:tc>
          <w:tcPr>
            <w:tcW w:w="2557" w:type="dxa"/>
          </w:tcPr>
          <w:p w:rsidR="00B04E5E" w:rsidRPr="005B4BA8" w:rsidRDefault="00B04E5E" w:rsidP="004175B5">
            <w:pPr>
              <w:pStyle w:val="Heading1"/>
              <w:spacing w:before="60" w:after="60"/>
              <w:ind w:right="183"/>
              <w:contextualSpacing/>
              <w:rPr>
                <w:rFonts w:ascii="Arial" w:hAnsi="Arial" w:cs="Arial"/>
                <w:sz w:val="24"/>
              </w:rPr>
            </w:pPr>
            <w:r w:rsidRPr="005B4BA8">
              <w:rPr>
                <w:rFonts w:ascii="Arial" w:hAnsi="Arial" w:cs="Arial"/>
                <w:sz w:val="24"/>
              </w:rPr>
              <w:t>Board Meeting:</w:t>
            </w:r>
          </w:p>
        </w:tc>
        <w:tc>
          <w:tcPr>
            <w:tcW w:w="4814" w:type="dxa"/>
          </w:tcPr>
          <w:p w:rsidR="00B04E5E" w:rsidRPr="005B4BA8" w:rsidRDefault="00B04E5E" w:rsidP="004175B5">
            <w:pPr>
              <w:pStyle w:val="Heading1"/>
              <w:spacing w:before="60" w:after="60"/>
              <w:ind w:right="183"/>
              <w:contextualSpacing/>
              <w:rPr>
                <w:rFonts w:ascii="Arial" w:hAnsi="Arial" w:cs="Arial"/>
                <w:b w:val="0"/>
                <w:sz w:val="24"/>
              </w:rPr>
            </w:pPr>
            <w:r w:rsidRPr="005B4BA8">
              <w:rPr>
                <w:rFonts w:ascii="Arial" w:hAnsi="Arial" w:cs="Arial"/>
                <w:b w:val="0"/>
                <w:sz w:val="24"/>
              </w:rPr>
              <w:t xml:space="preserve">12 </w:t>
            </w:r>
            <w:r>
              <w:rPr>
                <w:rFonts w:ascii="Arial" w:hAnsi="Arial" w:cs="Arial"/>
                <w:b w:val="0"/>
                <w:sz w:val="24"/>
              </w:rPr>
              <w:t>September</w:t>
            </w:r>
            <w:r w:rsidRPr="005B4BA8">
              <w:rPr>
                <w:rFonts w:ascii="Arial" w:hAnsi="Arial" w:cs="Arial"/>
                <w:b w:val="0"/>
                <w:sz w:val="24"/>
              </w:rPr>
              <w:t xml:space="preserve"> 2018</w:t>
            </w:r>
          </w:p>
        </w:tc>
        <w:tc>
          <w:tcPr>
            <w:tcW w:w="1985" w:type="dxa"/>
            <w:vMerge w:val="restart"/>
          </w:tcPr>
          <w:p w:rsidR="00B04E5E" w:rsidRPr="005B4BA8" w:rsidRDefault="00B04E5E" w:rsidP="004175B5">
            <w:pPr>
              <w:pStyle w:val="Heading1"/>
              <w:spacing w:before="60" w:after="60"/>
              <w:ind w:right="34"/>
              <w:contextualSpacing/>
              <w:jc w:val="right"/>
              <w:rPr>
                <w:rFonts w:ascii="Arial" w:hAnsi="Arial" w:cs="Arial"/>
                <w:sz w:val="24"/>
              </w:rPr>
            </w:pPr>
            <w:r>
              <w:rPr>
                <w:rFonts w:ascii="Arial" w:hAnsi="Arial" w:cs="Arial"/>
                <w:noProof/>
                <w:sz w:val="24"/>
                <w:lang w:eastAsia="en-GB"/>
              </w:rPr>
              <w:drawing>
                <wp:inline distT="0" distB="0" distL="0" distR="0">
                  <wp:extent cx="1152525" cy="981075"/>
                  <wp:effectExtent l="19050" t="0" r="9525" b="0"/>
                  <wp:docPr id="2"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7"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B04E5E" w:rsidRPr="005B4BA8" w:rsidTr="004175B5">
        <w:trPr>
          <w:trHeight w:val="1091"/>
        </w:trPr>
        <w:tc>
          <w:tcPr>
            <w:tcW w:w="2557" w:type="dxa"/>
          </w:tcPr>
          <w:p w:rsidR="00B04E5E" w:rsidRPr="005B4BA8" w:rsidRDefault="00B04E5E" w:rsidP="004175B5">
            <w:pPr>
              <w:pStyle w:val="Heading1"/>
              <w:spacing w:before="60" w:after="60"/>
              <w:ind w:right="183"/>
              <w:contextualSpacing/>
              <w:rPr>
                <w:rFonts w:ascii="Arial" w:hAnsi="Arial" w:cs="Arial"/>
                <w:sz w:val="24"/>
              </w:rPr>
            </w:pPr>
            <w:r w:rsidRPr="005B4BA8">
              <w:rPr>
                <w:rFonts w:ascii="Arial" w:hAnsi="Arial" w:cs="Arial"/>
                <w:bCs w:val="0"/>
                <w:sz w:val="24"/>
              </w:rPr>
              <w:t>Subject:</w:t>
            </w:r>
          </w:p>
        </w:tc>
        <w:tc>
          <w:tcPr>
            <w:tcW w:w="4814" w:type="dxa"/>
          </w:tcPr>
          <w:p w:rsidR="00B04E5E" w:rsidRPr="005B4BA8" w:rsidRDefault="00B04E5E" w:rsidP="004175B5">
            <w:pPr>
              <w:pStyle w:val="Heading1"/>
              <w:spacing w:before="60" w:after="60"/>
              <w:ind w:right="183"/>
              <w:contextualSpacing/>
              <w:rPr>
                <w:rFonts w:ascii="Arial" w:hAnsi="Arial" w:cs="Arial"/>
                <w:b w:val="0"/>
                <w:sz w:val="24"/>
              </w:rPr>
            </w:pPr>
            <w:r>
              <w:rPr>
                <w:rFonts w:ascii="Arial" w:hAnsi="Arial" w:cs="Arial"/>
                <w:b w:val="0"/>
                <w:sz w:val="24"/>
              </w:rPr>
              <w:t>Finance update</w:t>
            </w:r>
          </w:p>
        </w:tc>
        <w:tc>
          <w:tcPr>
            <w:tcW w:w="1985" w:type="dxa"/>
            <w:vMerge/>
          </w:tcPr>
          <w:p w:rsidR="00B04E5E" w:rsidRPr="005B4BA8" w:rsidRDefault="00B04E5E" w:rsidP="004175B5">
            <w:pPr>
              <w:pStyle w:val="Heading1"/>
              <w:spacing w:before="60" w:after="60"/>
              <w:ind w:right="183"/>
              <w:contextualSpacing/>
              <w:rPr>
                <w:rFonts w:ascii="Arial" w:hAnsi="Arial" w:cs="Arial"/>
                <w:noProof/>
                <w:sz w:val="24"/>
                <w:lang w:eastAsia="en-GB"/>
              </w:rPr>
            </w:pPr>
          </w:p>
        </w:tc>
      </w:tr>
      <w:tr w:rsidR="00B04E5E" w:rsidRPr="0073139D" w:rsidTr="004175B5">
        <w:trPr>
          <w:trHeight w:val="499"/>
        </w:trPr>
        <w:tc>
          <w:tcPr>
            <w:tcW w:w="2557" w:type="dxa"/>
          </w:tcPr>
          <w:p w:rsidR="00B04E5E" w:rsidRPr="005B4BA8" w:rsidRDefault="00B04E5E" w:rsidP="004175B5">
            <w:pPr>
              <w:pStyle w:val="Heading1"/>
              <w:spacing w:before="120" w:after="60"/>
              <w:ind w:right="183"/>
              <w:contextualSpacing/>
              <w:rPr>
                <w:rFonts w:ascii="Arial" w:hAnsi="Arial" w:cs="Arial"/>
                <w:sz w:val="24"/>
              </w:rPr>
            </w:pPr>
            <w:r w:rsidRPr="005B4BA8">
              <w:rPr>
                <w:rFonts w:ascii="Arial" w:hAnsi="Arial" w:cs="Arial"/>
                <w:bCs w:val="0"/>
                <w:sz w:val="24"/>
              </w:rPr>
              <w:t>Recommendation:</w:t>
            </w:r>
            <w:r w:rsidRPr="005B4BA8">
              <w:rPr>
                <w:rFonts w:ascii="Arial" w:hAnsi="Arial" w:cs="Arial"/>
                <w:bCs w:val="0"/>
                <w:sz w:val="24"/>
              </w:rPr>
              <w:tab/>
            </w:r>
          </w:p>
        </w:tc>
        <w:tc>
          <w:tcPr>
            <w:tcW w:w="6799" w:type="dxa"/>
            <w:gridSpan w:val="2"/>
          </w:tcPr>
          <w:p w:rsidR="00B04E5E" w:rsidRDefault="00B04E5E" w:rsidP="004175B5">
            <w:pPr>
              <w:pStyle w:val="Heading1"/>
              <w:spacing w:before="120" w:after="60"/>
              <w:ind w:right="183"/>
              <w:contextualSpacing/>
              <w:rPr>
                <w:rFonts w:ascii="Arial" w:hAnsi="Arial" w:cs="Arial"/>
                <w:b w:val="0"/>
                <w:sz w:val="24"/>
              </w:rPr>
            </w:pPr>
            <w:r w:rsidRPr="005B4BA8">
              <w:rPr>
                <w:rFonts w:ascii="Arial" w:hAnsi="Arial" w:cs="Arial"/>
                <w:b w:val="0"/>
                <w:sz w:val="24"/>
              </w:rPr>
              <w:t>Board members are asked to:</w:t>
            </w:r>
          </w:p>
          <w:p w:rsidR="00B04E5E" w:rsidRPr="005B4BA8" w:rsidRDefault="00B04E5E" w:rsidP="004175B5"/>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B04E5E" w:rsidTr="004175B5">
              <w:tc>
                <w:tcPr>
                  <w:tcW w:w="5694" w:type="dxa"/>
                </w:tcPr>
                <w:p w:rsidR="00B04E5E" w:rsidRPr="007D047D" w:rsidRDefault="00B04E5E" w:rsidP="004175B5">
                  <w:pPr>
                    <w:pStyle w:val="Heading1"/>
                    <w:spacing w:before="120" w:after="60"/>
                    <w:ind w:right="183"/>
                    <w:contextualSpacing/>
                    <w:rPr>
                      <w:rFonts w:ascii="Arial" w:hAnsi="Arial" w:cs="Arial"/>
                      <w:b w:val="0"/>
                      <w:sz w:val="24"/>
                    </w:rPr>
                  </w:pPr>
                  <w:r>
                    <w:rPr>
                      <w:rFonts w:ascii="Arial" w:hAnsi="Arial" w:cs="Arial"/>
                      <w:b w:val="0"/>
                      <w:sz w:val="24"/>
                    </w:rPr>
                    <w:t>Discuss and Note</w:t>
                  </w:r>
                </w:p>
              </w:tc>
              <w:tc>
                <w:tcPr>
                  <w:tcW w:w="850" w:type="dxa"/>
                </w:tcPr>
                <w:p w:rsidR="00B04E5E" w:rsidRDefault="00B04E5E" w:rsidP="004175B5">
                  <w:pPr>
                    <w:spacing w:before="120" w:after="60"/>
                    <w:contextualSpacing/>
                  </w:pPr>
                  <w:r>
                    <w:t>X</w:t>
                  </w:r>
                </w:p>
              </w:tc>
            </w:tr>
            <w:tr w:rsidR="00B04E5E" w:rsidTr="004175B5">
              <w:tc>
                <w:tcPr>
                  <w:tcW w:w="5694" w:type="dxa"/>
                </w:tcPr>
                <w:p w:rsidR="00B04E5E" w:rsidRPr="007D047D" w:rsidRDefault="00B04E5E" w:rsidP="004175B5">
                  <w:pPr>
                    <w:pStyle w:val="Heading1"/>
                    <w:spacing w:before="120" w:after="60"/>
                    <w:ind w:right="183"/>
                    <w:contextualSpacing/>
                    <w:rPr>
                      <w:rFonts w:ascii="Arial" w:hAnsi="Arial" w:cs="Arial"/>
                      <w:b w:val="0"/>
                      <w:sz w:val="24"/>
                    </w:rPr>
                  </w:pPr>
                  <w:r>
                    <w:rPr>
                      <w:rFonts w:ascii="Arial" w:hAnsi="Arial" w:cs="Arial"/>
                      <w:b w:val="0"/>
                      <w:sz w:val="24"/>
                    </w:rPr>
                    <w:t>Discuss and Approve</w:t>
                  </w:r>
                </w:p>
              </w:tc>
              <w:tc>
                <w:tcPr>
                  <w:tcW w:w="850" w:type="dxa"/>
                </w:tcPr>
                <w:p w:rsidR="00B04E5E" w:rsidRDefault="00B04E5E" w:rsidP="004175B5">
                  <w:pPr>
                    <w:spacing w:before="120" w:after="60"/>
                    <w:contextualSpacing/>
                  </w:pPr>
                </w:p>
              </w:tc>
            </w:tr>
            <w:tr w:rsidR="00B04E5E" w:rsidTr="004175B5">
              <w:tc>
                <w:tcPr>
                  <w:tcW w:w="5694" w:type="dxa"/>
                </w:tcPr>
                <w:p w:rsidR="00B04E5E" w:rsidRPr="007D047D" w:rsidRDefault="00B04E5E" w:rsidP="004175B5">
                  <w:pPr>
                    <w:pStyle w:val="Heading1"/>
                    <w:spacing w:before="120" w:after="60"/>
                    <w:ind w:right="183"/>
                    <w:contextualSpacing/>
                    <w:rPr>
                      <w:rFonts w:ascii="Arial" w:hAnsi="Arial" w:cs="Arial"/>
                      <w:b w:val="0"/>
                      <w:sz w:val="24"/>
                    </w:rPr>
                  </w:pPr>
                  <w:r>
                    <w:rPr>
                      <w:rFonts w:ascii="Arial" w:hAnsi="Arial" w:cs="Arial"/>
                      <w:b w:val="0"/>
                      <w:sz w:val="24"/>
                    </w:rPr>
                    <w:t>Note for Information only</w:t>
                  </w:r>
                </w:p>
              </w:tc>
              <w:tc>
                <w:tcPr>
                  <w:tcW w:w="850" w:type="dxa"/>
                </w:tcPr>
                <w:p w:rsidR="00B04E5E" w:rsidRDefault="00B04E5E" w:rsidP="004175B5">
                  <w:pPr>
                    <w:spacing w:before="120" w:after="60"/>
                    <w:contextualSpacing/>
                  </w:pPr>
                </w:p>
              </w:tc>
            </w:tr>
          </w:tbl>
          <w:p w:rsidR="00B04E5E" w:rsidRPr="0073139D" w:rsidRDefault="00B04E5E" w:rsidP="004175B5">
            <w:pPr>
              <w:spacing w:before="120" w:after="60"/>
              <w:contextualSpacing/>
            </w:pPr>
          </w:p>
        </w:tc>
      </w:tr>
    </w:tbl>
    <w:p w:rsidR="00B04E5E" w:rsidRPr="00334C4B" w:rsidRDefault="00B04E5E" w:rsidP="00B04E5E">
      <w:pPr>
        <w:tabs>
          <w:tab w:val="left" w:pos="3261"/>
        </w:tabs>
        <w:ind w:left="3255" w:right="183" w:hanging="3255"/>
        <w:rPr>
          <w:rFonts w:ascii="Arial" w:hAnsi="Arial" w:cs="Arial"/>
        </w:rPr>
      </w:pPr>
    </w:p>
    <w:p w:rsidR="00B04E5E" w:rsidRPr="00334C4B" w:rsidRDefault="00B04E5E" w:rsidP="00B04E5E">
      <w:pPr>
        <w:ind w:right="-483"/>
        <w:rPr>
          <w:rFonts w:ascii="Arial" w:hAnsi="Arial" w:cs="Arial"/>
          <w:b/>
          <w:bCs/>
        </w:rPr>
      </w:pPr>
      <w:r w:rsidRPr="00334C4B">
        <w:rPr>
          <w:rFonts w:ascii="Arial" w:hAnsi="Arial" w:cs="Arial"/>
          <w:b/>
          <w:bCs/>
        </w:rPr>
        <w:t>__________________________________________________</w:t>
      </w:r>
    </w:p>
    <w:p w:rsidR="00B04E5E" w:rsidRPr="00334C4B" w:rsidRDefault="00B04E5E" w:rsidP="00B04E5E">
      <w:pPr>
        <w:pStyle w:val="BodyTextIndent2"/>
        <w:ind w:left="0"/>
        <w:rPr>
          <w:rFonts w:ascii="Arial" w:hAnsi="Arial" w:cs="Arial"/>
          <w:sz w:val="16"/>
        </w:rPr>
      </w:pPr>
    </w:p>
    <w:p w:rsidR="00B04E5E" w:rsidRPr="00334C4B" w:rsidRDefault="00B04E5E" w:rsidP="00B04E5E">
      <w:pPr>
        <w:pStyle w:val="Heading4"/>
        <w:numPr>
          <w:ilvl w:val="0"/>
          <w:numId w:val="2"/>
        </w:numPr>
        <w:rPr>
          <w:rFonts w:ascii="Arial" w:hAnsi="Arial" w:cs="Arial"/>
        </w:rPr>
      </w:pPr>
      <w:r w:rsidRPr="00334C4B">
        <w:rPr>
          <w:rFonts w:ascii="Arial" w:hAnsi="Arial" w:cs="Arial"/>
        </w:rPr>
        <w:t>Introduction/Key Issues</w:t>
      </w:r>
    </w:p>
    <w:p w:rsidR="00B04E5E" w:rsidRPr="00334C4B" w:rsidRDefault="00B04E5E" w:rsidP="00B04E5E">
      <w:pPr>
        <w:pStyle w:val="BodyTextIndent2"/>
        <w:ind w:left="0"/>
        <w:jc w:val="left"/>
        <w:rPr>
          <w:rFonts w:ascii="Arial" w:hAnsi="Arial" w:cs="Arial"/>
        </w:rPr>
      </w:pPr>
    </w:p>
    <w:p w:rsidR="00B04E5E" w:rsidRPr="00334C4B" w:rsidRDefault="00B04E5E" w:rsidP="00B04E5E">
      <w:pPr>
        <w:pStyle w:val="BodyTextIndent2"/>
        <w:ind w:left="360"/>
        <w:jc w:val="left"/>
        <w:rPr>
          <w:rFonts w:ascii="Arial" w:hAnsi="Arial" w:cs="Arial"/>
        </w:rPr>
      </w:pPr>
      <w:r>
        <w:rPr>
          <w:rFonts w:ascii="Arial" w:hAnsi="Arial" w:cs="Arial"/>
        </w:rPr>
        <w:t>The month 4</w:t>
      </w:r>
      <w:r w:rsidRPr="00334C4B">
        <w:rPr>
          <w:rFonts w:ascii="Arial" w:hAnsi="Arial" w:cs="Arial"/>
        </w:rPr>
        <w:t xml:space="preserve"> </w:t>
      </w:r>
      <w:r>
        <w:rPr>
          <w:rFonts w:ascii="Arial" w:hAnsi="Arial" w:cs="Arial"/>
        </w:rPr>
        <w:t xml:space="preserve">year to date (YTD) </w:t>
      </w:r>
      <w:r w:rsidRPr="00334C4B">
        <w:rPr>
          <w:rFonts w:ascii="Arial" w:hAnsi="Arial" w:cs="Arial"/>
        </w:rPr>
        <w:t>results show a total surplus of £</w:t>
      </w:r>
      <w:r>
        <w:rPr>
          <w:rFonts w:ascii="Arial" w:hAnsi="Arial" w:cs="Arial"/>
        </w:rPr>
        <w:t>0.895</w:t>
      </w:r>
      <w:r w:rsidRPr="00334C4B">
        <w:rPr>
          <w:rFonts w:ascii="Arial" w:hAnsi="Arial" w:cs="Arial"/>
        </w:rPr>
        <w:t>m. This includes both core and non-core expenditure</w:t>
      </w:r>
      <w:r w:rsidR="004175B5">
        <w:rPr>
          <w:rFonts w:ascii="Arial" w:hAnsi="Arial" w:cs="Arial"/>
        </w:rPr>
        <w:t>. T</w:t>
      </w:r>
      <w:r w:rsidRPr="00334C4B">
        <w:rPr>
          <w:rFonts w:ascii="Arial" w:hAnsi="Arial" w:cs="Arial"/>
        </w:rPr>
        <w:t>his is in line with the fo</w:t>
      </w:r>
      <w:r>
        <w:rPr>
          <w:rFonts w:ascii="Arial" w:hAnsi="Arial" w:cs="Arial"/>
        </w:rPr>
        <w:t>recast in the finance plan of £0.9</w:t>
      </w:r>
      <w:r w:rsidRPr="00334C4B">
        <w:rPr>
          <w:rFonts w:ascii="Arial" w:hAnsi="Arial" w:cs="Arial"/>
        </w:rPr>
        <w:t xml:space="preserve">m </w:t>
      </w:r>
      <w:proofErr w:type="spellStart"/>
      <w:proofErr w:type="gramStart"/>
      <w:r w:rsidRPr="00334C4B">
        <w:rPr>
          <w:rFonts w:ascii="Arial" w:hAnsi="Arial" w:cs="Arial"/>
        </w:rPr>
        <w:t>underspend</w:t>
      </w:r>
      <w:proofErr w:type="spellEnd"/>
      <w:proofErr w:type="gramEnd"/>
      <w:r w:rsidRPr="00334C4B">
        <w:rPr>
          <w:rFonts w:ascii="Arial" w:hAnsi="Arial" w:cs="Arial"/>
        </w:rPr>
        <w:t xml:space="preserve"> by the end of </w:t>
      </w:r>
      <w:r>
        <w:rPr>
          <w:rFonts w:ascii="Arial" w:hAnsi="Arial" w:cs="Arial"/>
        </w:rPr>
        <w:t>July 2018 against core R</w:t>
      </w:r>
      <w:r w:rsidR="004175B5">
        <w:rPr>
          <w:rFonts w:ascii="Arial" w:hAnsi="Arial" w:cs="Arial"/>
        </w:rPr>
        <w:t xml:space="preserve">evenue </w:t>
      </w:r>
      <w:r>
        <w:rPr>
          <w:rFonts w:ascii="Arial" w:hAnsi="Arial" w:cs="Arial"/>
        </w:rPr>
        <w:t>R</w:t>
      </w:r>
      <w:r w:rsidR="004175B5">
        <w:rPr>
          <w:rFonts w:ascii="Arial" w:hAnsi="Arial" w:cs="Arial"/>
        </w:rPr>
        <w:t xml:space="preserve">esource </w:t>
      </w:r>
      <w:r>
        <w:rPr>
          <w:rFonts w:ascii="Arial" w:hAnsi="Arial" w:cs="Arial"/>
        </w:rPr>
        <w:t>L</w:t>
      </w:r>
      <w:r w:rsidR="004175B5">
        <w:rPr>
          <w:rFonts w:ascii="Arial" w:hAnsi="Arial" w:cs="Arial"/>
        </w:rPr>
        <w:t>imit (RRL)</w:t>
      </w:r>
      <w:r w:rsidRPr="00334C4B">
        <w:rPr>
          <w:rFonts w:ascii="Arial" w:hAnsi="Arial" w:cs="Arial"/>
        </w:rPr>
        <w:t>. This surplus is made of the following:</w:t>
      </w:r>
    </w:p>
    <w:p w:rsidR="00B04E5E" w:rsidRPr="00334C4B" w:rsidRDefault="00B04E5E" w:rsidP="00B04E5E">
      <w:pPr>
        <w:pStyle w:val="BodyTextIndent2"/>
        <w:ind w:left="360"/>
        <w:jc w:val="left"/>
        <w:rPr>
          <w:rFonts w:ascii="Arial" w:hAnsi="Arial" w:cs="Arial"/>
        </w:rPr>
      </w:pPr>
    </w:p>
    <w:p w:rsidR="00B04E5E" w:rsidRPr="00334C4B" w:rsidRDefault="00B04E5E" w:rsidP="00B04E5E">
      <w:pPr>
        <w:pStyle w:val="BodyTextIndent2"/>
        <w:numPr>
          <w:ilvl w:val="0"/>
          <w:numId w:val="3"/>
        </w:numPr>
        <w:jc w:val="left"/>
        <w:rPr>
          <w:rFonts w:ascii="Arial" w:hAnsi="Arial" w:cs="Arial"/>
        </w:rPr>
      </w:pPr>
      <w:r>
        <w:rPr>
          <w:rFonts w:ascii="Arial" w:hAnsi="Arial" w:cs="Arial"/>
        </w:rPr>
        <w:t>Income – above target by £780</w:t>
      </w:r>
      <w:r w:rsidRPr="00334C4B">
        <w:rPr>
          <w:rFonts w:ascii="Arial" w:hAnsi="Arial" w:cs="Arial"/>
        </w:rPr>
        <w:t>k YTD;</w:t>
      </w:r>
    </w:p>
    <w:p w:rsidR="00B04E5E" w:rsidRPr="00334C4B" w:rsidRDefault="00B04E5E" w:rsidP="00B04E5E">
      <w:pPr>
        <w:pStyle w:val="BodyTextIndent2"/>
        <w:numPr>
          <w:ilvl w:val="0"/>
          <w:numId w:val="3"/>
        </w:numPr>
        <w:jc w:val="left"/>
        <w:rPr>
          <w:rFonts w:ascii="Arial" w:hAnsi="Arial" w:cs="Arial"/>
        </w:rPr>
      </w:pPr>
      <w:r w:rsidRPr="00334C4B">
        <w:rPr>
          <w:rFonts w:ascii="Arial" w:hAnsi="Arial" w:cs="Arial"/>
        </w:rPr>
        <w:t>Core Ex</w:t>
      </w:r>
      <w:r>
        <w:rPr>
          <w:rFonts w:ascii="Arial" w:hAnsi="Arial" w:cs="Arial"/>
        </w:rPr>
        <w:t xml:space="preserve">penditure – </w:t>
      </w:r>
      <w:proofErr w:type="spellStart"/>
      <w:r>
        <w:rPr>
          <w:rFonts w:ascii="Arial" w:hAnsi="Arial" w:cs="Arial"/>
        </w:rPr>
        <w:t>underspend</w:t>
      </w:r>
      <w:proofErr w:type="spellEnd"/>
      <w:r>
        <w:rPr>
          <w:rFonts w:ascii="Arial" w:hAnsi="Arial" w:cs="Arial"/>
        </w:rPr>
        <w:t xml:space="preserve"> of £125</w:t>
      </w:r>
      <w:r w:rsidRPr="00334C4B">
        <w:rPr>
          <w:rFonts w:ascii="Arial" w:hAnsi="Arial" w:cs="Arial"/>
        </w:rPr>
        <w:t>k YTD; and</w:t>
      </w:r>
    </w:p>
    <w:p w:rsidR="00B04E5E" w:rsidRPr="00334C4B" w:rsidRDefault="00B04E5E" w:rsidP="00B04E5E">
      <w:pPr>
        <w:pStyle w:val="BodyTextIndent2"/>
        <w:numPr>
          <w:ilvl w:val="0"/>
          <w:numId w:val="3"/>
        </w:numPr>
        <w:jc w:val="left"/>
        <w:rPr>
          <w:rFonts w:ascii="Arial" w:hAnsi="Arial" w:cs="Arial"/>
        </w:rPr>
      </w:pPr>
      <w:r w:rsidRPr="00334C4B">
        <w:rPr>
          <w:rFonts w:ascii="Arial" w:hAnsi="Arial" w:cs="Arial"/>
        </w:rPr>
        <w:t>Non-cor</w:t>
      </w:r>
      <w:r>
        <w:rPr>
          <w:rFonts w:ascii="Arial" w:hAnsi="Arial" w:cs="Arial"/>
        </w:rPr>
        <w:t>e Expenditure – ove</w:t>
      </w:r>
      <w:r w:rsidRPr="00334C4B">
        <w:rPr>
          <w:rFonts w:ascii="Arial" w:hAnsi="Arial" w:cs="Arial"/>
        </w:rPr>
        <w:t xml:space="preserve">rspend of </w:t>
      </w:r>
      <w:r>
        <w:rPr>
          <w:rFonts w:ascii="Arial" w:hAnsi="Arial" w:cs="Arial"/>
        </w:rPr>
        <w:t>(£9</w:t>
      </w:r>
      <w:r w:rsidRPr="00334C4B">
        <w:rPr>
          <w:rFonts w:ascii="Arial" w:hAnsi="Arial" w:cs="Arial"/>
        </w:rPr>
        <w:t>k</w:t>
      </w:r>
      <w:r>
        <w:rPr>
          <w:rFonts w:ascii="Arial" w:hAnsi="Arial" w:cs="Arial"/>
        </w:rPr>
        <w:t>)</w:t>
      </w:r>
      <w:r w:rsidRPr="00334C4B">
        <w:rPr>
          <w:rFonts w:ascii="Arial" w:hAnsi="Arial" w:cs="Arial"/>
        </w:rPr>
        <w:t xml:space="preserve"> YTD.</w:t>
      </w:r>
    </w:p>
    <w:p w:rsidR="00B04E5E" w:rsidRPr="00334C4B" w:rsidRDefault="00B04E5E" w:rsidP="00B04E5E">
      <w:pPr>
        <w:pStyle w:val="BodyTextIndent2"/>
        <w:ind w:left="0"/>
        <w:jc w:val="left"/>
        <w:rPr>
          <w:rFonts w:ascii="Arial" w:hAnsi="Arial" w:cs="Arial"/>
        </w:rPr>
      </w:pPr>
    </w:p>
    <w:p w:rsidR="00B04E5E" w:rsidRDefault="00B04E5E" w:rsidP="00B04E5E">
      <w:pPr>
        <w:pStyle w:val="BodyTextIndent2"/>
        <w:ind w:left="360"/>
        <w:jc w:val="left"/>
        <w:rPr>
          <w:rFonts w:ascii="Arial" w:hAnsi="Arial" w:cs="Arial"/>
        </w:rPr>
      </w:pPr>
      <w:r>
        <w:rPr>
          <w:rFonts w:ascii="Arial" w:hAnsi="Arial" w:cs="Arial"/>
        </w:rPr>
        <w:t>I</w:t>
      </w:r>
      <w:r w:rsidRPr="00334C4B">
        <w:rPr>
          <w:rFonts w:ascii="Arial" w:hAnsi="Arial" w:cs="Arial"/>
        </w:rPr>
        <w:t xml:space="preserve">t is anticipated that the Board will achieve the target agreed with the Scottish Government Health and Social Care Directorate.   </w:t>
      </w:r>
    </w:p>
    <w:p w:rsidR="00B04E5E" w:rsidRPr="007821A0" w:rsidRDefault="00B04E5E" w:rsidP="00B04E5E">
      <w:pPr>
        <w:pStyle w:val="BodyTextIndent2"/>
        <w:ind w:left="360"/>
        <w:jc w:val="left"/>
        <w:rPr>
          <w:rFonts w:ascii="Arial" w:hAnsi="Arial" w:cs="Arial"/>
          <w:b/>
        </w:rPr>
      </w:pPr>
    </w:p>
    <w:p w:rsidR="00B04E5E" w:rsidRPr="00334C4B" w:rsidRDefault="00B04E5E" w:rsidP="00B04E5E">
      <w:pPr>
        <w:pStyle w:val="BodyTextIndent2"/>
        <w:ind w:left="360"/>
        <w:jc w:val="left"/>
        <w:rPr>
          <w:rFonts w:ascii="Arial" w:hAnsi="Arial" w:cs="Arial"/>
        </w:rPr>
      </w:pPr>
      <w:r>
        <w:rPr>
          <w:rFonts w:ascii="Arial" w:hAnsi="Arial" w:cs="Arial"/>
        </w:rPr>
        <w:t xml:space="preserve">Given </w:t>
      </w:r>
      <w:r w:rsidR="004175B5">
        <w:rPr>
          <w:rFonts w:ascii="Arial" w:hAnsi="Arial" w:cs="Arial"/>
        </w:rPr>
        <w:t>20</w:t>
      </w:r>
      <w:r>
        <w:rPr>
          <w:rFonts w:ascii="Arial" w:hAnsi="Arial" w:cs="Arial"/>
        </w:rPr>
        <w:t>18/19 discussions on pay awards and pay progression, expansion approvals and other potential developments</w:t>
      </w:r>
      <w:r w:rsidR="004175B5">
        <w:rPr>
          <w:rFonts w:ascii="Arial" w:hAnsi="Arial" w:cs="Arial"/>
        </w:rPr>
        <w:t>,</w:t>
      </w:r>
      <w:r>
        <w:rPr>
          <w:rFonts w:ascii="Arial" w:hAnsi="Arial" w:cs="Arial"/>
        </w:rPr>
        <w:t xml:space="preserve"> detailed financial </w:t>
      </w:r>
      <w:r w:rsidRPr="00334C4B">
        <w:rPr>
          <w:rFonts w:ascii="Arial" w:hAnsi="Arial" w:cs="Arial"/>
        </w:rPr>
        <w:t xml:space="preserve">forecasts </w:t>
      </w:r>
      <w:r>
        <w:rPr>
          <w:rFonts w:ascii="Arial" w:hAnsi="Arial" w:cs="Arial"/>
        </w:rPr>
        <w:t xml:space="preserve">commenced </w:t>
      </w:r>
      <w:r w:rsidRPr="00334C4B">
        <w:rPr>
          <w:rFonts w:ascii="Arial" w:hAnsi="Arial" w:cs="Arial"/>
        </w:rPr>
        <w:t xml:space="preserve">from month </w:t>
      </w:r>
      <w:r>
        <w:rPr>
          <w:rFonts w:ascii="Arial" w:hAnsi="Arial" w:cs="Arial"/>
        </w:rPr>
        <w:t>three</w:t>
      </w:r>
      <w:r w:rsidRPr="00334C4B">
        <w:rPr>
          <w:rFonts w:ascii="Arial" w:hAnsi="Arial" w:cs="Arial"/>
        </w:rPr>
        <w:t xml:space="preserve"> onwards for both revenue and capital expenditure and associated funding streams.</w:t>
      </w:r>
      <w:r>
        <w:rPr>
          <w:rFonts w:ascii="Arial" w:hAnsi="Arial" w:cs="Arial"/>
        </w:rPr>
        <w:t xml:space="preserve"> </w:t>
      </w:r>
    </w:p>
    <w:p w:rsidR="00B04E5E" w:rsidRPr="00334C4B" w:rsidRDefault="00B04E5E" w:rsidP="00B04E5E">
      <w:pPr>
        <w:rPr>
          <w:rFonts w:ascii="Arial" w:hAnsi="Arial" w:cs="Arial"/>
        </w:rPr>
      </w:pPr>
    </w:p>
    <w:p w:rsidR="00B04E5E" w:rsidRDefault="00B04E5E" w:rsidP="00B04E5E">
      <w:pPr>
        <w:pStyle w:val="Heading4"/>
        <w:numPr>
          <w:ilvl w:val="0"/>
          <w:numId w:val="2"/>
        </w:numPr>
        <w:rPr>
          <w:rFonts w:ascii="Arial" w:hAnsi="Arial" w:cs="Arial"/>
        </w:rPr>
      </w:pPr>
      <w:r>
        <w:rPr>
          <w:rFonts w:ascii="Arial" w:hAnsi="Arial" w:cs="Arial"/>
        </w:rPr>
        <w:t xml:space="preserve">2018/19 Scottish Government Pay funding model </w:t>
      </w:r>
    </w:p>
    <w:p w:rsidR="00B04E5E" w:rsidRDefault="00B04E5E" w:rsidP="00B04E5E"/>
    <w:p w:rsidR="00B04E5E" w:rsidRDefault="00B04E5E" w:rsidP="00B04E5E">
      <w:pPr>
        <w:ind w:left="360"/>
        <w:rPr>
          <w:rFonts w:ascii="Arial" w:hAnsi="Arial" w:cs="Arial"/>
        </w:rPr>
      </w:pPr>
      <w:r>
        <w:rPr>
          <w:rFonts w:ascii="Arial" w:hAnsi="Arial" w:cs="Arial"/>
        </w:rPr>
        <w:t>Scottish Government (SG) has confirmed funding for Agenda for Change</w:t>
      </w:r>
      <w:r w:rsidR="004175B5">
        <w:rPr>
          <w:rFonts w:ascii="Arial" w:hAnsi="Arial" w:cs="Arial"/>
        </w:rPr>
        <w:t xml:space="preserve"> (</w:t>
      </w:r>
      <w:proofErr w:type="spellStart"/>
      <w:r w:rsidR="004175B5">
        <w:rPr>
          <w:rFonts w:ascii="Arial" w:hAnsi="Arial" w:cs="Arial"/>
        </w:rPr>
        <w:t>AfC</w:t>
      </w:r>
      <w:proofErr w:type="spellEnd"/>
      <w:r w:rsidR="004175B5">
        <w:rPr>
          <w:rFonts w:ascii="Arial" w:hAnsi="Arial" w:cs="Arial"/>
        </w:rPr>
        <w:t>)</w:t>
      </w:r>
      <w:r>
        <w:rPr>
          <w:rFonts w:ascii="Arial" w:hAnsi="Arial" w:cs="Arial"/>
        </w:rPr>
        <w:t xml:space="preserve"> staffing above initial 1% equating to £77m for Territorial Boards and £8m for National Boards on the basis of staff headcount modelling. </w:t>
      </w:r>
    </w:p>
    <w:p w:rsidR="00B04E5E" w:rsidRDefault="00B04E5E" w:rsidP="00B04E5E">
      <w:pPr>
        <w:ind w:left="360"/>
        <w:rPr>
          <w:rFonts w:ascii="Arial" w:hAnsi="Arial" w:cs="Arial"/>
        </w:rPr>
      </w:pPr>
    </w:p>
    <w:p w:rsidR="004175B5" w:rsidRDefault="00B04E5E" w:rsidP="00B04E5E">
      <w:pPr>
        <w:ind w:left="360"/>
        <w:rPr>
          <w:rFonts w:ascii="Arial" w:hAnsi="Arial" w:cs="Arial"/>
        </w:rPr>
      </w:pPr>
      <w:r>
        <w:rPr>
          <w:rFonts w:ascii="Arial" w:hAnsi="Arial" w:cs="Arial"/>
        </w:rPr>
        <w:t xml:space="preserve">It was agreed that a Short Life </w:t>
      </w:r>
      <w:r w:rsidR="004175B5">
        <w:rPr>
          <w:rFonts w:ascii="Arial" w:hAnsi="Arial" w:cs="Arial"/>
        </w:rPr>
        <w:t>W</w:t>
      </w:r>
      <w:r>
        <w:rPr>
          <w:rFonts w:ascii="Arial" w:hAnsi="Arial" w:cs="Arial"/>
        </w:rPr>
        <w:t xml:space="preserve">orking </w:t>
      </w:r>
      <w:r w:rsidR="004175B5">
        <w:rPr>
          <w:rFonts w:ascii="Arial" w:hAnsi="Arial" w:cs="Arial"/>
        </w:rPr>
        <w:t>G</w:t>
      </w:r>
      <w:r>
        <w:rPr>
          <w:rFonts w:ascii="Arial" w:hAnsi="Arial" w:cs="Arial"/>
        </w:rPr>
        <w:t>roup</w:t>
      </w:r>
      <w:r w:rsidR="004175B5">
        <w:rPr>
          <w:rFonts w:ascii="Arial" w:hAnsi="Arial" w:cs="Arial"/>
        </w:rPr>
        <w:t xml:space="preserve"> (SLWG)</w:t>
      </w:r>
      <w:r>
        <w:rPr>
          <w:rFonts w:ascii="Arial" w:hAnsi="Arial" w:cs="Arial"/>
        </w:rPr>
        <w:t xml:space="preserve"> </w:t>
      </w:r>
      <w:r w:rsidR="004175B5">
        <w:rPr>
          <w:rFonts w:ascii="Arial" w:hAnsi="Arial" w:cs="Arial"/>
        </w:rPr>
        <w:t xml:space="preserve">would </w:t>
      </w:r>
      <w:r>
        <w:rPr>
          <w:rFonts w:ascii="Arial" w:hAnsi="Arial" w:cs="Arial"/>
        </w:rPr>
        <w:t>be created to review the Scottish Government pay funding modelling compared to Boards</w:t>
      </w:r>
      <w:r w:rsidR="004175B5">
        <w:rPr>
          <w:rFonts w:ascii="Arial" w:hAnsi="Arial" w:cs="Arial"/>
        </w:rPr>
        <w:t>’</w:t>
      </w:r>
      <w:r>
        <w:rPr>
          <w:rFonts w:ascii="Arial" w:hAnsi="Arial" w:cs="Arial"/>
        </w:rPr>
        <w:t xml:space="preserve"> own local models to understand any gaps between the £85m earmarked by Scottish Government and NHS Boards own funding calculations. </w:t>
      </w:r>
    </w:p>
    <w:p w:rsidR="004175B5" w:rsidRDefault="004175B5" w:rsidP="00B04E5E">
      <w:pPr>
        <w:ind w:left="360"/>
        <w:rPr>
          <w:rFonts w:ascii="Arial" w:hAnsi="Arial" w:cs="Arial"/>
        </w:rPr>
      </w:pPr>
    </w:p>
    <w:p w:rsidR="00B04E5E" w:rsidRDefault="00B04E5E" w:rsidP="00B04E5E">
      <w:pPr>
        <w:ind w:left="360"/>
        <w:rPr>
          <w:rFonts w:ascii="Arial" w:hAnsi="Arial" w:cs="Arial"/>
        </w:rPr>
      </w:pPr>
      <w:r>
        <w:rPr>
          <w:rFonts w:ascii="Arial" w:hAnsi="Arial" w:cs="Arial"/>
        </w:rPr>
        <w:t>The final SLWG meets on 16 August and will inform Scottish Government of the final outcome</w:t>
      </w:r>
      <w:r w:rsidR="004175B5">
        <w:rPr>
          <w:rFonts w:ascii="Arial" w:hAnsi="Arial" w:cs="Arial"/>
        </w:rPr>
        <w:t>,</w:t>
      </w:r>
      <w:r>
        <w:rPr>
          <w:rFonts w:ascii="Arial" w:hAnsi="Arial" w:cs="Arial"/>
        </w:rPr>
        <w:t xml:space="preserve"> with plans to allocate </w:t>
      </w:r>
      <w:proofErr w:type="spellStart"/>
      <w:r>
        <w:rPr>
          <w:rFonts w:ascii="Arial" w:hAnsi="Arial" w:cs="Arial"/>
        </w:rPr>
        <w:t>AfC</w:t>
      </w:r>
      <w:proofErr w:type="spellEnd"/>
      <w:r>
        <w:rPr>
          <w:rFonts w:ascii="Arial" w:hAnsi="Arial" w:cs="Arial"/>
        </w:rPr>
        <w:t xml:space="preserve"> pay policy funding via the August RRL letter. We continue to plan that this will be fully funded with the modelling costs for the Board in the region of £910k assumed within the Board forecast plan. </w:t>
      </w:r>
    </w:p>
    <w:p w:rsidR="00B04E5E" w:rsidRPr="00203B9D" w:rsidRDefault="00B04E5E" w:rsidP="00B04E5E">
      <w:pPr>
        <w:pStyle w:val="Heading4"/>
        <w:numPr>
          <w:ilvl w:val="0"/>
          <w:numId w:val="2"/>
        </w:numPr>
        <w:rPr>
          <w:rFonts w:ascii="Arial" w:hAnsi="Arial" w:cs="Arial"/>
        </w:rPr>
      </w:pPr>
      <w:r w:rsidRPr="00203B9D">
        <w:rPr>
          <w:rFonts w:ascii="Arial" w:hAnsi="Arial" w:cs="Arial"/>
        </w:rPr>
        <w:lastRenderedPageBreak/>
        <w:t>Annual Managed Expenditure – Provisions (CNORIS)</w:t>
      </w:r>
    </w:p>
    <w:p w:rsidR="00B04E5E" w:rsidRDefault="00B04E5E" w:rsidP="00B04E5E"/>
    <w:p w:rsidR="00B04E5E" w:rsidRDefault="00B04E5E" w:rsidP="00B04E5E">
      <w:pPr>
        <w:ind w:left="360"/>
        <w:rPr>
          <w:rFonts w:ascii="Arial" w:hAnsi="Arial" w:cs="Arial"/>
        </w:rPr>
      </w:pPr>
      <w:r>
        <w:rPr>
          <w:rFonts w:ascii="Arial" w:hAnsi="Arial" w:cs="Arial"/>
        </w:rPr>
        <w:t xml:space="preserve">Members will note that legal claims have increased in the first </w:t>
      </w:r>
      <w:r w:rsidR="004175B5">
        <w:rPr>
          <w:rFonts w:ascii="Arial" w:hAnsi="Arial" w:cs="Arial"/>
        </w:rPr>
        <w:t>four</w:t>
      </w:r>
      <w:r>
        <w:rPr>
          <w:rFonts w:ascii="Arial" w:hAnsi="Arial" w:cs="Arial"/>
        </w:rPr>
        <w:t xml:space="preserve"> months of this year and this is reflected in the adjustments in the </w:t>
      </w:r>
      <w:proofErr w:type="spellStart"/>
      <w:r>
        <w:rPr>
          <w:rFonts w:ascii="Arial" w:hAnsi="Arial" w:cs="Arial"/>
        </w:rPr>
        <w:t>non core</w:t>
      </w:r>
      <w:proofErr w:type="spellEnd"/>
      <w:r>
        <w:rPr>
          <w:rFonts w:ascii="Arial" w:hAnsi="Arial" w:cs="Arial"/>
        </w:rPr>
        <w:t xml:space="preserve"> forecasts. There are no underlying trends in this position but in assessing this we thought it useful </w:t>
      </w:r>
      <w:r w:rsidR="004175B5">
        <w:rPr>
          <w:rFonts w:ascii="Arial" w:hAnsi="Arial" w:cs="Arial"/>
        </w:rPr>
        <w:t xml:space="preserve">for </w:t>
      </w:r>
      <w:r>
        <w:rPr>
          <w:rFonts w:ascii="Arial" w:hAnsi="Arial" w:cs="Arial"/>
        </w:rPr>
        <w:t xml:space="preserve">the Board </w:t>
      </w:r>
      <w:r w:rsidR="004175B5">
        <w:rPr>
          <w:rFonts w:ascii="Arial" w:hAnsi="Arial" w:cs="Arial"/>
        </w:rPr>
        <w:t xml:space="preserve">to </w:t>
      </w:r>
      <w:r>
        <w:rPr>
          <w:rFonts w:ascii="Arial" w:hAnsi="Arial" w:cs="Arial"/>
        </w:rPr>
        <w:t>understand the adjustments and processes in place to account and manage this on a monthly basis.</w:t>
      </w:r>
    </w:p>
    <w:p w:rsidR="00B04E5E" w:rsidRDefault="00B04E5E" w:rsidP="00B04E5E">
      <w:pPr>
        <w:ind w:left="360"/>
        <w:rPr>
          <w:rFonts w:ascii="Arial" w:hAnsi="Arial" w:cs="Arial"/>
        </w:rPr>
      </w:pPr>
    </w:p>
    <w:p w:rsidR="00B04E5E" w:rsidRDefault="00B04E5E" w:rsidP="00B04E5E">
      <w:pPr>
        <w:ind w:left="360"/>
        <w:rPr>
          <w:rFonts w:ascii="Arial" w:hAnsi="Arial" w:cs="Arial"/>
        </w:rPr>
      </w:pPr>
      <w:r>
        <w:rPr>
          <w:rFonts w:ascii="Arial" w:hAnsi="Arial" w:cs="Arial"/>
        </w:rPr>
        <w:t xml:space="preserve">The extract below from the annual accounts describes this position </w:t>
      </w:r>
    </w:p>
    <w:p w:rsidR="00B04E5E" w:rsidRDefault="00B04E5E" w:rsidP="00B04E5E">
      <w:pPr>
        <w:ind w:left="360"/>
      </w:pPr>
    </w:p>
    <w:p w:rsidR="00B04E5E" w:rsidRPr="0071770D" w:rsidRDefault="00B04E5E" w:rsidP="00B04E5E">
      <w:pPr>
        <w:ind w:left="360"/>
        <w:rPr>
          <w:rFonts w:ascii="Arial" w:hAnsi="Arial" w:cs="Arial"/>
          <w:szCs w:val="22"/>
          <w:lang w:eastAsia="en-GB"/>
        </w:rPr>
      </w:pPr>
      <w:r>
        <w:rPr>
          <w:rFonts w:ascii="Arial" w:hAnsi="Arial" w:cs="Arial"/>
          <w:szCs w:val="22"/>
          <w:lang w:eastAsia="en-GB"/>
        </w:rPr>
        <w:t>“</w:t>
      </w:r>
      <w:r w:rsidRPr="0071770D">
        <w:rPr>
          <w:rFonts w:ascii="Arial" w:hAnsi="Arial" w:cs="Arial"/>
          <w:szCs w:val="22"/>
          <w:lang w:eastAsia="en-GB"/>
        </w:rPr>
        <w:t xml:space="preserve">The Clinical Negligence and Other Risks Scheme (CNORIS) </w:t>
      </w:r>
      <w:proofErr w:type="gramStart"/>
      <w:r w:rsidRPr="0071770D">
        <w:rPr>
          <w:rFonts w:ascii="Arial" w:hAnsi="Arial" w:cs="Arial"/>
          <w:szCs w:val="22"/>
          <w:lang w:eastAsia="en-GB"/>
        </w:rPr>
        <w:t>has</w:t>
      </w:r>
      <w:proofErr w:type="gramEnd"/>
      <w:r w:rsidRPr="0071770D">
        <w:rPr>
          <w:rFonts w:ascii="Arial" w:hAnsi="Arial" w:cs="Arial"/>
          <w:szCs w:val="22"/>
          <w:lang w:eastAsia="en-GB"/>
        </w:rPr>
        <w:t xml:space="preserve"> been in operation </w:t>
      </w:r>
      <w:r>
        <w:rPr>
          <w:rFonts w:ascii="Arial" w:hAnsi="Arial" w:cs="Arial"/>
          <w:szCs w:val="22"/>
          <w:lang w:eastAsia="en-GB"/>
        </w:rPr>
        <w:t xml:space="preserve">in NHS Scotland </w:t>
      </w:r>
      <w:r w:rsidRPr="0071770D">
        <w:rPr>
          <w:rFonts w:ascii="Arial" w:hAnsi="Arial" w:cs="Arial"/>
          <w:szCs w:val="22"/>
          <w:lang w:eastAsia="en-GB"/>
        </w:rPr>
        <w:t>since 2000.  Participation in the scheme is mandatory for all NHS boards in Scotland.   The scheme allows for risk pooling of legal claims in relation to clinical negligence and other risks and works in a similar manner to an insurance scheme. CNORIS has an agreed threshold of £25k and any claims with a value less than this are met directly from within boards’ own budgets. Participants e.g. NHS boards contribute to the CNORIS pool each financial year at a pre-agreed contribution rate based on the risks associated with their individual NHS board. If a claim is settled the board will be reimbursed by the scheme for the value of the settlement, less a £25k “excess” fee. The scheme allows for the risk associated with any large or late in the financial year legal claims to be managed and reduces the level of volatility that individual boards are exposed to.</w:t>
      </w:r>
    </w:p>
    <w:p w:rsidR="00B04E5E" w:rsidRPr="0071770D" w:rsidRDefault="00B04E5E" w:rsidP="00B04E5E">
      <w:pPr>
        <w:ind w:left="360"/>
        <w:rPr>
          <w:rFonts w:ascii="Arial" w:hAnsi="Arial" w:cs="Arial"/>
          <w:szCs w:val="22"/>
          <w:lang w:eastAsia="en-GB"/>
        </w:rPr>
      </w:pPr>
    </w:p>
    <w:p w:rsidR="00B04E5E" w:rsidRPr="0071770D" w:rsidRDefault="00156743" w:rsidP="00B04E5E">
      <w:pPr>
        <w:ind w:left="360"/>
        <w:rPr>
          <w:rFonts w:ascii="Arial" w:hAnsi="Arial" w:cs="Arial"/>
          <w:szCs w:val="22"/>
          <w:lang w:eastAsia="en-GB"/>
        </w:rPr>
      </w:pPr>
      <w:r>
        <w:rPr>
          <w:rFonts w:ascii="Arial" w:hAnsi="Arial" w:cs="Arial"/>
          <w:szCs w:val="22"/>
          <w:lang w:eastAsia="en-GB"/>
        </w:rPr>
        <w:t>“</w:t>
      </w:r>
      <w:r w:rsidR="00B04E5E" w:rsidRPr="0071770D">
        <w:rPr>
          <w:rFonts w:ascii="Arial" w:hAnsi="Arial" w:cs="Arial"/>
          <w:szCs w:val="22"/>
          <w:lang w:eastAsia="en-GB"/>
        </w:rPr>
        <w:t>When a legal claim is made against an individual board, the board will assess whether a provision or contingent liability for that legal claim is required. If a provision is required then the board will also create an associated receivable recognising reimbursement from the scheme if the legal claim settl</w:t>
      </w:r>
      <w:r w:rsidR="00B04E5E">
        <w:rPr>
          <w:rFonts w:ascii="Arial" w:hAnsi="Arial" w:cs="Arial"/>
          <w:szCs w:val="22"/>
          <w:lang w:eastAsia="en-GB"/>
        </w:rPr>
        <w:t>es.</w:t>
      </w:r>
    </w:p>
    <w:p w:rsidR="00B04E5E" w:rsidRPr="0071770D" w:rsidRDefault="00B04E5E" w:rsidP="00B04E5E">
      <w:pPr>
        <w:ind w:left="360"/>
        <w:rPr>
          <w:rFonts w:ascii="Arial" w:hAnsi="Arial" w:cs="Arial"/>
          <w:szCs w:val="22"/>
          <w:lang w:eastAsia="en-GB"/>
        </w:rPr>
      </w:pPr>
    </w:p>
    <w:p w:rsidR="00B04E5E" w:rsidRPr="0071770D" w:rsidRDefault="00156743" w:rsidP="00B04E5E">
      <w:pPr>
        <w:ind w:left="360"/>
        <w:rPr>
          <w:rFonts w:ascii="Arial" w:hAnsi="Arial" w:cs="Arial"/>
          <w:szCs w:val="22"/>
          <w:lang w:eastAsia="en-GB"/>
        </w:rPr>
      </w:pPr>
      <w:r>
        <w:rPr>
          <w:rFonts w:ascii="Arial" w:hAnsi="Arial" w:cs="Arial"/>
          <w:szCs w:val="22"/>
          <w:lang w:eastAsia="en-GB"/>
        </w:rPr>
        <w:t>“</w:t>
      </w:r>
      <w:r w:rsidR="00B04E5E" w:rsidRPr="0071770D">
        <w:rPr>
          <w:rFonts w:ascii="Arial" w:hAnsi="Arial" w:cs="Arial"/>
          <w:szCs w:val="22"/>
          <w:lang w:eastAsia="en-GB"/>
        </w:rPr>
        <w:t xml:space="preserve">As a result of participation in the scheme, </w:t>
      </w:r>
      <w:r w:rsidR="00B04E5E">
        <w:rPr>
          <w:rFonts w:ascii="Arial" w:hAnsi="Arial" w:cs="Arial"/>
          <w:szCs w:val="22"/>
          <w:lang w:eastAsia="en-GB"/>
        </w:rPr>
        <w:t>the Board</w:t>
      </w:r>
      <w:r w:rsidR="00B04E5E" w:rsidRPr="0071770D">
        <w:rPr>
          <w:rFonts w:ascii="Arial" w:hAnsi="Arial" w:cs="Arial"/>
          <w:szCs w:val="22"/>
          <w:lang w:eastAsia="en-GB"/>
        </w:rPr>
        <w:t xml:space="preserve"> also recognise</w:t>
      </w:r>
      <w:r w:rsidR="00B04E5E">
        <w:rPr>
          <w:rFonts w:ascii="Arial" w:hAnsi="Arial" w:cs="Arial"/>
          <w:szCs w:val="22"/>
          <w:lang w:eastAsia="en-GB"/>
        </w:rPr>
        <w:t>s</w:t>
      </w:r>
      <w:r w:rsidR="00B04E5E" w:rsidRPr="0071770D">
        <w:rPr>
          <w:rFonts w:ascii="Arial" w:hAnsi="Arial" w:cs="Arial"/>
          <w:szCs w:val="22"/>
          <w:lang w:eastAsia="en-GB"/>
        </w:rPr>
        <w:t xml:space="preserve"> that they will be required to make contributions to the scheme in future years. Therefore a second provision that recognises the board’s share of the total CNORIS liability of </w:t>
      </w:r>
      <w:proofErr w:type="spellStart"/>
      <w:r w:rsidR="00B04E5E" w:rsidRPr="0071770D">
        <w:rPr>
          <w:rFonts w:ascii="Arial" w:hAnsi="Arial" w:cs="Arial"/>
          <w:szCs w:val="22"/>
          <w:lang w:eastAsia="en-GB"/>
        </w:rPr>
        <w:t>NHSScotland</w:t>
      </w:r>
      <w:proofErr w:type="spellEnd"/>
      <w:r w:rsidR="00B04E5E" w:rsidRPr="0071770D">
        <w:rPr>
          <w:rFonts w:ascii="Arial" w:hAnsi="Arial" w:cs="Arial"/>
          <w:szCs w:val="22"/>
          <w:lang w:eastAsia="en-GB"/>
        </w:rPr>
        <w:t xml:space="preserve"> has been made and this is reflected</w:t>
      </w:r>
      <w:r w:rsidR="00B04E5E">
        <w:rPr>
          <w:rFonts w:ascii="Arial" w:hAnsi="Arial" w:cs="Arial"/>
          <w:szCs w:val="22"/>
          <w:lang w:eastAsia="en-GB"/>
        </w:rPr>
        <w:t xml:space="preserve"> in the</w:t>
      </w:r>
      <w:r w:rsidR="00B04E5E" w:rsidRPr="0071770D">
        <w:rPr>
          <w:rFonts w:ascii="Arial" w:hAnsi="Arial" w:cs="Arial"/>
          <w:szCs w:val="22"/>
          <w:lang w:eastAsia="en-GB"/>
        </w:rPr>
        <w:t xml:space="preserve"> above.</w:t>
      </w:r>
    </w:p>
    <w:p w:rsidR="00B04E5E" w:rsidRPr="0071770D" w:rsidRDefault="00B04E5E" w:rsidP="00B04E5E">
      <w:pPr>
        <w:tabs>
          <w:tab w:val="left" w:pos="-720"/>
          <w:tab w:val="decimal" w:pos="11232"/>
        </w:tabs>
        <w:ind w:left="360"/>
        <w:rPr>
          <w:rFonts w:ascii="Arial" w:hAnsi="Arial" w:cs="Arial"/>
          <w:b/>
          <w:iCs/>
        </w:rPr>
      </w:pPr>
    </w:p>
    <w:p w:rsidR="00B04E5E" w:rsidRDefault="00156743" w:rsidP="00B04E5E">
      <w:pPr>
        <w:ind w:left="360"/>
        <w:rPr>
          <w:rFonts w:ascii="Arial" w:hAnsi="Arial" w:cs="Arial"/>
          <w:szCs w:val="22"/>
          <w:lang w:eastAsia="en-GB"/>
        </w:rPr>
      </w:pPr>
      <w:r>
        <w:rPr>
          <w:rFonts w:ascii="Arial" w:hAnsi="Arial" w:cs="Arial"/>
          <w:szCs w:val="22"/>
          <w:lang w:eastAsia="en-GB"/>
        </w:rPr>
        <w:t>“</w:t>
      </w:r>
      <w:r w:rsidR="00B04E5E" w:rsidRPr="0071770D">
        <w:rPr>
          <w:rFonts w:ascii="Arial" w:hAnsi="Arial" w:cs="Arial"/>
          <w:szCs w:val="22"/>
          <w:lang w:eastAsia="en-GB"/>
        </w:rPr>
        <w:t>Therefore there are two related but distinct provisions required as a result of participation in the scheme.</w:t>
      </w:r>
      <w:r>
        <w:rPr>
          <w:rFonts w:ascii="Arial" w:hAnsi="Arial" w:cs="Arial"/>
          <w:szCs w:val="22"/>
          <w:lang w:eastAsia="en-GB"/>
        </w:rPr>
        <w:t>”</w:t>
      </w:r>
      <w:r w:rsidR="00B04E5E" w:rsidRPr="0071770D">
        <w:rPr>
          <w:rFonts w:ascii="Arial" w:hAnsi="Arial" w:cs="Arial"/>
          <w:szCs w:val="22"/>
          <w:lang w:eastAsia="en-GB"/>
        </w:rPr>
        <w:t xml:space="preserve"> </w:t>
      </w:r>
    </w:p>
    <w:p w:rsidR="00B04E5E" w:rsidRDefault="00B04E5E" w:rsidP="00B04E5E">
      <w:pPr>
        <w:ind w:left="360"/>
        <w:rPr>
          <w:rFonts w:ascii="Arial" w:hAnsi="Arial" w:cs="Arial"/>
          <w:b/>
          <w:szCs w:val="22"/>
          <w:lang w:eastAsia="en-GB"/>
        </w:rPr>
      </w:pPr>
    </w:p>
    <w:p w:rsidR="00B04E5E" w:rsidRDefault="00B04E5E" w:rsidP="00B04E5E">
      <w:pPr>
        <w:ind w:left="360"/>
        <w:rPr>
          <w:rFonts w:ascii="Arial" w:hAnsi="Arial" w:cs="Arial"/>
          <w:b/>
          <w:szCs w:val="22"/>
          <w:lang w:eastAsia="en-GB"/>
        </w:rPr>
      </w:pPr>
    </w:p>
    <w:p w:rsidR="00B04E5E" w:rsidRDefault="00B04E5E" w:rsidP="00B04E5E">
      <w:pPr>
        <w:ind w:left="360"/>
        <w:rPr>
          <w:rFonts w:ascii="Arial" w:hAnsi="Arial" w:cs="Arial"/>
          <w:b/>
          <w:szCs w:val="22"/>
          <w:lang w:eastAsia="en-GB"/>
        </w:rPr>
      </w:pPr>
      <w:r>
        <w:rPr>
          <w:rFonts w:ascii="Arial" w:hAnsi="Arial" w:cs="Arial"/>
          <w:b/>
          <w:szCs w:val="22"/>
          <w:lang w:eastAsia="en-GB"/>
        </w:rPr>
        <w:t>CNORIS claims update as at July 2018</w:t>
      </w:r>
    </w:p>
    <w:p w:rsidR="00B04E5E" w:rsidRDefault="00B04E5E" w:rsidP="00B04E5E">
      <w:pPr>
        <w:ind w:left="360"/>
        <w:rPr>
          <w:rFonts w:ascii="Arial" w:hAnsi="Arial" w:cs="Arial"/>
          <w:b/>
          <w:szCs w:val="22"/>
          <w:lang w:eastAsia="en-GB"/>
        </w:rPr>
      </w:pPr>
    </w:p>
    <w:tbl>
      <w:tblPr>
        <w:tblW w:w="5000" w:type="pct"/>
        <w:tblLook w:val="0000"/>
      </w:tblPr>
      <w:tblGrid>
        <w:gridCol w:w="2888"/>
        <w:gridCol w:w="1519"/>
        <w:gridCol w:w="1793"/>
        <w:gridCol w:w="1521"/>
        <w:gridCol w:w="1521"/>
      </w:tblGrid>
      <w:tr w:rsidR="00B04E5E" w:rsidRPr="00CE36F7" w:rsidTr="004175B5">
        <w:tc>
          <w:tcPr>
            <w:tcW w:w="1562" w:type="pct"/>
          </w:tcPr>
          <w:p w:rsidR="00B04E5E" w:rsidRPr="0054261A" w:rsidRDefault="00B04E5E" w:rsidP="004175B5">
            <w:pPr>
              <w:pStyle w:val="Heading6"/>
              <w:tabs>
                <w:tab w:val="decimal" w:pos="7560"/>
              </w:tabs>
              <w:rPr>
                <w:b w:val="0"/>
              </w:rPr>
            </w:pPr>
          </w:p>
        </w:tc>
        <w:tc>
          <w:tcPr>
            <w:tcW w:w="822" w:type="pct"/>
          </w:tcPr>
          <w:p w:rsidR="00B04E5E" w:rsidRPr="0054261A" w:rsidRDefault="00B04E5E" w:rsidP="004175B5">
            <w:pPr>
              <w:tabs>
                <w:tab w:val="decimal" w:pos="702"/>
                <w:tab w:val="decimal" w:pos="7560"/>
                <w:tab w:val="decimal" w:pos="9000"/>
                <w:tab w:val="decimal" w:pos="11232"/>
              </w:tabs>
              <w:jc w:val="right"/>
              <w:rPr>
                <w:b/>
                <w:sz w:val="20"/>
              </w:rPr>
            </w:pPr>
            <w:r w:rsidRPr="0054261A">
              <w:rPr>
                <w:b/>
                <w:sz w:val="20"/>
              </w:rPr>
              <w:t>Clinical &amp; Medical</w:t>
            </w:r>
          </w:p>
        </w:tc>
        <w:tc>
          <w:tcPr>
            <w:tcW w:w="970"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Participation in CNORIS</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Other</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Total</w:t>
            </w:r>
          </w:p>
        </w:tc>
      </w:tr>
      <w:tr w:rsidR="00B04E5E" w:rsidRPr="00CE36F7" w:rsidTr="004175B5">
        <w:tc>
          <w:tcPr>
            <w:tcW w:w="1562" w:type="pct"/>
          </w:tcPr>
          <w:p w:rsidR="00B04E5E" w:rsidRPr="0054261A" w:rsidRDefault="00B04E5E" w:rsidP="004175B5">
            <w:pPr>
              <w:pStyle w:val="Heading6"/>
              <w:tabs>
                <w:tab w:val="decimal" w:pos="7560"/>
              </w:tabs>
              <w:rPr>
                <w:b w:val="0"/>
              </w:rPr>
            </w:pPr>
          </w:p>
        </w:tc>
        <w:tc>
          <w:tcPr>
            <w:tcW w:w="822" w:type="pct"/>
          </w:tcPr>
          <w:p w:rsidR="00B04E5E" w:rsidRPr="0054261A" w:rsidRDefault="00B04E5E" w:rsidP="004175B5">
            <w:pPr>
              <w:jc w:val="right"/>
              <w:rPr>
                <w:sz w:val="20"/>
              </w:rPr>
            </w:pPr>
            <w:r w:rsidRPr="0054261A">
              <w:rPr>
                <w:b/>
                <w:sz w:val="20"/>
              </w:rPr>
              <w:t>£’000</w:t>
            </w:r>
          </w:p>
        </w:tc>
        <w:tc>
          <w:tcPr>
            <w:tcW w:w="970" w:type="pct"/>
          </w:tcPr>
          <w:p w:rsidR="00B04E5E" w:rsidRPr="0054261A" w:rsidRDefault="00B04E5E" w:rsidP="004175B5">
            <w:pPr>
              <w:jc w:val="right"/>
              <w:rPr>
                <w:sz w:val="20"/>
              </w:rPr>
            </w:pPr>
            <w:r w:rsidRPr="0054261A">
              <w:rPr>
                <w:b/>
                <w:sz w:val="20"/>
              </w:rPr>
              <w:t>£’000</w:t>
            </w:r>
          </w:p>
        </w:tc>
        <w:tc>
          <w:tcPr>
            <w:tcW w:w="823" w:type="pct"/>
          </w:tcPr>
          <w:p w:rsidR="00B04E5E" w:rsidRPr="0054261A" w:rsidRDefault="00B04E5E" w:rsidP="004175B5">
            <w:pPr>
              <w:jc w:val="right"/>
              <w:rPr>
                <w:sz w:val="20"/>
              </w:rPr>
            </w:pPr>
            <w:r w:rsidRPr="0054261A">
              <w:rPr>
                <w:b/>
                <w:sz w:val="20"/>
              </w:rPr>
              <w:t>£’000</w:t>
            </w:r>
          </w:p>
        </w:tc>
        <w:tc>
          <w:tcPr>
            <w:tcW w:w="823" w:type="pct"/>
          </w:tcPr>
          <w:p w:rsidR="00B04E5E" w:rsidRPr="0054261A" w:rsidRDefault="00B04E5E" w:rsidP="004175B5">
            <w:pPr>
              <w:jc w:val="right"/>
              <w:rPr>
                <w:sz w:val="20"/>
              </w:rPr>
            </w:pPr>
            <w:r w:rsidRPr="0054261A">
              <w:rPr>
                <w:b/>
                <w:sz w:val="20"/>
              </w:rPr>
              <w:t>£’000</w:t>
            </w:r>
          </w:p>
        </w:tc>
      </w:tr>
      <w:tr w:rsidR="00B04E5E" w:rsidRPr="00CE36F7" w:rsidTr="004175B5">
        <w:trPr>
          <w:cantSplit/>
        </w:trPr>
        <w:tc>
          <w:tcPr>
            <w:tcW w:w="1562" w:type="pct"/>
          </w:tcPr>
          <w:p w:rsidR="00B04E5E" w:rsidRPr="0054261A" w:rsidRDefault="00B04E5E" w:rsidP="004175B5">
            <w:pPr>
              <w:pStyle w:val="Heading6"/>
              <w:tabs>
                <w:tab w:val="decimal" w:pos="7560"/>
              </w:tabs>
              <w:rPr>
                <w:b w:val="0"/>
              </w:rPr>
            </w:pPr>
          </w:p>
        </w:tc>
        <w:tc>
          <w:tcPr>
            <w:tcW w:w="822" w:type="pct"/>
          </w:tcPr>
          <w:p w:rsidR="00B04E5E" w:rsidRPr="0054261A" w:rsidRDefault="00B04E5E" w:rsidP="004175B5">
            <w:pPr>
              <w:tabs>
                <w:tab w:val="decimal" w:pos="702"/>
                <w:tab w:val="decimal" w:pos="7560"/>
                <w:tab w:val="decimal" w:pos="9000"/>
                <w:tab w:val="decimal" w:pos="11232"/>
              </w:tabs>
              <w:rPr>
                <w:b/>
                <w:sz w:val="20"/>
              </w:rPr>
            </w:pPr>
          </w:p>
        </w:tc>
        <w:tc>
          <w:tcPr>
            <w:tcW w:w="970" w:type="pct"/>
          </w:tcPr>
          <w:p w:rsidR="00B04E5E" w:rsidRPr="0054261A" w:rsidRDefault="00B04E5E" w:rsidP="004175B5">
            <w:pPr>
              <w:tabs>
                <w:tab w:val="decimal" w:pos="774"/>
                <w:tab w:val="decimal" w:pos="7560"/>
                <w:tab w:val="decimal" w:pos="9000"/>
                <w:tab w:val="decimal" w:pos="11232"/>
              </w:tabs>
              <w:rPr>
                <w:b/>
                <w:sz w:val="20"/>
              </w:rPr>
            </w:pPr>
          </w:p>
        </w:tc>
        <w:tc>
          <w:tcPr>
            <w:tcW w:w="823" w:type="pct"/>
          </w:tcPr>
          <w:p w:rsidR="00B04E5E" w:rsidRPr="0054261A" w:rsidRDefault="00B04E5E" w:rsidP="004175B5">
            <w:pPr>
              <w:tabs>
                <w:tab w:val="decimal" w:pos="774"/>
                <w:tab w:val="decimal" w:pos="7560"/>
                <w:tab w:val="decimal" w:pos="9000"/>
                <w:tab w:val="decimal" w:pos="11232"/>
              </w:tabs>
              <w:rPr>
                <w:b/>
                <w:sz w:val="20"/>
              </w:rPr>
            </w:pPr>
          </w:p>
        </w:tc>
        <w:tc>
          <w:tcPr>
            <w:tcW w:w="823" w:type="pct"/>
          </w:tcPr>
          <w:p w:rsidR="00B04E5E" w:rsidRPr="0054261A" w:rsidRDefault="00B04E5E" w:rsidP="004175B5">
            <w:pPr>
              <w:tabs>
                <w:tab w:val="decimal" w:pos="774"/>
                <w:tab w:val="decimal" w:pos="7560"/>
                <w:tab w:val="decimal" w:pos="9000"/>
                <w:tab w:val="decimal" w:pos="11232"/>
              </w:tabs>
              <w:rPr>
                <w:b/>
                <w:sz w:val="20"/>
              </w:rPr>
            </w:pP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b/>
                <w:bCs/>
                <w:sz w:val="20"/>
              </w:rPr>
            </w:pPr>
            <w:r w:rsidRPr="0054261A">
              <w:rPr>
                <w:b/>
                <w:bCs/>
                <w:sz w:val="20"/>
              </w:rPr>
              <w:t>As at April 201</w:t>
            </w:r>
            <w:r>
              <w:rPr>
                <w:b/>
                <w:bCs/>
                <w:sz w:val="20"/>
              </w:rPr>
              <w:t>8</w:t>
            </w:r>
          </w:p>
        </w:tc>
        <w:tc>
          <w:tcPr>
            <w:tcW w:w="822"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3,881</w:t>
            </w:r>
          </w:p>
        </w:tc>
        <w:tc>
          <w:tcPr>
            <w:tcW w:w="970"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1,633</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35</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5,549</w:t>
            </w: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sz w:val="20"/>
              </w:rPr>
            </w:pPr>
            <w:r w:rsidRPr="0054261A">
              <w:rPr>
                <w:sz w:val="20"/>
              </w:rPr>
              <w:t>Arising during the year</w:t>
            </w:r>
          </w:p>
        </w:tc>
        <w:tc>
          <w:tcPr>
            <w:tcW w:w="822" w:type="pct"/>
          </w:tcPr>
          <w:p w:rsidR="00B04E5E" w:rsidRPr="0054261A" w:rsidRDefault="00B04E5E" w:rsidP="004175B5">
            <w:pPr>
              <w:tabs>
                <w:tab w:val="decimal" w:pos="702"/>
                <w:tab w:val="decimal" w:pos="7560"/>
                <w:tab w:val="decimal" w:pos="9000"/>
                <w:tab w:val="decimal" w:pos="11232"/>
              </w:tabs>
              <w:jc w:val="right"/>
              <w:rPr>
                <w:bCs/>
                <w:sz w:val="20"/>
              </w:rPr>
            </w:pPr>
            <w:r>
              <w:rPr>
                <w:bCs/>
                <w:sz w:val="20"/>
              </w:rPr>
              <w:t>971</w:t>
            </w:r>
          </w:p>
        </w:tc>
        <w:tc>
          <w:tcPr>
            <w:tcW w:w="970"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Pr>
                <w:b/>
                <w:sz w:val="20"/>
              </w:rPr>
              <w:t>971</w:t>
            </w: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sz w:val="20"/>
              </w:rPr>
            </w:pPr>
            <w:r w:rsidRPr="0054261A">
              <w:rPr>
                <w:sz w:val="20"/>
              </w:rPr>
              <w:t>Utilised during the year</w:t>
            </w:r>
          </w:p>
        </w:tc>
        <w:tc>
          <w:tcPr>
            <w:tcW w:w="822" w:type="pct"/>
          </w:tcPr>
          <w:p w:rsidR="00B04E5E" w:rsidRPr="0054261A" w:rsidRDefault="00B04E5E" w:rsidP="004175B5">
            <w:pPr>
              <w:tabs>
                <w:tab w:val="decimal" w:pos="702"/>
                <w:tab w:val="decimal" w:pos="7560"/>
                <w:tab w:val="decimal" w:pos="9000"/>
                <w:tab w:val="decimal" w:pos="11232"/>
              </w:tabs>
              <w:jc w:val="right"/>
              <w:rPr>
                <w:bCs/>
                <w:sz w:val="20"/>
              </w:rPr>
            </w:pPr>
            <w:r>
              <w:rPr>
                <w:bCs/>
                <w:sz w:val="20"/>
              </w:rPr>
              <w:t>(18)</w:t>
            </w:r>
          </w:p>
        </w:tc>
        <w:tc>
          <w:tcPr>
            <w:tcW w:w="970"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Pr>
                <w:b/>
                <w:sz w:val="20"/>
              </w:rPr>
              <w:t>(18)</w:t>
            </w: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sz w:val="20"/>
              </w:rPr>
            </w:pPr>
            <w:r w:rsidRPr="0054261A">
              <w:rPr>
                <w:sz w:val="20"/>
              </w:rPr>
              <w:t>Unwinding</w:t>
            </w:r>
          </w:p>
        </w:tc>
        <w:tc>
          <w:tcPr>
            <w:tcW w:w="822" w:type="pct"/>
          </w:tcPr>
          <w:p w:rsidR="00B04E5E" w:rsidRPr="0054261A" w:rsidRDefault="00B04E5E" w:rsidP="004175B5">
            <w:pPr>
              <w:tabs>
                <w:tab w:val="decimal" w:pos="702"/>
                <w:tab w:val="decimal" w:pos="7560"/>
                <w:tab w:val="decimal" w:pos="9000"/>
                <w:tab w:val="decimal" w:pos="11232"/>
              </w:tabs>
              <w:jc w:val="right"/>
              <w:rPr>
                <w:bCs/>
                <w:sz w:val="20"/>
              </w:rPr>
            </w:pPr>
            <w:r>
              <w:rPr>
                <w:bCs/>
                <w:sz w:val="20"/>
              </w:rPr>
              <w:t>(25)</w:t>
            </w:r>
          </w:p>
        </w:tc>
        <w:tc>
          <w:tcPr>
            <w:tcW w:w="970"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Pr>
                <w:b/>
                <w:sz w:val="20"/>
              </w:rPr>
              <w:t>(25)</w:t>
            </w: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sz w:val="20"/>
              </w:rPr>
            </w:pPr>
            <w:r w:rsidRPr="0054261A">
              <w:rPr>
                <w:sz w:val="20"/>
              </w:rPr>
              <w:t>Reversed unutilised</w:t>
            </w:r>
          </w:p>
        </w:tc>
        <w:tc>
          <w:tcPr>
            <w:tcW w:w="822" w:type="pct"/>
          </w:tcPr>
          <w:p w:rsidR="00B04E5E" w:rsidRPr="0054261A" w:rsidRDefault="00B04E5E" w:rsidP="004175B5">
            <w:pPr>
              <w:tabs>
                <w:tab w:val="decimal" w:pos="702"/>
                <w:tab w:val="decimal" w:pos="7560"/>
                <w:tab w:val="decimal" w:pos="9000"/>
                <w:tab w:val="decimal" w:pos="11232"/>
              </w:tabs>
              <w:jc w:val="right"/>
              <w:rPr>
                <w:bCs/>
                <w:sz w:val="20"/>
              </w:rPr>
            </w:pPr>
            <w:r>
              <w:rPr>
                <w:bCs/>
                <w:sz w:val="20"/>
              </w:rPr>
              <w:t>-</w:t>
            </w:r>
          </w:p>
        </w:tc>
        <w:tc>
          <w:tcPr>
            <w:tcW w:w="970"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w:t>
            </w:r>
          </w:p>
        </w:tc>
        <w:tc>
          <w:tcPr>
            <w:tcW w:w="823" w:type="pct"/>
          </w:tcPr>
          <w:p w:rsidR="00B04E5E" w:rsidRPr="0054261A" w:rsidRDefault="00B04E5E" w:rsidP="004175B5">
            <w:pPr>
              <w:tabs>
                <w:tab w:val="decimal" w:pos="774"/>
                <w:tab w:val="decimal" w:pos="7560"/>
                <w:tab w:val="decimal" w:pos="9000"/>
                <w:tab w:val="decimal" w:pos="11232"/>
              </w:tabs>
              <w:jc w:val="right"/>
              <w:rPr>
                <w:bCs/>
                <w:sz w:val="20"/>
              </w:rPr>
            </w:pPr>
            <w:r>
              <w:rPr>
                <w:bCs/>
                <w:sz w:val="20"/>
              </w:rPr>
              <w:t>(5)</w:t>
            </w:r>
          </w:p>
        </w:tc>
        <w:tc>
          <w:tcPr>
            <w:tcW w:w="823" w:type="pct"/>
          </w:tcPr>
          <w:p w:rsidR="00B04E5E" w:rsidRPr="0054261A" w:rsidRDefault="00B04E5E" w:rsidP="004175B5">
            <w:pPr>
              <w:tabs>
                <w:tab w:val="decimal" w:pos="774"/>
                <w:tab w:val="decimal" w:pos="7560"/>
                <w:tab w:val="decimal" w:pos="9000"/>
                <w:tab w:val="decimal" w:pos="11232"/>
              </w:tabs>
              <w:jc w:val="right"/>
              <w:rPr>
                <w:b/>
                <w:sz w:val="20"/>
              </w:rPr>
            </w:pPr>
            <w:r>
              <w:rPr>
                <w:b/>
                <w:sz w:val="20"/>
              </w:rPr>
              <w:t>(5)</w:t>
            </w: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sz w:val="20"/>
              </w:rPr>
            </w:pPr>
            <w:r w:rsidRPr="0054261A">
              <w:rPr>
                <w:sz w:val="20"/>
              </w:rPr>
              <w:t xml:space="preserve"> </w:t>
            </w:r>
          </w:p>
        </w:tc>
        <w:tc>
          <w:tcPr>
            <w:tcW w:w="822" w:type="pct"/>
            <w:tcBorders>
              <w:bottom w:val="single" w:sz="4" w:space="0" w:color="auto"/>
            </w:tcBorders>
          </w:tcPr>
          <w:p w:rsidR="00B04E5E" w:rsidRPr="0054261A" w:rsidRDefault="00B04E5E" w:rsidP="004175B5">
            <w:pPr>
              <w:tabs>
                <w:tab w:val="decimal" w:pos="774"/>
                <w:tab w:val="decimal" w:pos="7560"/>
                <w:tab w:val="decimal" w:pos="9000"/>
                <w:tab w:val="decimal" w:pos="11232"/>
              </w:tabs>
              <w:jc w:val="right"/>
              <w:rPr>
                <w:bCs/>
                <w:sz w:val="20"/>
              </w:rPr>
            </w:pPr>
          </w:p>
        </w:tc>
        <w:tc>
          <w:tcPr>
            <w:tcW w:w="970" w:type="pct"/>
            <w:tcBorders>
              <w:bottom w:val="single" w:sz="4" w:space="0" w:color="auto"/>
            </w:tcBorders>
          </w:tcPr>
          <w:p w:rsidR="00B04E5E" w:rsidRPr="0054261A" w:rsidRDefault="00B04E5E" w:rsidP="004175B5">
            <w:pPr>
              <w:tabs>
                <w:tab w:val="decimal" w:pos="774"/>
                <w:tab w:val="decimal" w:pos="7560"/>
                <w:tab w:val="decimal" w:pos="9000"/>
                <w:tab w:val="decimal" w:pos="11232"/>
              </w:tabs>
              <w:jc w:val="right"/>
              <w:rPr>
                <w:bCs/>
                <w:sz w:val="20"/>
              </w:rPr>
            </w:pPr>
          </w:p>
        </w:tc>
        <w:tc>
          <w:tcPr>
            <w:tcW w:w="823" w:type="pct"/>
            <w:tcBorders>
              <w:bottom w:val="single" w:sz="4" w:space="0" w:color="auto"/>
            </w:tcBorders>
          </w:tcPr>
          <w:p w:rsidR="00B04E5E" w:rsidRPr="0054261A" w:rsidRDefault="00B04E5E" w:rsidP="004175B5">
            <w:pPr>
              <w:tabs>
                <w:tab w:val="decimal" w:pos="774"/>
                <w:tab w:val="decimal" w:pos="7560"/>
                <w:tab w:val="decimal" w:pos="9000"/>
                <w:tab w:val="decimal" w:pos="11232"/>
              </w:tabs>
              <w:jc w:val="right"/>
              <w:rPr>
                <w:bCs/>
                <w:sz w:val="20"/>
              </w:rPr>
            </w:pPr>
          </w:p>
        </w:tc>
        <w:tc>
          <w:tcPr>
            <w:tcW w:w="823" w:type="pct"/>
            <w:tcBorders>
              <w:bottom w:val="single" w:sz="4" w:space="0" w:color="auto"/>
            </w:tcBorders>
          </w:tcPr>
          <w:p w:rsidR="00B04E5E" w:rsidRPr="0054261A" w:rsidRDefault="00B04E5E" w:rsidP="004175B5">
            <w:pPr>
              <w:tabs>
                <w:tab w:val="decimal" w:pos="774"/>
                <w:tab w:val="decimal" w:pos="7560"/>
                <w:tab w:val="decimal" w:pos="9000"/>
                <w:tab w:val="decimal" w:pos="11232"/>
              </w:tabs>
              <w:jc w:val="right"/>
              <w:rPr>
                <w:b/>
                <w:sz w:val="20"/>
              </w:rPr>
            </w:pPr>
          </w:p>
        </w:tc>
      </w:tr>
      <w:tr w:rsidR="00B04E5E" w:rsidRPr="00CE36F7" w:rsidTr="004175B5">
        <w:tc>
          <w:tcPr>
            <w:tcW w:w="1562" w:type="pct"/>
          </w:tcPr>
          <w:p w:rsidR="00B04E5E" w:rsidRPr="0054261A" w:rsidRDefault="00B04E5E" w:rsidP="004175B5">
            <w:pPr>
              <w:tabs>
                <w:tab w:val="decimal" w:pos="7560"/>
                <w:tab w:val="decimal" w:pos="9000"/>
                <w:tab w:val="decimal" w:pos="11232"/>
              </w:tabs>
              <w:ind w:left="187" w:hanging="187"/>
              <w:rPr>
                <w:b/>
                <w:bCs/>
                <w:sz w:val="20"/>
              </w:rPr>
            </w:pPr>
            <w:r w:rsidRPr="0054261A">
              <w:rPr>
                <w:b/>
                <w:bCs/>
                <w:sz w:val="20"/>
              </w:rPr>
              <w:t xml:space="preserve">At 31 </w:t>
            </w:r>
            <w:r>
              <w:rPr>
                <w:b/>
                <w:bCs/>
                <w:sz w:val="20"/>
              </w:rPr>
              <w:t>July</w:t>
            </w:r>
            <w:r w:rsidRPr="0054261A">
              <w:rPr>
                <w:b/>
                <w:bCs/>
                <w:sz w:val="20"/>
              </w:rPr>
              <w:t xml:space="preserve"> 2018</w:t>
            </w:r>
          </w:p>
        </w:tc>
        <w:tc>
          <w:tcPr>
            <w:tcW w:w="822" w:type="pct"/>
            <w:tcBorders>
              <w:top w:val="single" w:sz="4" w:space="0" w:color="auto"/>
              <w:bottom w:val="single" w:sz="4" w:space="0" w:color="auto"/>
            </w:tcBorders>
          </w:tcPr>
          <w:p w:rsidR="00B04E5E" w:rsidRPr="0054261A" w:rsidRDefault="00B04E5E" w:rsidP="004175B5">
            <w:pPr>
              <w:tabs>
                <w:tab w:val="decimal" w:pos="774"/>
                <w:tab w:val="decimal" w:pos="7560"/>
                <w:tab w:val="decimal" w:pos="9000"/>
                <w:tab w:val="decimal" w:pos="11232"/>
              </w:tabs>
              <w:jc w:val="right"/>
              <w:rPr>
                <w:b/>
                <w:sz w:val="20"/>
              </w:rPr>
            </w:pPr>
            <w:r>
              <w:rPr>
                <w:b/>
                <w:sz w:val="20"/>
              </w:rPr>
              <w:t>4,808</w:t>
            </w:r>
          </w:p>
        </w:tc>
        <w:tc>
          <w:tcPr>
            <w:tcW w:w="970" w:type="pct"/>
            <w:tcBorders>
              <w:top w:val="single" w:sz="4" w:space="0" w:color="auto"/>
              <w:bottom w:val="single" w:sz="4" w:space="0" w:color="auto"/>
            </w:tcBorders>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1,633</w:t>
            </w:r>
          </w:p>
        </w:tc>
        <w:tc>
          <w:tcPr>
            <w:tcW w:w="823" w:type="pct"/>
            <w:tcBorders>
              <w:top w:val="single" w:sz="4" w:space="0" w:color="auto"/>
              <w:bottom w:val="single" w:sz="4" w:space="0" w:color="auto"/>
            </w:tcBorders>
          </w:tcPr>
          <w:p w:rsidR="00B04E5E" w:rsidRPr="0054261A" w:rsidRDefault="00B04E5E" w:rsidP="004175B5">
            <w:pPr>
              <w:tabs>
                <w:tab w:val="decimal" w:pos="774"/>
                <w:tab w:val="decimal" w:pos="7560"/>
                <w:tab w:val="decimal" w:pos="9000"/>
                <w:tab w:val="decimal" w:pos="11232"/>
              </w:tabs>
              <w:jc w:val="right"/>
              <w:rPr>
                <w:b/>
                <w:sz w:val="20"/>
              </w:rPr>
            </w:pPr>
            <w:r w:rsidRPr="0054261A">
              <w:rPr>
                <w:b/>
                <w:sz w:val="20"/>
              </w:rPr>
              <w:t>3</w:t>
            </w:r>
            <w:r>
              <w:rPr>
                <w:b/>
                <w:sz w:val="20"/>
              </w:rPr>
              <w:t>0</w:t>
            </w:r>
          </w:p>
        </w:tc>
        <w:tc>
          <w:tcPr>
            <w:tcW w:w="823" w:type="pct"/>
            <w:tcBorders>
              <w:top w:val="single" w:sz="4" w:space="0" w:color="auto"/>
              <w:bottom w:val="single" w:sz="4" w:space="0" w:color="auto"/>
            </w:tcBorders>
          </w:tcPr>
          <w:p w:rsidR="00B04E5E" w:rsidRPr="0054261A" w:rsidRDefault="00B04E5E" w:rsidP="004175B5">
            <w:pPr>
              <w:tabs>
                <w:tab w:val="decimal" w:pos="774"/>
                <w:tab w:val="decimal" w:pos="7560"/>
                <w:tab w:val="decimal" w:pos="9000"/>
                <w:tab w:val="decimal" w:pos="11232"/>
              </w:tabs>
              <w:jc w:val="right"/>
              <w:rPr>
                <w:b/>
                <w:sz w:val="20"/>
              </w:rPr>
            </w:pPr>
            <w:r>
              <w:rPr>
                <w:b/>
                <w:sz w:val="20"/>
              </w:rPr>
              <w:t>6,472</w:t>
            </w:r>
          </w:p>
        </w:tc>
      </w:tr>
    </w:tbl>
    <w:p w:rsidR="00B04E5E" w:rsidRPr="00B92504" w:rsidRDefault="00B04E5E" w:rsidP="00B04E5E">
      <w:pPr>
        <w:ind w:left="360"/>
        <w:rPr>
          <w:rFonts w:ascii="Arial" w:hAnsi="Arial" w:cs="Arial"/>
          <w:b/>
          <w:szCs w:val="22"/>
          <w:lang w:eastAsia="en-GB"/>
        </w:rPr>
      </w:pPr>
    </w:p>
    <w:p w:rsidR="00B04E5E" w:rsidRDefault="00B04E5E" w:rsidP="00B04E5E"/>
    <w:p w:rsidR="00B04E5E" w:rsidRDefault="00B04E5E" w:rsidP="00B04E5E">
      <w:pPr>
        <w:rPr>
          <w:rFonts w:ascii="Arial" w:hAnsi="Arial" w:cs="Arial"/>
        </w:rPr>
      </w:pPr>
      <w:r w:rsidRPr="00B92504">
        <w:rPr>
          <w:rFonts w:ascii="Arial" w:hAnsi="Arial" w:cs="Arial"/>
        </w:rPr>
        <w:t xml:space="preserve">From the above table </w:t>
      </w:r>
      <w:r>
        <w:rPr>
          <w:rFonts w:ascii="Arial" w:hAnsi="Arial" w:cs="Arial"/>
        </w:rPr>
        <w:t>it can be seen that t</w:t>
      </w:r>
      <w:r w:rsidRPr="00B92504">
        <w:rPr>
          <w:rFonts w:ascii="Arial" w:hAnsi="Arial" w:cs="Arial"/>
        </w:rPr>
        <w:t>he level of provision for claims within the Board has increased from that reported at</w:t>
      </w:r>
      <w:r>
        <w:rPr>
          <w:rFonts w:ascii="Arial" w:hAnsi="Arial" w:cs="Arial"/>
        </w:rPr>
        <w:t xml:space="preserve"> year-end</w:t>
      </w:r>
      <w:r w:rsidR="004175B5">
        <w:rPr>
          <w:rFonts w:ascii="Arial" w:hAnsi="Arial" w:cs="Arial"/>
        </w:rPr>
        <w:t>. T</w:t>
      </w:r>
      <w:r>
        <w:rPr>
          <w:rFonts w:ascii="Arial" w:hAnsi="Arial" w:cs="Arial"/>
        </w:rPr>
        <w:t xml:space="preserve">his is primarily due to an increase in the number of claims in year and an increase in the value and/or risk rating of other claims.  This is reviewed on a monthly basis by the Finance team. </w:t>
      </w:r>
    </w:p>
    <w:p w:rsidR="004175B5" w:rsidRDefault="004175B5" w:rsidP="00B04E5E">
      <w:pPr>
        <w:rPr>
          <w:rFonts w:ascii="Arial" w:hAnsi="Arial" w:cs="Arial"/>
        </w:rPr>
      </w:pPr>
    </w:p>
    <w:p w:rsidR="00B04E5E" w:rsidRDefault="00B04E5E" w:rsidP="00B04E5E">
      <w:pPr>
        <w:rPr>
          <w:rFonts w:ascii="Arial" w:hAnsi="Arial" w:cs="Arial"/>
        </w:rPr>
      </w:pPr>
      <w:r>
        <w:rPr>
          <w:rFonts w:ascii="Arial" w:hAnsi="Arial" w:cs="Arial"/>
        </w:rPr>
        <w:t>In assessing the impact of potential claims the following risk rating is used by the Central Legal Office</w:t>
      </w:r>
      <w:r w:rsidR="006B0972">
        <w:rPr>
          <w:rFonts w:ascii="Arial" w:hAnsi="Arial" w:cs="Arial"/>
        </w:rPr>
        <w:t xml:space="preserve"> (CLO)</w:t>
      </w:r>
      <w:r>
        <w:rPr>
          <w:rFonts w:ascii="Arial" w:hAnsi="Arial" w:cs="Arial"/>
        </w:rPr>
        <w:t xml:space="preserve"> </w:t>
      </w:r>
      <w:r w:rsidR="004175B5">
        <w:rPr>
          <w:rFonts w:ascii="Arial" w:hAnsi="Arial" w:cs="Arial"/>
        </w:rPr>
        <w:t xml:space="preserve">are </w:t>
      </w:r>
      <w:r>
        <w:rPr>
          <w:rFonts w:ascii="Arial" w:hAnsi="Arial" w:cs="Arial"/>
        </w:rPr>
        <w:t>as follows:</w:t>
      </w:r>
    </w:p>
    <w:p w:rsidR="00B04E5E" w:rsidRDefault="00B04E5E" w:rsidP="00B04E5E">
      <w:pPr>
        <w:rPr>
          <w:rFonts w:ascii="Arial" w:hAnsi="Arial" w:cs="Arial"/>
        </w:rPr>
      </w:pPr>
    </w:p>
    <w:p w:rsidR="00B04E5E" w:rsidRDefault="00B04E5E" w:rsidP="00B04E5E">
      <w:pPr>
        <w:rPr>
          <w:rFonts w:ascii="Arial" w:hAnsi="Arial" w:cs="Arial"/>
        </w:rPr>
      </w:pPr>
      <w:r w:rsidRPr="00021527">
        <w:rPr>
          <w:rFonts w:ascii="Arial" w:hAnsi="Arial" w:cs="Arial"/>
          <w:b/>
        </w:rPr>
        <w:t>Level one</w:t>
      </w:r>
      <w:r>
        <w:rPr>
          <w:rFonts w:ascii="Arial" w:hAnsi="Arial" w:cs="Arial"/>
        </w:rPr>
        <w:t xml:space="preserve"> – insufficient information available to allow an estimate of settlement, therefore accounted for as a contingent liability.</w:t>
      </w:r>
    </w:p>
    <w:p w:rsidR="004175B5" w:rsidRDefault="004175B5" w:rsidP="00B04E5E">
      <w:pPr>
        <w:rPr>
          <w:rFonts w:ascii="Arial" w:hAnsi="Arial" w:cs="Arial"/>
        </w:rPr>
      </w:pPr>
    </w:p>
    <w:p w:rsidR="00B04E5E" w:rsidRDefault="00B04E5E" w:rsidP="00B04E5E">
      <w:pPr>
        <w:rPr>
          <w:rFonts w:ascii="Arial" w:hAnsi="Arial" w:cs="Arial"/>
        </w:rPr>
      </w:pPr>
      <w:r w:rsidRPr="00021527">
        <w:rPr>
          <w:rFonts w:ascii="Arial" w:hAnsi="Arial" w:cs="Arial"/>
          <w:b/>
        </w:rPr>
        <w:t>Level Two</w:t>
      </w:r>
      <w:r>
        <w:rPr>
          <w:rFonts w:ascii="Arial" w:hAnsi="Arial" w:cs="Arial"/>
        </w:rPr>
        <w:t xml:space="preserve"> – further information available but still insufficient to provided a firm estimate, however more certainty is available, </w:t>
      </w:r>
    </w:p>
    <w:p w:rsidR="004175B5" w:rsidRDefault="004175B5" w:rsidP="00B04E5E">
      <w:pPr>
        <w:rPr>
          <w:rFonts w:ascii="Arial" w:hAnsi="Arial" w:cs="Arial"/>
        </w:rPr>
      </w:pPr>
    </w:p>
    <w:p w:rsidR="00B04E5E" w:rsidRDefault="00B04E5E" w:rsidP="00B04E5E">
      <w:pPr>
        <w:rPr>
          <w:rFonts w:ascii="Arial" w:hAnsi="Arial" w:cs="Arial"/>
        </w:rPr>
      </w:pPr>
      <w:r w:rsidRPr="00021527">
        <w:rPr>
          <w:rFonts w:ascii="Arial" w:hAnsi="Arial" w:cs="Arial"/>
          <w:b/>
        </w:rPr>
        <w:t>Level Three</w:t>
      </w:r>
      <w:r>
        <w:rPr>
          <w:rFonts w:ascii="Arial" w:hAnsi="Arial" w:cs="Arial"/>
          <w:b/>
        </w:rPr>
        <w:t xml:space="preserve"> – </w:t>
      </w:r>
      <w:r>
        <w:rPr>
          <w:rFonts w:ascii="Arial" w:hAnsi="Arial" w:cs="Arial"/>
        </w:rPr>
        <w:t>the likelihood of settlement is confirmed and the value of the claim has been ascertained with a degree of certainty</w:t>
      </w:r>
    </w:p>
    <w:p w:rsidR="00B04E5E" w:rsidRDefault="00B04E5E" w:rsidP="00B04E5E">
      <w:pPr>
        <w:rPr>
          <w:rFonts w:ascii="Arial" w:hAnsi="Arial" w:cs="Arial"/>
        </w:rPr>
      </w:pPr>
    </w:p>
    <w:p w:rsidR="00B04E5E" w:rsidRPr="00450FA1" w:rsidRDefault="00B04E5E" w:rsidP="00B04E5E">
      <w:pPr>
        <w:rPr>
          <w:rFonts w:ascii="Arial" w:hAnsi="Arial" w:cs="Arial"/>
        </w:rPr>
      </w:pPr>
      <w:r w:rsidRPr="00450FA1">
        <w:rPr>
          <w:rFonts w:ascii="Arial" w:hAnsi="Arial" w:cs="Arial"/>
        </w:rPr>
        <w:t xml:space="preserve">The amount included </w:t>
      </w:r>
      <w:r>
        <w:rPr>
          <w:rFonts w:ascii="Arial" w:hAnsi="Arial" w:cs="Arial"/>
        </w:rPr>
        <w:t xml:space="preserve">in the above table </w:t>
      </w:r>
      <w:r w:rsidRPr="00450FA1">
        <w:rPr>
          <w:rFonts w:ascii="Arial" w:hAnsi="Arial" w:cs="Arial"/>
        </w:rPr>
        <w:t>for claims arising during the year to date relates to the following:</w:t>
      </w:r>
    </w:p>
    <w:p w:rsidR="00B04E5E" w:rsidRPr="00450FA1" w:rsidRDefault="00B04E5E" w:rsidP="00B04E5E">
      <w:pPr>
        <w:ind w:left="76"/>
        <w:rPr>
          <w:rFonts w:ascii="Arial" w:hAnsi="Arial" w:cs="Arial"/>
        </w:rPr>
      </w:pPr>
    </w:p>
    <w:p w:rsidR="00B04E5E" w:rsidRPr="00105FE0" w:rsidRDefault="00B04E5E" w:rsidP="00B04E5E">
      <w:pPr>
        <w:pStyle w:val="ListParagraph"/>
        <w:numPr>
          <w:ilvl w:val="0"/>
          <w:numId w:val="4"/>
        </w:numPr>
        <w:ind w:left="360"/>
        <w:rPr>
          <w:rFonts w:ascii="Arial" w:hAnsi="Arial" w:cs="Arial"/>
          <w:sz w:val="24"/>
          <w:szCs w:val="24"/>
        </w:rPr>
      </w:pPr>
      <w:r w:rsidRPr="00450FA1">
        <w:rPr>
          <w:rFonts w:ascii="Arial" w:hAnsi="Arial" w:cs="Arial"/>
          <w:sz w:val="24"/>
          <w:szCs w:val="24"/>
        </w:rPr>
        <w:t xml:space="preserve">New claims – </w:t>
      </w:r>
      <w:r w:rsidR="004175B5">
        <w:rPr>
          <w:rFonts w:ascii="Arial" w:hAnsi="Arial" w:cs="Arial"/>
          <w:sz w:val="24"/>
          <w:szCs w:val="24"/>
        </w:rPr>
        <w:t>four</w:t>
      </w:r>
      <w:r w:rsidRPr="00450FA1">
        <w:rPr>
          <w:rFonts w:ascii="Arial" w:hAnsi="Arial" w:cs="Arial"/>
          <w:sz w:val="24"/>
          <w:szCs w:val="24"/>
        </w:rPr>
        <w:t xml:space="preserve">, all risk rating of 2, </w:t>
      </w:r>
      <w:r w:rsidRPr="00105FE0">
        <w:rPr>
          <w:rFonts w:ascii="Arial" w:hAnsi="Arial" w:cs="Arial"/>
          <w:sz w:val="24"/>
          <w:szCs w:val="24"/>
        </w:rPr>
        <w:t xml:space="preserve">Claims that risk rating has increased – </w:t>
      </w:r>
      <w:r w:rsidR="004175B5">
        <w:rPr>
          <w:rFonts w:ascii="Arial" w:hAnsi="Arial" w:cs="Arial"/>
          <w:sz w:val="24"/>
          <w:szCs w:val="24"/>
        </w:rPr>
        <w:t>five</w:t>
      </w:r>
      <w:r w:rsidRPr="00105FE0">
        <w:rPr>
          <w:rFonts w:ascii="Arial" w:hAnsi="Arial" w:cs="Arial"/>
          <w:sz w:val="24"/>
          <w:szCs w:val="24"/>
        </w:rPr>
        <w:t>, (</w:t>
      </w:r>
      <w:r w:rsidR="004175B5">
        <w:rPr>
          <w:rFonts w:ascii="Arial" w:hAnsi="Arial" w:cs="Arial"/>
          <w:sz w:val="24"/>
          <w:szCs w:val="24"/>
        </w:rPr>
        <w:t>four</w:t>
      </w:r>
      <w:r w:rsidRPr="00105FE0">
        <w:rPr>
          <w:rFonts w:ascii="Arial" w:hAnsi="Arial" w:cs="Arial"/>
          <w:sz w:val="24"/>
          <w:szCs w:val="24"/>
        </w:rPr>
        <w:t xml:space="preserve"> moved from risk rating of 1 to 2  and one moved from risk rating of 2 to 3), those which were a one at year end were not pro</w:t>
      </w:r>
      <w:r>
        <w:rPr>
          <w:rFonts w:ascii="Arial" w:hAnsi="Arial" w:cs="Arial"/>
          <w:sz w:val="24"/>
          <w:szCs w:val="24"/>
        </w:rPr>
        <w:t xml:space="preserve">vided for but were accounted for as a contingent liability in the accounts; and </w:t>
      </w:r>
    </w:p>
    <w:p w:rsidR="00B04E5E" w:rsidRPr="00450FA1" w:rsidRDefault="00B04E5E" w:rsidP="00B04E5E">
      <w:pPr>
        <w:pStyle w:val="ListParagraph"/>
        <w:numPr>
          <w:ilvl w:val="0"/>
          <w:numId w:val="4"/>
        </w:numPr>
        <w:ind w:left="360"/>
        <w:rPr>
          <w:rFonts w:ascii="Arial" w:hAnsi="Arial" w:cs="Arial"/>
          <w:sz w:val="24"/>
          <w:szCs w:val="24"/>
        </w:rPr>
      </w:pPr>
      <w:r>
        <w:rPr>
          <w:rFonts w:ascii="Arial" w:hAnsi="Arial" w:cs="Arial"/>
          <w:sz w:val="24"/>
          <w:szCs w:val="24"/>
        </w:rPr>
        <w:t>Claims that the risk rating has decrea</w:t>
      </w:r>
      <w:r w:rsidRPr="00450FA1">
        <w:rPr>
          <w:rFonts w:ascii="Arial" w:hAnsi="Arial" w:cs="Arial"/>
          <w:sz w:val="24"/>
          <w:szCs w:val="24"/>
        </w:rPr>
        <w:t xml:space="preserve">sed – </w:t>
      </w:r>
      <w:r w:rsidR="004175B5">
        <w:rPr>
          <w:rFonts w:ascii="Arial" w:hAnsi="Arial" w:cs="Arial"/>
          <w:sz w:val="24"/>
          <w:szCs w:val="24"/>
        </w:rPr>
        <w:t>one</w:t>
      </w:r>
      <w:r w:rsidRPr="00450FA1">
        <w:rPr>
          <w:rFonts w:ascii="Arial" w:hAnsi="Arial" w:cs="Arial"/>
          <w:sz w:val="24"/>
          <w:szCs w:val="24"/>
        </w:rPr>
        <w:t xml:space="preserve"> moved from level 3 to level 2.</w:t>
      </w:r>
    </w:p>
    <w:p w:rsidR="00B04E5E" w:rsidRDefault="00B04E5E" w:rsidP="00B04E5E">
      <w:pPr>
        <w:rPr>
          <w:rFonts w:ascii="Arial" w:hAnsi="Arial" w:cs="Arial"/>
        </w:rPr>
      </w:pPr>
      <w:r>
        <w:rPr>
          <w:rFonts w:ascii="Arial" w:hAnsi="Arial" w:cs="Arial"/>
        </w:rPr>
        <w:t>All risk ratings and valuations used to calculate the above figures are provided on a monthly basis by the Central Legal Office.</w:t>
      </w:r>
    </w:p>
    <w:p w:rsidR="00B04E5E" w:rsidRDefault="00B04E5E" w:rsidP="00B04E5E">
      <w:pPr>
        <w:ind w:left="76"/>
        <w:rPr>
          <w:rFonts w:ascii="Arial" w:hAnsi="Arial" w:cs="Arial"/>
        </w:rPr>
      </w:pPr>
    </w:p>
    <w:p w:rsidR="00B04E5E" w:rsidRDefault="00B04E5E" w:rsidP="00B04E5E">
      <w:pPr>
        <w:ind w:left="76"/>
        <w:rPr>
          <w:rFonts w:ascii="Arial" w:hAnsi="Arial" w:cs="Arial"/>
        </w:rPr>
      </w:pPr>
    </w:p>
    <w:p w:rsidR="00B04E5E" w:rsidRDefault="00B04E5E" w:rsidP="00B04E5E">
      <w:pPr>
        <w:rPr>
          <w:rFonts w:ascii="Arial" w:hAnsi="Arial" w:cs="Arial"/>
          <w:b/>
        </w:rPr>
      </w:pPr>
      <w:r>
        <w:rPr>
          <w:rFonts w:ascii="Arial" w:hAnsi="Arial" w:cs="Arial"/>
          <w:b/>
        </w:rPr>
        <w:t xml:space="preserve">Funding Claims/Provisions </w:t>
      </w:r>
    </w:p>
    <w:p w:rsidR="00B04E5E" w:rsidRDefault="00B04E5E" w:rsidP="00B04E5E">
      <w:pPr>
        <w:ind w:left="76"/>
        <w:rPr>
          <w:rFonts w:ascii="Arial" w:hAnsi="Arial" w:cs="Arial"/>
          <w:b/>
        </w:rPr>
      </w:pPr>
    </w:p>
    <w:p w:rsidR="00B04E5E" w:rsidRDefault="00B04E5E" w:rsidP="00B04E5E">
      <w:pPr>
        <w:rPr>
          <w:rFonts w:ascii="Arial" w:hAnsi="Arial" w:cs="Arial"/>
        </w:rPr>
      </w:pPr>
      <w:r>
        <w:rPr>
          <w:rFonts w:ascii="Arial" w:hAnsi="Arial" w:cs="Arial"/>
        </w:rPr>
        <w:t>As noted in the description above funding and costs for claims are met from the following sources:</w:t>
      </w:r>
    </w:p>
    <w:p w:rsidR="00B04E5E" w:rsidRDefault="00B04E5E" w:rsidP="00B04E5E">
      <w:pPr>
        <w:ind w:left="76"/>
        <w:rPr>
          <w:rFonts w:ascii="Arial" w:hAnsi="Arial" w:cs="Arial"/>
        </w:rPr>
      </w:pPr>
    </w:p>
    <w:p w:rsidR="00B04E5E" w:rsidRDefault="00B04E5E" w:rsidP="00B04E5E">
      <w:pPr>
        <w:rPr>
          <w:rFonts w:ascii="Arial" w:hAnsi="Arial" w:cs="Arial"/>
          <w:b/>
        </w:rPr>
      </w:pPr>
      <w:r>
        <w:rPr>
          <w:rFonts w:ascii="Arial" w:hAnsi="Arial" w:cs="Arial"/>
          <w:b/>
        </w:rPr>
        <w:t xml:space="preserve">Costs </w:t>
      </w:r>
    </w:p>
    <w:p w:rsidR="00B04E5E" w:rsidRDefault="00B04E5E" w:rsidP="00B04E5E">
      <w:pPr>
        <w:ind w:left="76"/>
        <w:rPr>
          <w:rFonts w:ascii="Arial" w:hAnsi="Arial" w:cs="Arial"/>
          <w:b/>
        </w:rPr>
      </w:pPr>
    </w:p>
    <w:p w:rsidR="00B04E5E" w:rsidRDefault="00B04E5E" w:rsidP="00B04E5E">
      <w:pPr>
        <w:ind w:left="436"/>
        <w:rPr>
          <w:rFonts w:ascii="Arial" w:hAnsi="Arial" w:cs="Arial"/>
        </w:rPr>
      </w:pPr>
      <w:r w:rsidRPr="00B83A5E">
        <w:rPr>
          <w:rFonts w:ascii="Arial" w:hAnsi="Arial" w:cs="Arial"/>
          <w:b/>
        </w:rPr>
        <w:t>Provisions</w:t>
      </w:r>
      <w:r>
        <w:rPr>
          <w:rFonts w:ascii="Arial" w:hAnsi="Arial" w:cs="Arial"/>
        </w:rPr>
        <w:t xml:space="preserve"> - The costs of each claim are included with the Board’s balance sheet with this being the full value of the provision as advised by the CLO.   This number will vary on a monthly basis dependent on the movement in the claims.</w:t>
      </w:r>
    </w:p>
    <w:p w:rsidR="006B0972" w:rsidRDefault="006B0972" w:rsidP="00B04E5E">
      <w:pPr>
        <w:ind w:left="436"/>
        <w:rPr>
          <w:rFonts w:ascii="Arial" w:hAnsi="Arial" w:cs="Arial"/>
        </w:rPr>
      </w:pPr>
    </w:p>
    <w:p w:rsidR="00B04E5E" w:rsidRDefault="00B04E5E" w:rsidP="00B04E5E">
      <w:pPr>
        <w:ind w:left="436"/>
        <w:rPr>
          <w:rFonts w:ascii="Arial" w:hAnsi="Arial" w:cs="Arial"/>
        </w:rPr>
      </w:pPr>
      <w:r>
        <w:rPr>
          <w:rFonts w:ascii="Arial" w:hAnsi="Arial" w:cs="Arial"/>
          <w:b/>
        </w:rPr>
        <w:t xml:space="preserve">Revenue – </w:t>
      </w:r>
      <w:r>
        <w:rPr>
          <w:rFonts w:ascii="Arial" w:hAnsi="Arial" w:cs="Arial"/>
        </w:rPr>
        <w:t>the costs for legal fees and associated costs are billed monthly from the CLO and are expensed on a monthly basis.  The Board has an annual budget to cover these costs and is monitored closely.</w:t>
      </w:r>
    </w:p>
    <w:p w:rsidR="00B04E5E" w:rsidRDefault="00B04E5E" w:rsidP="00B04E5E">
      <w:pPr>
        <w:ind w:left="436"/>
        <w:rPr>
          <w:rFonts w:ascii="Arial" w:hAnsi="Arial" w:cs="Arial"/>
        </w:rPr>
      </w:pPr>
    </w:p>
    <w:p w:rsidR="00B04E5E" w:rsidRDefault="00B04E5E" w:rsidP="00B04E5E">
      <w:pPr>
        <w:rPr>
          <w:rFonts w:ascii="Arial" w:hAnsi="Arial" w:cs="Arial"/>
        </w:rPr>
      </w:pPr>
      <w:r>
        <w:rPr>
          <w:rFonts w:ascii="Arial" w:hAnsi="Arial" w:cs="Arial"/>
        </w:rPr>
        <w:t>The costs noted above are funded be the sources below.</w:t>
      </w:r>
    </w:p>
    <w:p w:rsidR="00B04E5E" w:rsidRDefault="00B04E5E" w:rsidP="00B04E5E">
      <w:pPr>
        <w:rPr>
          <w:rFonts w:ascii="Arial" w:hAnsi="Arial" w:cs="Arial"/>
        </w:rPr>
      </w:pPr>
    </w:p>
    <w:p w:rsidR="006B0972" w:rsidRDefault="006B0972" w:rsidP="00B04E5E">
      <w:pPr>
        <w:rPr>
          <w:rFonts w:ascii="Arial" w:hAnsi="Arial" w:cs="Arial"/>
          <w:b/>
        </w:rPr>
      </w:pPr>
    </w:p>
    <w:p w:rsidR="006B0972" w:rsidRDefault="006B0972" w:rsidP="00B04E5E">
      <w:pPr>
        <w:rPr>
          <w:rFonts w:ascii="Arial" w:hAnsi="Arial" w:cs="Arial"/>
          <w:b/>
        </w:rPr>
      </w:pPr>
    </w:p>
    <w:p w:rsidR="00B04E5E" w:rsidRPr="00450FA1" w:rsidRDefault="00B04E5E" w:rsidP="00B04E5E">
      <w:pPr>
        <w:rPr>
          <w:rFonts w:ascii="Arial" w:hAnsi="Arial" w:cs="Arial"/>
          <w:b/>
        </w:rPr>
      </w:pPr>
      <w:r w:rsidRPr="00450FA1">
        <w:rPr>
          <w:rFonts w:ascii="Arial" w:hAnsi="Arial" w:cs="Arial"/>
          <w:b/>
        </w:rPr>
        <w:lastRenderedPageBreak/>
        <w:t>Funding</w:t>
      </w:r>
    </w:p>
    <w:p w:rsidR="00B04E5E" w:rsidRDefault="00B04E5E" w:rsidP="00B04E5E">
      <w:pPr>
        <w:ind w:left="76"/>
        <w:rPr>
          <w:rFonts w:ascii="Arial" w:hAnsi="Arial" w:cs="Arial"/>
        </w:rPr>
      </w:pPr>
    </w:p>
    <w:p w:rsidR="00B04E5E" w:rsidRDefault="00B04E5E" w:rsidP="00B04E5E">
      <w:pPr>
        <w:rPr>
          <w:rFonts w:ascii="Arial" w:hAnsi="Arial" w:cs="Arial"/>
        </w:rPr>
      </w:pPr>
      <w:r w:rsidRPr="00450FA1">
        <w:rPr>
          <w:rFonts w:ascii="Arial" w:hAnsi="Arial" w:cs="Arial"/>
          <w:b/>
        </w:rPr>
        <w:t>Non-core funding (annually managed expenditure)</w:t>
      </w:r>
      <w:r>
        <w:rPr>
          <w:rFonts w:ascii="Arial" w:hAnsi="Arial" w:cs="Arial"/>
        </w:rPr>
        <w:t xml:space="preserve"> – this is the funding that is provided via non-core expenditure to cover the £25k excess for all claims processed via the CLO.  The figure reported on a monthly basis is only the movement in the funding with this being re -calculated on a monthly basis.  The budget included in the non-core funding is £</w:t>
      </w:r>
      <w:proofErr w:type="gramStart"/>
      <w:r>
        <w:rPr>
          <w:rFonts w:ascii="Arial" w:hAnsi="Arial" w:cs="Arial"/>
        </w:rPr>
        <w:t>40k,</w:t>
      </w:r>
      <w:proofErr w:type="gramEnd"/>
      <w:r>
        <w:rPr>
          <w:rFonts w:ascii="Arial" w:hAnsi="Arial" w:cs="Arial"/>
        </w:rPr>
        <w:t xml:space="preserve"> however this is currently sitting at £115k due to the movements noted above.  </w:t>
      </w:r>
    </w:p>
    <w:p w:rsidR="00B04E5E" w:rsidRDefault="00B04E5E" w:rsidP="00B04E5E">
      <w:pPr>
        <w:rPr>
          <w:rFonts w:ascii="Arial" w:hAnsi="Arial" w:cs="Arial"/>
          <w:b/>
        </w:rPr>
      </w:pPr>
    </w:p>
    <w:p w:rsidR="00B04E5E" w:rsidRDefault="00B04E5E" w:rsidP="00B04E5E">
      <w:pPr>
        <w:rPr>
          <w:rFonts w:ascii="Arial" w:hAnsi="Arial" w:cs="Arial"/>
          <w:b/>
        </w:rPr>
      </w:pPr>
      <w:r>
        <w:rPr>
          <w:rFonts w:ascii="Arial" w:hAnsi="Arial" w:cs="Arial"/>
          <w:b/>
        </w:rPr>
        <w:t xml:space="preserve">Debtor </w:t>
      </w:r>
    </w:p>
    <w:p w:rsidR="00B04E5E" w:rsidRDefault="00B04E5E" w:rsidP="00B04E5E">
      <w:pPr>
        <w:rPr>
          <w:rFonts w:ascii="Arial" w:hAnsi="Arial" w:cs="Arial"/>
        </w:rPr>
      </w:pPr>
      <w:r>
        <w:rPr>
          <w:rFonts w:ascii="Arial" w:hAnsi="Arial" w:cs="Arial"/>
        </w:rPr>
        <w:t>The other source of funding for the cost of the claims is the CLO Debtor which is the debtor that the Board creates for each claim made, the value of the Debtor will be the total value of the claim minus the £25k excess referred to above.</w:t>
      </w:r>
    </w:p>
    <w:p w:rsidR="00B04E5E" w:rsidRDefault="00B04E5E" w:rsidP="00B04E5E">
      <w:pPr>
        <w:ind w:left="436"/>
        <w:rPr>
          <w:rFonts w:ascii="Arial" w:hAnsi="Arial" w:cs="Arial"/>
        </w:rPr>
      </w:pPr>
    </w:p>
    <w:p w:rsidR="00B04E5E" w:rsidRDefault="00B04E5E" w:rsidP="00B04E5E">
      <w:pPr>
        <w:rPr>
          <w:rFonts w:ascii="Arial" w:hAnsi="Arial" w:cs="Arial"/>
          <w:b/>
        </w:rPr>
      </w:pPr>
      <w:r>
        <w:rPr>
          <w:rFonts w:ascii="Arial" w:hAnsi="Arial" w:cs="Arial"/>
          <w:b/>
        </w:rPr>
        <w:t>Settlement</w:t>
      </w:r>
    </w:p>
    <w:p w:rsidR="00B04E5E" w:rsidRDefault="00B04E5E" w:rsidP="00B04E5E">
      <w:pPr>
        <w:ind w:left="142"/>
        <w:rPr>
          <w:rFonts w:ascii="Arial" w:hAnsi="Arial" w:cs="Arial"/>
          <w:b/>
        </w:rPr>
      </w:pPr>
    </w:p>
    <w:p w:rsidR="00B04E5E" w:rsidRDefault="00B04E5E" w:rsidP="00B04E5E">
      <w:pPr>
        <w:rPr>
          <w:rFonts w:ascii="Arial" w:hAnsi="Arial" w:cs="Arial"/>
        </w:rPr>
      </w:pPr>
      <w:r>
        <w:rPr>
          <w:rFonts w:ascii="Arial" w:hAnsi="Arial" w:cs="Arial"/>
        </w:rPr>
        <w:t>On settlement of any claim, a claim form is submitted to the CLO which will cover all costs associated with the claim including the settlement value.  This settlement value covers all costs incurred by the Board minus the £25k which has already been provided for.   The aim of the scheme is that no Board should incur a cost for the settlement of claims.</w:t>
      </w:r>
    </w:p>
    <w:p w:rsidR="00B04E5E" w:rsidRDefault="00B04E5E" w:rsidP="00B04E5E">
      <w:pPr>
        <w:ind w:left="284"/>
        <w:rPr>
          <w:rFonts w:ascii="Arial" w:hAnsi="Arial" w:cs="Arial"/>
        </w:rPr>
      </w:pPr>
    </w:p>
    <w:p w:rsidR="00B04E5E" w:rsidRPr="00827E3B" w:rsidRDefault="00B04E5E" w:rsidP="00B04E5E">
      <w:pPr>
        <w:rPr>
          <w:rFonts w:ascii="Arial" w:hAnsi="Arial" w:cs="Arial"/>
        </w:rPr>
      </w:pPr>
    </w:p>
    <w:p w:rsidR="00B04E5E" w:rsidRPr="00657D5B" w:rsidRDefault="00B04E5E" w:rsidP="00B04E5E">
      <w:pPr>
        <w:pStyle w:val="ListParagraph"/>
        <w:numPr>
          <w:ilvl w:val="0"/>
          <w:numId w:val="2"/>
        </w:numPr>
        <w:ind w:right="-1475"/>
        <w:rPr>
          <w:rFonts w:ascii="Arial" w:hAnsi="Arial" w:cs="Arial"/>
          <w:b/>
          <w:sz w:val="24"/>
          <w:szCs w:val="24"/>
        </w:rPr>
      </w:pPr>
      <w:r w:rsidRPr="003F225A">
        <w:rPr>
          <w:rFonts w:ascii="Arial" w:hAnsi="Arial" w:cs="Arial"/>
          <w:b/>
          <w:sz w:val="24"/>
          <w:szCs w:val="24"/>
        </w:rPr>
        <w:t>Efficiency Savings</w:t>
      </w:r>
    </w:p>
    <w:p w:rsidR="00B04E5E" w:rsidRPr="00C92492" w:rsidRDefault="00B04E5E" w:rsidP="00B04E5E">
      <w:pPr>
        <w:ind w:left="284"/>
        <w:rPr>
          <w:rFonts w:ascii="Arial" w:hAnsi="Arial" w:cs="Arial"/>
        </w:rPr>
      </w:pPr>
      <w:r w:rsidRPr="00C92492">
        <w:rPr>
          <w:rFonts w:ascii="Arial" w:hAnsi="Arial" w:cs="Arial"/>
        </w:rPr>
        <w:t xml:space="preserve">At month four efficiency savings delivered were £0.874m against an LDP target of £0.807m, reporting a phasing surplus of £67k at this early stage. This is in line with the forecast trajectory within the financial year. </w:t>
      </w:r>
    </w:p>
    <w:p w:rsidR="00B04E5E" w:rsidRPr="00C92492" w:rsidRDefault="00B04E5E" w:rsidP="00B04E5E">
      <w:pPr>
        <w:ind w:left="284"/>
        <w:rPr>
          <w:rFonts w:ascii="Arial" w:hAnsi="Arial" w:cs="Arial"/>
        </w:rPr>
      </w:pPr>
    </w:p>
    <w:p w:rsidR="00B04E5E" w:rsidRDefault="00B04E5E" w:rsidP="00B04E5E">
      <w:pPr>
        <w:ind w:left="284"/>
        <w:rPr>
          <w:rFonts w:ascii="Arial" w:hAnsi="Arial" w:cs="Arial"/>
        </w:rPr>
      </w:pPr>
      <w:r w:rsidRPr="00C92492">
        <w:rPr>
          <w:rFonts w:ascii="Arial" w:hAnsi="Arial" w:cs="Arial"/>
        </w:rPr>
        <w:t xml:space="preserve">This savings achieved to date are split with recurring efficiency savings achieved £531k and non recurring savings of £343k. Details of this are included in Appendix 1, page 5.  </w:t>
      </w:r>
    </w:p>
    <w:p w:rsidR="00B04E5E" w:rsidRDefault="00B04E5E" w:rsidP="00B04E5E">
      <w:pPr>
        <w:pStyle w:val="ListParagraph"/>
        <w:ind w:left="360"/>
        <w:rPr>
          <w:rFonts w:ascii="Arial" w:hAnsi="Arial" w:cs="Arial"/>
          <w:sz w:val="24"/>
          <w:szCs w:val="24"/>
        </w:rPr>
      </w:pPr>
    </w:p>
    <w:p w:rsidR="00B04E5E" w:rsidRPr="00334C4B" w:rsidRDefault="00B04E5E" w:rsidP="00B04E5E">
      <w:pPr>
        <w:pStyle w:val="Heading4"/>
        <w:numPr>
          <w:ilvl w:val="0"/>
          <w:numId w:val="0"/>
        </w:numPr>
        <w:rPr>
          <w:rFonts w:ascii="Arial" w:hAnsi="Arial" w:cs="Arial"/>
        </w:rPr>
      </w:pPr>
      <w:r>
        <w:rPr>
          <w:rFonts w:ascii="Arial" w:hAnsi="Arial" w:cs="Arial"/>
        </w:rPr>
        <w:t>5</w:t>
      </w:r>
      <w:r w:rsidRPr="00334C4B">
        <w:rPr>
          <w:rFonts w:ascii="Arial" w:hAnsi="Arial" w:cs="Arial"/>
        </w:rPr>
        <w:t>. Conclusion</w:t>
      </w:r>
    </w:p>
    <w:p w:rsidR="00B04E5E" w:rsidRPr="00334C4B" w:rsidRDefault="00B04E5E" w:rsidP="00B04E5E">
      <w:pPr>
        <w:rPr>
          <w:rFonts w:ascii="Arial" w:hAnsi="Arial" w:cs="Arial"/>
          <w:b/>
          <w:bCs/>
          <w:sz w:val="16"/>
          <w:szCs w:val="20"/>
        </w:rPr>
      </w:pPr>
    </w:p>
    <w:p w:rsidR="00B04E5E" w:rsidRPr="00334C4B" w:rsidRDefault="00B04E5E" w:rsidP="00B04E5E">
      <w:pPr>
        <w:pStyle w:val="BodyTextIndent2"/>
        <w:ind w:left="360"/>
        <w:jc w:val="left"/>
        <w:rPr>
          <w:rFonts w:ascii="Arial" w:hAnsi="Arial" w:cs="Arial"/>
          <w:bCs w:val="0"/>
          <w:iCs w:val="0"/>
        </w:rPr>
      </w:pPr>
      <w:r w:rsidRPr="00334C4B">
        <w:rPr>
          <w:rFonts w:ascii="Arial" w:hAnsi="Arial" w:cs="Arial"/>
          <w:bCs w:val="0"/>
          <w:iCs w:val="0"/>
        </w:rPr>
        <w:t>Members are asked to note this financ</w:t>
      </w:r>
      <w:r>
        <w:rPr>
          <w:rFonts w:ascii="Arial" w:hAnsi="Arial" w:cs="Arial"/>
          <w:bCs w:val="0"/>
          <w:iCs w:val="0"/>
        </w:rPr>
        <w:t>e report for the period ended 31</w:t>
      </w:r>
      <w:r w:rsidRPr="00334C4B">
        <w:rPr>
          <w:rFonts w:ascii="Arial" w:hAnsi="Arial" w:cs="Arial"/>
          <w:bCs w:val="0"/>
          <w:iCs w:val="0"/>
        </w:rPr>
        <w:t xml:space="preserve"> </w:t>
      </w:r>
      <w:r>
        <w:rPr>
          <w:rFonts w:ascii="Arial" w:hAnsi="Arial" w:cs="Arial"/>
          <w:bCs w:val="0"/>
          <w:iCs w:val="0"/>
        </w:rPr>
        <w:t>July 2018</w:t>
      </w:r>
      <w:r w:rsidRPr="00334C4B">
        <w:rPr>
          <w:rFonts w:ascii="Arial" w:hAnsi="Arial" w:cs="Arial"/>
          <w:bCs w:val="0"/>
          <w:iCs w:val="0"/>
        </w:rPr>
        <w:t>.</w:t>
      </w:r>
    </w:p>
    <w:p w:rsidR="00B04E5E" w:rsidRPr="00334C4B" w:rsidRDefault="00B04E5E" w:rsidP="00B04E5E">
      <w:pPr>
        <w:pStyle w:val="Heading2"/>
        <w:rPr>
          <w:rFonts w:ascii="Arial" w:hAnsi="Arial" w:cs="Arial"/>
          <w:bCs w:val="0"/>
        </w:rPr>
      </w:pPr>
    </w:p>
    <w:p w:rsidR="00B04E5E" w:rsidRPr="00334C4B" w:rsidRDefault="00B04E5E" w:rsidP="00B04E5E">
      <w:pPr>
        <w:pStyle w:val="Heading2"/>
        <w:rPr>
          <w:rFonts w:ascii="Arial" w:hAnsi="Arial" w:cs="Arial"/>
          <w:bCs w:val="0"/>
        </w:rPr>
      </w:pPr>
      <w:r w:rsidRPr="00334C4B">
        <w:rPr>
          <w:rFonts w:ascii="Arial" w:hAnsi="Arial" w:cs="Arial"/>
          <w:bCs w:val="0"/>
        </w:rPr>
        <w:t>Julie Carter</w:t>
      </w:r>
    </w:p>
    <w:p w:rsidR="00B04E5E" w:rsidRPr="00334C4B" w:rsidRDefault="00B04E5E" w:rsidP="00B04E5E">
      <w:pPr>
        <w:rPr>
          <w:rFonts w:ascii="Arial" w:hAnsi="Arial" w:cs="Arial"/>
          <w:b/>
        </w:rPr>
      </w:pPr>
      <w:r w:rsidRPr="00334C4B">
        <w:rPr>
          <w:rFonts w:ascii="Arial" w:hAnsi="Arial" w:cs="Arial"/>
          <w:b/>
        </w:rPr>
        <w:t>Director of Finance</w:t>
      </w:r>
    </w:p>
    <w:p w:rsidR="00B04E5E" w:rsidRDefault="00B04E5E" w:rsidP="00B04E5E">
      <w:pPr>
        <w:rPr>
          <w:rFonts w:ascii="Arial" w:hAnsi="Arial" w:cs="Arial"/>
          <w:b/>
        </w:rPr>
      </w:pPr>
      <w:r>
        <w:rPr>
          <w:rFonts w:ascii="Arial" w:hAnsi="Arial" w:cs="Arial"/>
          <w:b/>
        </w:rPr>
        <w:t>15 August 2018</w:t>
      </w:r>
    </w:p>
    <w:p w:rsidR="00B04E5E" w:rsidRPr="00334C4B" w:rsidRDefault="00B04E5E" w:rsidP="00B04E5E">
      <w:pPr>
        <w:rPr>
          <w:rFonts w:ascii="Arial" w:hAnsi="Arial" w:cs="Arial"/>
          <w:b/>
        </w:rPr>
      </w:pPr>
    </w:p>
    <w:p w:rsidR="00B04E5E" w:rsidRPr="00334C4B" w:rsidRDefault="00B04E5E" w:rsidP="00B04E5E">
      <w:pPr>
        <w:pStyle w:val="BodyTextIndent"/>
        <w:ind w:left="0"/>
        <w:rPr>
          <w:rFonts w:ascii="Arial" w:hAnsi="Arial" w:cs="Arial"/>
        </w:rPr>
      </w:pPr>
      <w:r w:rsidRPr="00334C4B">
        <w:rPr>
          <w:rFonts w:ascii="Arial" w:hAnsi="Arial" w:cs="Arial"/>
        </w:rPr>
        <w:t>(Lily Bryson – Assistant Director of Finance – Governance and Financial Accounting</w:t>
      </w:r>
      <w:r>
        <w:rPr>
          <w:rFonts w:ascii="Arial" w:hAnsi="Arial" w:cs="Arial"/>
        </w:rPr>
        <w:t xml:space="preserve">, </w:t>
      </w:r>
      <w:r w:rsidRPr="00334C4B">
        <w:rPr>
          <w:rFonts w:ascii="Arial" w:hAnsi="Arial" w:cs="Arial"/>
        </w:rPr>
        <w:t>Elizabeth O’Brien – Assistant Director of Finance – Financial Management)</w:t>
      </w:r>
    </w:p>
    <w:p w:rsidR="00690146" w:rsidRDefault="00690146"/>
    <w:sectPr w:rsidR="00690146" w:rsidSect="0069014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5B5" w:rsidRDefault="004175B5" w:rsidP="00B04E5E">
      <w:r>
        <w:separator/>
      </w:r>
    </w:p>
  </w:endnote>
  <w:endnote w:type="continuationSeparator" w:id="0">
    <w:p w:rsidR="004175B5" w:rsidRDefault="004175B5" w:rsidP="00B04E5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7" w:rsidRDefault="002A0E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61432"/>
      <w:docPartObj>
        <w:docPartGallery w:val="Page Numbers (Bottom of Page)"/>
        <w:docPartUnique/>
      </w:docPartObj>
    </w:sdtPr>
    <w:sdtContent>
      <w:p w:rsidR="004175B5" w:rsidRDefault="003D47E4">
        <w:pPr>
          <w:pStyle w:val="Footer"/>
          <w:jc w:val="center"/>
        </w:pPr>
        <w:fldSimple w:instr=" PAGE   \* MERGEFORMAT ">
          <w:r w:rsidR="002A0EF7">
            <w:rPr>
              <w:noProof/>
            </w:rPr>
            <w:t>1</w:t>
          </w:r>
        </w:fldSimple>
      </w:p>
    </w:sdtContent>
  </w:sdt>
  <w:p w:rsidR="004175B5" w:rsidRDefault="004175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7" w:rsidRDefault="002A0E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5B5" w:rsidRDefault="004175B5" w:rsidP="00B04E5E">
      <w:r>
        <w:separator/>
      </w:r>
    </w:p>
  </w:footnote>
  <w:footnote w:type="continuationSeparator" w:id="0">
    <w:p w:rsidR="004175B5" w:rsidRDefault="004175B5" w:rsidP="00B04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7" w:rsidRDefault="002A0E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7" w:rsidRPr="002A0EF7" w:rsidRDefault="002A0EF7">
    <w:pPr>
      <w:pStyle w:val="Header"/>
      <w:rPr>
        <w:rFonts w:ascii="Arial" w:hAnsi="Arial" w:cs="Arial"/>
        <w:b/>
        <w:color w:val="4F81BD" w:themeColor="accent1"/>
      </w:rPr>
    </w:pPr>
    <w:r>
      <w:tab/>
    </w:r>
    <w:r>
      <w:tab/>
    </w:r>
    <w:r w:rsidRPr="002A0EF7">
      <w:rPr>
        <w:rFonts w:ascii="Arial" w:hAnsi="Arial" w:cs="Arial"/>
        <w:b/>
        <w:color w:val="4F81BD" w:themeColor="accent1"/>
      </w:rPr>
      <w:t>Item 7.3a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EF7" w:rsidRDefault="002A0E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5545C"/>
    <w:multiLevelType w:val="hybridMultilevel"/>
    <w:tmpl w:val="0DC0E72C"/>
    <w:lvl w:ilvl="0" w:tplc="08090005">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4D395931"/>
    <w:multiLevelType w:val="hybridMultilevel"/>
    <w:tmpl w:val="D312FAEA"/>
    <w:lvl w:ilvl="0" w:tplc="A4F273B2">
      <w:start w:val="1"/>
      <w:numFmt w:val="decimal"/>
      <w:lvlText w:val="%1."/>
      <w:lvlJc w:val="left"/>
      <w:pPr>
        <w:tabs>
          <w:tab w:val="num" w:pos="360"/>
        </w:tabs>
        <w:ind w:left="360" w:hanging="360"/>
      </w:pPr>
      <w:rPr>
        <w:rFonts w:cs="Times New Roman"/>
        <w:b/>
      </w:rPr>
    </w:lvl>
    <w:lvl w:ilvl="1" w:tplc="08090005">
      <w:start w:val="1"/>
      <w:numFmt w:val="bullet"/>
      <w:lvlText w:val=""/>
      <w:lvlJc w:val="left"/>
      <w:pPr>
        <w:tabs>
          <w:tab w:val="num" w:pos="1080"/>
        </w:tabs>
        <w:ind w:left="1080" w:hanging="360"/>
      </w:pPr>
      <w:rPr>
        <w:rFonts w:ascii="Wingdings" w:hAnsi="Wingdings" w:hint="default"/>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3">
    <w:nsid w:val="757857AE"/>
    <w:multiLevelType w:val="hybridMultilevel"/>
    <w:tmpl w:val="929CE6D0"/>
    <w:lvl w:ilvl="0" w:tplc="08090005">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04E5E"/>
    <w:rsid w:val="00156743"/>
    <w:rsid w:val="00296330"/>
    <w:rsid w:val="002A0EF7"/>
    <w:rsid w:val="002C2308"/>
    <w:rsid w:val="002D21F2"/>
    <w:rsid w:val="003D47E4"/>
    <w:rsid w:val="004175B5"/>
    <w:rsid w:val="004B64C0"/>
    <w:rsid w:val="004D7A20"/>
    <w:rsid w:val="005365FB"/>
    <w:rsid w:val="00593987"/>
    <w:rsid w:val="00690146"/>
    <w:rsid w:val="006B0972"/>
    <w:rsid w:val="00746015"/>
    <w:rsid w:val="0081009E"/>
    <w:rsid w:val="00850542"/>
    <w:rsid w:val="00882587"/>
    <w:rsid w:val="008B4736"/>
    <w:rsid w:val="0095025A"/>
    <w:rsid w:val="00AB7579"/>
    <w:rsid w:val="00B01F6E"/>
    <w:rsid w:val="00B04E5E"/>
    <w:rsid w:val="00CB6010"/>
    <w:rsid w:val="00E14156"/>
    <w:rsid w:val="00E678FA"/>
    <w:rsid w:val="00E83866"/>
    <w:rsid w:val="00F835A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E5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B04E5E"/>
    <w:pPr>
      <w:keepNext/>
      <w:outlineLvl w:val="0"/>
    </w:pPr>
    <w:rPr>
      <w:b/>
      <w:bCs/>
      <w:sz w:val="32"/>
    </w:rPr>
  </w:style>
  <w:style w:type="paragraph" w:styleId="Heading2">
    <w:name w:val="heading 2"/>
    <w:basedOn w:val="Normal"/>
    <w:next w:val="Normal"/>
    <w:link w:val="Heading2Char"/>
    <w:uiPriority w:val="99"/>
    <w:qFormat/>
    <w:rsid w:val="00B04E5E"/>
    <w:pPr>
      <w:keepNext/>
      <w:outlineLvl w:val="1"/>
    </w:pPr>
    <w:rPr>
      <w:b/>
      <w:bCs/>
    </w:rPr>
  </w:style>
  <w:style w:type="paragraph" w:styleId="Heading4">
    <w:name w:val="heading 4"/>
    <w:aliases w:val="Sub-Minor,Oscar Faber 4,Te,Te1,Te2,Te3,Te4,Te5,Te6,Te7,Te8,Te9,Te10,Te11,Te91,Te12,Te21,Te31,Te41,Te51,Te61,Te71,Te81,Te92,Te101,Te111,Te911,Te13,Te22,Te32,Te42,Te52,Te62,Te72,Te82,Te93,Te102,Te112,Te912,Te14,Te23,Te33,Te43,Te53,Te63,Te73"/>
    <w:basedOn w:val="Normal"/>
    <w:next w:val="Normal"/>
    <w:link w:val="Heading4Char"/>
    <w:uiPriority w:val="99"/>
    <w:qFormat/>
    <w:rsid w:val="00B04E5E"/>
    <w:pPr>
      <w:keepNext/>
      <w:numPr>
        <w:numId w:val="1"/>
      </w:numPr>
      <w:outlineLvl w:val="3"/>
    </w:pPr>
    <w:rPr>
      <w:b/>
      <w:bCs/>
    </w:rPr>
  </w:style>
  <w:style w:type="paragraph" w:styleId="Heading6">
    <w:name w:val="heading 6"/>
    <w:basedOn w:val="Normal"/>
    <w:next w:val="Normal"/>
    <w:link w:val="Heading6Char"/>
    <w:uiPriority w:val="99"/>
    <w:qFormat/>
    <w:rsid w:val="00B04E5E"/>
    <w:pPr>
      <w:keepNext/>
      <w:tabs>
        <w:tab w:val="left" w:pos="2970"/>
      </w:tabs>
      <w:jc w:val="center"/>
      <w:outlineLvl w:val="5"/>
    </w:pPr>
    <w:rPr>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04E5E"/>
    <w:rPr>
      <w:rFonts w:ascii="Times New Roman" w:eastAsia="Times New Roman" w:hAnsi="Times New Roman" w:cs="Times New Roman"/>
      <w:b/>
      <w:bCs/>
      <w:sz w:val="32"/>
      <w:szCs w:val="24"/>
    </w:rPr>
  </w:style>
  <w:style w:type="character" w:customStyle="1" w:styleId="Heading2Char">
    <w:name w:val="Heading 2 Char"/>
    <w:basedOn w:val="DefaultParagraphFont"/>
    <w:link w:val="Heading2"/>
    <w:uiPriority w:val="99"/>
    <w:rsid w:val="00B04E5E"/>
    <w:rPr>
      <w:rFonts w:ascii="Times New Roman" w:eastAsia="Times New Roman" w:hAnsi="Times New Roman" w:cs="Times New Roman"/>
      <w:b/>
      <w:bCs/>
      <w:sz w:val="24"/>
      <w:szCs w:val="24"/>
    </w:rPr>
  </w:style>
  <w:style w:type="character" w:customStyle="1" w:styleId="Heading4Char">
    <w:name w:val="Heading 4 Char"/>
    <w:aliases w:val="Sub-Minor Char,Oscar Faber 4 Char,Te Char,Te1 Char,Te2 Char,Te3 Char,Te4 Char,Te5 Char,Te6 Char,Te7 Char,Te8 Char,Te9 Char,Te10 Char,Te11 Char,Te91 Char,Te12 Char,Te21 Char,Te31 Char,Te41 Char,Te51 Char,Te61 Char,Te71 Char,Te81 Char"/>
    <w:basedOn w:val="DefaultParagraphFont"/>
    <w:link w:val="Heading4"/>
    <w:uiPriority w:val="99"/>
    <w:rsid w:val="00B04E5E"/>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uiPriority w:val="99"/>
    <w:rsid w:val="00B04E5E"/>
    <w:rPr>
      <w:rFonts w:ascii="Times New Roman" w:eastAsia="Times New Roman" w:hAnsi="Times New Roman" w:cs="Times New Roman"/>
      <w:b/>
      <w:bCs/>
      <w:iCs/>
      <w:sz w:val="24"/>
      <w:szCs w:val="28"/>
    </w:rPr>
  </w:style>
  <w:style w:type="paragraph" w:styleId="BodyTextIndent">
    <w:name w:val="Body Text Indent"/>
    <w:basedOn w:val="Normal"/>
    <w:link w:val="BodyTextIndentChar"/>
    <w:uiPriority w:val="99"/>
    <w:rsid w:val="00B04E5E"/>
    <w:pPr>
      <w:ind w:left="360"/>
    </w:pPr>
    <w:rPr>
      <w:iCs/>
    </w:rPr>
  </w:style>
  <w:style w:type="character" w:customStyle="1" w:styleId="BodyTextIndentChar">
    <w:name w:val="Body Text Indent Char"/>
    <w:basedOn w:val="DefaultParagraphFont"/>
    <w:link w:val="BodyTextIndent"/>
    <w:uiPriority w:val="99"/>
    <w:rsid w:val="00B04E5E"/>
    <w:rPr>
      <w:rFonts w:ascii="Times New Roman" w:eastAsia="Times New Roman" w:hAnsi="Times New Roman" w:cs="Times New Roman"/>
      <w:iCs/>
      <w:sz w:val="24"/>
      <w:szCs w:val="24"/>
    </w:rPr>
  </w:style>
  <w:style w:type="paragraph" w:styleId="BodyTextIndent2">
    <w:name w:val="Body Text Indent 2"/>
    <w:basedOn w:val="Normal"/>
    <w:link w:val="BodyTextIndent2Char"/>
    <w:uiPriority w:val="99"/>
    <w:rsid w:val="00B04E5E"/>
    <w:pPr>
      <w:ind w:left="720"/>
      <w:jc w:val="both"/>
    </w:pPr>
    <w:rPr>
      <w:bCs/>
      <w:iCs/>
    </w:rPr>
  </w:style>
  <w:style w:type="character" w:customStyle="1" w:styleId="BodyTextIndent2Char">
    <w:name w:val="Body Text Indent 2 Char"/>
    <w:basedOn w:val="DefaultParagraphFont"/>
    <w:link w:val="BodyTextIndent2"/>
    <w:uiPriority w:val="99"/>
    <w:rsid w:val="00B04E5E"/>
    <w:rPr>
      <w:rFonts w:ascii="Times New Roman" w:eastAsia="Times New Roman" w:hAnsi="Times New Roman" w:cs="Times New Roman"/>
      <w:bCs/>
      <w:iCs/>
      <w:sz w:val="24"/>
      <w:szCs w:val="24"/>
    </w:rPr>
  </w:style>
  <w:style w:type="paragraph" w:styleId="ListParagraph">
    <w:name w:val="List Paragraph"/>
    <w:basedOn w:val="Normal"/>
    <w:uiPriority w:val="99"/>
    <w:qFormat/>
    <w:rsid w:val="00B04E5E"/>
    <w:pPr>
      <w:spacing w:after="200" w:line="276" w:lineRule="auto"/>
      <w:ind w:left="720"/>
      <w:contextualSpacing/>
    </w:pPr>
    <w:rPr>
      <w:rFonts w:ascii="Calibri" w:hAnsi="Calibri"/>
      <w:sz w:val="22"/>
      <w:szCs w:val="22"/>
    </w:rPr>
  </w:style>
  <w:style w:type="paragraph" w:styleId="BalloonText">
    <w:name w:val="Balloon Text"/>
    <w:basedOn w:val="Normal"/>
    <w:link w:val="BalloonTextChar"/>
    <w:uiPriority w:val="99"/>
    <w:semiHidden/>
    <w:unhideWhenUsed/>
    <w:rsid w:val="00B04E5E"/>
    <w:rPr>
      <w:rFonts w:ascii="Tahoma" w:hAnsi="Tahoma" w:cs="Tahoma"/>
      <w:sz w:val="16"/>
      <w:szCs w:val="16"/>
    </w:rPr>
  </w:style>
  <w:style w:type="character" w:customStyle="1" w:styleId="BalloonTextChar">
    <w:name w:val="Balloon Text Char"/>
    <w:basedOn w:val="DefaultParagraphFont"/>
    <w:link w:val="BalloonText"/>
    <w:uiPriority w:val="99"/>
    <w:semiHidden/>
    <w:rsid w:val="00B04E5E"/>
    <w:rPr>
      <w:rFonts w:ascii="Tahoma" w:eastAsia="Times New Roman" w:hAnsi="Tahoma" w:cs="Tahoma"/>
      <w:sz w:val="16"/>
      <w:szCs w:val="16"/>
    </w:rPr>
  </w:style>
  <w:style w:type="paragraph" w:styleId="Header">
    <w:name w:val="header"/>
    <w:basedOn w:val="Normal"/>
    <w:link w:val="HeaderChar"/>
    <w:uiPriority w:val="99"/>
    <w:semiHidden/>
    <w:unhideWhenUsed/>
    <w:rsid w:val="00B04E5E"/>
    <w:pPr>
      <w:tabs>
        <w:tab w:val="center" w:pos="4513"/>
        <w:tab w:val="right" w:pos="9026"/>
      </w:tabs>
    </w:pPr>
  </w:style>
  <w:style w:type="character" w:customStyle="1" w:styleId="HeaderChar">
    <w:name w:val="Header Char"/>
    <w:basedOn w:val="DefaultParagraphFont"/>
    <w:link w:val="Header"/>
    <w:uiPriority w:val="99"/>
    <w:semiHidden/>
    <w:rsid w:val="00B04E5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04E5E"/>
    <w:pPr>
      <w:tabs>
        <w:tab w:val="center" w:pos="4513"/>
        <w:tab w:val="right" w:pos="9026"/>
      </w:tabs>
    </w:pPr>
  </w:style>
  <w:style w:type="character" w:customStyle="1" w:styleId="FooterChar">
    <w:name w:val="Footer Char"/>
    <w:basedOn w:val="DefaultParagraphFont"/>
    <w:link w:val="Footer"/>
    <w:uiPriority w:val="99"/>
    <w:rsid w:val="00B04E5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175B5"/>
    <w:rPr>
      <w:sz w:val="16"/>
      <w:szCs w:val="16"/>
    </w:rPr>
  </w:style>
  <w:style w:type="paragraph" w:styleId="CommentText">
    <w:name w:val="annotation text"/>
    <w:basedOn w:val="Normal"/>
    <w:link w:val="CommentTextChar"/>
    <w:uiPriority w:val="99"/>
    <w:semiHidden/>
    <w:unhideWhenUsed/>
    <w:rsid w:val="004175B5"/>
    <w:rPr>
      <w:sz w:val="20"/>
      <w:szCs w:val="20"/>
    </w:rPr>
  </w:style>
  <w:style w:type="character" w:customStyle="1" w:styleId="CommentTextChar">
    <w:name w:val="Comment Text Char"/>
    <w:basedOn w:val="DefaultParagraphFont"/>
    <w:link w:val="CommentText"/>
    <w:uiPriority w:val="99"/>
    <w:semiHidden/>
    <w:rsid w:val="004175B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75B5"/>
    <w:rPr>
      <w:b/>
      <w:bCs/>
    </w:rPr>
  </w:style>
  <w:style w:type="character" w:customStyle="1" w:styleId="CommentSubjectChar">
    <w:name w:val="Comment Subject Char"/>
    <w:basedOn w:val="CommentTextChar"/>
    <w:link w:val="CommentSubject"/>
    <w:uiPriority w:val="99"/>
    <w:semiHidden/>
    <w:rsid w:val="004175B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1248</Words>
  <Characters>7120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scotts2</dc:creator>
  <cp:lastModifiedBy>PrenticeC</cp:lastModifiedBy>
  <cp:revision>4</cp:revision>
  <dcterms:created xsi:type="dcterms:W3CDTF">2018-09-04T10:04:00Z</dcterms:created>
  <dcterms:modified xsi:type="dcterms:W3CDTF">2018-09-05T13:59:00Z</dcterms:modified>
</cp:coreProperties>
</file>