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300A60" w:rsidRPr="005B4BA8" w:rsidTr="002024A7">
        <w:trPr>
          <w:trHeight w:val="557"/>
        </w:trPr>
        <w:tc>
          <w:tcPr>
            <w:tcW w:w="2557" w:type="dxa"/>
          </w:tcPr>
          <w:p w:rsidR="00300A60" w:rsidRPr="005B4BA8" w:rsidRDefault="00300A60" w:rsidP="00D21617">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300A60" w:rsidRPr="005B4BA8" w:rsidRDefault="00723D08" w:rsidP="00D21617">
            <w:pPr>
              <w:pStyle w:val="Heading1"/>
              <w:spacing w:before="60" w:after="60"/>
              <w:ind w:right="183"/>
              <w:contextualSpacing/>
              <w:rPr>
                <w:rFonts w:ascii="Arial" w:hAnsi="Arial" w:cs="Arial"/>
                <w:b w:val="0"/>
                <w:sz w:val="24"/>
                <w:szCs w:val="24"/>
              </w:rPr>
            </w:pPr>
            <w:r>
              <w:rPr>
                <w:rFonts w:ascii="Arial" w:hAnsi="Arial" w:cs="Arial"/>
                <w:b w:val="0"/>
                <w:sz w:val="24"/>
                <w:szCs w:val="24"/>
              </w:rPr>
              <w:t>6 December</w:t>
            </w:r>
            <w:r w:rsidR="00300A60" w:rsidRPr="005B4BA8">
              <w:rPr>
                <w:rFonts w:ascii="Arial" w:hAnsi="Arial" w:cs="Arial"/>
                <w:b w:val="0"/>
                <w:sz w:val="24"/>
                <w:szCs w:val="24"/>
              </w:rPr>
              <w:t xml:space="preserve"> 2018</w:t>
            </w:r>
          </w:p>
        </w:tc>
        <w:tc>
          <w:tcPr>
            <w:tcW w:w="1985" w:type="dxa"/>
            <w:vMerge w:val="restart"/>
          </w:tcPr>
          <w:p w:rsidR="00300A60" w:rsidRPr="005B4BA8" w:rsidRDefault="00D11F57" w:rsidP="00D21617">
            <w:pPr>
              <w:pStyle w:val="Heading1"/>
              <w:spacing w:before="60" w:after="60"/>
              <w:ind w:right="34"/>
              <w:contextualSpacing/>
              <w:rPr>
                <w:rFonts w:ascii="Arial" w:hAnsi="Arial" w:cs="Arial"/>
                <w:sz w:val="24"/>
                <w:szCs w:val="24"/>
              </w:rPr>
            </w:pPr>
            <w:r>
              <w:rPr>
                <w:rFonts w:ascii="Arial" w:hAnsi="Arial" w:cs="Arial"/>
                <w:noProof/>
                <w:sz w:val="24"/>
                <w:szCs w:val="24"/>
                <w:lang w:eastAsia="en-GB"/>
              </w:rPr>
              <w:drawing>
                <wp:inline distT="0" distB="0" distL="0" distR="0">
                  <wp:extent cx="923290" cy="784860"/>
                  <wp:effectExtent l="19050" t="0" r="0"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923290" cy="784860"/>
                          </a:xfrm>
                          <a:prstGeom prst="rect">
                            <a:avLst/>
                          </a:prstGeom>
                          <a:noFill/>
                          <a:ln w="9525">
                            <a:noFill/>
                            <a:miter lim="800000"/>
                            <a:headEnd/>
                            <a:tailEnd/>
                          </a:ln>
                        </pic:spPr>
                      </pic:pic>
                    </a:graphicData>
                  </a:graphic>
                </wp:inline>
              </w:drawing>
            </w:r>
          </w:p>
        </w:tc>
      </w:tr>
      <w:tr w:rsidR="00300A60" w:rsidRPr="005B4BA8" w:rsidTr="002024A7">
        <w:trPr>
          <w:trHeight w:val="1091"/>
        </w:trPr>
        <w:tc>
          <w:tcPr>
            <w:tcW w:w="2557" w:type="dxa"/>
          </w:tcPr>
          <w:p w:rsidR="00300A60" w:rsidRPr="005B4BA8" w:rsidRDefault="00300A60" w:rsidP="00D21617">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300A60" w:rsidRPr="005B4BA8" w:rsidRDefault="00300A60" w:rsidP="00D21617">
            <w:pPr>
              <w:pStyle w:val="Heading1"/>
              <w:spacing w:before="60" w:after="60"/>
              <w:ind w:right="183"/>
              <w:contextualSpacing/>
              <w:rPr>
                <w:rFonts w:ascii="Arial" w:hAnsi="Arial" w:cs="Arial"/>
                <w:b w:val="0"/>
                <w:sz w:val="24"/>
                <w:szCs w:val="24"/>
              </w:rPr>
            </w:pPr>
            <w:r>
              <w:rPr>
                <w:rFonts w:ascii="Arial" w:hAnsi="Arial" w:cs="Arial"/>
                <w:b w:val="0"/>
                <w:sz w:val="24"/>
                <w:szCs w:val="24"/>
              </w:rPr>
              <w:t xml:space="preserve">Board Performance Report </w:t>
            </w:r>
          </w:p>
        </w:tc>
        <w:tc>
          <w:tcPr>
            <w:tcW w:w="1985" w:type="dxa"/>
            <w:vMerge/>
          </w:tcPr>
          <w:p w:rsidR="00300A60" w:rsidRPr="005B4BA8" w:rsidRDefault="00300A60" w:rsidP="00D21617">
            <w:pPr>
              <w:pStyle w:val="Heading1"/>
              <w:spacing w:before="60" w:after="60"/>
              <w:ind w:right="183"/>
              <w:contextualSpacing/>
              <w:rPr>
                <w:rFonts w:ascii="Arial" w:hAnsi="Arial" w:cs="Arial"/>
                <w:noProof/>
                <w:sz w:val="24"/>
                <w:szCs w:val="24"/>
                <w:lang w:eastAsia="en-GB"/>
              </w:rPr>
            </w:pPr>
          </w:p>
        </w:tc>
      </w:tr>
      <w:tr w:rsidR="00300A60" w:rsidRPr="0073139D" w:rsidTr="002024A7">
        <w:trPr>
          <w:trHeight w:val="499"/>
        </w:trPr>
        <w:tc>
          <w:tcPr>
            <w:tcW w:w="2557" w:type="dxa"/>
          </w:tcPr>
          <w:p w:rsidR="00300A60" w:rsidRPr="005B4BA8" w:rsidRDefault="00300A60" w:rsidP="00D21617">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300A60" w:rsidRDefault="00300A60" w:rsidP="00D21617">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300A60" w:rsidRPr="005B4BA8" w:rsidRDefault="00300A60" w:rsidP="00D21617"/>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300A60" w:rsidTr="002024A7">
              <w:tc>
                <w:tcPr>
                  <w:tcW w:w="5694" w:type="dxa"/>
                </w:tcPr>
                <w:p w:rsidR="00300A60" w:rsidRPr="007D047D" w:rsidRDefault="00300A60" w:rsidP="00D21617">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300A60" w:rsidRDefault="00300A60" w:rsidP="00D21617">
                  <w:pPr>
                    <w:spacing w:before="120" w:after="60"/>
                    <w:contextualSpacing/>
                  </w:pPr>
                  <w:r>
                    <w:t>X</w:t>
                  </w:r>
                </w:p>
              </w:tc>
            </w:tr>
            <w:tr w:rsidR="00300A60" w:rsidTr="002024A7">
              <w:tc>
                <w:tcPr>
                  <w:tcW w:w="5694" w:type="dxa"/>
                </w:tcPr>
                <w:p w:rsidR="00300A60" w:rsidRPr="007D047D" w:rsidRDefault="00300A60" w:rsidP="00D21617">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300A60" w:rsidRDefault="00300A60" w:rsidP="00D21617">
                  <w:pPr>
                    <w:spacing w:before="120" w:after="60"/>
                    <w:contextualSpacing/>
                  </w:pPr>
                </w:p>
              </w:tc>
            </w:tr>
            <w:tr w:rsidR="00300A60" w:rsidTr="002024A7">
              <w:tc>
                <w:tcPr>
                  <w:tcW w:w="5694" w:type="dxa"/>
                </w:tcPr>
                <w:p w:rsidR="00300A60" w:rsidRPr="007D047D" w:rsidRDefault="00300A60" w:rsidP="00D21617">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300A60" w:rsidRDefault="00300A60" w:rsidP="00D21617">
                  <w:pPr>
                    <w:spacing w:before="120" w:after="60"/>
                    <w:contextualSpacing/>
                  </w:pPr>
                </w:p>
              </w:tc>
            </w:tr>
          </w:tbl>
          <w:p w:rsidR="00300A60" w:rsidRPr="0073139D" w:rsidRDefault="00300A60" w:rsidP="00D21617">
            <w:pPr>
              <w:spacing w:before="120" w:after="60"/>
              <w:contextualSpacing/>
            </w:pPr>
          </w:p>
        </w:tc>
      </w:tr>
    </w:tbl>
    <w:p w:rsidR="000B4973" w:rsidRPr="001640B0" w:rsidRDefault="000B4973" w:rsidP="00D21617">
      <w:pPr>
        <w:ind w:left="-540" w:right="183"/>
        <w:rPr>
          <w:rFonts w:ascii="Arial" w:hAnsi="Arial" w:cs="Arial"/>
          <w:b/>
          <w:bCs/>
          <w:color w:val="365F91"/>
          <w:sz w:val="20"/>
          <w:szCs w:val="20"/>
        </w:rPr>
      </w:pPr>
    </w:p>
    <w:p w:rsidR="00A2577B" w:rsidRPr="001640B0" w:rsidRDefault="00513DB0" w:rsidP="00D21617">
      <w:pPr>
        <w:ind w:right="-46"/>
        <w:rPr>
          <w:rFonts w:ascii="Arial" w:hAnsi="Arial" w:cs="Arial"/>
          <w:b/>
          <w:bCs/>
        </w:rPr>
      </w:pPr>
      <w:r w:rsidRPr="001640B0">
        <w:rPr>
          <w:rFonts w:ascii="Arial" w:hAnsi="Arial" w:cs="Arial"/>
          <w:b/>
          <w:bCs/>
        </w:rPr>
        <w:t>________________________________________</w:t>
      </w:r>
      <w:r w:rsidR="00C24B4E" w:rsidRPr="001640B0">
        <w:rPr>
          <w:rFonts w:ascii="Arial" w:hAnsi="Arial" w:cs="Arial"/>
          <w:b/>
          <w:bCs/>
        </w:rPr>
        <w:t>__________________________</w:t>
      </w:r>
    </w:p>
    <w:p w:rsidR="001175E5" w:rsidRPr="001640B0" w:rsidRDefault="001175E5" w:rsidP="00D21617">
      <w:pPr>
        <w:pStyle w:val="BodyTextIndent"/>
        <w:ind w:left="0" w:right="183" w:firstLine="0"/>
        <w:rPr>
          <w:rFonts w:ascii="Arial" w:hAnsi="Arial" w:cs="Arial"/>
          <w:b/>
          <w:bCs/>
        </w:rPr>
      </w:pPr>
    </w:p>
    <w:p w:rsidR="00E56440" w:rsidRPr="00761F30" w:rsidRDefault="00E56440" w:rsidP="00D21617">
      <w:pPr>
        <w:numPr>
          <w:ilvl w:val="0"/>
          <w:numId w:val="1"/>
        </w:numPr>
        <w:tabs>
          <w:tab w:val="clear" w:pos="1080"/>
          <w:tab w:val="num" w:pos="540"/>
        </w:tabs>
        <w:ind w:left="540" w:hanging="540"/>
        <w:rPr>
          <w:rFonts w:ascii="Arial" w:hAnsi="Arial" w:cs="Arial"/>
          <w:b/>
        </w:rPr>
      </w:pPr>
      <w:r w:rsidRPr="00761F30">
        <w:rPr>
          <w:rFonts w:ascii="Arial" w:hAnsi="Arial" w:cs="Arial"/>
          <w:b/>
        </w:rPr>
        <w:t>Introduction</w:t>
      </w:r>
    </w:p>
    <w:p w:rsidR="00E56440" w:rsidRPr="00761F30" w:rsidRDefault="00E56440" w:rsidP="00D21617">
      <w:pPr>
        <w:ind w:left="540"/>
        <w:rPr>
          <w:rFonts w:ascii="Arial" w:hAnsi="Arial" w:cs="Arial"/>
        </w:rPr>
      </w:pPr>
    </w:p>
    <w:p w:rsidR="00E56440" w:rsidRPr="008C3F29" w:rsidRDefault="00E56440" w:rsidP="00D21617">
      <w:pPr>
        <w:ind w:left="540"/>
        <w:rPr>
          <w:rFonts w:ascii="Arial" w:hAnsi="Arial" w:cs="Arial"/>
          <w:color w:val="FF0000"/>
        </w:rPr>
      </w:pPr>
      <w:r w:rsidRPr="00761F30">
        <w:rPr>
          <w:rFonts w:ascii="Arial" w:hAnsi="Arial" w:cs="Arial"/>
        </w:rPr>
        <w:t xml:space="preserve">The Board is asked to </w:t>
      </w:r>
      <w:r w:rsidR="00E354DA" w:rsidRPr="00761F30">
        <w:rPr>
          <w:rFonts w:ascii="Arial" w:hAnsi="Arial" w:cs="Arial"/>
        </w:rPr>
        <w:t xml:space="preserve">discuss </w:t>
      </w:r>
      <w:r w:rsidRPr="00761F30">
        <w:rPr>
          <w:rFonts w:ascii="Arial" w:hAnsi="Arial" w:cs="Arial"/>
        </w:rPr>
        <w:t xml:space="preserve">the content of the performance report covering matters discussed at the </w:t>
      </w:r>
      <w:r w:rsidR="00761F30" w:rsidRPr="00761F30">
        <w:rPr>
          <w:rFonts w:ascii="Arial" w:hAnsi="Arial" w:cs="Arial"/>
        </w:rPr>
        <w:t>November</w:t>
      </w:r>
      <w:r w:rsidR="00324B85" w:rsidRPr="00761F30">
        <w:rPr>
          <w:rFonts w:ascii="Arial" w:hAnsi="Arial" w:cs="Arial"/>
        </w:rPr>
        <w:t xml:space="preserve"> 201</w:t>
      </w:r>
      <w:r w:rsidR="009E2D6A" w:rsidRPr="00761F30">
        <w:rPr>
          <w:rFonts w:ascii="Arial" w:hAnsi="Arial" w:cs="Arial"/>
        </w:rPr>
        <w:t>8</w:t>
      </w:r>
      <w:r w:rsidRPr="00761F30">
        <w:rPr>
          <w:rFonts w:ascii="Arial" w:hAnsi="Arial" w:cs="Arial"/>
        </w:rPr>
        <w:t xml:space="preserve"> meeting of the Perfo</w:t>
      </w:r>
      <w:r w:rsidR="00102A4A" w:rsidRPr="00761F30">
        <w:rPr>
          <w:rFonts w:ascii="Arial" w:hAnsi="Arial" w:cs="Arial"/>
        </w:rPr>
        <w:t xml:space="preserve">rmance and Planning Committee. </w:t>
      </w:r>
      <w:r w:rsidRPr="00761F30">
        <w:rPr>
          <w:rFonts w:ascii="Arial" w:hAnsi="Arial" w:cs="Arial"/>
        </w:rPr>
        <w:t xml:space="preserve">This pack includes a snapshot of the waiting list position </w:t>
      </w:r>
      <w:r w:rsidR="00102A4A" w:rsidRPr="00761F30">
        <w:rPr>
          <w:rFonts w:ascii="Arial" w:hAnsi="Arial" w:cs="Arial"/>
        </w:rPr>
        <w:t xml:space="preserve">at </w:t>
      </w:r>
      <w:r w:rsidR="008C3F29" w:rsidRPr="008C3F29">
        <w:rPr>
          <w:rFonts w:ascii="Arial" w:hAnsi="Arial" w:cs="Arial"/>
        </w:rPr>
        <w:t>1</w:t>
      </w:r>
      <w:r w:rsidR="00761F30" w:rsidRPr="008C3F29">
        <w:rPr>
          <w:rFonts w:ascii="Arial" w:hAnsi="Arial" w:cs="Arial"/>
        </w:rPr>
        <w:t xml:space="preserve"> Novem</w:t>
      </w:r>
      <w:r w:rsidR="00B81B4F" w:rsidRPr="008C3F29">
        <w:rPr>
          <w:rFonts w:ascii="Arial" w:hAnsi="Arial" w:cs="Arial"/>
        </w:rPr>
        <w:t>ber</w:t>
      </w:r>
      <w:r w:rsidR="00251753" w:rsidRPr="008C3F29">
        <w:rPr>
          <w:rFonts w:ascii="Arial" w:hAnsi="Arial" w:cs="Arial"/>
        </w:rPr>
        <w:t xml:space="preserve"> 2018</w:t>
      </w:r>
      <w:r w:rsidR="00031FAD" w:rsidRPr="008C3F29">
        <w:rPr>
          <w:rFonts w:ascii="Arial" w:hAnsi="Arial" w:cs="Arial"/>
        </w:rPr>
        <w:t>.</w:t>
      </w:r>
    </w:p>
    <w:p w:rsidR="00E56440" w:rsidRPr="00723D08" w:rsidRDefault="00E56440" w:rsidP="00D21617">
      <w:pPr>
        <w:ind w:left="540"/>
        <w:rPr>
          <w:rFonts w:ascii="Arial" w:hAnsi="Arial" w:cs="Arial"/>
          <w:highlight w:val="yellow"/>
        </w:rPr>
      </w:pPr>
      <w:r w:rsidRPr="00723D08">
        <w:rPr>
          <w:rFonts w:ascii="Arial" w:hAnsi="Arial" w:cs="Arial"/>
          <w:highlight w:val="yellow"/>
        </w:rPr>
        <w:t xml:space="preserve"> </w:t>
      </w:r>
    </w:p>
    <w:p w:rsidR="00E56440" w:rsidRDefault="00E56440" w:rsidP="00D21617">
      <w:pPr>
        <w:pStyle w:val="ListParagraph"/>
        <w:numPr>
          <w:ilvl w:val="0"/>
          <w:numId w:val="2"/>
        </w:numPr>
        <w:tabs>
          <w:tab w:val="clear" w:pos="1440"/>
          <w:tab w:val="num" w:pos="1260"/>
        </w:tabs>
        <w:spacing w:line="240" w:lineRule="auto"/>
        <w:ind w:left="1260"/>
        <w:rPr>
          <w:rFonts w:ascii="Arial" w:hAnsi="Arial" w:cs="Arial"/>
          <w:sz w:val="24"/>
          <w:szCs w:val="24"/>
        </w:rPr>
      </w:pPr>
      <w:r w:rsidRPr="00761F30">
        <w:rPr>
          <w:rFonts w:ascii="Arial" w:hAnsi="Arial" w:cs="Arial"/>
          <w:sz w:val="24"/>
          <w:szCs w:val="24"/>
        </w:rPr>
        <w:t>Board Exception Report – Key Performance Indicators (KPIs)</w:t>
      </w:r>
    </w:p>
    <w:p w:rsidR="00520F76" w:rsidRPr="00761F30" w:rsidRDefault="00520F76" w:rsidP="00520F76">
      <w:pPr>
        <w:pStyle w:val="ListParagraph"/>
        <w:spacing w:line="240" w:lineRule="auto"/>
        <w:ind w:left="1260"/>
        <w:rPr>
          <w:rFonts w:ascii="Arial" w:hAnsi="Arial" w:cs="Arial"/>
          <w:sz w:val="24"/>
          <w:szCs w:val="24"/>
        </w:rPr>
      </w:pPr>
    </w:p>
    <w:p w:rsidR="00E56440" w:rsidRPr="00761F30" w:rsidRDefault="00E56440" w:rsidP="00D21617">
      <w:pPr>
        <w:pStyle w:val="ListParagraph"/>
        <w:numPr>
          <w:ilvl w:val="0"/>
          <w:numId w:val="3"/>
        </w:numPr>
        <w:tabs>
          <w:tab w:val="left" w:pos="1260"/>
        </w:tabs>
        <w:spacing w:line="240" w:lineRule="auto"/>
        <w:ind w:left="1947" w:hanging="709"/>
        <w:rPr>
          <w:rFonts w:ascii="Arial" w:hAnsi="Arial" w:cs="Arial"/>
          <w:sz w:val="24"/>
          <w:szCs w:val="24"/>
        </w:rPr>
      </w:pPr>
      <w:r w:rsidRPr="00761F30">
        <w:rPr>
          <w:rFonts w:ascii="Arial" w:hAnsi="Arial" w:cs="Arial"/>
          <w:sz w:val="24"/>
          <w:szCs w:val="24"/>
        </w:rPr>
        <w:t>Effective KPIs</w:t>
      </w:r>
    </w:p>
    <w:p w:rsidR="00E56440" w:rsidRPr="00761F30" w:rsidRDefault="00E56440" w:rsidP="00D21617">
      <w:pPr>
        <w:pStyle w:val="ListParagraph"/>
        <w:numPr>
          <w:ilvl w:val="0"/>
          <w:numId w:val="3"/>
        </w:numPr>
        <w:tabs>
          <w:tab w:val="left" w:pos="1260"/>
        </w:tabs>
        <w:spacing w:line="240" w:lineRule="auto"/>
        <w:ind w:left="1947" w:hanging="709"/>
        <w:rPr>
          <w:rFonts w:ascii="Arial" w:hAnsi="Arial" w:cs="Arial"/>
          <w:sz w:val="24"/>
          <w:szCs w:val="24"/>
        </w:rPr>
      </w:pPr>
      <w:r w:rsidRPr="00761F30">
        <w:rPr>
          <w:rFonts w:ascii="Arial" w:hAnsi="Arial" w:cs="Arial"/>
          <w:sz w:val="24"/>
          <w:szCs w:val="24"/>
        </w:rPr>
        <w:t>Person-centred KPIs</w:t>
      </w:r>
    </w:p>
    <w:p w:rsidR="00E56440" w:rsidRPr="00761F30" w:rsidRDefault="00E56440" w:rsidP="00D21617">
      <w:pPr>
        <w:pStyle w:val="ListParagraph"/>
        <w:numPr>
          <w:ilvl w:val="0"/>
          <w:numId w:val="3"/>
        </w:numPr>
        <w:tabs>
          <w:tab w:val="left" w:pos="1260"/>
        </w:tabs>
        <w:spacing w:line="240" w:lineRule="auto"/>
        <w:ind w:left="1947" w:hanging="709"/>
        <w:rPr>
          <w:rFonts w:ascii="Arial" w:hAnsi="Arial" w:cs="Arial"/>
          <w:sz w:val="24"/>
          <w:szCs w:val="24"/>
        </w:rPr>
      </w:pPr>
      <w:r w:rsidRPr="00761F30">
        <w:rPr>
          <w:rFonts w:ascii="Arial" w:hAnsi="Arial" w:cs="Arial"/>
          <w:sz w:val="24"/>
          <w:szCs w:val="24"/>
        </w:rPr>
        <w:t>Safe KPIs</w:t>
      </w:r>
    </w:p>
    <w:p w:rsidR="00E56440" w:rsidRPr="00761F30" w:rsidRDefault="00E56440" w:rsidP="00D21617">
      <w:pPr>
        <w:pStyle w:val="ListParagraph"/>
        <w:spacing w:line="240" w:lineRule="auto"/>
        <w:ind w:left="1260"/>
        <w:rPr>
          <w:rFonts w:ascii="Arial" w:hAnsi="Arial" w:cs="Arial"/>
          <w:sz w:val="24"/>
          <w:szCs w:val="24"/>
        </w:rPr>
      </w:pPr>
    </w:p>
    <w:p w:rsidR="00E56440" w:rsidRDefault="00E56440" w:rsidP="00D21617">
      <w:pPr>
        <w:pStyle w:val="ListParagraph"/>
        <w:numPr>
          <w:ilvl w:val="0"/>
          <w:numId w:val="2"/>
        </w:numPr>
        <w:tabs>
          <w:tab w:val="clear" w:pos="1440"/>
          <w:tab w:val="num" w:pos="1260"/>
        </w:tabs>
        <w:spacing w:line="240" w:lineRule="auto"/>
        <w:ind w:left="1980" w:hanging="1080"/>
        <w:rPr>
          <w:rFonts w:ascii="Arial" w:hAnsi="Arial" w:cs="Arial"/>
          <w:sz w:val="24"/>
          <w:szCs w:val="24"/>
        </w:rPr>
      </w:pPr>
      <w:r w:rsidRPr="00761F30">
        <w:rPr>
          <w:rFonts w:ascii="Arial" w:hAnsi="Arial" w:cs="Arial"/>
          <w:sz w:val="24"/>
          <w:szCs w:val="24"/>
        </w:rPr>
        <w:t>Divisional Exception Reports</w:t>
      </w:r>
    </w:p>
    <w:p w:rsidR="00520F76" w:rsidRPr="00761F30" w:rsidRDefault="00520F76" w:rsidP="00520F76">
      <w:pPr>
        <w:pStyle w:val="ListParagraph"/>
        <w:spacing w:line="240" w:lineRule="auto"/>
        <w:ind w:left="1980"/>
        <w:rPr>
          <w:rFonts w:ascii="Arial" w:hAnsi="Arial" w:cs="Arial"/>
          <w:sz w:val="24"/>
          <w:szCs w:val="24"/>
        </w:rPr>
      </w:pPr>
    </w:p>
    <w:p w:rsidR="00E56440" w:rsidRPr="00761F30" w:rsidRDefault="00E56440" w:rsidP="00D21617">
      <w:pPr>
        <w:pStyle w:val="ListParagraph"/>
        <w:tabs>
          <w:tab w:val="left" w:pos="1260"/>
        </w:tabs>
        <w:spacing w:line="240" w:lineRule="auto"/>
        <w:ind w:left="1260"/>
        <w:rPr>
          <w:rFonts w:ascii="Arial" w:hAnsi="Arial" w:cs="Arial"/>
          <w:sz w:val="24"/>
          <w:szCs w:val="24"/>
        </w:rPr>
      </w:pPr>
      <w:r w:rsidRPr="00761F30">
        <w:rPr>
          <w:rFonts w:ascii="Arial" w:hAnsi="Arial" w:cs="Arial"/>
          <w:sz w:val="24"/>
          <w:szCs w:val="24"/>
        </w:rPr>
        <w:t>(a)</w:t>
      </w:r>
      <w:r w:rsidRPr="00761F30">
        <w:rPr>
          <w:rFonts w:ascii="Arial" w:hAnsi="Arial" w:cs="Arial"/>
          <w:sz w:val="24"/>
          <w:szCs w:val="24"/>
        </w:rPr>
        <w:tab/>
        <w:t>Surgical Services</w:t>
      </w:r>
    </w:p>
    <w:p w:rsidR="00E56440" w:rsidRPr="00761F30" w:rsidRDefault="00E56440" w:rsidP="00D21617">
      <w:pPr>
        <w:pStyle w:val="ListParagraph"/>
        <w:tabs>
          <w:tab w:val="left" w:pos="1260"/>
        </w:tabs>
        <w:spacing w:line="240" w:lineRule="auto"/>
        <w:ind w:left="1260"/>
        <w:rPr>
          <w:rFonts w:ascii="Arial" w:hAnsi="Arial" w:cs="Arial"/>
          <w:sz w:val="24"/>
          <w:szCs w:val="24"/>
        </w:rPr>
      </w:pPr>
      <w:r w:rsidRPr="00761F30">
        <w:rPr>
          <w:rFonts w:ascii="Arial" w:hAnsi="Arial" w:cs="Arial"/>
          <w:sz w:val="24"/>
          <w:szCs w:val="24"/>
        </w:rPr>
        <w:t>(b)</w:t>
      </w:r>
      <w:r w:rsidRPr="00761F30">
        <w:rPr>
          <w:rFonts w:ascii="Arial" w:hAnsi="Arial" w:cs="Arial"/>
          <w:sz w:val="24"/>
          <w:szCs w:val="24"/>
        </w:rPr>
        <w:tab/>
        <w:t>Regional and National Medicine</w:t>
      </w:r>
    </w:p>
    <w:p w:rsidR="00E56440" w:rsidRPr="00761F30" w:rsidRDefault="00E56440" w:rsidP="00D21617">
      <w:pPr>
        <w:pStyle w:val="ListParagraph"/>
        <w:spacing w:line="240" w:lineRule="auto"/>
        <w:ind w:left="900"/>
        <w:rPr>
          <w:rFonts w:ascii="Arial" w:hAnsi="Arial" w:cs="Arial"/>
          <w:sz w:val="24"/>
          <w:szCs w:val="24"/>
        </w:rPr>
      </w:pPr>
    </w:p>
    <w:p w:rsidR="00E56440" w:rsidRPr="00761F30" w:rsidRDefault="00D71522" w:rsidP="00D21617">
      <w:pPr>
        <w:pStyle w:val="ListParagraph"/>
        <w:numPr>
          <w:ilvl w:val="0"/>
          <w:numId w:val="2"/>
        </w:numPr>
        <w:tabs>
          <w:tab w:val="clear" w:pos="1440"/>
          <w:tab w:val="num" w:pos="1260"/>
        </w:tabs>
        <w:spacing w:line="240" w:lineRule="auto"/>
        <w:ind w:left="1238" w:hanging="338"/>
        <w:rPr>
          <w:rFonts w:ascii="Arial" w:hAnsi="Arial" w:cs="Arial"/>
          <w:sz w:val="24"/>
          <w:szCs w:val="24"/>
        </w:rPr>
      </w:pPr>
      <w:r w:rsidRPr="00761F30">
        <w:rPr>
          <w:rFonts w:ascii="Arial" w:hAnsi="Arial" w:cs="Arial"/>
          <w:sz w:val="24"/>
          <w:szCs w:val="24"/>
        </w:rPr>
        <w:t>W</w:t>
      </w:r>
      <w:r w:rsidR="00E56440" w:rsidRPr="00761F30">
        <w:rPr>
          <w:rFonts w:ascii="Arial" w:hAnsi="Arial" w:cs="Arial"/>
          <w:sz w:val="24"/>
          <w:szCs w:val="24"/>
        </w:rPr>
        <w:t xml:space="preserve">aiting lists – </w:t>
      </w:r>
      <w:r w:rsidR="00EF577A" w:rsidRPr="00761F30">
        <w:rPr>
          <w:rFonts w:ascii="Arial" w:hAnsi="Arial" w:cs="Arial"/>
          <w:sz w:val="24"/>
          <w:szCs w:val="24"/>
        </w:rPr>
        <w:t>Cardiac Surgery, Thoracic Surgery</w:t>
      </w:r>
      <w:r w:rsidR="003D495D">
        <w:rPr>
          <w:rFonts w:ascii="Arial" w:hAnsi="Arial" w:cs="Arial"/>
          <w:sz w:val="24"/>
          <w:szCs w:val="24"/>
        </w:rPr>
        <w:t xml:space="preserve"> and</w:t>
      </w:r>
      <w:r w:rsidR="00520F76">
        <w:rPr>
          <w:rFonts w:ascii="Arial" w:hAnsi="Arial" w:cs="Arial"/>
          <w:sz w:val="24"/>
          <w:szCs w:val="24"/>
        </w:rPr>
        <w:t xml:space="preserve"> Cardiology</w:t>
      </w:r>
    </w:p>
    <w:p w:rsidR="00E56440" w:rsidRPr="00761F30" w:rsidRDefault="00E56440" w:rsidP="00D21617">
      <w:pPr>
        <w:pStyle w:val="ListParagraph"/>
        <w:spacing w:line="240" w:lineRule="auto"/>
        <w:ind w:left="900"/>
        <w:rPr>
          <w:rFonts w:ascii="Arial" w:hAnsi="Arial" w:cs="Arial"/>
          <w:sz w:val="24"/>
          <w:szCs w:val="24"/>
        </w:rPr>
      </w:pPr>
    </w:p>
    <w:p w:rsidR="00E56440" w:rsidRPr="00761F30" w:rsidRDefault="00E56440" w:rsidP="00D21617">
      <w:pPr>
        <w:pStyle w:val="ListParagraph"/>
        <w:numPr>
          <w:ilvl w:val="0"/>
          <w:numId w:val="2"/>
        </w:numPr>
        <w:tabs>
          <w:tab w:val="clear" w:pos="1440"/>
          <w:tab w:val="num" w:pos="1260"/>
        </w:tabs>
        <w:spacing w:line="240" w:lineRule="auto"/>
        <w:ind w:left="1980" w:hanging="1080"/>
        <w:rPr>
          <w:rFonts w:ascii="Arial" w:hAnsi="Arial" w:cs="Arial"/>
          <w:sz w:val="24"/>
          <w:szCs w:val="24"/>
        </w:rPr>
      </w:pPr>
      <w:r w:rsidRPr="00761F30">
        <w:rPr>
          <w:rFonts w:ascii="Arial" w:hAnsi="Arial" w:cs="Arial"/>
          <w:sz w:val="24"/>
          <w:szCs w:val="24"/>
        </w:rPr>
        <w:t>Corporate Balanced Scorecard (Appendix 1)</w:t>
      </w:r>
    </w:p>
    <w:p w:rsidR="00E56440" w:rsidRPr="00761F30" w:rsidRDefault="00E56440" w:rsidP="00D21617">
      <w:pPr>
        <w:pStyle w:val="ListParagraph"/>
        <w:ind w:left="540"/>
        <w:rPr>
          <w:rFonts w:ascii="Arial" w:hAnsi="Arial" w:cs="Arial"/>
          <w:sz w:val="24"/>
          <w:szCs w:val="24"/>
        </w:rPr>
      </w:pPr>
    </w:p>
    <w:p w:rsidR="00E56440" w:rsidRPr="00761F30" w:rsidRDefault="00E56440" w:rsidP="00D21617">
      <w:pPr>
        <w:pStyle w:val="ListParagraph"/>
        <w:spacing w:line="240" w:lineRule="auto"/>
        <w:ind w:left="540"/>
        <w:rPr>
          <w:rFonts w:ascii="Arial" w:hAnsi="Arial" w:cs="Arial"/>
          <w:sz w:val="24"/>
          <w:szCs w:val="24"/>
          <w:lang w:eastAsia="en-GB"/>
        </w:rPr>
      </w:pPr>
    </w:p>
    <w:p w:rsidR="00E56440" w:rsidRDefault="00E56440" w:rsidP="00D21617">
      <w:pPr>
        <w:pStyle w:val="ListParagraph"/>
        <w:spacing w:line="240" w:lineRule="auto"/>
        <w:ind w:left="540" w:hanging="540"/>
        <w:rPr>
          <w:rFonts w:ascii="Arial" w:hAnsi="Arial" w:cs="Arial"/>
          <w:b/>
          <w:sz w:val="24"/>
          <w:szCs w:val="24"/>
        </w:rPr>
      </w:pPr>
      <w:r w:rsidRPr="00761F30">
        <w:rPr>
          <w:rFonts w:ascii="Arial" w:hAnsi="Arial" w:cs="Arial"/>
          <w:b/>
          <w:sz w:val="24"/>
          <w:szCs w:val="24"/>
          <w:lang w:eastAsia="en-GB"/>
        </w:rPr>
        <w:t xml:space="preserve">2 </w:t>
      </w:r>
      <w:r w:rsidRPr="00761F30">
        <w:rPr>
          <w:rFonts w:ascii="Arial" w:hAnsi="Arial" w:cs="Arial"/>
          <w:b/>
          <w:sz w:val="24"/>
          <w:szCs w:val="24"/>
          <w:lang w:eastAsia="en-GB"/>
        </w:rPr>
        <w:tab/>
      </w:r>
      <w:r w:rsidRPr="00761F30">
        <w:rPr>
          <w:rFonts w:ascii="Arial" w:hAnsi="Arial" w:cs="Arial"/>
          <w:b/>
          <w:sz w:val="24"/>
          <w:szCs w:val="24"/>
        </w:rPr>
        <w:t>Recommendation</w:t>
      </w:r>
    </w:p>
    <w:p w:rsidR="00D21617" w:rsidRPr="00761F30" w:rsidRDefault="00D21617" w:rsidP="00D21617">
      <w:pPr>
        <w:pStyle w:val="ListParagraph"/>
        <w:spacing w:line="240" w:lineRule="auto"/>
        <w:ind w:left="540" w:hanging="540"/>
        <w:rPr>
          <w:rFonts w:ascii="Arial" w:hAnsi="Arial" w:cs="Arial"/>
          <w:b/>
          <w:sz w:val="24"/>
          <w:szCs w:val="24"/>
          <w:lang w:eastAsia="en-GB"/>
        </w:rPr>
      </w:pPr>
    </w:p>
    <w:p w:rsidR="00E56440" w:rsidRPr="00761F30" w:rsidRDefault="00E56440" w:rsidP="00D21617">
      <w:pPr>
        <w:pStyle w:val="ListParagraph"/>
        <w:spacing w:line="240" w:lineRule="auto"/>
        <w:ind w:left="540" w:hanging="540"/>
        <w:rPr>
          <w:rFonts w:ascii="Arial" w:hAnsi="Arial" w:cs="Arial"/>
          <w:sz w:val="24"/>
          <w:szCs w:val="24"/>
          <w:lang w:eastAsia="en-GB"/>
        </w:rPr>
      </w:pPr>
      <w:r w:rsidRPr="00761F30">
        <w:rPr>
          <w:rFonts w:ascii="Arial" w:hAnsi="Arial" w:cs="Arial"/>
          <w:sz w:val="24"/>
          <w:szCs w:val="24"/>
          <w:lang w:eastAsia="en-GB"/>
        </w:rPr>
        <w:tab/>
        <w:t xml:space="preserve">Board members are asked to note the update for the current reporting period.    </w:t>
      </w:r>
    </w:p>
    <w:p w:rsidR="00E56440" w:rsidRPr="00761F30" w:rsidRDefault="00E56440" w:rsidP="00D21617">
      <w:pPr>
        <w:pStyle w:val="ListParagraph"/>
        <w:spacing w:line="240" w:lineRule="auto"/>
        <w:ind w:left="540" w:hanging="540"/>
        <w:rPr>
          <w:rFonts w:ascii="Arial" w:hAnsi="Arial" w:cs="Arial"/>
          <w:b/>
        </w:rPr>
      </w:pPr>
      <w:r w:rsidRPr="00761F30">
        <w:rPr>
          <w:rFonts w:ascii="Arial" w:hAnsi="Arial" w:cs="Arial"/>
          <w:b/>
        </w:rPr>
        <w:t xml:space="preserve"> </w:t>
      </w:r>
    </w:p>
    <w:p w:rsidR="00E56440" w:rsidRPr="00761F30" w:rsidRDefault="00D21617" w:rsidP="00D21617">
      <w:pPr>
        <w:ind w:right="-508"/>
        <w:rPr>
          <w:rFonts w:ascii="Arial" w:hAnsi="Arial" w:cs="Arial"/>
          <w:b/>
          <w:bCs/>
        </w:rPr>
      </w:pPr>
      <w:r>
        <w:rPr>
          <w:rFonts w:ascii="Arial" w:hAnsi="Arial" w:cs="Arial"/>
          <w:b/>
          <w:bCs/>
        </w:rPr>
        <w:t>June Rogers</w:t>
      </w:r>
    </w:p>
    <w:p w:rsidR="00E56440" w:rsidRPr="00761F30" w:rsidRDefault="00D21617" w:rsidP="00D21617">
      <w:pPr>
        <w:ind w:right="-508"/>
        <w:rPr>
          <w:rFonts w:ascii="Arial" w:hAnsi="Arial" w:cs="Arial"/>
          <w:b/>
          <w:bCs/>
        </w:rPr>
      </w:pPr>
      <w:r>
        <w:rPr>
          <w:rFonts w:ascii="Arial" w:hAnsi="Arial" w:cs="Arial"/>
          <w:b/>
          <w:bCs/>
        </w:rPr>
        <w:t xml:space="preserve">Interim </w:t>
      </w:r>
      <w:r w:rsidR="00E56440" w:rsidRPr="00761F30">
        <w:rPr>
          <w:rFonts w:ascii="Arial" w:hAnsi="Arial" w:cs="Arial"/>
          <w:b/>
          <w:bCs/>
        </w:rPr>
        <w:t>Chief Executive</w:t>
      </w:r>
    </w:p>
    <w:p w:rsidR="00E56440" w:rsidRPr="00761F30" w:rsidRDefault="00F527C4" w:rsidP="00D21617">
      <w:pPr>
        <w:ind w:right="-508"/>
        <w:rPr>
          <w:rFonts w:ascii="Arial" w:hAnsi="Arial" w:cs="Arial"/>
          <w:b/>
          <w:bCs/>
        </w:rPr>
      </w:pPr>
      <w:r>
        <w:rPr>
          <w:rFonts w:ascii="Arial" w:hAnsi="Arial" w:cs="Arial"/>
          <w:b/>
        </w:rPr>
        <w:t>Nove</w:t>
      </w:r>
      <w:r w:rsidR="00D21617">
        <w:rPr>
          <w:rFonts w:ascii="Arial" w:hAnsi="Arial" w:cs="Arial"/>
          <w:b/>
        </w:rPr>
        <w:t>m</w:t>
      </w:r>
      <w:r>
        <w:rPr>
          <w:rFonts w:ascii="Arial" w:hAnsi="Arial" w:cs="Arial"/>
          <w:b/>
        </w:rPr>
        <w:t>ber</w:t>
      </w:r>
      <w:r w:rsidR="009B0F38" w:rsidRPr="00761F30">
        <w:rPr>
          <w:rFonts w:ascii="Arial" w:hAnsi="Arial" w:cs="Arial"/>
          <w:b/>
        </w:rPr>
        <w:t xml:space="preserve"> 2018</w:t>
      </w:r>
    </w:p>
    <w:p w:rsidR="00E56440" w:rsidRPr="00761F30" w:rsidRDefault="00E56440" w:rsidP="00D21617">
      <w:pPr>
        <w:ind w:right="-508"/>
        <w:rPr>
          <w:rFonts w:ascii="Arial" w:hAnsi="Arial" w:cs="Arial"/>
          <w:b/>
          <w:bCs/>
        </w:rPr>
      </w:pPr>
    </w:p>
    <w:p w:rsidR="00E56440" w:rsidRPr="00723D08" w:rsidRDefault="00E56440" w:rsidP="00D21617">
      <w:pPr>
        <w:ind w:right="-508"/>
        <w:rPr>
          <w:rFonts w:ascii="Arial" w:hAnsi="Arial" w:cs="Arial"/>
          <w:b/>
          <w:highlight w:val="yellow"/>
        </w:rPr>
      </w:pPr>
      <w:r w:rsidRPr="00761F30">
        <w:rPr>
          <w:rFonts w:ascii="Arial" w:hAnsi="Arial" w:cs="Arial"/>
          <w:b/>
          <w:bCs/>
        </w:rPr>
        <w:t>(Carole Anderson, Head of Strategy and Performance)</w:t>
      </w:r>
    </w:p>
    <w:p w:rsidR="00E56440" w:rsidRPr="00723D08" w:rsidRDefault="00E56440" w:rsidP="00D21617">
      <w:pPr>
        <w:pStyle w:val="ListParagraph"/>
        <w:ind w:left="0"/>
        <w:rPr>
          <w:rFonts w:ascii="Arial" w:hAnsi="Arial" w:cs="Arial"/>
          <w:b/>
          <w:sz w:val="24"/>
          <w:szCs w:val="24"/>
          <w:highlight w:val="yellow"/>
        </w:rPr>
        <w:sectPr w:rsidR="00E56440" w:rsidRPr="00723D08" w:rsidSect="00956539">
          <w:headerReference w:type="default" r:id="rId9"/>
          <w:footerReference w:type="even" r:id="rId10"/>
          <w:footerReference w:type="default" r:id="rId11"/>
          <w:headerReference w:type="first" r:id="rId12"/>
          <w:footerReference w:type="first" r:id="rId13"/>
          <w:pgSz w:w="11906" w:h="16838"/>
          <w:pgMar w:top="1418" w:right="1202" w:bottom="1440" w:left="1202" w:header="709" w:footer="709" w:gutter="0"/>
          <w:cols w:space="708"/>
          <w:titlePg/>
          <w:docGrid w:linePitch="360"/>
        </w:sectPr>
      </w:pPr>
    </w:p>
    <w:p w:rsidR="00F66A4B" w:rsidRPr="00723D08" w:rsidRDefault="00F66A4B" w:rsidP="00D21617">
      <w:pPr>
        <w:pStyle w:val="ListParagraph"/>
        <w:ind w:left="0"/>
        <w:rPr>
          <w:rFonts w:ascii="Arial" w:hAnsi="Arial" w:cs="Arial"/>
          <w:b/>
          <w:sz w:val="24"/>
          <w:szCs w:val="24"/>
          <w:highlight w:val="yellow"/>
          <w:lang w:eastAsia="en-GB"/>
        </w:rPr>
      </w:pPr>
    </w:p>
    <w:p w:rsidR="00987186" w:rsidRPr="00092EA9" w:rsidRDefault="00FE482C" w:rsidP="00D21617">
      <w:pPr>
        <w:pStyle w:val="ListParagraph"/>
        <w:ind w:left="0"/>
        <w:rPr>
          <w:rFonts w:ascii="Arial" w:hAnsi="Arial" w:cs="Arial"/>
          <w:b/>
          <w:sz w:val="24"/>
          <w:szCs w:val="24"/>
          <w:lang w:eastAsia="en-GB"/>
        </w:rPr>
      </w:pPr>
      <w:r w:rsidRPr="00FE482C">
        <w:rPr>
          <w:rFonts w:ascii="Arial" w:hAnsi="Arial" w:cs="Arial"/>
          <w:b/>
          <w:bCs/>
          <w:noProof/>
          <w:sz w:val="24"/>
          <w:szCs w:val="24"/>
          <w:lang w:eastAsia="en-GB"/>
        </w:rPr>
        <w:pict>
          <v:shapetype id="_x0000_t202" coordsize="21600,21600" o:spt="202" path="m,l,21600r21600,l21600,xe">
            <v:stroke joinstyle="miter"/>
            <v:path gradientshapeok="t" o:connecttype="rect"/>
          </v:shapetype>
          <v:shape id="_x0000_s1026" type="#_x0000_t202" style="position:absolute;margin-left:567pt;margin-top:-27pt;width:135pt;height:54pt;z-index:251657728" filled="f" stroked="f">
            <v:textbox style="mso-next-textbox:#_x0000_s1026">
              <w:txbxContent>
                <w:p w:rsidR="0014682D" w:rsidRPr="0021095A" w:rsidRDefault="0014682D" w:rsidP="00987186">
                  <w:pPr>
                    <w:rPr>
                      <w:rFonts w:ascii="Arial" w:hAnsi="Arial" w:cs="Arial"/>
                      <w:sz w:val="18"/>
                      <w:szCs w:val="18"/>
                      <w:lang w:eastAsia="en-GB"/>
                    </w:rPr>
                  </w:pPr>
                  <w:r w:rsidRPr="0021095A">
                    <w:rPr>
                      <w:rFonts w:ascii="Arial" w:hAnsi="Arial" w:cs="Arial"/>
                      <w:sz w:val="18"/>
                      <w:szCs w:val="18"/>
                    </w:rPr>
                    <w:t xml:space="preserve">Improved performance    </w:t>
                  </w:r>
                  <w:r w:rsidRPr="0021095A">
                    <w:rPr>
                      <w:rFonts w:ascii="Arial" w:hAnsi="Arial" w:cs="Arial"/>
                      <w:sz w:val="18"/>
                      <w:szCs w:val="18"/>
                      <w:lang w:eastAsia="en-GB"/>
                    </w:rPr>
                    <w:sym w:font="Wingdings" w:char="F0F1"/>
                  </w:r>
                </w:p>
                <w:p w:rsidR="0014682D" w:rsidRPr="0021095A" w:rsidRDefault="0014682D" w:rsidP="00987186">
                  <w:pPr>
                    <w:rPr>
                      <w:rFonts w:ascii="Arial" w:hAnsi="Arial" w:cs="Arial"/>
                      <w:sz w:val="18"/>
                      <w:szCs w:val="18"/>
                      <w:lang w:eastAsia="en-GB"/>
                    </w:rPr>
                  </w:pPr>
                  <w:r>
                    <w:rPr>
                      <w:rFonts w:ascii="Arial" w:hAnsi="Arial" w:cs="Arial"/>
                      <w:sz w:val="18"/>
                      <w:szCs w:val="18"/>
                    </w:rPr>
                    <w:t xml:space="preserve">Same performance          </w:t>
                  </w:r>
                  <w:r w:rsidRPr="0021095A">
                    <w:rPr>
                      <w:rFonts w:ascii="Arial" w:hAnsi="Arial" w:cs="Arial"/>
                      <w:sz w:val="18"/>
                      <w:szCs w:val="18"/>
                      <w:lang w:eastAsia="en-GB"/>
                    </w:rPr>
                    <w:sym w:font="Wingdings" w:char="F0F3"/>
                  </w:r>
                </w:p>
                <w:p w:rsidR="0014682D" w:rsidRPr="0021095A" w:rsidRDefault="0014682D" w:rsidP="00987186">
                  <w:pPr>
                    <w:rPr>
                      <w:rFonts w:ascii="Arial" w:hAnsi="Arial" w:cs="Arial"/>
                      <w:sz w:val="18"/>
                      <w:szCs w:val="18"/>
                    </w:rPr>
                  </w:pPr>
                  <w:r w:rsidRPr="0021095A">
                    <w:rPr>
                      <w:rFonts w:ascii="Arial" w:hAnsi="Arial" w:cs="Arial"/>
                      <w:sz w:val="18"/>
                      <w:szCs w:val="18"/>
                    </w:rPr>
                    <w:t xml:space="preserve">Worse performance         </w:t>
                  </w:r>
                  <w:r w:rsidRPr="0021095A">
                    <w:rPr>
                      <w:rFonts w:ascii="Arial" w:hAnsi="Arial" w:cs="Arial"/>
                      <w:sz w:val="18"/>
                      <w:szCs w:val="18"/>
                      <w:lang w:eastAsia="en-GB"/>
                    </w:rPr>
                    <w:sym w:font="Wingdings" w:char="F0F2"/>
                  </w:r>
                </w:p>
                <w:p w:rsidR="0014682D" w:rsidRDefault="0014682D" w:rsidP="00987186">
                  <w:pPr>
                    <w:rPr>
                      <w:rFonts w:ascii="Arial" w:hAnsi="Arial" w:cs="Arial"/>
                      <w:lang w:eastAsia="en-GB"/>
                    </w:rPr>
                  </w:pPr>
                </w:p>
                <w:p w:rsidR="0014682D" w:rsidRDefault="0014682D" w:rsidP="00987186"/>
                <w:p w:rsidR="0014682D" w:rsidRPr="0035016C" w:rsidRDefault="0014682D" w:rsidP="00987186"/>
              </w:txbxContent>
            </v:textbox>
          </v:shape>
        </w:pict>
      </w:r>
      <w:r w:rsidR="00987186" w:rsidRPr="00092EA9">
        <w:rPr>
          <w:rFonts w:ascii="Arial" w:hAnsi="Arial" w:cs="Arial"/>
          <w:b/>
          <w:sz w:val="24"/>
          <w:szCs w:val="24"/>
          <w:lang w:eastAsia="en-GB"/>
        </w:rPr>
        <w:t>Board Exception Report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51"/>
        <w:gridCol w:w="16"/>
        <w:gridCol w:w="170"/>
        <w:gridCol w:w="11"/>
        <w:gridCol w:w="848"/>
        <w:gridCol w:w="743"/>
        <w:gridCol w:w="1216"/>
        <w:gridCol w:w="556"/>
        <w:gridCol w:w="1743"/>
        <w:gridCol w:w="28"/>
        <w:gridCol w:w="255"/>
        <w:gridCol w:w="992"/>
        <w:gridCol w:w="142"/>
        <w:gridCol w:w="142"/>
        <w:gridCol w:w="241"/>
        <w:gridCol w:w="468"/>
        <w:gridCol w:w="425"/>
        <w:gridCol w:w="147"/>
        <w:gridCol w:w="417"/>
        <w:gridCol w:w="315"/>
        <w:gridCol w:w="394"/>
        <w:gridCol w:w="153"/>
        <w:gridCol w:w="1225"/>
        <w:gridCol w:w="193"/>
        <w:gridCol w:w="26"/>
        <w:gridCol w:w="247"/>
        <w:gridCol w:w="1310"/>
      </w:tblGrid>
      <w:tr w:rsidR="00987186" w:rsidRPr="00723D08" w:rsidTr="00D21617">
        <w:tc>
          <w:tcPr>
            <w:tcW w:w="5000" w:type="pct"/>
            <w:gridSpan w:val="27"/>
          </w:tcPr>
          <w:p w:rsidR="00987186" w:rsidRPr="00723D08" w:rsidRDefault="00987186" w:rsidP="00D21617">
            <w:pPr>
              <w:rPr>
                <w:rFonts w:ascii="Arial" w:hAnsi="Arial" w:cs="Arial"/>
                <w:b/>
                <w:bCs/>
                <w:highlight w:val="yellow"/>
                <w:lang w:eastAsia="en-GB"/>
              </w:rPr>
            </w:pPr>
            <w:r w:rsidRPr="00092EA9">
              <w:rPr>
                <w:rFonts w:ascii="Arial" w:hAnsi="Arial" w:cs="Arial"/>
                <w:b/>
                <w:bCs/>
                <w:lang w:eastAsia="en-GB"/>
              </w:rPr>
              <w:t xml:space="preserve">Effective                                                                                                                    Board Performance update – </w:t>
            </w:r>
            <w:r w:rsidR="00092EA9" w:rsidRPr="00092EA9">
              <w:rPr>
                <w:rFonts w:ascii="Arial" w:hAnsi="Arial" w:cs="Arial"/>
                <w:b/>
                <w:bCs/>
                <w:lang w:eastAsia="en-GB"/>
              </w:rPr>
              <w:t>November</w:t>
            </w:r>
            <w:r w:rsidRPr="00092EA9">
              <w:rPr>
                <w:rFonts w:ascii="Arial" w:hAnsi="Arial" w:cs="Arial"/>
                <w:b/>
                <w:bCs/>
                <w:lang w:eastAsia="en-GB"/>
              </w:rPr>
              <w:t xml:space="preserve"> 201</w:t>
            </w:r>
            <w:r w:rsidR="009E2D6A" w:rsidRPr="00092EA9">
              <w:rPr>
                <w:rFonts w:ascii="Arial" w:hAnsi="Arial" w:cs="Arial"/>
                <w:b/>
                <w:bCs/>
                <w:lang w:eastAsia="en-GB"/>
              </w:rPr>
              <w:t>8</w:t>
            </w:r>
          </w:p>
        </w:tc>
      </w:tr>
      <w:tr w:rsidR="00092EA9"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blHeader/>
        </w:trPr>
        <w:tc>
          <w:tcPr>
            <w:tcW w:w="618"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092EA9" w:rsidRPr="00092EA9" w:rsidRDefault="00092EA9" w:rsidP="00D21617">
            <w:pPr>
              <w:widowControl w:val="0"/>
              <w:autoSpaceDE w:val="0"/>
              <w:autoSpaceDN w:val="0"/>
              <w:adjustRightInd w:val="0"/>
              <w:rPr>
                <w:rFonts w:ascii="Arial" w:hAnsi="Arial" w:cs="Arial"/>
                <w:color w:val="000000"/>
                <w:lang w:eastAsia="en-GB"/>
              </w:rPr>
            </w:pPr>
            <w:r w:rsidRPr="00092EA9">
              <w:rPr>
                <w:rFonts w:ascii="Arial" w:hAnsi="Arial" w:cs="Arial"/>
                <w:color w:val="000000"/>
                <w:lang w:eastAsia="en-GB"/>
              </w:rPr>
              <w:t>KPI</w:t>
            </w:r>
          </w:p>
        </w:tc>
        <w:tc>
          <w:tcPr>
            <w:tcW w:w="1060" w:type="pct"/>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092EA9" w:rsidRPr="00092EA9" w:rsidRDefault="00092EA9" w:rsidP="00D21617">
            <w:pPr>
              <w:widowControl w:val="0"/>
              <w:autoSpaceDE w:val="0"/>
              <w:autoSpaceDN w:val="0"/>
              <w:adjustRightInd w:val="0"/>
              <w:rPr>
                <w:rFonts w:ascii="Arial" w:hAnsi="Arial" w:cs="Arial"/>
                <w:color w:val="000000"/>
                <w:lang w:eastAsia="en-GB"/>
              </w:rPr>
            </w:pPr>
            <w:r w:rsidRPr="00092EA9">
              <w:rPr>
                <w:rFonts w:ascii="Arial" w:hAnsi="Arial" w:cs="Arial"/>
                <w:color w:val="000000"/>
                <w:lang w:eastAsia="en-GB"/>
              </w:rPr>
              <w:t>Details</w:t>
            </w:r>
          </w:p>
        </w:tc>
        <w:tc>
          <w:tcPr>
            <w:tcW w:w="911" w:type="pct"/>
            <w:gridSpan w:val="4"/>
            <w:tcBorders>
              <w:top w:val="single" w:sz="4" w:space="0" w:color="000000"/>
              <w:left w:val="single" w:sz="4" w:space="0" w:color="000000"/>
              <w:bottom w:val="single" w:sz="4" w:space="0" w:color="000000"/>
              <w:right w:val="single" w:sz="4" w:space="0" w:color="auto"/>
            </w:tcBorders>
            <w:shd w:val="clear" w:color="auto" w:fill="D9D9D9"/>
            <w:vAlign w:val="center"/>
          </w:tcPr>
          <w:p w:rsidR="00092EA9" w:rsidRPr="00092EA9" w:rsidRDefault="00092EA9" w:rsidP="00D21617">
            <w:pPr>
              <w:rPr>
                <w:rFonts w:ascii="Arial" w:hAnsi="Arial" w:cs="Arial"/>
              </w:rPr>
            </w:pPr>
            <w:r w:rsidRPr="00092EA9">
              <w:rPr>
                <w:rFonts w:ascii="Arial" w:hAnsi="Arial" w:cs="Arial"/>
              </w:rPr>
              <w:t>Tolerance</w:t>
            </w:r>
          </w:p>
        </w:tc>
        <w:tc>
          <w:tcPr>
            <w:tcW w:w="450" w:type="pct"/>
            <w:gridSpan w:val="3"/>
            <w:tcBorders>
              <w:top w:val="single" w:sz="4" w:space="0" w:color="auto"/>
              <w:left w:val="single" w:sz="4" w:space="0" w:color="auto"/>
              <w:bottom w:val="single" w:sz="4" w:space="0" w:color="auto"/>
              <w:right w:val="single" w:sz="4" w:space="0" w:color="auto"/>
            </w:tcBorders>
            <w:shd w:val="clear" w:color="auto" w:fill="D9D9D9"/>
          </w:tcPr>
          <w:p w:rsidR="00092EA9" w:rsidRPr="00092EA9" w:rsidRDefault="00092EA9" w:rsidP="00D21617">
            <w:pPr>
              <w:widowControl w:val="0"/>
              <w:autoSpaceDE w:val="0"/>
              <w:autoSpaceDN w:val="0"/>
              <w:adjustRightInd w:val="0"/>
              <w:rPr>
                <w:rFonts w:ascii="Arial" w:hAnsi="Arial" w:cs="Arial"/>
                <w:color w:val="000000"/>
                <w:lang w:eastAsia="en-GB"/>
              </w:rPr>
            </w:pPr>
            <w:r w:rsidRPr="00092EA9">
              <w:rPr>
                <w:rFonts w:ascii="Arial" w:hAnsi="Arial" w:cs="Arial"/>
                <w:color w:val="000000"/>
                <w:lang w:eastAsia="en-GB"/>
              </w:rPr>
              <w:t>Jul 2018</w:t>
            </w:r>
          </w:p>
        </w:tc>
        <w:tc>
          <w:tcPr>
            <w:tcW w:w="452" w:type="pct"/>
            <w:gridSpan w:val="4"/>
            <w:tcBorders>
              <w:top w:val="single" w:sz="4" w:space="0" w:color="auto"/>
              <w:left w:val="single" w:sz="4" w:space="0" w:color="auto"/>
              <w:bottom w:val="single" w:sz="4" w:space="0" w:color="auto"/>
              <w:right w:val="single" w:sz="4" w:space="0" w:color="auto"/>
            </w:tcBorders>
            <w:shd w:val="clear" w:color="auto" w:fill="D9D9D9"/>
          </w:tcPr>
          <w:p w:rsidR="00092EA9" w:rsidRPr="00092EA9" w:rsidRDefault="00092EA9" w:rsidP="00D21617">
            <w:pPr>
              <w:widowControl w:val="0"/>
              <w:autoSpaceDE w:val="0"/>
              <w:autoSpaceDN w:val="0"/>
              <w:adjustRightInd w:val="0"/>
              <w:rPr>
                <w:rFonts w:ascii="Arial" w:hAnsi="Arial" w:cs="Arial"/>
                <w:color w:val="000000"/>
                <w:lang w:eastAsia="en-GB"/>
              </w:rPr>
            </w:pPr>
            <w:r w:rsidRPr="00092EA9">
              <w:rPr>
                <w:rFonts w:ascii="Arial" w:hAnsi="Arial" w:cs="Arial"/>
                <w:color w:val="000000"/>
                <w:lang w:eastAsia="en-GB"/>
              </w:rPr>
              <w:t>Aug 2018</w:t>
            </w:r>
          </w:p>
        </w:tc>
        <w:tc>
          <w:tcPr>
            <w:tcW w:w="451" w:type="pct"/>
            <w:gridSpan w:val="4"/>
            <w:tcBorders>
              <w:top w:val="single" w:sz="4" w:space="0" w:color="auto"/>
              <w:left w:val="single" w:sz="4" w:space="0" w:color="auto"/>
              <w:bottom w:val="single" w:sz="4" w:space="0" w:color="auto"/>
              <w:right w:val="single" w:sz="4" w:space="0" w:color="auto"/>
            </w:tcBorders>
            <w:shd w:val="clear" w:color="auto" w:fill="D9D9D9"/>
          </w:tcPr>
          <w:p w:rsidR="00092EA9" w:rsidRPr="00092EA9" w:rsidRDefault="00092EA9" w:rsidP="00D21617">
            <w:pPr>
              <w:widowControl w:val="0"/>
              <w:autoSpaceDE w:val="0"/>
              <w:autoSpaceDN w:val="0"/>
              <w:adjustRightInd w:val="0"/>
              <w:rPr>
                <w:rFonts w:ascii="Arial" w:hAnsi="Arial" w:cs="Arial"/>
                <w:color w:val="000000"/>
                <w:lang w:eastAsia="en-GB"/>
              </w:rPr>
            </w:pPr>
            <w:r w:rsidRPr="00092EA9">
              <w:rPr>
                <w:rFonts w:ascii="Arial" w:hAnsi="Arial" w:cs="Arial"/>
                <w:color w:val="000000"/>
                <w:lang w:eastAsia="en-GB"/>
              </w:rPr>
              <w:t>Sep 2018</w:t>
            </w:r>
          </w:p>
        </w:tc>
        <w:tc>
          <w:tcPr>
            <w:tcW w:w="509" w:type="pct"/>
            <w:gridSpan w:val="3"/>
            <w:tcBorders>
              <w:top w:val="single" w:sz="4" w:space="0" w:color="000000"/>
              <w:left w:val="single" w:sz="4" w:space="0" w:color="auto"/>
              <w:bottom w:val="single" w:sz="4" w:space="0" w:color="000000"/>
              <w:right w:val="single" w:sz="4" w:space="0" w:color="000000"/>
            </w:tcBorders>
            <w:shd w:val="clear" w:color="auto" w:fill="D9D9D9"/>
            <w:vAlign w:val="center"/>
          </w:tcPr>
          <w:p w:rsidR="00092EA9" w:rsidRPr="00092EA9" w:rsidRDefault="00092EA9" w:rsidP="00D21617">
            <w:pPr>
              <w:widowControl w:val="0"/>
              <w:autoSpaceDE w:val="0"/>
              <w:autoSpaceDN w:val="0"/>
              <w:adjustRightInd w:val="0"/>
              <w:rPr>
                <w:rFonts w:ascii="Arial" w:hAnsi="Arial" w:cs="Arial"/>
                <w:color w:val="000000"/>
                <w:lang w:eastAsia="en-GB"/>
              </w:rPr>
            </w:pPr>
            <w:r w:rsidRPr="00092EA9">
              <w:rPr>
                <w:rFonts w:ascii="Arial" w:hAnsi="Arial" w:cs="Arial"/>
                <w:color w:val="000000"/>
                <w:lang w:eastAsia="en-GB"/>
              </w:rPr>
              <w:t>Target</w:t>
            </w:r>
          </w:p>
        </w:tc>
        <w:tc>
          <w:tcPr>
            <w:tcW w:w="5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092EA9" w:rsidRPr="00092EA9" w:rsidRDefault="00092EA9" w:rsidP="00D21617">
            <w:pPr>
              <w:widowControl w:val="0"/>
              <w:autoSpaceDE w:val="0"/>
              <w:autoSpaceDN w:val="0"/>
              <w:adjustRightInd w:val="0"/>
              <w:rPr>
                <w:rFonts w:ascii="Arial" w:hAnsi="Arial" w:cs="Arial"/>
                <w:lang w:eastAsia="en-GB"/>
              </w:rPr>
            </w:pPr>
            <w:r w:rsidRPr="00092EA9">
              <w:rPr>
                <w:rFonts w:ascii="Arial" w:hAnsi="Arial" w:cs="Arial"/>
                <w:lang w:eastAsia="en-GB"/>
              </w:rPr>
              <w:t>On Track</w:t>
            </w:r>
          </w:p>
        </w:tc>
      </w:tr>
      <w:tr w:rsidR="00092EA9"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18" w:type="pct"/>
            <w:tcBorders>
              <w:top w:val="single" w:sz="4" w:space="0" w:color="000000"/>
              <w:left w:val="single" w:sz="4" w:space="0" w:color="000000"/>
              <w:bottom w:val="single" w:sz="4" w:space="0" w:color="000000"/>
              <w:right w:val="single" w:sz="4" w:space="0" w:color="000000"/>
            </w:tcBorders>
          </w:tcPr>
          <w:p w:rsidR="00092EA9" w:rsidRPr="00092EA9" w:rsidRDefault="00092EA9" w:rsidP="00D21617">
            <w:pPr>
              <w:widowControl w:val="0"/>
              <w:autoSpaceDE w:val="0"/>
              <w:autoSpaceDN w:val="0"/>
              <w:adjustRightInd w:val="0"/>
              <w:rPr>
                <w:rFonts w:ascii="Arial" w:hAnsi="Arial" w:cs="Arial"/>
                <w:color w:val="000000"/>
                <w:lang w:eastAsia="en-GB"/>
              </w:rPr>
            </w:pPr>
            <w:r w:rsidRPr="00092EA9">
              <w:rPr>
                <w:rFonts w:ascii="Arial" w:hAnsi="Arial" w:cs="Arial"/>
                <w:color w:val="000000"/>
                <w:lang w:eastAsia="en-GB"/>
              </w:rPr>
              <w:t>Elective Acute Ward Bed Occupancy</w:t>
            </w:r>
          </w:p>
        </w:tc>
        <w:tc>
          <w:tcPr>
            <w:tcW w:w="1060" w:type="pct"/>
            <w:gridSpan w:val="6"/>
            <w:tcBorders>
              <w:top w:val="single" w:sz="4" w:space="0" w:color="000000"/>
              <w:left w:val="single" w:sz="4" w:space="0" w:color="000000"/>
              <w:bottom w:val="single" w:sz="4" w:space="0" w:color="000000"/>
              <w:right w:val="single" w:sz="4" w:space="0" w:color="000000"/>
            </w:tcBorders>
          </w:tcPr>
          <w:p w:rsidR="00092EA9" w:rsidRPr="00092EA9" w:rsidRDefault="00092EA9" w:rsidP="00D21617">
            <w:pPr>
              <w:widowControl w:val="0"/>
              <w:autoSpaceDE w:val="0"/>
              <w:autoSpaceDN w:val="0"/>
              <w:adjustRightInd w:val="0"/>
              <w:rPr>
                <w:rFonts w:ascii="Arial" w:hAnsi="Arial" w:cs="Arial"/>
                <w:color w:val="000000"/>
                <w:lang w:eastAsia="en-GB"/>
              </w:rPr>
            </w:pPr>
            <w:r w:rsidRPr="00092EA9">
              <w:rPr>
                <w:rFonts w:ascii="Arial" w:hAnsi="Arial" w:cs="Arial"/>
                <w:color w:val="000000"/>
                <w:lang w:eastAsia="en-GB"/>
              </w:rPr>
              <w:t>Combined occupancy position for NSD, 2 East, 2 West, 3 East, 3 West</w:t>
            </w:r>
          </w:p>
        </w:tc>
        <w:tc>
          <w:tcPr>
            <w:tcW w:w="911" w:type="pct"/>
            <w:gridSpan w:val="4"/>
            <w:tcBorders>
              <w:top w:val="single" w:sz="4" w:space="0" w:color="000000"/>
              <w:left w:val="single" w:sz="4" w:space="0" w:color="000000"/>
              <w:bottom w:val="single" w:sz="4" w:space="0" w:color="000000"/>
              <w:right w:val="single" w:sz="4" w:space="0" w:color="auto"/>
            </w:tcBorders>
          </w:tcPr>
          <w:p w:rsidR="00092EA9" w:rsidRPr="00092EA9" w:rsidRDefault="00092EA9" w:rsidP="00D21617">
            <w:pPr>
              <w:widowControl w:val="0"/>
              <w:autoSpaceDE w:val="0"/>
              <w:autoSpaceDN w:val="0"/>
              <w:adjustRightInd w:val="0"/>
              <w:ind w:left="-107" w:right="-108"/>
              <w:rPr>
                <w:rFonts w:ascii="Arial" w:hAnsi="Arial" w:cs="Arial"/>
              </w:rPr>
            </w:pPr>
            <w:r w:rsidRPr="00092EA9">
              <w:rPr>
                <w:rFonts w:ascii="Arial" w:hAnsi="Arial" w:cs="Arial"/>
              </w:rPr>
              <w:t xml:space="preserve">&gt;90.1% = Red    </w:t>
            </w:r>
          </w:p>
          <w:p w:rsidR="00092EA9" w:rsidRPr="00092EA9" w:rsidRDefault="00092EA9" w:rsidP="00D21617">
            <w:pPr>
              <w:widowControl w:val="0"/>
              <w:autoSpaceDE w:val="0"/>
              <w:autoSpaceDN w:val="0"/>
              <w:adjustRightInd w:val="0"/>
              <w:ind w:left="-107" w:right="-108"/>
              <w:rPr>
                <w:rFonts w:ascii="Arial" w:hAnsi="Arial" w:cs="Arial"/>
              </w:rPr>
            </w:pPr>
            <w:r w:rsidRPr="00092EA9">
              <w:rPr>
                <w:rFonts w:ascii="Arial" w:hAnsi="Arial" w:cs="Arial"/>
              </w:rPr>
              <w:t xml:space="preserve">86-90%= Green </w:t>
            </w:r>
          </w:p>
          <w:p w:rsidR="00092EA9" w:rsidRPr="00092EA9" w:rsidRDefault="00092EA9" w:rsidP="00D21617">
            <w:pPr>
              <w:widowControl w:val="0"/>
              <w:autoSpaceDE w:val="0"/>
              <w:autoSpaceDN w:val="0"/>
              <w:adjustRightInd w:val="0"/>
              <w:ind w:left="-107" w:right="-108"/>
              <w:rPr>
                <w:rFonts w:ascii="Arial" w:hAnsi="Arial" w:cs="Arial"/>
              </w:rPr>
            </w:pPr>
            <w:r w:rsidRPr="00092EA9">
              <w:rPr>
                <w:rFonts w:ascii="Arial" w:hAnsi="Arial" w:cs="Arial"/>
              </w:rPr>
              <w:t xml:space="preserve">78-85.9% = Amber </w:t>
            </w:r>
          </w:p>
          <w:p w:rsidR="00092EA9" w:rsidRPr="00092EA9" w:rsidRDefault="00092EA9" w:rsidP="00D21617">
            <w:pPr>
              <w:widowControl w:val="0"/>
              <w:autoSpaceDE w:val="0"/>
              <w:autoSpaceDN w:val="0"/>
              <w:adjustRightInd w:val="0"/>
              <w:ind w:left="-107" w:right="-108"/>
              <w:rPr>
                <w:rFonts w:ascii="Arial" w:hAnsi="Arial" w:cs="Arial"/>
              </w:rPr>
            </w:pPr>
            <w:r w:rsidRPr="00092EA9">
              <w:rPr>
                <w:rFonts w:ascii="Arial" w:hAnsi="Arial" w:cs="Arial"/>
              </w:rPr>
              <w:t>&lt;77.9% = Blue</w:t>
            </w:r>
          </w:p>
        </w:tc>
        <w:tc>
          <w:tcPr>
            <w:tcW w:w="4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92EA9" w:rsidRPr="00092EA9" w:rsidRDefault="00092EA9" w:rsidP="00D21617">
            <w:pPr>
              <w:widowControl w:val="0"/>
              <w:autoSpaceDE w:val="0"/>
              <w:autoSpaceDN w:val="0"/>
              <w:adjustRightInd w:val="0"/>
              <w:rPr>
                <w:rFonts w:ascii="Arial" w:hAnsi="Arial" w:cs="Arial"/>
                <w:color w:val="000000"/>
                <w:lang w:eastAsia="en-GB"/>
              </w:rPr>
            </w:pPr>
            <w:r w:rsidRPr="00092EA9">
              <w:rPr>
                <w:rFonts w:ascii="Arial" w:hAnsi="Arial" w:cs="Arial"/>
                <w:color w:val="000000"/>
                <w:lang w:eastAsia="en-GB"/>
              </w:rPr>
              <w:t>82.5%</w:t>
            </w:r>
          </w:p>
        </w:tc>
        <w:tc>
          <w:tcPr>
            <w:tcW w:w="4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92EA9" w:rsidRPr="00092EA9" w:rsidRDefault="00092EA9" w:rsidP="00D21617">
            <w:pPr>
              <w:widowControl w:val="0"/>
              <w:autoSpaceDE w:val="0"/>
              <w:autoSpaceDN w:val="0"/>
              <w:adjustRightInd w:val="0"/>
              <w:rPr>
                <w:rFonts w:ascii="Arial" w:hAnsi="Arial" w:cs="Arial"/>
                <w:color w:val="000000"/>
                <w:lang w:eastAsia="en-GB"/>
              </w:rPr>
            </w:pPr>
            <w:r w:rsidRPr="00092EA9">
              <w:rPr>
                <w:rFonts w:ascii="Arial" w:hAnsi="Arial" w:cs="Arial"/>
                <w:color w:val="000000"/>
                <w:lang w:eastAsia="en-GB"/>
              </w:rPr>
              <w:t>83.5%</w:t>
            </w:r>
          </w:p>
        </w:tc>
        <w:tc>
          <w:tcPr>
            <w:tcW w:w="45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92EA9" w:rsidRPr="00092EA9" w:rsidRDefault="00092EA9" w:rsidP="00D21617">
            <w:pPr>
              <w:widowControl w:val="0"/>
              <w:autoSpaceDE w:val="0"/>
              <w:autoSpaceDN w:val="0"/>
              <w:adjustRightInd w:val="0"/>
              <w:rPr>
                <w:rFonts w:ascii="Arial" w:hAnsi="Arial" w:cs="Arial"/>
                <w:color w:val="000000"/>
                <w:lang w:eastAsia="en-GB"/>
              </w:rPr>
            </w:pPr>
            <w:r w:rsidRPr="00092EA9">
              <w:rPr>
                <w:rFonts w:ascii="Arial" w:hAnsi="Arial" w:cs="Arial"/>
                <w:color w:val="000000"/>
                <w:lang w:eastAsia="en-GB"/>
              </w:rPr>
              <w:t>76.6%</w:t>
            </w:r>
          </w:p>
        </w:tc>
        <w:tc>
          <w:tcPr>
            <w:tcW w:w="509" w:type="pct"/>
            <w:gridSpan w:val="3"/>
            <w:tcBorders>
              <w:top w:val="single" w:sz="4" w:space="0" w:color="000000"/>
              <w:left w:val="single" w:sz="4" w:space="0" w:color="auto"/>
              <w:bottom w:val="single" w:sz="4" w:space="0" w:color="000000"/>
              <w:right w:val="single" w:sz="4" w:space="0" w:color="000000"/>
            </w:tcBorders>
            <w:vAlign w:val="center"/>
          </w:tcPr>
          <w:p w:rsidR="00092EA9" w:rsidRPr="00092EA9" w:rsidRDefault="00092EA9" w:rsidP="00D21617">
            <w:pPr>
              <w:widowControl w:val="0"/>
              <w:autoSpaceDE w:val="0"/>
              <w:autoSpaceDN w:val="0"/>
              <w:adjustRightInd w:val="0"/>
              <w:ind w:left="-109" w:right="-108"/>
              <w:rPr>
                <w:rFonts w:ascii="Arial" w:hAnsi="Arial" w:cs="Arial"/>
                <w:color w:val="000000"/>
                <w:lang w:eastAsia="en-GB"/>
              </w:rPr>
            </w:pPr>
            <w:r w:rsidRPr="00092EA9">
              <w:rPr>
                <w:rFonts w:ascii="Arial" w:hAnsi="Arial" w:cs="Arial"/>
              </w:rPr>
              <w:t>86-90%</w:t>
            </w:r>
          </w:p>
        </w:tc>
        <w:tc>
          <w:tcPr>
            <w:tcW w:w="549" w:type="pct"/>
            <w:gridSpan w:val="2"/>
            <w:tcBorders>
              <w:top w:val="single" w:sz="4" w:space="0" w:color="000000"/>
              <w:left w:val="single" w:sz="4" w:space="0" w:color="000000"/>
              <w:bottom w:val="single" w:sz="4" w:space="0" w:color="000000"/>
              <w:right w:val="single" w:sz="4" w:space="0" w:color="000000"/>
            </w:tcBorders>
            <w:shd w:val="clear" w:color="auto" w:fill="C6D9F1"/>
            <w:vAlign w:val="center"/>
          </w:tcPr>
          <w:p w:rsidR="00092EA9" w:rsidRPr="00092EA9" w:rsidRDefault="00092EA9" w:rsidP="00D21617">
            <w:pPr>
              <w:widowControl w:val="0"/>
              <w:autoSpaceDE w:val="0"/>
              <w:autoSpaceDN w:val="0"/>
              <w:adjustRightInd w:val="0"/>
              <w:rPr>
                <w:rFonts w:ascii="Arial" w:hAnsi="Arial" w:cs="Arial"/>
                <w:color w:val="000000"/>
                <w:lang w:eastAsia="en-GB"/>
              </w:rPr>
            </w:pPr>
            <w:r>
              <w:rPr>
                <w:rFonts w:ascii="Arial" w:hAnsi="Arial" w:cs="Arial"/>
                <w:color w:val="000000"/>
                <w:lang w:eastAsia="en-GB"/>
              </w:rPr>
              <w:sym w:font="Wingdings" w:char="F0F2"/>
            </w:r>
          </w:p>
        </w:tc>
      </w:tr>
      <w:tr w:rsidR="00092EA9"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18" w:type="pct"/>
            <w:tcBorders>
              <w:top w:val="single" w:sz="4" w:space="0" w:color="000000"/>
              <w:left w:val="single" w:sz="4" w:space="0" w:color="000000"/>
              <w:bottom w:val="single" w:sz="4" w:space="0" w:color="000000"/>
              <w:right w:val="single" w:sz="4" w:space="0" w:color="000000"/>
            </w:tcBorders>
          </w:tcPr>
          <w:p w:rsidR="00092EA9" w:rsidRPr="00092EA9" w:rsidRDefault="00092EA9" w:rsidP="00D21617">
            <w:pPr>
              <w:widowControl w:val="0"/>
              <w:autoSpaceDE w:val="0"/>
              <w:autoSpaceDN w:val="0"/>
              <w:adjustRightInd w:val="0"/>
              <w:rPr>
                <w:rFonts w:ascii="Arial" w:hAnsi="Arial" w:cs="Arial"/>
                <w:color w:val="000000"/>
                <w:lang w:eastAsia="en-GB"/>
              </w:rPr>
            </w:pPr>
            <w:r w:rsidRPr="00092EA9">
              <w:rPr>
                <w:rFonts w:ascii="Arial" w:hAnsi="Arial" w:cs="Arial"/>
                <w:color w:val="000000"/>
                <w:lang w:eastAsia="en-GB"/>
              </w:rPr>
              <w:t>Interventional Cardiology Wards Bed Occupancy</w:t>
            </w:r>
          </w:p>
        </w:tc>
        <w:tc>
          <w:tcPr>
            <w:tcW w:w="1060" w:type="pct"/>
            <w:gridSpan w:val="6"/>
            <w:tcBorders>
              <w:top w:val="single" w:sz="4" w:space="0" w:color="000000"/>
              <w:left w:val="single" w:sz="4" w:space="0" w:color="000000"/>
              <w:bottom w:val="single" w:sz="4" w:space="0" w:color="000000"/>
              <w:right w:val="single" w:sz="4" w:space="0" w:color="000000"/>
            </w:tcBorders>
          </w:tcPr>
          <w:p w:rsidR="00092EA9" w:rsidRPr="00092EA9" w:rsidRDefault="00092EA9" w:rsidP="00D21617">
            <w:pPr>
              <w:rPr>
                <w:rFonts w:ascii="Arial" w:hAnsi="Arial" w:cs="Arial"/>
              </w:rPr>
            </w:pPr>
            <w:r w:rsidRPr="00092EA9">
              <w:rPr>
                <w:rFonts w:ascii="Arial" w:hAnsi="Arial" w:cs="Arial"/>
              </w:rPr>
              <w:t>Combined occupancy position for 2C, 2D and CCU</w:t>
            </w:r>
          </w:p>
        </w:tc>
        <w:tc>
          <w:tcPr>
            <w:tcW w:w="911" w:type="pct"/>
            <w:gridSpan w:val="4"/>
            <w:tcBorders>
              <w:top w:val="single" w:sz="4" w:space="0" w:color="000000"/>
              <w:left w:val="single" w:sz="4" w:space="0" w:color="000000"/>
              <w:bottom w:val="single" w:sz="4" w:space="0" w:color="000000"/>
              <w:right w:val="single" w:sz="4" w:space="0" w:color="auto"/>
            </w:tcBorders>
            <w:vAlign w:val="center"/>
          </w:tcPr>
          <w:p w:rsidR="00092EA9" w:rsidRPr="00092EA9" w:rsidRDefault="00092EA9" w:rsidP="00D21617">
            <w:pPr>
              <w:widowControl w:val="0"/>
              <w:autoSpaceDE w:val="0"/>
              <w:autoSpaceDN w:val="0"/>
              <w:adjustRightInd w:val="0"/>
              <w:ind w:left="-107" w:right="-108"/>
              <w:rPr>
                <w:rFonts w:ascii="Arial" w:hAnsi="Arial" w:cs="Arial"/>
              </w:rPr>
            </w:pPr>
            <w:r w:rsidRPr="00092EA9">
              <w:rPr>
                <w:rFonts w:ascii="Arial" w:hAnsi="Arial" w:cs="Arial"/>
              </w:rPr>
              <w:t>87.4%- 100% = R</w:t>
            </w:r>
          </w:p>
          <w:p w:rsidR="00092EA9" w:rsidRPr="00092EA9" w:rsidRDefault="00092EA9" w:rsidP="00D21617">
            <w:pPr>
              <w:widowControl w:val="0"/>
              <w:autoSpaceDE w:val="0"/>
              <w:autoSpaceDN w:val="0"/>
              <w:adjustRightInd w:val="0"/>
              <w:ind w:left="-107" w:right="-108"/>
              <w:rPr>
                <w:rFonts w:ascii="Arial" w:hAnsi="Arial" w:cs="Arial"/>
              </w:rPr>
            </w:pPr>
            <w:r w:rsidRPr="00092EA9">
              <w:rPr>
                <w:rFonts w:ascii="Arial" w:hAnsi="Arial" w:cs="Arial"/>
              </w:rPr>
              <w:t>81% -87.3% = G</w:t>
            </w:r>
          </w:p>
          <w:p w:rsidR="00092EA9" w:rsidRPr="00092EA9" w:rsidRDefault="00092EA9" w:rsidP="00D21617">
            <w:pPr>
              <w:widowControl w:val="0"/>
              <w:autoSpaceDE w:val="0"/>
              <w:autoSpaceDN w:val="0"/>
              <w:adjustRightInd w:val="0"/>
              <w:ind w:left="-107" w:right="-108"/>
              <w:rPr>
                <w:rFonts w:ascii="Arial" w:hAnsi="Arial" w:cs="Arial"/>
              </w:rPr>
            </w:pPr>
            <w:r w:rsidRPr="00092EA9">
              <w:rPr>
                <w:rFonts w:ascii="Arial" w:hAnsi="Arial" w:cs="Arial"/>
              </w:rPr>
              <w:t>77%-80.9%= A</w:t>
            </w:r>
          </w:p>
          <w:p w:rsidR="00092EA9" w:rsidRPr="00092EA9" w:rsidRDefault="00092EA9" w:rsidP="00D21617">
            <w:pPr>
              <w:widowControl w:val="0"/>
              <w:autoSpaceDE w:val="0"/>
              <w:autoSpaceDN w:val="0"/>
              <w:adjustRightInd w:val="0"/>
              <w:ind w:left="-107" w:right="-108"/>
              <w:rPr>
                <w:rFonts w:ascii="Arial" w:hAnsi="Arial" w:cs="Arial"/>
              </w:rPr>
            </w:pPr>
            <w:r w:rsidRPr="00092EA9">
              <w:rPr>
                <w:rFonts w:ascii="Arial" w:hAnsi="Arial" w:cs="Arial"/>
              </w:rPr>
              <w:t>&lt;76.9%  =  B</w:t>
            </w:r>
          </w:p>
        </w:tc>
        <w:tc>
          <w:tcPr>
            <w:tcW w:w="4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92EA9" w:rsidRPr="00092EA9" w:rsidRDefault="00092EA9" w:rsidP="00D21617">
            <w:pPr>
              <w:widowControl w:val="0"/>
              <w:autoSpaceDE w:val="0"/>
              <w:autoSpaceDN w:val="0"/>
              <w:adjustRightInd w:val="0"/>
              <w:rPr>
                <w:rFonts w:ascii="Arial" w:hAnsi="Arial" w:cs="Arial"/>
              </w:rPr>
            </w:pPr>
            <w:r w:rsidRPr="00092EA9">
              <w:rPr>
                <w:rFonts w:ascii="Arial" w:hAnsi="Arial" w:cs="Arial"/>
              </w:rPr>
              <w:t>80.3%</w:t>
            </w:r>
          </w:p>
        </w:tc>
        <w:tc>
          <w:tcPr>
            <w:tcW w:w="4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92EA9" w:rsidRPr="00092EA9" w:rsidRDefault="00092EA9" w:rsidP="00D21617">
            <w:pPr>
              <w:widowControl w:val="0"/>
              <w:autoSpaceDE w:val="0"/>
              <w:autoSpaceDN w:val="0"/>
              <w:adjustRightInd w:val="0"/>
              <w:rPr>
                <w:rFonts w:ascii="Arial" w:hAnsi="Arial" w:cs="Arial"/>
              </w:rPr>
            </w:pPr>
            <w:r w:rsidRPr="00092EA9">
              <w:rPr>
                <w:rFonts w:ascii="Arial" w:hAnsi="Arial" w:cs="Arial"/>
              </w:rPr>
              <w:t>81.7</w:t>
            </w:r>
          </w:p>
        </w:tc>
        <w:tc>
          <w:tcPr>
            <w:tcW w:w="45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92EA9" w:rsidRPr="00092EA9" w:rsidRDefault="00092EA9" w:rsidP="00D21617">
            <w:pPr>
              <w:widowControl w:val="0"/>
              <w:autoSpaceDE w:val="0"/>
              <w:autoSpaceDN w:val="0"/>
              <w:adjustRightInd w:val="0"/>
              <w:rPr>
                <w:rFonts w:ascii="Arial" w:hAnsi="Arial" w:cs="Arial"/>
              </w:rPr>
            </w:pPr>
            <w:r w:rsidRPr="00092EA9">
              <w:rPr>
                <w:rFonts w:ascii="Arial" w:hAnsi="Arial" w:cs="Arial"/>
              </w:rPr>
              <w:t>81.6%</w:t>
            </w:r>
          </w:p>
        </w:tc>
        <w:tc>
          <w:tcPr>
            <w:tcW w:w="509" w:type="pct"/>
            <w:gridSpan w:val="3"/>
            <w:tcBorders>
              <w:top w:val="single" w:sz="4" w:space="0" w:color="000000"/>
              <w:left w:val="single" w:sz="4" w:space="0" w:color="auto"/>
              <w:bottom w:val="single" w:sz="4" w:space="0" w:color="000000"/>
              <w:right w:val="single" w:sz="4" w:space="0" w:color="000000"/>
            </w:tcBorders>
            <w:vAlign w:val="center"/>
          </w:tcPr>
          <w:p w:rsidR="00092EA9" w:rsidRPr="00092EA9" w:rsidRDefault="00092EA9" w:rsidP="00D21617">
            <w:pPr>
              <w:widowControl w:val="0"/>
              <w:autoSpaceDE w:val="0"/>
              <w:autoSpaceDN w:val="0"/>
              <w:adjustRightInd w:val="0"/>
              <w:ind w:left="-107" w:right="-108"/>
              <w:rPr>
                <w:rFonts w:ascii="Arial" w:hAnsi="Arial" w:cs="Arial"/>
              </w:rPr>
            </w:pPr>
            <w:r w:rsidRPr="00092EA9">
              <w:rPr>
                <w:rFonts w:ascii="Arial" w:hAnsi="Arial" w:cs="Arial"/>
              </w:rPr>
              <w:t>81-87.3%</w:t>
            </w:r>
          </w:p>
        </w:tc>
        <w:tc>
          <w:tcPr>
            <w:tcW w:w="549" w:type="pct"/>
            <w:gridSpan w:val="2"/>
            <w:tcBorders>
              <w:top w:val="single" w:sz="4" w:space="0" w:color="000000"/>
              <w:left w:val="single" w:sz="4" w:space="0" w:color="000000"/>
              <w:bottom w:val="single" w:sz="4" w:space="0" w:color="000000"/>
              <w:right w:val="single" w:sz="4" w:space="0" w:color="000000"/>
            </w:tcBorders>
            <w:shd w:val="clear" w:color="auto" w:fill="00B050"/>
            <w:vAlign w:val="center"/>
          </w:tcPr>
          <w:p w:rsidR="00092EA9" w:rsidRPr="00092EA9" w:rsidRDefault="00092EA9" w:rsidP="00D21617">
            <w:pPr>
              <w:widowControl w:val="0"/>
              <w:autoSpaceDE w:val="0"/>
              <w:autoSpaceDN w:val="0"/>
              <w:adjustRightInd w:val="0"/>
              <w:rPr>
                <w:rFonts w:ascii="Arial" w:hAnsi="Arial" w:cs="Arial"/>
                <w:color w:val="000000"/>
                <w:lang w:eastAsia="en-GB"/>
              </w:rPr>
            </w:pPr>
            <w:r w:rsidRPr="00092EA9">
              <w:rPr>
                <w:rFonts w:ascii="Arial" w:hAnsi="Arial" w:cs="Arial"/>
                <w:color w:val="000000"/>
                <w:lang w:eastAsia="en-GB"/>
              </w:rPr>
              <w:sym w:font="Wingdings" w:char="F0F2"/>
            </w:r>
          </w:p>
        </w:tc>
      </w:tr>
      <w:tr w:rsidR="00092EA9"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18" w:type="pct"/>
            <w:tcBorders>
              <w:top w:val="single" w:sz="4" w:space="0" w:color="000000"/>
              <w:left w:val="single" w:sz="4" w:space="0" w:color="000000"/>
              <w:bottom w:val="single" w:sz="4" w:space="0" w:color="000000"/>
              <w:right w:val="single" w:sz="4" w:space="0" w:color="000000"/>
            </w:tcBorders>
          </w:tcPr>
          <w:p w:rsidR="00092EA9" w:rsidRPr="00092EA9" w:rsidRDefault="00092EA9" w:rsidP="00D21617">
            <w:pPr>
              <w:widowControl w:val="0"/>
              <w:autoSpaceDE w:val="0"/>
              <w:autoSpaceDN w:val="0"/>
              <w:adjustRightInd w:val="0"/>
              <w:rPr>
                <w:rFonts w:ascii="Arial" w:hAnsi="Arial" w:cs="Arial"/>
                <w:color w:val="000000"/>
                <w:lang w:eastAsia="en-GB"/>
              </w:rPr>
            </w:pPr>
            <w:r w:rsidRPr="00092EA9">
              <w:rPr>
                <w:rFonts w:ascii="Arial" w:hAnsi="Arial" w:cs="Arial"/>
                <w:color w:val="000000"/>
                <w:lang w:eastAsia="en-GB"/>
              </w:rPr>
              <w:t>Critical Care Wards Bed Occupancy</w:t>
            </w:r>
          </w:p>
        </w:tc>
        <w:tc>
          <w:tcPr>
            <w:tcW w:w="1060" w:type="pct"/>
            <w:gridSpan w:val="6"/>
            <w:tcBorders>
              <w:top w:val="single" w:sz="4" w:space="0" w:color="000000"/>
              <w:left w:val="single" w:sz="4" w:space="0" w:color="000000"/>
              <w:bottom w:val="single" w:sz="4" w:space="0" w:color="000000"/>
              <w:right w:val="single" w:sz="4" w:space="0" w:color="000000"/>
            </w:tcBorders>
          </w:tcPr>
          <w:p w:rsidR="00092EA9" w:rsidRPr="00092EA9" w:rsidRDefault="00092EA9" w:rsidP="00D21617">
            <w:pPr>
              <w:rPr>
                <w:rFonts w:ascii="Arial" w:hAnsi="Arial" w:cs="Arial"/>
              </w:rPr>
            </w:pPr>
            <w:r w:rsidRPr="00092EA9">
              <w:rPr>
                <w:rFonts w:ascii="Arial" w:hAnsi="Arial" w:cs="Arial"/>
              </w:rPr>
              <w:t>Combined occupancy position for ICU1, ICU2, HDU2, HDU3</w:t>
            </w:r>
          </w:p>
        </w:tc>
        <w:tc>
          <w:tcPr>
            <w:tcW w:w="911" w:type="pct"/>
            <w:gridSpan w:val="4"/>
            <w:tcBorders>
              <w:top w:val="single" w:sz="4" w:space="0" w:color="000000"/>
              <w:left w:val="single" w:sz="4" w:space="0" w:color="000000"/>
              <w:bottom w:val="single" w:sz="4" w:space="0" w:color="000000"/>
              <w:right w:val="single" w:sz="4" w:space="0" w:color="auto"/>
            </w:tcBorders>
            <w:vAlign w:val="center"/>
          </w:tcPr>
          <w:p w:rsidR="00092EA9" w:rsidRPr="00092EA9" w:rsidRDefault="00092EA9" w:rsidP="00D21617">
            <w:pPr>
              <w:widowControl w:val="0"/>
              <w:autoSpaceDE w:val="0"/>
              <w:autoSpaceDN w:val="0"/>
              <w:adjustRightInd w:val="0"/>
              <w:ind w:left="-107" w:right="-108"/>
              <w:rPr>
                <w:rFonts w:ascii="Arial" w:hAnsi="Arial" w:cs="Arial"/>
              </w:rPr>
            </w:pPr>
            <w:r w:rsidRPr="00092EA9">
              <w:rPr>
                <w:rFonts w:ascii="Arial" w:hAnsi="Arial" w:cs="Arial"/>
              </w:rPr>
              <w:t xml:space="preserve">≥ 84.8% = R </w:t>
            </w:r>
          </w:p>
          <w:p w:rsidR="00092EA9" w:rsidRPr="00092EA9" w:rsidRDefault="00092EA9" w:rsidP="00D21617">
            <w:pPr>
              <w:widowControl w:val="0"/>
              <w:autoSpaceDE w:val="0"/>
              <w:autoSpaceDN w:val="0"/>
              <w:adjustRightInd w:val="0"/>
              <w:ind w:left="-107" w:right="-108"/>
              <w:rPr>
                <w:rFonts w:ascii="Arial" w:hAnsi="Arial" w:cs="Arial"/>
              </w:rPr>
            </w:pPr>
            <w:r w:rsidRPr="00092EA9">
              <w:rPr>
                <w:rFonts w:ascii="Arial" w:hAnsi="Arial" w:cs="Arial"/>
              </w:rPr>
              <w:t xml:space="preserve">73 – 84.7% = G </w:t>
            </w:r>
          </w:p>
          <w:p w:rsidR="00092EA9" w:rsidRPr="00092EA9" w:rsidRDefault="00092EA9" w:rsidP="00D21617">
            <w:pPr>
              <w:widowControl w:val="0"/>
              <w:autoSpaceDE w:val="0"/>
              <w:autoSpaceDN w:val="0"/>
              <w:adjustRightInd w:val="0"/>
              <w:ind w:left="-107" w:right="-108"/>
              <w:rPr>
                <w:rFonts w:ascii="Arial" w:hAnsi="Arial" w:cs="Arial"/>
              </w:rPr>
            </w:pPr>
            <w:r w:rsidRPr="00092EA9">
              <w:rPr>
                <w:rFonts w:ascii="Arial" w:hAnsi="Arial" w:cs="Arial"/>
              </w:rPr>
              <w:t>63.4 – 72.9% = A</w:t>
            </w:r>
          </w:p>
          <w:p w:rsidR="00092EA9" w:rsidRPr="00092EA9" w:rsidRDefault="00092EA9" w:rsidP="00D21617">
            <w:pPr>
              <w:widowControl w:val="0"/>
              <w:autoSpaceDE w:val="0"/>
              <w:autoSpaceDN w:val="0"/>
              <w:adjustRightInd w:val="0"/>
              <w:ind w:left="-107" w:right="-108"/>
              <w:rPr>
                <w:rFonts w:ascii="Arial" w:hAnsi="Arial" w:cs="Arial"/>
              </w:rPr>
            </w:pPr>
            <w:r w:rsidRPr="00092EA9">
              <w:rPr>
                <w:rFonts w:ascii="Arial" w:hAnsi="Arial" w:cs="Arial"/>
              </w:rPr>
              <w:t>≤ 63.3% = B</w:t>
            </w:r>
          </w:p>
        </w:tc>
        <w:tc>
          <w:tcPr>
            <w:tcW w:w="4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92EA9" w:rsidRPr="00092EA9" w:rsidRDefault="00092EA9" w:rsidP="00D21617">
            <w:pPr>
              <w:widowControl w:val="0"/>
              <w:autoSpaceDE w:val="0"/>
              <w:autoSpaceDN w:val="0"/>
              <w:adjustRightInd w:val="0"/>
              <w:rPr>
                <w:rFonts w:ascii="Arial" w:hAnsi="Arial" w:cs="Arial"/>
              </w:rPr>
            </w:pPr>
            <w:r w:rsidRPr="00092EA9">
              <w:rPr>
                <w:rFonts w:ascii="Arial" w:hAnsi="Arial" w:cs="Arial"/>
              </w:rPr>
              <w:t>65.1%</w:t>
            </w:r>
          </w:p>
        </w:tc>
        <w:tc>
          <w:tcPr>
            <w:tcW w:w="4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92EA9" w:rsidRPr="00092EA9" w:rsidRDefault="00092EA9" w:rsidP="00D21617">
            <w:pPr>
              <w:widowControl w:val="0"/>
              <w:autoSpaceDE w:val="0"/>
              <w:autoSpaceDN w:val="0"/>
              <w:adjustRightInd w:val="0"/>
              <w:rPr>
                <w:rFonts w:ascii="Arial" w:hAnsi="Arial" w:cs="Arial"/>
              </w:rPr>
            </w:pPr>
            <w:r w:rsidRPr="00092EA9">
              <w:rPr>
                <w:rFonts w:ascii="Arial" w:hAnsi="Arial" w:cs="Arial"/>
              </w:rPr>
              <w:t>69.3%</w:t>
            </w:r>
          </w:p>
        </w:tc>
        <w:tc>
          <w:tcPr>
            <w:tcW w:w="45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92EA9" w:rsidRPr="00092EA9" w:rsidRDefault="00092EA9" w:rsidP="00D21617">
            <w:pPr>
              <w:widowControl w:val="0"/>
              <w:autoSpaceDE w:val="0"/>
              <w:autoSpaceDN w:val="0"/>
              <w:adjustRightInd w:val="0"/>
              <w:rPr>
                <w:rFonts w:ascii="Arial" w:hAnsi="Arial" w:cs="Arial"/>
              </w:rPr>
            </w:pPr>
            <w:r w:rsidRPr="00092EA9">
              <w:rPr>
                <w:rFonts w:ascii="Arial" w:hAnsi="Arial" w:cs="Arial"/>
              </w:rPr>
              <w:t>65.7%</w:t>
            </w:r>
          </w:p>
        </w:tc>
        <w:tc>
          <w:tcPr>
            <w:tcW w:w="509" w:type="pct"/>
            <w:gridSpan w:val="3"/>
            <w:tcBorders>
              <w:top w:val="single" w:sz="4" w:space="0" w:color="000000"/>
              <w:left w:val="single" w:sz="4" w:space="0" w:color="auto"/>
              <w:bottom w:val="single" w:sz="4" w:space="0" w:color="000000"/>
              <w:right w:val="single" w:sz="4" w:space="0" w:color="000000"/>
            </w:tcBorders>
            <w:vAlign w:val="center"/>
          </w:tcPr>
          <w:p w:rsidR="00092EA9" w:rsidRPr="00092EA9" w:rsidRDefault="00092EA9" w:rsidP="00D21617">
            <w:pPr>
              <w:widowControl w:val="0"/>
              <w:autoSpaceDE w:val="0"/>
              <w:autoSpaceDN w:val="0"/>
              <w:adjustRightInd w:val="0"/>
              <w:ind w:left="-107" w:right="-108"/>
              <w:rPr>
                <w:rFonts w:ascii="Arial" w:hAnsi="Arial" w:cs="Arial"/>
              </w:rPr>
            </w:pPr>
            <w:r w:rsidRPr="00092EA9">
              <w:rPr>
                <w:rFonts w:ascii="Arial" w:hAnsi="Arial" w:cs="Arial"/>
              </w:rPr>
              <w:t>70-90%</w:t>
            </w:r>
          </w:p>
        </w:tc>
        <w:tc>
          <w:tcPr>
            <w:tcW w:w="549" w:type="pct"/>
            <w:gridSpan w:val="2"/>
            <w:tcBorders>
              <w:top w:val="single" w:sz="4" w:space="0" w:color="000000"/>
              <w:left w:val="single" w:sz="4" w:space="0" w:color="000000"/>
              <w:bottom w:val="single" w:sz="4" w:space="0" w:color="000000"/>
              <w:right w:val="single" w:sz="4" w:space="0" w:color="000000"/>
            </w:tcBorders>
            <w:shd w:val="clear" w:color="auto" w:fill="FFC000"/>
            <w:vAlign w:val="center"/>
          </w:tcPr>
          <w:p w:rsidR="00092EA9" w:rsidRPr="00092EA9" w:rsidRDefault="00092EA9" w:rsidP="00D21617">
            <w:pPr>
              <w:widowControl w:val="0"/>
              <w:autoSpaceDE w:val="0"/>
              <w:autoSpaceDN w:val="0"/>
              <w:adjustRightInd w:val="0"/>
              <w:rPr>
                <w:rFonts w:ascii="Arial" w:hAnsi="Arial" w:cs="Arial"/>
                <w:color w:val="000000"/>
                <w:lang w:eastAsia="en-GB"/>
              </w:rPr>
            </w:pPr>
            <w:r w:rsidRPr="00092EA9">
              <w:rPr>
                <w:rFonts w:ascii="Arial" w:hAnsi="Arial" w:cs="Arial"/>
                <w:color w:val="000000"/>
                <w:lang w:eastAsia="en-GB"/>
              </w:rPr>
              <w:sym w:font="Wingdings" w:char="F0F2"/>
            </w:r>
          </w:p>
        </w:tc>
      </w:tr>
      <w:tr w:rsidR="00AF15C4"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74"/>
        </w:trPr>
        <w:tc>
          <w:tcPr>
            <w:tcW w:w="5000" w:type="pct"/>
            <w:gridSpan w:val="27"/>
            <w:tcBorders>
              <w:top w:val="single" w:sz="4" w:space="0" w:color="000000"/>
              <w:left w:val="single" w:sz="4" w:space="0" w:color="000000"/>
              <w:bottom w:val="single" w:sz="4" w:space="0" w:color="auto"/>
              <w:right w:val="single" w:sz="4" w:space="0" w:color="000000"/>
            </w:tcBorders>
          </w:tcPr>
          <w:p w:rsidR="00AF15C4" w:rsidRPr="00E62EBA" w:rsidRDefault="00AF15C4" w:rsidP="00D21617">
            <w:pPr>
              <w:autoSpaceDE w:val="0"/>
              <w:autoSpaceDN w:val="0"/>
              <w:spacing w:after="120"/>
              <w:rPr>
                <w:rFonts w:ascii="Arial" w:hAnsi="Arial" w:cs="Arial"/>
                <w:b/>
                <w:iCs/>
                <w:color w:val="000000"/>
              </w:rPr>
            </w:pPr>
            <w:r w:rsidRPr="00E62EBA">
              <w:rPr>
                <w:rFonts w:ascii="Arial" w:hAnsi="Arial" w:cs="Arial"/>
                <w:b/>
                <w:iCs/>
                <w:color w:val="000000"/>
              </w:rPr>
              <w:t>Analysis</w:t>
            </w:r>
          </w:p>
          <w:p w:rsidR="00E62EBA" w:rsidRPr="00E62EBA" w:rsidRDefault="00E62EBA" w:rsidP="00D21617">
            <w:pPr>
              <w:tabs>
                <w:tab w:val="left" w:pos="360"/>
              </w:tabs>
              <w:spacing w:after="240"/>
              <w:ind w:right="386"/>
              <w:rPr>
                <w:rFonts w:ascii="Arial" w:hAnsi="Arial" w:cs="Arial"/>
              </w:rPr>
            </w:pPr>
            <w:r w:rsidRPr="00E62EBA">
              <w:rPr>
                <w:rFonts w:ascii="Arial" w:hAnsi="Arial" w:cs="Arial"/>
              </w:rPr>
              <w:t>The elective acute wards had previously reported four successive months of increasing bed occupancy. In September</w:t>
            </w:r>
            <w:r w:rsidR="00D21617">
              <w:rPr>
                <w:rFonts w:ascii="Arial" w:hAnsi="Arial" w:cs="Arial"/>
              </w:rPr>
              <w:t>,</w:t>
            </w:r>
            <w:r w:rsidRPr="00E62EBA">
              <w:rPr>
                <w:rFonts w:ascii="Arial" w:hAnsi="Arial" w:cs="Arial"/>
              </w:rPr>
              <w:t xml:space="preserve"> </w:t>
            </w:r>
            <w:r>
              <w:rPr>
                <w:rFonts w:ascii="Arial" w:hAnsi="Arial" w:cs="Arial"/>
              </w:rPr>
              <w:t>occupancy</w:t>
            </w:r>
            <w:r w:rsidRPr="00E62EBA">
              <w:rPr>
                <w:rFonts w:ascii="Arial" w:hAnsi="Arial" w:cs="Arial"/>
              </w:rPr>
              <w:t xml:space="preserve"> reduced to 76.6%, the lowest level since April 2018. The Cardiothoracic and National Services Division (NSD) wards all recorded marked decreases</w:t>
            </w:r>
            <w:r>
              <w:rPr>
                <w:rFonts w:ascii="Arial" w:hAnsi="Arial" w:cs="Arial"/>
              </w:rPr>
              <w:t xml:space="preserve"> in occupancy during September. </w:t>
            </w:r>
            <w:r w:rsidRPr="00E62EBA">
              <w:rPr>
                <w:rFonts w:ascii="Arial" w:hAnsi="Arial" w:cs="Arial"/>
              </w:rPr>
              <w:t>The occupancy levels within the Orthopaedic wards</w:t>
            </w:r>
            <w:r w:rsidR="00D21617">
              <w:rPr>
                <w:rFonts w:ascii="Arial" w:hAnsi="Arial" w:cs="Arial"/>
              </w:rPr>
              <w:t xml:space="preserve"> (</w:t>
            </w:r>
            <w:r w:rsidRPr="00E62EBA">
              <w:rPr>
                <w:rFonts w:ascii="Arial" w:hAnsi="Arial" w:cs="Arial"/>
              </w:rPr>
              <w:t>2 East and 2 West</w:t>
            </w:r>
            <w:r w:rsidR="00D21617">
              <w:rPr>
                <w:rFonts w:ascii="Arial" w:hAnsi="Arial" w:cs="Arial"/>
              </w:rPr>
              <w:t>)</w:t>
            </w:r>
            <w:r w:rsidRPr="00E62EBA">
              <w:rPr>
                <w:rFonts w:ascii="Arial" w:hAnsi="Arial" w:cs="Arial"/>
              </w:rPr>
              <w:t xml:space="preserve"> have remained relatively constant.</w:t>
            </w:r>
          </w:p>
          <w:p w:rsidR="00E62EBA" w:rsidRPr="00E62EBA" w:rsidRDefault="00E62EBA" w:rsidP="00D21617">
            <w:pPr>
              <w:tabs>
                <w:tab w:val="left" w:pos="360"/>
              </w:tabs>
              <w:ind w:right="386"/>
              <w:rPr>
                <w:rFonts w:ascii="Arial" w:hAnsi="Arial" w:cs="Arial"/>
              </w:rPr>
            </w:pPr>
            <w:r w:rsidRPr="00E62EBA">
              <w:rPr>
                <w:rFonts w:ascii="Arial" w:hAnsi="Arial" w:cs="Arial"/>
              </w:rPr>
              <w:t>The Interventional Cardiology ward’s bed occupancy has reported relatively low levels of variation since June 2018. All Interventional Cardiology units reported bed occupancy within the target range for August and September.</w:t>
            </w:r>
          </w:p>
          <w:p w:rsidR="00E62EBA" w:rsidRPr="00E62EBA" w:rsidRDefault="00E62EBA" w:rsidP="00D21617">
            <w:pPr>
              <w:tabs>
                <w:tab w:val="left" w:pos="360"/>
              </w:tabs>
              <w:ind w:right="386"/>
              <w:rPr>
                <w:rFonts w:ascii="Arial" w:hAnsi="Arial" w:cs="Arial"/>
              </w:rPr>
            </w:pPr>
          </w:p>
          <w:p w:rsidR="00544493" w:rsidRDefault="00E62EBA" w:rsidP="00D21617">
            <w:pPr>
              <w:tabs>
                <w:tab w:val="left" w:pos="360"/>
              </w:tabs>
              <w:ind w:right="386"/>
              <w:rPr>
                <w:rFonts w:ascii="Arial" w:hAnsi="Arial" w:cs="Arial"/>
              </w:rPr>
            </w:pPr>
            <w:r w:rsidRPr="00E62EBA">
              <w:rPr>
                <w:rFonts w:ascii="Arial" w:hAnsi="Arial" w:cs="Arial"/>
              </w:rPr>
              <w:t xml:space="preserve">ICU2 reported an increase in bed occupancy in August and September whilst occupancy in ICU1 and HDU2 reduced in both months. HDU3 reported an increase in August followed by a reduction in September. </w:t>
            </w:r>
            <w:r w:rsidR="00042F52" w:rsidRPr="00E62EBA">
              <w:rPr>
                <w:rFonts w:ascii="Arial" w:hAnsi="Arial" w:cs="Arial"/>
              </w:rPr>
              <w:t>The reduced oc</w:t>
            </w:r>
            <w:r w:rsidR="00FD0EC4" w:rsidRPr="00E62EBA">
              <w:rPr>
                <w:rFonts w:ascii="Arial" w:hAnsi="Arial" w:cs="Arial"/>
              </w:rPr>
              <w:t>cupancy has allowed staff from critical c</w:t>
            </w:r>
            <w:r w:rsidR="00042F52" w:rsidRPr="00E62EBA">
              <w:rPr>
                <w:rFonts w:ascii="Arial" w:hAnsi="Arial" w:cs="Arial"/>
              </w:rPr>
              <w:t>are to support other clinical areas. This has helped to reduce bank and overtime costs.</w:t>
            </w:r>
          </w:p>
          <w:p w:rsidR="00892AB3" w:rsidRDefault="00892AB3" w:rsidP="00D21617">
            <w:pPr>
              <w:tabs>
                <w:tab w:val="left" w:pos="360"/>
              </w:tabs>
              <w:ind w:right="386"/>
              <w:rPr>
                <w:rFonts w:ascii="Arial" w:hAnsi="Arial" w:cs="Arial"/>
              </w:rPr>
            </w:pPr>
          </w:p>
          <w:p w:rsidR="00892AB3" w:rsidRPr="00723D08" w:rsidRDefault="00892AB3" w:rsidP="00D21617">
            <w:pPr>
              <w:tabs>
                <w:tab w:val="left" w:pos="360"/>
              </w:tabs>
              <w:ind w:right="386"/>
              <w:rPr>
                <w:rFonts w:ascii="Arial" w:hAnsi="Arial" w:cs="Arial"/>
                <w:highlight w:val="yellow"/>
              </w:rPr>
            </w:pPr>
          </w:p>
        </w:tc>
      </w:tr>
      <w:tr w:rsidR="00B801F0"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blHeader/>
        </w:trPr>
        <w:tc>
          <w:tcPr>
            <w:tcW w:w="684"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B801F0" w:rsidRPr="00B801F0" w:rsidRDefault="00B801F0"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lastRenderedPageBreak/>
              <w:t>KPI</w:t>
            </w:r>
          </w:p>
        </w:tc>
        <w:tc>
          <w:tcPr>
            <w:tcW w:w="993" w:type="pct"/>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B801F0" w:rsidRPr="00B801F0" w:rsidRDefault="00B801F0"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Details</w:t>
            </w:r>
          </w:p>
        </w:tc>
        <w:tc>
          <w:tcPr>
            <w:tcW w:w="811" w:type="pct"/>
            <w:gridSpan w:val="2"/>
            <w:tcBorders>
              <w:top w:val="single" w:sz="4" w:space="0" w:color="000000"/>
              <w:left w:val="single" w:sz="4" w:space="0" w:color="000000"/>
              <w:bottom w:val="single" w:sz="4" w:space="0" w:color="000000"/>
              <w:right w:val="single" w:sz="4" w:space="0" w:color="auto"/>
            </w:tcBorders>
            <w:shd w:val="clear" w:color="auto" w:fill="D9D9D9"/>
            <w:vAlign w:val="center"/>
          </w:tcPr>
          <w:p w:rsidR="00B801F0" w:rsidRPr="00B801F0" w:rsidRDefault="00B801F0" w:rsidP="00D21617">
            <w:pPr>
              <w:rPr>
                <w:rFonts w:ascii="Arial" w:hAnsi="Arial" w:cs="Arial"/>
              </w:rPr>
            </w:pPr>
            <w:r w:rsidRPr="00B801F0">
              <w:rPr>
                <w:rFonts w:ascii="Arial" w:hAnsi="Arial" w:cs="Arial"/>
              </w:rPr>
              <w:t>Tolerance</w:t>
            </w:r>
          </w:p>
        </w:tc>
        <w:tc>
          <w:tcPr>
            <w:tcW w:w="500" w:type="pct"/>
            <w:gridSpan w:val="4"/>
            <w:tcBorders>
              <w:top w:val="single" w:sz="4" w:space="0" w:color="auto"/>
              <w:left w:val="single" w:sz="4" w:space="0" w:color="auto"/>
              <w:bottom w:val="single" w:sz="4" w:space="0" w:color="auto"/>
              <w:right w:val="single" w:sz="4" w:space="0" w:color="auto"/>
            </w:tcBorders>
            <w:shd w:val="clear" w:color="auto" w:fill="D9D9D9"/>
          </w:tcPr>
          <w:p w:rsidR="00B801F0" w:rsidRPr="00B801F0" w:rsidRDefault="00B801F0"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Aug 2018</w:t>
            </w:r>
          </w:p>
        </w:tc>
        <w:tc>
          <w:tcPr>
            <w:tcW w:w="450" w:type="pct"/>
            <w:gridSpan w:val="4"/>
            <w:tcBorders>
              <w:top w:val="single" w:sz="4" w:space="0" w:color="auto"/>
              <w:left w:val="single" w:sz="4" w:space="0" w:color="auto"/>
              <w:bottom w:val="single" w:sz="4" w:space="0" w:color="auto"/>
              <w:right w:val="single" w:sz="4" w:space="0" w:color="auto"/>
            </w:tcBorders>
            <w:shd w:val="clear" w:color="auto" w:fill="D9D9D9"/>
          </w:tcPr>
          <w:p w:rsidR="00B801F0" w:rsidRPr="00B801F0" w:rsidRDefault="00B801F0"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Sep 2018</w:t>
            </w:r>
          </w:p>
        </w:tc>
        <w:tc>
          <w:tcPr>
            <w:tcW w:w="449" w:type="pct"/>
            <w:gridSpan w:val="4"/>
            <w:tcBorders>
              <w:top w:val="single" w:sz="4" w:space="0" w:color="auto"/>
              <w:left w:val="single" w:sz="4" w:space="0" w:color="auto"/>
              <w:bottom w:val="single" w:sz="4" w:space="0" w:color="auto"/>
              <w:right w:val="single" w:sz="4" w:space="0" w:color="auto"/>
            </w:tcBorders>
            <w:shd w:val="clear" w:color="auto" w:fill="D9D9D9"/>
          </w:tcPr>
          <w:p w:rsidR="00B801F0" w:rsidRPr="00B801F0" w:rsidRDefault="00B801F0"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Oct 2018</w:t>
            </w:r>
          </w:p>
        </w:tc>
        <w:tc>
          <w:tcPr>
            <w:tcW w:w="650" w:type="pct"/>
            <w:gridSpan w:val="5"/>
            <w:tcBorders>
              <w:top w:val="single" w:sz="4" w:space="0" w:color="000000"/>
              <w:left w:val="single" w:sz="4" w:space="0" w:color="auto"/>
              <w:bottom w:val="single" w:sz="4" w:space="0" w:color="000000"/>
              <w:right w:val="single" w:sz="4" w:space="0" w:color="000000"/>
            </w:tcBorders>
            <w:shd w:val="clear" w:color="auto" w:fill="D9D9D9"/>
            <w:vAlign w:val="center"/>
          </w:tcPr>
          <w:p w:rsidR="00B801F0" w:rsidRPr="00B801F0" w:rsidRDefault="00B801F0"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Target</w:t>
            </w:r>
          </w:p>
        </w:tc>
        <w:tc>
          <w:tcPr>
            <w:tcW w:w="462"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B801F0" w:rsidRPr="00B801F0" w:rsidRDefault="00B801F0" w:rsidP="00D21617">
            <w:pPr>
              <w:widowControl w:val="0"/>
              <w:autoSpaceDE w:val="0"/>
              <w:autoSpaceDN w:val="0"/>
              <w:adjustRightInd w:val="0"/>
              <w:rPr>
                <w:rFonts w:ascii="Arial" w:hAnsi="Arial" w:cs="Arial"/>
                <w:lang w:eastAsia="en-GB"/>
              </w:rPr>
            </w:pPr>
            <w:r w:rsidRPr="00B801F0">
              <w:rPr>
                <w:rFonts w:ascii="Arial" w:hAnsi="Arial" w:cs="Arial"/>
                <w:lang w:eastAsia="en-GB"/>
              </w:rPr>
              <w:t>On Track</w:t>
            </w:r>
          </w:p>
        </w:tc>
      </w:tr>
      <w:tr w:rsidR="00B2085D"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84" w:type="pct"/>
            <w:gridSpan w:val="3"/>
            <w:tcBorders>
              <w:top w:val="single" w:sz="4" w:space="0" w:color="000000"/>
              <w:left w:val="single" w:sz="4" w:space="0" w:color="000000"/>
              <w:bottom w:val="single" w:sz="4" w:space="0" w:color="000000"/>
              <w:right w:val="single" w:sz="4" w:space="0" w:color="000000"/>
            </w:tcBorders>
          </w:tcPr>
          <w:p w:rsidR="00B2085D" w:rsidRPr="00B2085D" w:rsidRDefault="00B2085D" w:rsidP="00D21617">
            <w:pPr>
              <w:widowControl w:val="0"/>
              <w:autoSpaceDE w:val="0"/>
              <w:autoSpaceDN w:val="0"/>
              <w:adjustRightInd w:val="0"/>
              <w:rPr>
                <w:rFonts w:ascii="Arial" w:hAnsi="Arial" w:cs="Arial"/>
                <w:color w:val="000000"/>
                <w:lang w:eastAsia="en-GB"/>
              </w:rPr>
            </w:pPr>
            <w:r>
              <w:rPr>
                <w:rFonts w:ascii="Arial" w:hAnsi="Arial" w:cs="Arial"/>
                <w:color w:val="000000"/>
                <w:lang w:eastAsia="en-GB"/>
              </w:rPr>
              <w:t xml:space="preserve">Ophthalmology </w:t>
            </w:r>
            <w:r w:rsidRPr="00B2085D">
              <w:rPr>
                <w:rFonts w:ascii="Arial" w:hAnsi="Arial" w:cs="Arial"/>
                <w:color w:val="000000"/>
                <w:lang w:eastAsia="en-GB"/>
              </w:rPr>
              <w:t>Cancellation Rate</w:t>
            </w:r>
          </w:p>
        </w:tc>
        <w:tc>
          <w:tcPr>
            <w:tcW w:w="993" w:type="pct"/>
            <w:gridSpan w:val="4"/>
            <w:tcBorders>
              <w:top w:val="single" w:sz="4" w:space="0" w:color="000000"/>
              <w:left w:val="single" w:sz="4" w:space="0" w:color="000000"/>
              <w:bottom w:val="single" w:sz="4" w:space="0" w:color="000000"/>
              <w:right w:val="single" w:sz="4" w:space="0" w:color="000000"/>
            </w:tcBorders>
          </w:tcPr>
          <w:p w:rsidR="00B2085D" w:rsidRPr="00B2085D" w:rsidRDefault="00B2085D" w:rsidP="00D21617">
            <w:pPr>
              <w:rPr>
                <w:rFonts w:ascii="Arial" w:hAnsi="Arial" w:cs="Arial"/>
              </w:rPr>
            </w:pPr>
            <w:r w:rsidRPr="00B2085D">
              <w:rPr>
                <w:rFonts w:ascii="Arial" w:hAnsi="Arial" w:cs="Arial"/>
                <w:color w:val="000000"/>
                <w:lang w:eastAsia="en-GB"/>
              </w:rPr>
              <w:t xml:space="preserve">Percentage of </w:t>
            </w:r>
            <w:r>
              <w:rPr>
                <w:rFonts w:ascii="Arial" w:hAnsi="Arial" w:cs="Arial"/>
                <w:color w:val="000000"/>
                <w:lang w:eastAsia="en-GB"/>
              </w:rPr>
              <w:t>Ophthalmology</w:t>
            </w:r>
            <w:r w:rsidRPr="00B2085D">
              <w:rPr>
                <w:rFonts w:ascii="Arial" w:hAnsi="Arial" w:cs="Arial"/>
                <w:color w:val="000000"/>
                <w:lang w:eastAsia="en-GB"/>
              </w:rPr>
              <w:t xml:space="preserve"> patients cancelled on day of procedure</w:t>
            </w:r>
          </w:p>
        </w:tc>
        <w:tc>
          <w:tcPr>
            <w:tcW w:w="811" w:type="pct"/>
            <w:gridSpan w:val="2"/>
            <w:tcBorders>
              <w:top w:val="single" w:sz="4" w:space="0" w:color="000000"/>
              <w:left w:val="single" w:sz="4" w:space="0" w:color="000000"/>
              <w:bottom w:val="single" w:sz="4" w:space="0" w:color="000000"/>
              <w:right w:val="single" w:sz="4" w:space="0" w:color="auto"/>
            </w:tcBorders>
            <w:vAlign w:val="center"/>
          </w:tcPr>
          <w:p w:rsidR="00B2085D" w:rsidRPr="00B2085D" w:rsidRDefault="00B2085D" w:rsidP="00D21617">
            <w:pPr>
              <w:widowControl w:val="0"/>
              <w:autoSpaceDE w:val="0"/>
              <w:autoSpaceDN w:val="0"/>
              <w:adjustRightInd w:val="0"/>
              <w:ind w:left="-107" w:right="-108"/>
              <w:rPr>
                <w:rFonts w:ascii="Arial" w:hAnsi="Arial" w:cs="Arial"/>
              </w:rPr>
            </w:pPr>
            <w:r w:rsidRPr="00B2085D">
              <w:rPr>
                <w:rFonts w:ascii="Arial" w:hAnsi="Arial" w:cs="Arial"/>
              </w:rPr>
              <w:t>Achieved = G</w:t>
            </w:r>
          </w:p>
          <w:p w:rsidR="00B2085D" w:rsidRPr="00B2085D" w:rsidRDefault="00B2085D" w:rsidP="00D21617">
            <w:pPr>
              <w:widowControl w:val="0"/>
              <w:autoSpaceDE w:val="0"/>
              <w:autoSpaceDN w:val="0"/>
              <w:adjustRightInd w:val="0"/>
              <w:ind w:left="-107" w:right="-108"/>
              <w:rPr>
                <w:rFonts w:ascii="Arial" w:hAnsi="Arial" w:cs="Arial"/>
              </w:rPr>
            </w:pPr>
            <w:r w:rsidRPr="00B2085D">
              <w:rPr>
                <w:rFonts w:ascii="Arial" w:hAnsi="Arial" w:cs="Arial"/>
              </w:rPr>
              <w:t>Not Achieved = R</w:t>
            </w:r>
          </w:p>
        </w:tc>
        <w:tc>
          <w:tcPr>
            <w:tcW w:w="5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B2085D" w:rsidRDefault="00B2085D" w:rsidP="00D21617">
            <w:pPr>
              <w:widowControl w:val="0"/>
              <w:autoSpaceDE w:val="0"/>
              <w:autoSpaceDN w:val="0"/>
              <w:adjustRightInd w:val="0"/>
              <w:rPr>
                <w:rFonts w:ascii="Arial" w:hAnsi="Arial" w:cs="Arial"/>
              </w:rPr>
            </w:pPr>
            <w:r>
              <w:rPr>
                <w:rFonts w:ascii="Arial" w:hAnsi="Arial" w:cs="Arial"/>
              </w:rPr>
              <w:t>2.3%</w:t>
            </w:r>
          </w:p>
        </w:tc>
        <w:tc>
          <w:tcPr>
            <w:tcW w:w="45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B2085D" w:rsidRDefault="00B2085D" w:rsidP="00D21617">
            <w:pPr>
              <w:widowControl w:val="0"/>
              <w:autoSpaceDE w:val="0"/>
              <w:autoSpaceDN w:val="0"/>
              <w:adjustRightInd w:val="0"/>
              <w:rPr>
                <w:rFonts w:ascii="Arial" w:hAnsi="Arial" w:cs="Arial"/>
              </w:rPr>
            </w:pPr>
            <w:r>
              <w:rPr>
                <w:rFonts w:ascii="Arial" w:hAnsi="Arial" w:cs="Arial"/>
              </w:rPr>
              <w:t>2.9%</w:t>
            </w:r>
          </w:p>
        </w:tc>
        <w:tc>
          <w:tcPr>
            <w:tcW w:w="44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B2085D" w:rsidRDefault="00B2085D" w:rsidP="00D21617">
            <w:pPr>
              <w:widowControl w:val="0"/>
              <w:autoSpaceDE w:val="0"/>
              <w:autoSpaceDN w:val="0"/>
              <w:adjustRightInd w:val="0"/>
              <w:rPr>
                <w:rFonts w:ascii="Arial" w:hAnsi="Arial" w:cs="Arial"/>
              </w:rPr>
            </w:pPr>
            <w:r>
              <w:rPr>
                <w:rFonts w:ascii="Arial" w:hAnsi="Arial" w:cs="Arial"/>
              </w:rPr>
              <w:t>1.5%</w:t>
            </w:r>
          </w:p>
        </w:tc>
        <w:tc>
          <w:tcPr>
            <w:tcW w:w="650" w:type="pct"/>
            <w:gridSpan w:val="5"/>
            <w:tcBorders>
              <w:top w:val="single" w:sz="4" w:space="0" w:color="000000"/>
              <w:left w:val="single" w:sz="4" w:space="0" w:color="auto"/>
              <w:bottom w:val="single" w:sz="4" w:space="0" w:color="000000"/>
              <w:right w:val="single" w:sz="4" w:space="0" w:color="000000"/>
            </w:tcBorders>
            <w:vAlign w:val="center"/>
          </w:tcPr>
          <w:p w:rsidR="00B2085D" w:rsidRPr="00B2085D" w:rsidRDefault="00B2085D" w:rsidP="00D21617">
            <w:pPr>
              <w:widowControl w:val="0"/>
              <w:autoSpaceDE w:val="0"/>
              <w:autoSpaceDN w:val="0"/>
              <w:adjustRightInd w:val="0"/>
              <w:ind w:left="-107" w:right="-108"/>
              <w:rPr>
                <w:rFonts w:ascii="Arial" w:hAnsi="Arial" w:cs="Arial"/>
              </w:rPr>
            </w:pPr>
            <w:r>
              <w:rPr>
                <w:rFonts w:ascii="Arial" w:hAnsi="Arial" w:cs="Arial"/>
              </w:rPr>
              <w:t xml:space="preserve">Monthly </w:t>
            </w:r>
            <w:r w:rsidRPr="00B2085D">
              <w:rPr>
                <w:rFonts w:ascii="Arial" w:hAnsi="Arial" w:cs="Arial"/>
              </w:rPr>
              <w:t xml:space="preserve">3% </w:t>
            </w:r>
            <w:r>
              <w:rPr>
                <w:rFonts w:ascii="Arial" w:hAnsi="Arial" w:cs="Arial"/>
              </w:rPr>
              <w:t>cancellation rate</w:t>
            </w:r>
          </w:p>
        </w:tc>
        <w:tc>
          <w:tcPr>
            <w:tcW w:w="462" w:type="pct"/>
            <w:tcBorders>
              <w:top w:val="single" w:sz="4" w:space="0" w:color="000000"/>
              <w:left w:val="single" w:sz="4" w:space="0" w:color="000000"/>
              <w:bottom w:val="single" w:sz="4" w:space="0" w:color="000000"/>
              <w:right w:val="single" w:sz="4" w:space="0" w:color="000000"/>
            </w:tcBorders>
            <w:shd w:val="clear" w:color="auto" w:fill="00B050"/>
            <w:vAlign w:val="center"/>
          </w:tcPr>
          <w:p w:rsidR="00B2085D" w:rsidRPr="00B2085D" w:rsidRDefault="00B2085D" w:rsidP="00D21617">
            <w:pPr>
              <w:widowControl w:val="0"/>
              <w:autoSpaceDE w:val="0"/>
              <w:autoSpaceDN w:val="0"/>
              <w:adjustRightInd w:val="0"/>
              <w:rPr>
                <w:rFonts w:ascii="Arial" w:hAnsi="Arial" w:cs="Arial"/>
                <w:color w:val="000000"/>
                <w:lang w:eastAsia="en-GB"/>
              </w:rPr>
            </w:pPr>
            <w:r>
              <w:rPr>
                <w:rFonts w:ascii="Arial" w:hAnsi="Arial" w:cs="Arial"/>
                <w:color w:val="000000"/>
                <w:lang w:eastAsia="en-GB"/>
              </w:rPr>
              <w:sym w:font="Wingdings" w:char="F0F1"/>
            </w:r>
          </w:p>
        </w:tc>
      </w:tr>
      <w:tr w:rsidR="00B2085D"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84" w:type="pct"/>
            <w:gridSpan w:val="3"/>
            <w:tcBorders>
              <w:top w:val="single" w:sz="4" w:space="0" w:color="000000"/>
              <w:left w:val="single" w:sz="4" w:space="0" w:color="000000"/>
              <w:bottom w:val="single" w:sz="4" w:space="0" w:color="000000"/>
              <w:right w:val="single" w:sz="4" w:space="0" w:color="000000"/>
            </w:tcBorders>
          </w:tcPr>
          <w:p w:rsidR="00B2085D" w:rsidRPr="00B801F0" w:rsidRDefault="00B2085D"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Cardiac Surgery Cancellation Rate</w:t>
            </w:r>
          </w:p>
        </w:tc>
        <w:tc>
          <w:tcPr>
            <w:tcW w:w="993" w:type="pct"/>
            <w:gridSpan w:val="4"/>
            <w:tcBorders>
              <w:top w:val="single" w:sz="4" w:space="0" w:color="000000"/>
              <w:left w:val="single" w:sz="4" w:space="0" w:color="000000"/>
              <w:bottom w:val="single" w:sz="4" w:space="0" w:color="000000"/>
              <w:right w:val="single" w:sz="4" w:space="0" w:color="000000"/>
            </w:tcBorders>
          </w:tcPr>
          <w:p w:rsidR="00B2085D" w:rsidRPr="00B801F0" w:rsidRDefault="00B2085D"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Percentage of Cardiac Surgery patients cancelled on day of procedure</w:t>
            </w:r>
          </w:p>
        </w:tc>
        <w:tc>
          <w:tcPr>
            <w:tcW w:w="811" w:type="pct"/>
            <w:gridSpan w:val="2"/>
            <w:tcBorders>
              <w:top w:val="single" w:sz="4" w:space="0" w:color="000000"/>
              <w:left w:val="single" w:sz="4" w:space="0" w:color="000000"/>
              <w:bottom w:val="single" w:sz="4" w:space="0" w:color="000000"/>
              <w:right w:val="single" w:sz="4" w:space="0" w:color="auto"/>
            </w:tcBorders>
          </w:tcPr>
          <w:p w:rsidR="00B2085D" w:rsidRPr="00B801F0" w:rsidRDefault="00B2085D" w:rsidP="00D21617">
            <w:pPr>
              <w:widowControl w:val="0"/>
              <w:autoSpaceDE w:val="0"/>
              <w:autoSpaceDN w:val="0"/>
              <w:adjustRightInd w:val="0"/>
              <w:ind w:left="-107" w:right="-108"/>
              <w:rPr>
                <w:rFonts w:ascii="Arial" w:hAnsi="Arial" w:cs="Arial"/>
              </w:rPr>
            </w:pPr>
            <w:r w:rsidRPr="00B801F0">
              <w:rPr>
                <w:rFonts w:ascii="Arial" w:hAnsi="Arial" w:cs="Arial"/>
              </w:rPr>
              <w:t>Achieved = G</w:t>
            </w:r>
          </w:p>
          <w:p w:rsidR="00B2085D" w:rsidRPr="00B801F0" w:rsidRDefault="00B2085D" w:rsidP="00D21617">
            <w:pPr>
              <w:widowControl w:val="0"/>
              <w:autoSpaceDE w:val="0"/>
              <w:autoSpaceDN w:val="0"/>
              <w:adjustRightInd w:val="0"/>
              <w:ind w:left="-107" w:right="-108"/>
              <w:rPr>
                <w:rFonts w:ascii="Arial" w:hAnsi="Arial" w:cs="Arial"/>
              </w:rPr>
            </w:pPr>
            <w:r w:rsidRPr="00B801F0">
              <w:rPr>
                <w:rFonts w:ascii="Arial" w:hAnsi="Arial" w:cs="Arial"/>
              </w:rPr>
              <w:t>Not Achieved = R</w:t>
            </w:r>
          </w:p>
        </w:tc>
        <w:tc>
          <w:tcPr>
            <w:tcW w:w="5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B801F0" w:rsidRDefault="00B2085D"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13.1%</w:t>
            </w:r>
          </w:p>
        </w:tc>
        <w:tc>
          <w:tcPr>
            <w:tcW w:w="45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B801F0" w:rsidRDefault="00B2085D"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11.5%</w:t>
            </w:r>
          </w:p>
        </w:tc>
        <w:tc>
          <w:tcPr>
            <w:tcW w:w="44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B801F0" w:rsidRDefault="00B2085D"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11.8%</w:t>
            </w:r>
          </w:p>
        </w:tc>
        <w:tc>
          <w:tcPr>
            <w:tcW w:w="650" w:type="pct"/>
            <w:gridSpan w:val="5"/>
            <w:tcBorders>
              <w:top w:val="single" w:sz="4" w:space="0" w:color="000000"/>
              <w:left w:val="single" w:sz="4" w:space="0" w:color="auto"/>
              <w:bottom w:val="single" w:sz="4" w:space="0" w:color="000000"/>
              <w:right w:val="single" w:sz="4" w:space="0" w:color="000000"/>
            </w:tcBorders>
            <w:vAlign w:val="center"/>
          </w:tcPr>
          <w:p w:rsidR="00B2085D" w:rsidRPr="00B801F0" w:rsidRDefault="00B2085D" w:rsidP="00D21617">
            <w:pPr>
              <w:widowControl w:val="0"/>
              <w:autoSpaceDE w:val="0"/>
              <w:autoSpaceDN w:val="0"/>
              <w:adjustRightInd w:val="0"/>
              <w:ind w:left="-109" w:right="-108"/>
              <w:rPr>
                <w:rFonts w:ascii="Arial" w:hAnsi="Arial" w:cs="Arial"/>
              </w:rPr>
            </w:pPr>
            <w:r w:rsidRPr="00B801F0">
              <w:rPr>
                <w:rFonts w:ascii="Arial" w:hAnsi="Arial" w:cs="Arial"/>
              </w:rPr>
              <w:t>Incremental reduction from baseline position of 16% to 8% by March 2019</w:t>
            </w:r>
          </w:p>
        </w:tc>
        <w:tc>
          <w:tcPr>
            <w:tcW w:w="462" w:type="pct"/>
            <w:tcBorders>
              <w:top w:val="single" w:sz="4" w:space="0" w:color="000000"/>
              <w:left w:val="single" w:sz="4" w:space="0" w:color="000000"/>
              <w:bottom w:val="single" w:sz="4" w:space="0" w:color="000000"/>
              <w:right w:val="single" w:sz="4" w:space="0" w:color="000000"/>
            </w:tcBorders>
            <w:shd w:val="clear" w:color="auto" w:fill="FF0000"/>
            <w:vAlign w:val="center"/>
          </w:tcPr>
          <w:p w:rsidR="00B2085D" w:rsidRPr="00B801F0" w:rsidRDefault="00B2085D"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sym w:font="Wingdings" w:char="F0F2"/>
            </w:r>
          </w:p>
        </w:tc>
      </w:tr>
      <w:tr w:rsidR="00B2085D"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84" w:type="pct"/>
            <w:gridSpan w:val="3"/>
            <w:tcBorders>
              <w:top w:val="single" w:sz="4" w:space="0" w:color="000000"/>
              <w:left w:val="single" w:sz="4" w:space="0" w:color="000000"/>
              <w:bottom w:val="single" w:sz="4" w:space="0" w:color="000000"/>
              <w:right w:val="single" w:sz="4" w:space="0" w:color="000000"/>
            </w:tcBorders>
          </w:tcPr>
          <w:p w:rsidR="00B2085D" w:rsidRPr="00EF20A6" w:rsidRDefault="00B2085D" w:rsidP="00D21617">
            <w:pPr>
              <w:widowControl w:val="0"/>
              <w:autoSpaceDE w:val="0"/>
              <w:autoSpaceDN w:val="0"/>
              <w:adjustRightInd w:val="0"/>
              <w:rPr>
                <w:rFonts w:ascii="Arial" w:hAnsi="Arial" w:cs="Arial"/>
                <w:color w:val="000000"/>
                <w:lang w:eastAsia="en-GB"/>
              </w:rPr>
            </w:pPr>
            <w:r w:rsidRPr="00EF20A6">
              <w:rPr>
                <w:rFonts w:ascii="Arial" w:hAnsi="Arial" w:cs="Arial"/>
                <w:color w:val="000000"/>
                <w:lang w:eastAsia="en-GB"/>
              </w:rPr>
              <w:t>Plastic Surgery Cancellation Rate</w:t>
            </w:r>
          </w:p>
        </w:tc>
        <w:tc>
          <w:tcPr>
            <w:tcW w:w="993" w:type="pct"/>
            <w:gridSpan w:val="4"/>
            <w:tcBorders>
              <w:top w:val="single" w:sz="4" w:space="0" w:color="000000"/>
              <w:left w:val="single" w:sz="4" w:space="0" w:color="000000"/>
              <w:bottom w:val="single" w:sz="4" w:space="0" w:color="000000"/>
              <w:right w:val="single" w:sz="4" w:space="0" w:color="000000"/>
            </w:tcBorders>
          </w:tcPr>
          <w:p w:rsidR="00B2085D" w:rsidRPr="00EF20A6" w:rsidRDefault="00B2085D" w:rsidP="00D21617">
            <w:pPr>
              <w:rPr>
                <w:rFonts w:ascii="Arial" w:hAnsi="Arial" w:cs="Arial"/>
              </w:rPr>
            </w:pPr>
            <w:r w:rsidRPr="00EF20A6">
              <w:rPr>
                <w:rFonts w:ascii="Arial" w:hAnsi="Arial" w:cs="Arial"/>
                <w:color w:val="000000"/>
                <w:lang w:eastAsia="en-GB"/>
              </w:rPr>
              <w:t>Percentage of Plastic Surgery patients cancelled on day of procedure</w:t>
            </w:r>
          </w:p>
        </w:tc>
        <w:tc>
          <w:tcPr>
            <w:tcW w:w="811" w:type="pct"/>
            <w:gridSpan w:val="2"/>
            <w:tcBorders>
              <w:top w:val="single" w:sz="4" w:space="0" w:color="000000"/>
              <w:left w:val="single" w:sz="4" w:space="0" w:color="000000"/>
              <w:bottom w:val="single" w:sz="4" w:space="0" w:color="000000"/>
              <w:right w:val="single" w:sz="4" w:space="0" w:color="auto"/>
            </w:tcBorders>
            <w:vAlign w:val="center"/>
          </w:tcPr>
          <w:p w:rsidR="00B2085D" w:rsidRPr="00EF20A6" w:rsidRDefault="00B2085D" w:rsidP="00D21617">
            <w:pPr>
              <w:widowControl w:val="0"/>
              <w:autoSpaceDE w:val="0"/>
              <w:autoSpaceDN w:val="0"/>
              <w:adjustRightInd w:val="0"/>
              <w:ind w:left="-107" w:right="-108"/>
              <w:rPr>
                <w:rFonts w:ascii="Arial" w:hAnsi="Arial" w:cs="Arial"/>
              </w:rPr>
            </w:pPr>
            <w:r w:rsidRPr="00EF20A6">
              <w:rPr>
                <w:rFonts w:ascii="Arial" w:hAnsi="Arial" w:cs="Arial"/>
              </w:rPr>
              <w:t>Achieved = G</w:t>
            </w:r>
          </w:p>
          <w:p w:rsidR="00B2085D" w:rsidRPr="00EF20A6" w:rsidRDefault="00B2085D" w:rsidP="00D21617">
            <w:pPr>
              <w:widowControl w:val="0"/>
              <w:autoSpaceDE w:val="0"/>
              <w:autoSpaceDN w:val="0"/>
              <w:adjustRightInd w:val="0"/>
              <w:ind w:left="-107" w:right="-108"/>
              <w:rPr>
                <w:rFonts w:ascii="Arial" w:hAnsi="Arial" w:cs="Arial"/>
              </w:rPr>
            </w:pPr>
            <w:r w:rsidRPr="00EF20A6">
              <w:rPr>
                <w:rFonts w:ascii="Arial" w:hAnsi="Arial" w:cs="Arial"/>
              </w:rPr>
              <w:t>Not Achieved = R</w:t>
            </w:r>
          </w:p>
        </w:tc>
        <w:tc>
          <w:tcPr>
            <w:tcW w:w="5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EF20A6" w:rsidRDefault="00B2085D" w:rsidP="00D21617">
            <w:pPr>
              <w:widowControl w:val="0"/>
              <w:autoSpaceDE w:val="0"/>
              <w:autoSpaceDN w:val="0"/>
              <w:adjustRightInd w:val="0"/>
              <w:rPr>
                <w:rFonts w:ascii="Arial" w:hAnsi="Arial" w:cs="Arial"/>
              </w:rPr>
            </w:pPr>
            <w:r w:rsidRPr="00EF20A6">
              <w:rPr>
                <w:rFonts w:ascii="Arial" w:hAnsi="Arial" w:cs="Arial"/>
              </w:rPr>
              <w:t>5.2%</w:t>
            </w:r>
          </w:p>
        </w:tc>
        <w:tc>
          <w:tcPr>
            <w:tcW w:w="45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EF20A6" w:rsidRDefault="00B2085D" w:rsidP="00D21617">
            <w:pPr>
              <w:widowControl w:val="0"/>
              <w:autoSpaceDE w:val="0"/>
              <w:autoSpaceDN w:val="0"/>
              <w:adjustRightInd w:val="0"/>
              <w:rPr>
                <w:rFonts w:ascii="Arial" w:hAnsi="Arial" w:cs="Arial"/>
              </w:rPr>
            </w:pPr>
            <w:r w:rsidRPr="00EF20A6">
              <w:rPr>
                <w:rFonts w:ascii="Arial" w:hAnsi="Arial" w:cs="Arial"/>
              </w:rPr>
              <w:t>5.6%</w:t>
            </w:r>
          </w:p>
        </w:tc>
        <w:tc>
          <w:tcPr>
            <w:tcW w:w="44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EF20A6" w:rsidRDefault="00B2085D" w:rsidP="00D21617">
            <w:pPr>
              <w:widowControl w:val="0"/>
              <w:autoSpaceDE w:val="0"/>
              <w:autoSpaceDN w:val="0"/>
              <w:adjustRightInd w:val="0"/>
              <w:rPr>
                <w:rFonts w:ascii="Arial" w:hAnsi="Arial" w:cs="Arial"/>
              </w:rPr>
            </w:pPr>
            <w:r w:rsidRPr="00EF20A6">
              <w:rPr>
                <w:rFonts w:ascii="Arial" w:hAnsi="Arial" w:cs="Arial"/>
              </w:rPr>
              <w:t>6.5%</w:t>
            </w:r>
          </w:p>
        </w:tc>
        <w:tc>
          <w:tcPr>
            <w:tcW w:w="650" w:type="pct"/>
            <w:gridSpan w:val="5"/>
            <w:tcBorders>
              <w:top w:val="single" w:sz="4" w:space="0" w:color="000000"/>
              <w:left w:val="single" w:sz="4" w:space="0" w:color="auto"/>
              <w:bottom w:val="single" w:sz="4" w:space="0" w:color="000000"/>
              <w:right w:val="single" w:sz="4" w:space="0" w:color="000000"/>
            </w:tcBorders>
            <w:vAlign w:val="center"/>
          </w:tcPr>
          <w:p w:rsidR="00B2085D" w:rsidRPr="00EF20A6" w:rsidRDefault="00B2085D" w:rsidP="00D21617">
            <w:pPr>
              <w:widowControl w:val="0"/>
              <w:autoSpaceDE w:val="0"/>
              <w:autoSpaceDN w:val="0"/>
              <w:adjustRightInd w:val="0"/>
              <w:ind w:left="-107" w:right="-108"/>
              <w:rPr>
                <w:rFonts w:ascii="Arial" w:hAnsi="Arial" w:cs="Arial"/>
              </w:rPr>
            </w:pPr>
            <w:r w:rsidRPr="00EF20A6">
              <w:rPr>
                <w:rFonts w:ascii="Arial" w:hAnsi="Arial" w:cs="Arial"/>
              </w:rPr>
              <w:t>Incremental reduction from baseline position of 5% to 3% by March 2019</w:t>
            </w:r>
          </w:p>
        </w:tc>
        <w:tc>
          <w:tcPr>
            <w:tcW w:w="462" w:type="pct"/>
            <w:tcBorders>
              <w:top w:val="single" w:sz="4" w:space="0" w:color="000000"/>
              <w:left w:val="single" w:sz="4" w:space="0" w:color="000000"/>
              <w:bottom w:val="single" w:sz="4" w:space="0" w:color="000000"/>
              <w:right w:val="single" w:sz="4" w:space="0" w:color="000000"/>
            </w:tcBorders>
            <w:shd w:val="clear" w:color="auto" w:fill="FF0000"/>
            <w:vAlign w:val="center"/>
          </w:tcPr>
          <w:p w:rsidR="00B2085D" w:rsidRPr="00EF20A6" w:rsidRDefault="00B2085D" w:rsidP="00D21617">
            <w:pPr>
              <w:widowControl w:val="0"/>
              <w:autoSpaceDE w:val="0"/>
              <w:autoSpaceDN w:val="0"/>
              <w:adjustRightInd w:val="0"/>
              <w:rPr>
                <w:rFonts w:ascii="Arial" w:hAnsi="Arial" w:cs="Arial"/>
                <w:color w:val="000000"/>
                <w:lang w:eastAsia="en-GB"/>
              </w:rPr>
            </w:pPr>
            <w:r w:rsidRPr="00EF20A6">
              <w:rPr>
                <w:rFonts w:ascii="Arial" w:hAnsi="Arial" w:cs="Arial"/>
                <w:color w:val="000000"/>
                <w:lang w:eastAsia="en-GB"/>
              </w:rPr>
              <w:sym w:font="Wingdings" w:char="F0F2"/>
            </w:r>
          </w:p>
        </w:tc>
      </w:tr>
      <w:tr w:rsidR="00B2085D"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84" w:type="pct"/>
            <w:gridSpan w:val="3"/>
            <w:tcBorders>
              <w:top w:val="single" w:sz="4" w:space="0" w:color="000000"/>
              <w:left w:val="single" w:sz="4" w:space="0" w:color="000000"/>
              <w:bottom w:val="single" w:sz="4" w:space="0" w:color="000000"/>
              <w:right w:val="single" w:sz="4" w:space="0" w:color="000000"/>
            </w:tcBorders>
          </w:tcPr>
          <w:p w:rsidR="00B2085D" w:rsidRPr="00EF20A6" w:rsidRDefault="00B2085D" w:rsidP="00D21617">
            <w:pPr>
              <w:widowControl w:val="0"/>
              <w:autoSpaceDE w:val="0"/>
              <w:autoSpaceDN w:val="0"/>
              <w:adjustRightInd w:val="0"/>
              <w:rPr>
                <w:rFonts w:ascii="Arial" w:hAnsi="Arial" w:cs="Arial"/>
                <w:color w:val="000000"/>
                <w:lang w:eastAsia="en-GB"/>
              </w:rPr>
            </w:pPr>
            <w:r w:rsidRPr="00EF20A6">
              <w:rPr>
                <w:rFonts w:ascii="Arial" w:hAnsi="Arial" w:cs="Arial"/>
                <w:color w:val="000000"/>
                <w:lang w:eastAsia="en-GB"/>
              </w:rPr>
              <w:t>General Surgery Cancellation Rate</w:t>
            </w:r>
          </w:p>
        </w:tc>
        <w:tc>
          <w:tcPr>
            <w:tcW w:w="993" w:type="pct"/>
            <w:gridSpan w:val="4"/>
            <w:tcBorders>
              <w:top w:val="single" w:sz="4" w:space="0" w:color="000000"/>
              <w:left w:val="single" w:sz="4" w:space="0" w:color="000000"/>
              <w:bottom w:val="single" w:sz="4" w:space="0" w:color="000000"/>
              <w:right w:val="single" w:sz="4" w:space="0" w:color="000000"/>
            </w:tcBorders>
          </w:tcPr>
          <w:p w:rsidR="00B2085D" w:rsidRPr="00EF20A6" w:rsidRDefault="00B2085D" w:rsidP="00D21617">
            <w:pPr>
              <w:rPr>
                <w:rFonts w:ascii="Arial" w:hAnsi="Arial" w:cs="Arial"/>
              </w:rPr>
            </w:pPr>
            <w:r w:rsidRPr="00EF20A6">
              <w:rPr>
                <w:rFonts w:ascii="Arial" w:hAnsi="Arial" w:cs="Arial"/>
                <w:color w:val="000000"/>
                <w:lang w:eastAsia="en-GB"/>
              </w:rPr>
              <w:t>Percentage of General Surgery patients cancelled on day of procedure</w:t>
            </w:r>
          </w:p>
        </w:tc>
        <w:tc>
          <w:tcPr>
            <w:tcW w:w="811" w:type="pct"/>
            <w:gridSpan w:val="2"/>
            <w:tcBorders>
              <w:top w:val="single" w:sz="4" w:space="0" w:color="000000"/>
              <w:left w:val="single" w:sz="4" w:space="0" w:color="000000"/>
              <w:bottom w:val="single" w:sz="4" w:space="0" w:color="000000"/>
              <w:right w:val="single" w:sz="4" w:space="0" w:color="auto"/>
            </w:tcBorders>
            <w:vAlign w:val="center"/>
          </w:tcPr>
          <w:p w:rsidR="00B2085D" w:rsidRPr="00EF20A6" w:rsidRDefault="00B2085D" w:rsidP="00D21617">
            <w:pPr>
              <w:widowControl w:val="0"/>
              <w:autoSpaceDE w:val="0"/>
              <w:autoSpaceDN w:val="0"/>
              <w:adjustRightInd w:val="0"/>
              <w:ind w:left="-107" w:right="-108"/>
              <w:rPr>
                <w:rFonts w:ascii="Arial" w:hAnsi="Arial" w:cs="Arial"/>
              </w:rPr>
            </w:pPr>
            <w:r w:rsidRPr="00EF20A6">
              <w:rPr>
                <w:rFonts w:ascii="Arial" w:hAnsi="Arial" w:cs="Arial"/>
              </w:rPr>
              <w:t>Achieved = G</w:t>
            </w:r>
          </w:p>
          <w:p w:rsidR="00B2085D" w:rsidRPr="00EF20A6" w:rsidRDefault="00B2085D" w:rsidP="00D21617">
            <w:pPr>
              <w:widowControl w:val="0"/>
              <w:autoSpaceDE w:val="0"/>
              <w:autoSpaceDN w:val="0"/>
              <w:adjustRightInd w:val="0"/>
              <w:ind w:left="-107" w:right="-108"/>
              <w:rPr>
                <w:rFonts w:ascii="Arial" w:hAnsi="Arial" w:cs="Arial"/>
              </w:rPr>
            </w:pPr>
            <w:r w:rsidRPr="00EF20A6">
              <w:rPr>
                <w:rFonts w:ascii="Arial" w:hAnsi="Arial" w:cs="Arial"/>
              </w:rPr>
              <w:t>Not Achieved = R</w:t>
            </w:r>
          </w:p>
        </w:tc>
        <w:tc>
          <w:tcPr>
            <w:tcW w:w="5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EF20A6" w:rsidRDefault="00B2085D" w:rsidP="00D21617">
            <w:pPr>
              <w:widowControl w:val="0"/>
              <w:autoSpaceDE w:val="0"/>
              <w:autoSpaceDN w:val="0"/>
              <w:adjustRightInd w:val="0"/>
              <w:rPr>
                <w:rFonts w:ascii="Arial" w:hAnsi="Arial" w:cs="Arial"/>
              </w:rPr>
            </w:pPr>
            <w:r w:rsidRPr="00EF20A6">
              <w:rPr>
                <w:rFonts w:ascii="Arial" w:hAnsi="Arial" w:cs="Arial"/>
              </w:rPr>
              <w:t>10.3%</w:t>
            </w:r>
          </w:p>
        </w:tc>
        <w:tc>
          <w:tcPr>
            <w:tcW w:w="45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EF20A6" w:rsidRDefault="00B2085D" w:rsidP="00D21617">
            <w:pPr>
              <w:widowControl w:val="0"/>
              <w:autoSpaceDE w:val="0"/>
              <w:autoSpaceDN w:val="0"/>
              <w:adjustRightInd w:val="0"/>
              <w:rPr>
                <w:rFonts w:ascii="Arial" w:hAnsi="Arial" w:cs="Arial"/>
              </w:rPr>
            </w:pPr>
            <w:r w:rsidRPr="00EF20A6">
              <w:rPr>
                <w:rFonts w:ascii="Arial" w:hAnsi="Arial" w:cs="Arial"/>
              </w:rPr>
              <w:t>8.1%</w:t>
            </w:r>
          </w:p>
        </w:tc>
        <w:tc>
          <w:tcPr>
            <w:tcW w:w="44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EF20A6" w:rsidRDefault="00B2085D" w:rsidP="00D21617">
            <w:pPr>
              <w:widowControl w:val="0"/>
              <w:autoSpaceDE w:val="0"/>
              <w:autoSpaceDN w:val="0"/>
              <w:adjustRightInd w:val="0"/>
              <w:rPr>
                <w:rFonts w:ascii="Arial" w:hAnsi="Arial" w:cs="Arial"/>
              </w:rPr>
            </w:pPr>
            <w:r w:rsidRPr="00EF20A6">
              <w:rPr>
                <w:rFonts w:ascii="Arial" w:hAnsi="Arial" w:cs="Arial"/>
              </w:rPr>
              <w:t>13.6%</w:t>
            </w:r>
          </w:p>
        </w:tc>
        <w:tc>
          <w:tcPr>
            <w:tcW w:w="650" w:type="pct"/>
            <w:gridSpan w:val="5"/>
            <w:tcBorders>
              <w:top w:val="single" w:sz="4" w:space="0" w:color="000000"/>
              <w:left w:val="single" w:sz="4" w:space="0" w:color="auto"/>
              <w:bottom w:val="single" w:sz="4" w:space="0" w:color="000000"/>
              <w:right w:val="single" w:sz="4" w:space="0" w:color="000000"/>
            </w:tcBorders>
            <w:vAlign w:val="center"/>
          </w:tcPr>
          <w:p w:rsidR="00B2085D" w:rsidRPr="00EF20A6" w:rsidRDefault="00B2085D" w:rsidP="00D21617">
            <w:pPr>
              <w:widowControl w:val="0"/>
              <w:autoSpaceDE w:val="0"/>
              <w:autoSpaceDN w:val="0"/>
              <w:adjustRightInd w:val="0"/>
              <w:ind w:left="-107" w:right="-108"/>
              <w:rPr>
                <w:rFonts w:ascii="Arial" w:hAnsi="Arial" w:cs="Arial"/>
              </w:rPr>
            </w:pPr>
            <w:r w:rsidRPr="00EF20A6">
              <w:rPr>
                <w:rFonts w:ascii="Arial" w:hAnsi="Arial" w:cs="Arial"/>
              </w:rPr>
              <w:t>Incremental reduction from baseline position of 9% to 5% by March 2019</w:t>
            </w:r>
          </w:p>
        </w:tc>
        <w:tc>
          <w:tcPr>
            <w:tcW w:w="462" w:type="pct"/>
            <w:tcBorders>
              <w:top w:val="single" w:sz="4" w:space="0" w:color="000000"/>
              <w:left w:val="single" w:sz="4" w:space="0" w:color="000000"/>
              <w:bottom w:val="single" w:sz="4" w:space="0" w:color="000000"/>
              <w:right w:val="single" w:sz="4" w:space="0" w:color="000000"/>
            </w:tcBorders>
            <w:shd w:val="clear" w:color="auto" w:fill="FF0000"/>
            <w:vAlign w:val="center"/>
          </w:tcPr>
          <w:p w:rsidR="00B2085D" w:rsidRPr="00EF20A6" w:rsidRDefault="00B2085D" w:rsidP="00D21617">
            <w:pPr>
              <w:widowControl w:val="0"/>
              <w:autoSpaceDE w:val="0"/>
              <w:autoSpaceDN w:val="0"/>
              <w:adjustRightInd w:val="0"/>
              <w:rPr>
                <w:rFonts w:ascii="Arial" w:hAnsi="Arial" w:cs="Arial"/>
                <w:color w:val="000000"/>
                <w:lang w:eastAsia="en-GB"/>
              </w:rPr>
            </w:pPr>
            <w:r>
              <w:rPr>
                <w:rFonts w:ascii="Arial" w:hAnsi="Arial" w:cs="Arial"/>
                <w:color w:val="000000"/>
                <w:lang w:eastAsia="en-GB"/>
              </w:rPr>
              <w:sym w:font="Wingdings" w:char="F0F2"/>
            </w:r>
          </w:p>
        </w:tc>
      </w:tr>
      <w:tr w:rsidR="00B2085D"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84" w:type="pct"/>
            <w:gridSpan w:val="3"/>
            <w:tcBorders>
              <w:top w:val="single" w:sz="4" w:space="0" w:color="000000"/>
              <w:left w:val="single" w:sz="4" w:space="0" w:color="000000"/>
              <w:bottom w:val="single" w:sz="4" w:space="0" w:color="000000"/>
              <w:right w:val="single" w:sz="4" w:space="0" w:color="000000"/>
            </w:tcBorders>
          </w:tcPr>
          <w:p w:rsidR="00B2085D" w:rsidRPr="00B2085D" w:rsidRDefault="00B2085D" w:rsidP="00D21617">
            <w:pPr>
              <w:widowControl w:val="0"/>
              <w:autoSpaceDE w:val="0"/>
              <w:autoSpaceDN w:val="0"/>
              <w:adjustRightInd w:val="0"/>
              <w:rPr>
                <w:rFonts w:ascii="Arial" w:hAnsi="Arial" w:cs="Arial"/>
                <w:color w:val="000000"/>
                <w:lang w:eastAsia="en-GB"/>
              </w:rPr>
            </w:pPr>
            <w:r>
              <w:rPr>
                <w:rFonts w:ascii="Arial" w:hAnsi="Arial" w:cs="Arial"/>
                <w:color w:val="000000"/>
                <w:lang w:eastAsia="en-GB"/>
              </w:rPr>
              <w:t xml:space="preserve">Orthopaedic </w:t>
            </w:r>
            <w:r w:rsidRPr="00B2085D">
              <w:rPr>
                <w:rFonts w:ascii="Arial" w:hAnsi="Arial" w:cs="Arial"/>
                <w:color w:val="000000"/>
                <w:lang w:eastAsia="en-GB"/>
              </w:rPr>
              <w:t>Cancellation Rate</w:t>
            </w:r>
          </w:p>
        </w:tc>
        <w:tc>
          <w:tcPr>
            <w:tcW w:w="993" w:type="pct"/>
            <w:gridSpan w:val="4"/>
            <w:tcBorders>
              <w:top w:val="single" w:sz="4" w:space="0" w:color="000000"/>
              <w:left w:val="single" w:sz="4" w:space="0" w:color="000000"/>
              <w:bottom w:val="single" w:sz="4" w:space="0" w:color="000000"/>
              <w:right w:val="single" w:sz="4" w:space="0" w:color="000000"/>
            </w:tcBorders>
          </w:tcPr>
          <w:p w:rsidR="00B2085D" w:rsidRPr="00B2085D" w:rsidRDefault="00B2085D" w:rsidP="00D21617">
            <w:pPr>
              <w:rPr>
                <w:rFonts w:ascii="Arial" w:hAnsi="Arial" w:cs="Arial"/>
              </w:rPr>
            </w:pPr>
            <w:r w:rsidRPr="00B2085D">
              <w:rPr>
                <w:rFonts w:ascii="Arial" w:hAnsi="Arial" w:cs="Arial"/>
                <w:color w:val="000000"/>
                <w:lang w:eastAsia="en-GB"/>
              </w:rPr>
              <w:t xml:space="preserve">Percentage of </w:t>
            </w:r>
            <w:r>
              <w:rPr>
                <w:rFonts w:ascii="Arial" w:hAnsi="Arial" w:cs="Arial"/>
                <w:color w:val="000000"/>
                <w:lang w:eastAsia="en-GB"/>
              </w:rPr>
              <w:t>Orthopaedic</w:t>
            </w:r>
            <w:r w:rsidRPr="00B2085D">
              <w:rPr>
                <w:rFonts w:ascii="Arial" w:hAnsi="Arial" w:cs="Arial"/>
                <w:color w:val="000000"/>
                <w:lang w:eastAsia="en-GB"/>
              </w:rPr>
              <w:t xml:space="preserve"> patients cancelled on day of procedure</w:t>
            </w:r>
          </w:p>
        </w:tc>
        <w:tc>
          <w:tcPr>
            <w:tcW w:w="811" w:type="pct"/>
            <w:gridSpan w:val="2"/>
            <w:tcBorders>
              <w:top w:val="single" w:sz="4" w:space="0" w:color="000000"/>
              <w:left w:val="single" w:sz="4" w:space="0" w:color="000000"/>
              <w:bottom w:val="single" w:sz="4" w:space="0" w:color="000000"/>
              <w:right w:val="single" w:sz="4" w:space="0" w:color="auto"/>
            </w:tcBorders>
            <w:vAlign w:val="center"/>
          </w:tcPr>
          <w:p w:rsidR="00B2085D" w:rsidRPr="00B2085D" w:rsidRDefault="00B2085D" w:rsidP="00D21617">
            <w:pPr>
              <w:widowControl w:val="0"/>
              <w:autoSpaceDE w:val="0"/>
              <w:autoSpaceDN w:val="0"/>
              <w:adjustRightInd w:val="0"/>
              <w:ind w:left="-107" w:right="-108"/>
              <w:rPr>
                <w:rFonts w:ascii="Arial" w:hAnsi="Arial" w:cs="Arial"/>
              </w:rPr>
            </w:pPr>
            <w:r w:rsidRPr="00B2085D">
              <w:rPr>
                <w:rFonts w:ascii="Arial" w:hAnsi="Arial" w:cs="Arial"/>
              </w:rPr>
              <w:t>Achieved = G</w:t>
            </w:r>
          </w:p>
          <w:p w:rsidR="00B2085D" w:rsidRPr="00B2085D" w:rsidRDefault="00B2085D" w:rsidP="00D21617">
            <w:pPr>
              <w:widowControl w:val="0"/>
              <w:autoSpaceDE w:val="0"/>
              <w:autoSpaceDN w:val="0"/>
              <w:adjustRightInd w:val="0"/>
              <w:ind w:left="-107" w:right="-108"/>
              <w:rPr>
                <w:rFonts w:ascii="Arial" w:hAnsi="Arial" w:cs="Arial"/>
              </w:rPr>
            </w:pPr>
            <w:r w:rsidRPr="00B2085D">
              <w:rPr>
                <w:rFonts w:ascii="Arial" w:hAnsi="Arial" w:cs="Arial"/>
              </w:rPr>
              <w:t>Not Achieved = R</w:t>
            </w:r>
          </w:p>
        </w:tc>
        <w:tc>
          <w:tcPr>
            <w:tcW w:w="5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B2085D" w:rsidRDefault="00B2085D" w:rsidP="00D21617">
            <w:pPr>
              <w:widowControl w:val="0"/>
              <w:autoSpaceDE w:val="0"/>
              <w:autoSpaceDN w:val="0"/>
              <w:adjustRightInd w:val="0"/>
              <w:rPr>
                <w:rFonts w:ascii="Arial" w:hAnsi="Arial" w:cs="Arial"/>
              </w:rPr>
            </w:pPr>
            <w:r>
              <w:rPr>
                <w:rFonts w:ascii="Arial" w:hAnsi="Arial" w:cs="Arial"/>
              </w:rPr>
              <w:t>2.9%</w:t>
            </w:r>
          </w:p>
        </w:tc>
        <w:tc>
          <w:tcPr>
            <w:tcW w:w="45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B2085D" w:rsidRDefault="00B2085D" w:rsidP="00D21617">
            <w:pPr>
              <w:widowControl w:val="0"/>
              <w:autoSpaceDE w:val="0"/>
              <w:autoSpaceDN w:val="0"/>
              <w:adjustRightInd w:val="0"/>
              <w:rPr>
                <w:rFonts w:ascii="Arial" w:hAnsi="Arial" w:cs="Arial"/>
              </w:rPr>
            </w:pPr>
            <w:r>
              <w:rPr>
                <w:rFonts w:ascii="Arial" w:hAnsi="Arial" w:cs="Arial"/>
              </w:rPr>
              <w:t>3.3%</w:t>
            </w:r>
          </w:p>
        </w:tc>
        <w:tc>
          <w:tcPr>
            <w:tcW w:w="44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B2085D" w:rsidRDefault="00B2085D" w:rsidP="00D21617">
            <w:pPr>
              <w:widowControl w:val="0"/>
              <w:autoSpaceDE w:val="0"/>
              <w:autoSpaceDN w:val="0"/>
              <w:adjustRightInd w:val="0"/>
              <w:rPr>
                <w:rFonts w:ascii="Arial" w:hAnsi="Arial" w:cs="Arial"/>
              </w:rPr>
            </w:pPr>
            <w:r>
              <w:rPr>
                <w:rFonts w:ascii="Arial" w:hAnsi="Arial" w:cs="Arial"/>
              </w:rPr>
              <w:t>4.8%</w:t>
            </w:r>
          </w:p>
        </w:tc>
        <w:tc>
          <w:tcPr>
            <w:tcW w:w="650" w:type="pct"/>
            <w:gridSpan w:val="5"/>
            <w:tcBorders>
              <w:top w:val="single" w:sz="4" w:space="0" w:color="000000"/>
              <w:left w:val="single" w:sz="4" w:space="0" w:color="auto"/>
              <w:bottom w:val="single" w:sz="4" w:space="0" w:color="000000"/>
              <w:right w:val="single" w:sz="4" w:space="0" w:color="000000"/>
            </w:tcBorders>
            <w:vAlign w:val="center"/>
          </w:tcPr>
          <w:p w:rsidR="00B2085D" w:rsidRPr="00B2085D" w:rsidRDefault="00B2085D" w:rsidP="00D21617">
            <w:pPr>
              <w:widowControl w:val="0"/>
              <w:autoSpaceDE w:val="0"/>
              <w:autoSpaceDN w:val="0"/>
              <w:adjustRightInd w:val="0"/>
              <w:ind w:left="-107" w:right="-108"/>
              <w:rPr>
                <w:rFonts w:ascii="Arial" w:hAnsi="Arial" w:cs="Arial"/>
              </w:rPr>
            </w:pPr>
            <w:r>
              <w:rPr>
                <w:rFonts w:ascii="Arial" w:hAnsi="Arial" w:cs="Arial"/>
              </w:rPr>
              <w:t xml:space="preserve">Monthly </w:t>
            </w:r>
            <w:r w:rsidRPr="00B2085D">
              <w:rPr>
                <w:rFonts w:ascii="Arial" w:hAnsi="Arial" w:cs="Arial"/>
              </w:rPr>
              <w:t xml:space="preserve">3% </w:t>
            </w:r>
            <w:r>
              <w:rPr>
                <w:rFonts w:ascii="Arial" w:hAnsi="Arial" w:cs="Arial"/>
              </w:rPr>
              <w:t>cancellation rate</w:t>
            </w:r>
          </w:p>
        </w:tc>
        <w:tc>
          <w:tcPr>
            <w:tcW w:w="462" w:type="pct"/>
            <w:tcBorders>
              <w:top w:val="single" w:sz="4" w:space="0" w:color="000000"/>
              <w:left w:val="single" w:sz="4" w:space="0" w:color="000000"/>
              <w:bottom w:val="single" w:sz="4" w:space="0" w:color="000000"/>
              <w:right w:val="single" w:sz="4" w:space="0" w:color="000000"/>
            </w:tcBorders>
            <w:shd w:val="clear" w:color="auto" w:fill="FF0000"/>
            <w:vAlign w:val="center"/>
          </w:tcPr>
          <w:p w:rsidR="00B2085D" w:rsidRPr="00B2085D" w:rsidRDefault="00B2085D" w:rsidP="00D21617">
            <w:pPr>
              <w:widowControl w:val="0"/>
              <w:autoSpaceDE w:val="0"/>
              <w:autoSpaceDN w:val="0"/>
              <w:adjustRightInd w:val="0"/>
              <w:rPr>
                <w:rFonts w:ascii="Arial" w:hAnsi="Arial" w:cs="Arial"/>
                <w:color w:val="000000"/>
                <w:lang w:eastAsia="en-GB"/>
              </w:rPr>
            </w:pPr>
            <w:r w:rsidRPr="00B2085D">
              <w:rPr>
                <w:rFonts w:ascii="Arial" w:hAnsi="Arial" w:cs="Arial"/>
                <w:color w:val="000000"/>
                <w:lang w:eastAsia="en-GB"/>
              </w:rPr>
              <w:sym w:font="Wingdings" w:char="F0F2"/>
            </w:r>
          </w:p>
        </w:tc>
      </w:tr>
      <w:tr w:rsidR="00B2085D"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84" w:type="pct"/>
            <w:gridSpan w:val="3"/>
            <w:tcBorders>
              <w:top w:val="single" w:sz="4" w:space="0" w:color="000000"/>
              <w:left w:val="single" w:sz="4" w:space="0" w:color="000000"/>
              <w:bottom w:val="single" w:sz="4" w:space="0" w:color="000000"/>
              <w:right w:val="single" w:sz="4" w:space="0" w:color="000000"/>
            </w:tcBorders>
          </w:tcPr>
          <w:p w:rsidR="00B2085D" w:rsidRPr="00B2085D" w:rsidRDefault="00B2085D" w:rsidP="00D21617">
            <w:pPr>
              <w:widowControl w:val="0"/>
              <w:autoSpaceDE w:val="0"/>
              <w:autoSpaceDN w:val="0"/>
              <w:adjustRightInd w:val="0"/>
              <w:rPr>
                <w:rFonts w:ascii="Arial" w:hAnsi="Arial" w:cs="Arial"/>
                <w:color w:val="000000"/>
                <w:lang w:eastAsia="en-GB"/>
              </w:rPr>
            </w:pPr>
            <w:r w:rsidRPr="00B2085D">
              <w:rPr>
                <w:rFonts w:ascii="Arial" w:hAnsi="Arial" w:cs="Arial"/>
                <w:color w:val="000000"/>
                <w:lang w:eastAsia="en-GB"/>
              </w:rPr>
              <w:t>Cardiology Cancellation Rate</w:t>
            </w:r>
          </w:p>
        </w:tc>
        <w:tc>
          <w:tcPr>
            <w:tcW w:w="993" w:type="pct"/>
            <w:gridSpan w:val="4"/>
            <w:tcBorders>
              <w:top w:val="single" w:sz="4" w:space="0" w:color="000000"/>
              <w:left w:val="single" w:sz="4" w:space="0" w:color="000000"/>
              <w:bottom w:val="single" w:sz="4" w:space="0" w:color="000000"/>
              <w:right w:val="single" w:sz="4" w:space="0" w:color="000000"/>
            </w:tcBorders>
          </w:tcPr>
          <w:p w:rsidR="00B2085D" w:rsidRPr="00B2085D" w:rsidRDefault="00B2085D" w:rsidP="00D21617">
            <w:pPr>
              <w:rPr>
                <w:rFonts w:ascii="Arial" w:hAnsi="Arial" w:cs="Arial"/>
              </w:rPr>
            </w:pPr>
            <w:r w:rsidRPr="00B2085D">
              <w:rPr>
                <w:rFonts w:ascii="Arial" w:hAnsi="Arial" w:cs="Arial"/>
                <w:color w:val="000000"/>
                <w:lang w:eastAsia="en-GB"/>
              </w:rPr>
              <w:t>Percentage of Cardiology patients cancelled on day of procedure</w:t>
            </w:r>
          </w:p>
        </w:tc>
        <w:tc>
          <w:tcPr>
            <w:tcW w:w="811" w:type="pct"/>
            <w:gridSpan w:val="2"/>
            <w:tcBorders>
              <w:top w:val="single" w:sz="4" w:space="0" w:color="000000"/>
              <w:left w:val="single" w:sz="4" w:space="0" w:color="000000"/>
              <w:bottom w:val="single" w:sz="4" w:space="0" w:color="000000"/>
              <w:right w:val="single" w:sz="4" w:space="0" w:color="auto"/>
            </w:tcBorders>
            <w:vAlign w:val="center"/>
          </w:tcPr>
          <w:p w:rsidR="00B2085D" w:rsidRPr="00B2085D" w:rsidRDefault="00B2085D" w:rsidP="00D21617">
            <w:pPr>
              <w:widowControl w:val="0"/>
              <w:autoSpaceDE w:val="0"/>
              <w:autoSpaceDN w:val="0"/>
              <w:adjustRightInd w:val="0"/>
              <w:ind w:left="-107" w:right="-108"/>
              <w:rPr>
                <w:rFonts w:ascii="Arial" w:hAnsi="Arial" w:cs="Arial"/>
              </w:rPr>
            </w:pPr>
            <w:r w:rsidRPr="00B2085D">
              <w:rPr>
                <w:rFonts w:ascii="Arial" w:hAnsi="Arial" w:cs="Arial"/>
              </w:rPr>
              <w:t>Achieved = G</w:t>
            </w:r>
          </w:p>
          <w:p w:rsidR="00B2085D" w:rsidRPr="00B2085D" w:rsidRDefault="00B2085D" w:rsidP="00D21617">
            <w:pPr>
              <w:widowControl w:val="0"/>
              <w:autoSpaceDE w:val="0"/>
              <w:autoSpaceDN w:val="0"/>
              <w:adjustRightInd w:val="0"/>
              <w:ind w:left="-107" w:right="-108"/>
              <w:rPr>
                <w:rFonts w:ascii="Arial" w:hAnsi="Arial" w:cs="Arial"/>
              </w:rPr>
            </w:pPr>
            <w:r w:rsidRPr="00B2085D">
              <w:rPr>
                <w:rFonts w:ascii="Arial" w:hAnsi="Arial" w:cs="Arial"/>
              </w:rPr>
              <w:t>Not Achieved = R</w:t>
            </w:r>
          </w:p>
        </w:tc>
        <w:tc>
          <w:tcPr>
            <w:tcW w:w="5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B2085D" w:rsidRDefault="00B2085D" w:rsidP="00D21617">
            <w:pPr>
              <w:widowControl w:val="0"/>
              <w:autoSpaceDE w:val="0"/>
              <w:autoSpaceDN w:val="0"/>
              <w:adjustRightInd w:val="0"/>
              <w:rPr>
                <w:rFonts w:ascii="Arial" w:hAnsi="Arial" w:cs="Arial"/>
              </w:rPr>
            </w:pPr>
            <w:r w:rsidRPr="00B2085D">
              <w:rPr>
                <w:rFonts w:ascii="Arial" w:hAnsi="Arial" w:cs="Arial"/>
              </w:rPr>
              <w:t>4.6%</w:t>
            </w:r>
          </w:p>
        </w:tc>
        <w:tc>
          <w:tcPr>
            <w:tcW w:w="45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B2085D" w:rsidRDefault="00B2085D" w:rsidP="00D21617">
            <w:pPr>
              <w:widowControl w:val="0"/>
              <w:autoSpaceDE w:val="0"/>
              <w:autoSpaceDN w:val="0"/>
              <w:adjustRightInd w:val="0"/>
              <w:rPr>
                <w:rFonts w:ascii="Arial" w:hAnsi="Arial" w:cs="Arial"/>
              </w:rPr>
            </w:pPr>
            <w:r w:rsidRPr="00B2085D">
              <w:rPr>
                <w:rFonts w:ascii="Arial" w:hAnsi="Arial" w:cs="Arial"/>
              </w:rPr>
              <w:t>12.8%</w:t>
            </w:r>
          </w:p>
        </w:tc>
        <w:tc>
          <w:tcPr>
            <w:tcW w:w="44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2085D" w:rsidRPr="00B2085D" w:rsidRDefault="00B2085D" w:rsidP="00D21617">
            <w:pPr>
              <w:widowControl w:val="0"/>
              <w:autoSpaceDE w:val="0"/>
              <w:autoSpaceDN w:val="0"/>
              <w:adjustRightInd w:val="0"/>
              <w:rPr>
                <w:rFonts w:ascii="Arial" w:hAnsi="Arial" w:cs="Arial"/>
              </w:rPr>
            </w:pPr>
            <w:r w:rsidRPr="00B2085D">
              <w:rPr>
                <w:rFonts w:ascii="Arial" w:hAnsi="Arial" w:cs="Arial"/>
              </w:rPr>
              <w:t>9.6%</w:t>
            </w:r>
          </w:p>
        </w:tc>
        <w:tc>
          <w:tcPr>
            <w:tcW w:w="650" w:type="pct"/>
            <w:gridSpan w:val="5"/>
            <w:tcBorders>
              <w:top w:val="single" w:sz="4" w:space="0" w:color="000000"/>
              <w:left w:val="single" w:sz="4" w:space="0" w:color="auto"/>
              <w:bottom w:val="single" w:sz="4" w:space="0" w:color="000000"/>
              <w:right w:val="single" w:sz="4" w:space="0" w:color="000000"/>
            </w:tcBorders>
            <w:vAlign w:val="center"/>
          </w:tcPr>
          <w:p w:rsidR="00B2085D" w:rsidRPr="00B2085D" w:rsidRDefault="00B2085D" w:rsidP="00D21617">
            <w:pPr>
              <w:widowControl w:val="0"/>
              <w:autoSpaceDE w:val="0"/>
              <w:autoSpaceDN w:val="0"/>
              <w:adjustRightInd w:val="0"/>
              <w:ind w:left="-107" w:right="-108"/>
              <w:rPr>
                <w:rFonts w:ascii="Arial" w:hAnsi="Arial" w:cs="Arial"/>
              </w:rPr>
            </w:pPr>
            <w:r w:rsidRPr="00B2085D">
              <w:rPr>
                <w:rFonts w:ascii="Arial" w:hAnsi="Arial" w:cs="Arial"/>
              </w:rPr>
              <w:t>Incremental reduction from baseline position of 5.5% to 3% by March 2019</w:t>
            </w:r>
          </w:p>
        </w:tc>
        <w:tc>
          <w:tcPr>
            <w:tcW w:w="462" w:type="pct"/>
            <w:tcBorders>
              <w:top w:val="single" w:sz="4" w:space="0" w:color="000000"/>
              <w:left w:val="single" w:sz="4" w:space="0" w:color="000000"/>
              <w:bottom w:val="single" w:sz="4" w:space="0" w:color="000000"/>
              <w:right w:val="single" w:sz="4" w:space="0" w:color="000000"/>
            </w:tcBorders>
            <w:shd w:val="clear" w:color="auto" w:fill="FF0000"/>
            <w:vAlign w:val="center"/>
          </w:tcPr>
          <w:p w:rsidR="00B2085D" w:rsidRPr="00B2085D" w:rsidRDefault="00B2085D" w:rsidP="00D21617">
            <w:pPr>
              <w:widowControl w:val="0"/>
              <w:autoSpaceDE w:val="0"/>
              <w:autoSpaceDN w:val="0"/>
              <w:adjustRightInd w:val="0"/>
              <w:rPr>
                <w:rFonts w:ascii="Arial" w:hAnsi="Arial" w:cs="Arial"/>
                <w:color w:val="000000"/>
                <w:lang w:eastAsia="en-GB"/>
              </w:rPr>
            </w:pPr>
            <w:r w:rsidRPr="00B2085D">
              <w:rPr>
                <w:rFonts w:ascii="Arial" w:hAnsi="Arial" w:cs="Arial"/>
                <w:color w:val="000000"/>
                <w:lang w:eastAsia="en-GB"/>
              </w:rPr>
              <w:sym w:font="Wingdings" w:char="F0F1"/>
            </w:r>
          </w:p>
        </w:tc>
      </w:tr>
      <w:tr w:rsidR="00B2085D"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74"/>
        </w:trPr>
        <w:tc>
          <w:tcPr>
            <w:tcW w:w="5000" w:type="pct"/>
            <w:gridSpan w:val="27"/>
            <w:tcBorders>
              <w:top w:val="single" w:sz="4" w:space="0" w:color="000000"/>
              <w:left w:val="single" w:sz="4" w:space="0" w:color="000000"/>
              <w:bottom w:val="single" w:sz="4" w:space="0" w:color="auto"/>
              <w:right w:val="single" w:sz="4" w:space="0" w:color="000000"/>
            </w:tcBorders>
          </w:tcPr>
          <w:p w:rsidR="00B2085D" w:rsidRPr="00B2085D" w:rsidRDefault="00B2085D" w:rsidP="00D21617">
            <w:pPr>
              <w:autoSpaceDE w:val="0"/>
              <w:autoSpaceDN w:val="0"/>
              <w:spacing w:after="120"/>
              <w:rPr>
                <w:rFonts w:ascii="Arial" w:hAnsi="Arial" w:cs="Arial"/>
                <w:b/>
                <w:iCs/>
                <w:color w:val="000000"/>
              </w:rPr>
            </w:pPr>
            <w:r w:rsidRPr="00B2085D">
              <w:rPr>
                <w:rFonts w:ascii="Arial" w:hAnsi="Arial" w:cs="Arial"/>
                <w:b/>
                <w:iCs/>
                <w:color w:val="000000"/>
              </w:rPr>
              <w:lastRenderedPageBreak/>
              <w:t>Analysis</w:t>
            </w:r>
          </w:p>
          <w:p w:rsidR="00B2085D" w:rsidRDefault="00D21617" w:rsidP="00D21617">
            <w:pPr>
              <w:autoSpaceDE w:val="0"/>
              <w:autoSpaceDN w:val="0"/>
              <w:spacing w:after="120"/>
              <w:rPr>
                <w:rFonts w:ascii="Arial" w:hAnsi="Arial" w:cs="Arial"/>
              </w:rPr>
            </w:pPr>
            <w:r>
              <w:rPr>
                <w:rFonts w:ascii="Arial" w:hAnsi="Arial" w:cs="Arial"/>
              </w:rPr>
              <w:t>Ophthalmology reported its’</w:t>
            </w:r>
            <w:r w:rsidR="00B2085D">
              <w:rPr>
                <w:rFonts w:ascii="Arial" w:hAnsi="Arial" w:cs="Arial"/>
              </w:rPr>
              <w:t xml:space="preserve"> lowest ever cancellation rate of 1.5% during October. This equates to </w:t>
            </w:r>
            <w:r>
              <w:rPr>
                <w:rFonts w:ascii="Arial" w:hAnsi="Arial" w:cs="Arial"/>
              </w:rPr>
              <w:t>10</w:t>
            </w:r>
            <w:r w:rsidR="00B2085D">
              <w:rPr>
                <w:rFonts w:ascii="Arial" w:hAnsi="Arial" w:cs="Arial"/>
              </w:rPr>
              <w:t xml:space="preserve"> cancellations during the month. </w:t>
            </w:r>
            <w:r w:rsidR="00B2085D" w:rsidRPr="00B2085D">
              <w:rPr>
                <w:rFonts w:ascii="Arial" w:hAnsi="Arial" w:cs="Arial"/>
              </w:rPr>
              <w:t>Seven of the cancellations were for patient reasons (DNA/Unable to attend). The three remaining cancellations were due to the patient not being fit, all of which were unavoidable. Suitable patients continue to be recruited from outpatients to replace on the day cancellations and ensure the Ophthalmology theatres are fully utilised.</w:t>
            </w:r>
          </w:p>
          <w:p w:rsidR="00B2085D" w:rsidRPr="00C03E43" w:rsidRDefault="00B2085D" w:rsidP="00D21617">
            <w:pPr>
              <w:autoSpaceDE w:val="0"/>
              <w:autoSpaceDN w:val="0"/>
              <w:spacing w:after="120"/>
              <w:rPr>
                <w:rFonts w:ascii="Arial" w:hAnsi="Arial" w:cs="Arial"/>
              </w:rPr>
            </w:pPr>
            <w:r w:rsidRPr="0035533E">
              <w:rPr>
                <w:rFonts w:ascii="Arial" w:hAnsi="Arial" w:cs="Arial"/>
              </w:rPr>
              <w:t>Theatre cancellation</w:t>
            </w:r>
            <w:r w:rsidR="00B73198" w:rsidRPr="0035533E">
              <w:rPr>
                <w:rFonts w:ascii="Arial" w:hAnsi="Arial" w:cs="Arial"/>
              </w:rPr>
              <w:t xml:space="preserve"> rates</w:t>
            </w:r>
            <w:r w:rsidRPr="0035533E">
              <w:rPr>
                <w:rFonts w:ascii="Arial" w:hAnsi="Arial" w:cs="Arial"/>
              </w:rPr>
              <w:t xml:space="preserve"> have been improving during 2018/19</w:t>
            </w:r>
            <w:r w:rsidR="00B73198" w:rsidRPr="0035533E">
              <w:rPr>
                <w:rFonts w:ascii="Arial" w:hAnsi="Arial" w:cs="Arial"/>
              </w:rPr>
              <w:t>, w</w:t>
            </w:r>
            <w:r w:rsidRPr="0035533E">
              <w:rPr>
                <w:rFonts w:ascii="Arial" w:hAnsi="Arial" w:cs="Arial"/>
              </w:rPr>
              <w:t xml:space="preserve">ith most specialties reporting a reduced cancellation rate compared to 2017/18. </w:t>
            </w:r>
            <w:r w:rsidR="00C03E43" w:rsidRPr="0035533E">
              <w:rPr>
                <w:rFonts w:ascii="Arial" w:hAnsi="Arial" w:cs="Arial"/>
              </w:rPr>
              <w:t>Unfortunately during October</w:t>
            </w:r>
            <w:r w:rsidR="00B73198" w:rsidRPr="0035533E">
              <w:rPr>
                <w:rFonts w:ascii="Arial" w:hAnsi="Arial" w:cs="Arial"/>
              </w:rPr>
              <w:t>,</w:t>
            </w:r>
            <w:r w:rsidR="00C03E43" w:rsidRPr="0035533E">
              <w:rPr>
                <w:rFonts w:ascii="Arial" w:hAnsi="Arial" w:cs="Arial"/>
              </w:rPr>
              <w:t xml:space="preserve"> several specialties </w:t>
            </w:r>
            <w:r w:rsidR="00B73198" w:rsidRPr="0035533E">
              <w:rPr>
                <w:rFonts w:ascii="Arial" w:hAnsi="Arial" w:cs="Arial"/>
              </w:rPr>
              <w:t>reported</w:t>
            </w:r>
            <w:r w:rsidR="00C03E43" w:rsidRPr="0035533E">
              <w:rPr>
                <w:rFonts w:ascii="Arial" w:hAnsi="Arial" w:cs="Arial"/>
              </w:rPr>
              <w:t xml:space="preserve"> an increase in cancellations. This was due to a variety of reasons</w:t>
            </w:r>
            <w:r w:rsidR="00DB2A98" w:rsidRPr="0035533E">
              <w:rPr>
                <w:rFonts w:ascii="Arial" w:hAnsi="Arial" w:cs="Arial"/>
              </w:rPr>
              <w:t xml:space="preserve"> such as a lack of operating time and cancellations in specialties that undertake a low volume of procedures in theatre</w:t>
            </w:r>
            <w:r w:rsidR="0035533E">
              <w:rPr>
                <w:rFonts w:ascii="Arial" w:hAnsi="Arial" w:cs="Arial"/>
              </w:rPr>
              <w:t xml:space="preserve">. </w:t>
            </w:r>
            <w:r>
              <w:rPr>
                <w:rFonts w:ascii="Arial" w:hAnsi="Arial" w:cs="Arial"/>
              </w:rPr>
              <w:t xml:space="preserve">A short life working group has been established to focus on </w:t>
            </w:r>
            <w:r w:rsidR="00C03E43">
              <w:rPr>
                <w:rFonts w:ascii="Arial" w:hAnsi="Arial" w:cs="Arial"/>
              </w:rPr>
              <w:t>improving the cancellation rate</w:t>
            </w:r>
            <w:r>
              <w:rPr>
                <w:rFonts w:ascii="Arial" w:hAnsi="Arial" w:cs="Arial"/>
              </w:rPr>
              <w:t xml:space="preserve"> within </w:t>
            </w:r>
            <w:r w:rsidR="00C03E43">
              <w:rPr>
                <w:rFonts w:ascii="Arial" w:hAnsi="Arial" w:cs="Arial"/>
              </w:rPr>
              <w:t>General Surgery and Endoscopy.</w:t>
            </w:r>
          </w:p>
        </w:tc>
      </w:tr>
      <w:tr w:rsidR="008C2ADF"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blHeader/>
        </w:trPr>
        <w:tc>
          <w:tcPr>
            <w:tcW w:w="688" w:type="pct"/>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8C2ADF" w:rsidRPr="008C2ADF" w:rsidRDefault="008C2ADF" w:rsidP="00D21617">
            <w:pPr>
              <w:widowControl w:val="0"/>
              <w:autoSpaceDE w:val="0"/>
              <w:autoSpaceDN w:val="0"/>
              <w:adjustRightInd w:val="0"/>
              <w:rPr>
                <w:rFonts w:ascii="Arial" w:hAnsi="Arial" w:cs="Arial"/>
                <w:color w:val="000000"/>
                <w:lang w:eastAsia="en-GB"/>
              </w:rPr>
            </w:pPr>
            <w:r w:rsidRPr="008C2ADF">
              <w:rPr>
                <w:rFonts w:ascii="Arial" w:hAnsi="Arial" w:cs="Arial"/>
                <w:color w:val="000000"/>
                <w:lang w:eastAsia="en-GB"/>
              </w:rPr>
              <w:t>KPI</w:t>
            </w:r>
          </w:p>
        </w:tc>
        <w:tc>
          <w:tcPr>
            <w:tcW w:w="990"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8C2ADF" w:rsidRPr="008C2ADF" w:rsidRDefault="008C2ADF" w:rsidP="00D21617">
            <w:pPr>
              <w:widowControl w:val="0"/>
              <w:autoSpaceDE w:val="0"/>
              <w:autoSpaceDN w:val="0"/>
              <w:adjustRightInd w:val="0"/>
              <w:rPr>
                <w:rFonts w:ascii="Arial" w:hAnsi="Arial" w:cs="Arial"/>
                <w:color w:val="000000"/>
                <w:lang w:eastAsia="en-GB"/>
              </w:rPr>
            </w:pPr>
            <w:r w:rsidRPr="008C2ADF">
              <w:rPr>
                <w:rFonts w:ascii="Arial" w:hAnsi="Arial" w:cs="Arial"/>
                <w:color w:val="000000"/>
                <w:lang w:eastAsia="en-GB"/>
              </w:rPr>
              <w:t>Details</w:t>
            </w:r>
          </w:p>
        </w:tc>
        <w:tc>
          <w:tcPr>
            <w:tcW w:w="911" w:type="pct"/>
            <w:gridSpan w:val="4"/>
            <w:tcBorders>
              <w:top w:val="single" w:sz="4" w:space="0" w:color="000000"/>
              <w:left w:val="single" w:sz="4" w:space="0" w:color="000000"/>
              <w:bottom w:val="single" w:sz="4" w:space="0" w:color="000000"/>
              <w:right w:val="single" w:sz="4" w:space="0" w:color="auto"/>
            </w:tcBorders>
            <w:shd w:val="clear" w:color="auto" w:fill="D9D9D9"/>
            <w:vAlign w:val="center"/>
          </w:tcPr>
          <w:p w:rsidR="008C2ADF" w:rsidRPr="008C2ADF" w:rsidRDefault="008C2ADF" w:rsidP="00D21617">
            <w:pPr>
              <w:rPr>
                <w:rFonts w:ascii="Arial" w:hAnsi="Arial" w:cs="Arial"/>
              </w:rPr>
            </w:pPr>
            <w:r w:rsidRPr="008C2ADF">
              <w:rPr>
                <w:rFonts w:ascii="Arial" w:hAnsi="Arial" w:cs="Arial"/>
              </w:rPr>
              <w:t>Tolerance</w:t>
            </w:r>
          </w:p>
        </w:tc>
        <w:tc>
          <w:tcPr>
            <w:tcW w:w="450" w:type="pct"/>
            <w:gridSpan w:val="3"/>
            <w:tcBorders>
              <w:top w:val="single" w:sz="4" w:space="0" w:color="auto"/>
              <w:left w:val="single" w:sz="4" w:space="0" w:color="auto"/>
              <w:bottom w:val="single" w:sz="4" w:space="0" w:color="auto"/>
              <w:right w:val="single" w:sz="4" w:space="0" w:color="auto"/>
            </w:tcBorders>
            <w:shd w:val="clear" w:color="auto" w:fill="D9D9D9"/>
          </w:tcPr>
          <w:p w:rsidR="008C2ADF" w:rsidRPr="008C2ADF" w:rsidRDefault="008C2ADF" w:rsidP="00D21617">
            <w:pPr>
              <w:widowControl w:val="0"/>
              <w:autoSpaceDE w:val="0"/>
              <w:autoSpaceDN w:val="0"/>
              <w:adjustRightInd w:val="0"/>
              <w:rPr>
                <w:rFonts w:ascii="Arial" w:hAnsi="Arial" w:cs="Arial"/>
                <w:color w:val="000000"/>
                <w:lang w:eastAsia="en-GB"/>
              </w:rPr>
            </w:pPr>
            <w:r w:rsidRPr="008C2ADF">
              <w:rPr>
                <w:rFonts w:ascii="Arial" w:hAnsi="Arial" w:cs="Arial"/>
                <w:color w:val="000000"/>
                <w:lang w:eastAsia="en-GB"/>
              </w:rPr>
              <w:t>Jul 2018</w:t>
            </w:r>
          </w:p>
        </w:tc>
        <w:tc>
          <w:tcPr>
            <w:tcW w:w="452" w:type="pct"/>
            <w:gridSpan w:val="4"/>
            <w:tcBorders>
              <w:top w:val="single" w:sz="4" w:space="0" w:color="auto"/>
              <w:left w:val="single" w:sz="4" w:space="0" w:color="auto"/>
              <w:bottom w:val="single" w:sz="4" w:space="0" w:color="auto"/>
              <w:right w:val="single" w:sz="4" w:space="0" w:color="auto"/>
            </w:tcBorders>
            <w:shd w:val="clear" w:color="auto" w:fill="D9D9D9"/>
          </w:tcPr>
          <w:p w:rsidR="008C2ADF" w:rsidRPr="008C2ADF" w:rsidRDefault="008C2ADF" w:rsidP="00D21617">
            <w:pPr>
              <w:widowControl w:val="0"/>
              <w:autoSpaceDE w:val="0"/>
              <w:autoSpaceDN w:val="0"/>
              <w:adjustRightInd w:val="0"/>
              <w:rPr>
                <w:rFonts w:ascii="Arial" w:hAnsi="Arial" w:cs="Arial"/>
                <w:color w:val="000000"/>
                <w:lang w:eastAsia="en-GB"/>
              </w:rPr>
            </w:pPr>
            <w:r w:rsidRPr="008C2ADF">
              <w:rPr>
                <w:rFonts w:ascii="Arial" w:hAnsi="Arial" w:cs="Arial"/>
                <w:color w:val="000000"/>
                <w:lang w:eastAsia="en-GB"/>
              </w:rPr>
              <w:t>Aug 2018</w:t>
            </w:r>
          </w:p>
        </w:tc>
        <w:tc>
          <w:tcPr>
            <w:tcW w:w="451" w:type="pct"/>
            <w:gridSpan w:val="4"/>
            <w:tcBorders>
              <w:top w:val="single" w:sz="4" w:space="0" w:color="auto"/>
              <w:left w:val="single" w:sz="4" w:space="0" w:color="auto"/>
              <w:bottom w:val="single" w:sz="4" w:space="0" w:color="auto"/>
              <w:right w:val="single" w:sz="4" w:space="0" w:color="auto"/>
            </w:tcBorders>
            <w:shd w:val="clear" w:color="auto" w:fill="D9D9D9"/>
          </w:tcPr>
          <w:p w:rsidR="008C2ADF" w:rsidRPr="008C2ADF" w:rsidRDefault="008C2ADF" w:rsidP="00D21617">
            <w:pPr>
              <w:widowControl w:val="0"/>
              <w:autoSpaceDE w:val="0"/>
              <w:autoSpaceDN w:val="0"/>
              <w:adjustRightInd w:val="0"/>
              <w:rPr>
                <w:rFonts w:ascii="Arial" w:hAnsi="Arial" w:cs="Arial"/>
                <w:color w:val="000000"/>
                <w:lang w:eastAsia="en-GB"/>
              </w:rPr>
            </w:pPr>
            <w:r w:rsidRPr="008C2ADF">
              <w:rPr>
                <w:rFonts w:ascii="Arial" w:hAnsi="Arial" w:cs="Arial"/>
                <w:color w:val="000000"/>
                <w:lang w:eastAsia="en-GB"/>
              </w:rPr>
              <w:t>Sep 2018</w:t>
            </w:r>
          </w:p>
        </w:tc>
        <w:tc>
          <w:tcPr>
            <w:tcW w:w="509" w:type="pct"/>
            <w:gridSpan w:val="3"/>
            <w:tcBorders>
              <w:top w:val="single" w:sz="4" w:space="0" w:color="000000"/>
              <w:left w:val="single" w:sz="4" w:space="0" w:color="auto"/>
              <w:bottom w:val="single" w:sz="4" w:space="0" w:color="000000"/>
              <w:right w:val="single" w:sz="4" w:space="0" w:color="000000"/>
            </w:tcBorders>
            <w:shd w:val="clear" w:color="auto" w:fill="D9D9D9"/>
            <w:vAlign w:val="center"/>
          </w:tcPr>
          <w:p w:rsidR="008C2ADF" w:rsidRPr="008C2ADF" w:rsidRDefault="008C2ADF" w:rsidP="00D21617">
            <w:pPr>
              <w:widowControl w:val="0"/>
              <w:autoSpaceDE w:val="0"/>
              <w:autoSpaceDN w:val="0"/>
              <w:adjustRightInd w:val="0"/>
              <w:rPr>
                <w:rFonts w:ascii="Arial" w:hAnsi="Arial" w:cs="Arial"/>
                <w:color w:val="000000"/>
                <w:lang w:eastAsia="en-GB"/>
              </w:rPr>
            </w:pPr>
            <w:r w:rsidRPr="008C2ADF">
              <w:rPr>
                <w:rFonts w:ascii="Arial" w:hAnsi="Arial" w:cs="Arial"/>
                <w:color w:val="000000"/>
                <w:lang w:eastAsia="en-GB"/>
              </w:rPr>
              <w:t>Target</w:t>
            </w:r>
          </w:p>
        </w:tc>
        <w:tc>
          <w:tcPr>
            <w:tcW w:w="5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8C2ADF" w:rsidRPr="008C2ADF" w:rsidRDefault="008C2ADF" w:rsidP="00D21617">
            <w:pPr>
              <w:widowControl w:val="0"/>
              <w:autoSpaceDE w:val="0"/>
              <w:autoSpaceDN w:val="0"/>
              <w:adjustRightInd w:val="0"/>
              <w:rPr>
                <w:rFonts w:ascii="Arial" w:hAnsi="Arial" w:cs="Arial"/>
                <w:lang w:eastAsia="en-GB"/>
              </w:rPr>
            </w:pPr>
            <w:r w:rsidRPr="008C2ADF">
              <w:rPr>
                <w:rFonts w:ascii="Arial" w:hAnsi="Arial" w:cs="Arial"/>
                <w:lang w:eastAsia="en-GB"/>
              </w:rPr>
              <w:t>On Track</w:t>
            </w:r>
          </w:p>
        </w:tc>
      </w:tr>
      <w:tr w:rsidR="008C2ADF"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688" w:type="pct"/>
            <w:gridSpan w:val="4"/>
            <w:tcBorders>
              <w:top w:val="single" w:sz="4" w:space="0" w:color="000000"/>
              <w:left w:val="single" w:sz="4" w:space="0" w:color="000000"/>
              <w:right w:val="single" w:sz="4" w:space="0" w:color="000000"/>
            </w:tcBorders>
          </w:tcPr>
          <w:p w:rsidR="008C2ADF" w:rsidRPr="008C2ADF" w:rsidRDefault="008C2ADF" w:rsidP="00D21617">
            <w:pPr>
              <w:widowControl w:val="0"/>
              <w:autoSpaceDE w:val="0"/>
              <w:autoSpaceDN w:val="0"/>
              <w:adjustRightInd w:val="0"/>
              <w:rPr>
                <w:rFonts w:ascii="Arial" w:hAnsi="Arial" w:cs="Arial"/>
                <w:color w:val="000000"/>
                <w:lang w:eastAsia="en-GB"/>
              </w:rPr>
            </w:pPr>
            <w:r w:rsidRPr="008C2ADF">
              <w:rPr>
                <w:rFonts w:ascii="Arial" w:hAnsi="Arial" w:cs="Arial"/>
              </w:rPr>
              <w:t>Treatment Time Guarantee (TTG)</w:t>
            </w:r>
          </w:p>
        </w:tc>
        <w:tc>
          <w:tcPr>
            <w:tcW w:w="990" w:type="pct"/>
            <w:gridSpan w:val="3"/>
            <w:tcBorders>
              <w:top w:val="single" w:sz="4" w:space="0" w:color="000000"/>
              <w:left w:val="single" w:sz="4" w:space="0" w:color="000000"/>
              <w:bottom w:val="single" w:sz="4" w:space="0" w:color="000000"/>
              <w:right w:val="single" w:sz="4" w:space="0" w:color="000000"/>
            </w:tcBorders>
          </w:tcPr>
          <w:p w:rsidR="008C2ADF" w:rsidRPr="008C2ADF" w:rsidRDefault="008C2ADF" w:rsidP="00D21617">
            <w:pPr>
              <w:rPr>
                <w:rFonts w:ascii="Arial" w:hAnsi="Arial" w:cs="Arial"/>
              </w:rPr>
            </w:pPr>
            <w:r w:rsidRPr="008C2ADF">
              <w:rPr>
                <w:rFonts w:ascii="Arial" w:hAnsi="Arial" w:cs="Arial"/>
              </w:rPr>
              <w:t>Percentage of patients admitted within 12 weeks</w:t>
            </w:r>
          </w:p>
        </w:tc>
        <w:tc>
          <w:tcPr>
            <w:tcW w:w="911" w:type="pct"/>
            <w:gridSpan w:val="4"/>
            <w:tcBorders>
              <w:top w:val="single" w:sz="4" w:space="0" w:color="000000"/>
              <w:left w:val="single" w:sz="4" w:space="0" w:color="000000"/>
              <w:bottom w:val="single" w:sz="4" w:space="0" w:color="000000"/>
              <w:right w:val="single" w:sz="4" w:space="0" w:color="auto"/>
            </w:tcBorders>
            <w:vAlign w:val="center"/>
          </w:tcPr>
          <w:p w:rsidR="008C2ADF" w:rsidRPr="008C2ADF" w:rsidRDefault="008C2ADF" w:rsidP="00D21617">
            <w:pPr>
              <w:widowControl w:val="0"/>
              <w:autoSpaceDE w:val="0"/>
              <w:autoSpaceDN w:val="0"/>
              <w:adjustRightInd w:val="0"/>
              <w:ind w:left="-107" w:right="-108"/>
              <w:rPr>
                <w:rFonts w:ascii="Arial" w:hAnsi="Arial" w:cs="Arial"/>
              </w:rPr>
            </w:pPr>
            <w:r w:rsidRPr="008C2ADF">
              <w:rPr>
                <w:rFonts w:ascii="Arial" w:hAnsi="Arial" w:cs="Arial"/>
              </w:rPr>
              <w:t>100% = Green</w:t>
            </w:r>
          </w:p>
          <w:p w:rsidR="008C2ADF" w:rsidRPr="008C2ADF" w:rsidRDefault="008C2ADF" w:rsidP="00D21617">
            <w:pPr>
              <w:widowControl w:val="0"/>
              <w:autoSpaceDE w:val="0"/>
              <w:autoSpaceDN w:val="0"/>
              <w:adjustRightInd w:val="0"/>
              <w:ind w:left="-107" w:right="-108"/>
              <w:rPr>
                <w:rFonts w:ascii="Arial" w:hAnsi="Arial" w:cs="Arial"/>
              </w:rPr>
            </w:pPr>
            <w:r w:rsidRPr="008C2ADF">
              <w:rPr>
                <w:rFonts w:ascii="Arial" w:hAnsi="Arial" w:cs="Arial"/>
              </w:rPr>
              <w:t>95-99.9% = Amber</w:t>
            </w:r>
          </w:p>
          <w:p w:rsidR="008C2ADF" w:rsidRPr="008C2ADF" w:rsidRDefault="008C2ADF" w:rsidP="00D21617">
            <w:pPr>
              <w:widowControl w:val="0"/>
              <w:autoSpaceDE w:val="0"/>
              <w:autoSpaceDN w:val="0"/>
              <w:adjustRightInd w:val="0"/>
              <w:ind w:left="-107" w:right="-108"/>
              <w:rPr>
                <w:rFonts w:ascii="Arial" w:hAnsi="Arial" w:cs="Arial"/>
              </w:rPr>
            </w:pPr>
            <w:r w:rsidRPr="008C2ADF">
              <w:rPr>
                <w:rFonts w:ascii="Arial" w:hAnsi="Arial" w:cs="Arial"/>
              </w:rPr>
              <w:t>≤94.9% = Red</w:t>
            </w:r>
          </w:p>
        </w:tc>
        <w:tc>
          <w:tcPr>
            <w:tcW w:w="4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C2ADF" w:rsidRPr="008C2ADF" w:rsidRDefault="008C2ADF" w:rsidP="00D21617">
            <w:pPr>
              <w:widowControl w:val="0"/>
              <w:autoSpaceDE w:val="0"/>
              <w:autoSpaceDN w:val="0"/>
              <w:adjustRightInd w:val="0"/>
              <w:rPr>
                <w:rFonts w:ascii="Arial" w:hAnsi="Arial" w:cs="Arial"/>
              </w:rPr>
            </w:pPr>
            <w:r>
              <w:rPr>
                <w:rFonts w:ascii="Arial" w:hAnsi="Arial" w:cs="Arial"/>
              </w:rPr>
              <w:t>97.0%</w:t>
            </w:r>
          </w:p>
        </w:tc>
        <w:tc>
          <w:tcPr>
            <w:tcW w:w="4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8C2ADF" w:rsidRPr="008C2ADF" w:rsidRDefault="008C2ADF" w:rsidP="00D21617">
            <w:pPr>
              <w:widowControl w:val="0"/>
              <w:autoSpaceDE w:val="0"/>
              <w:autoSpaceDN w:val="0"/>
              <w:adjustRightInd w:val="0"/>
              <w:rPr>
                <w:rFonts w:ascii="Arial" w:hAnsi="Arial" w:cs="Arial"/>
              </w:rPr>
            </w:pPr>
            <w:r>
              <w:rPr>
                <w:rFonts w:ascii="Arial" w:hAnsi="Arial" w:cs="Arial"/>
              </w:rPr>
              <w:t>97.7%</w:t>
            </w:r>
          </w:p>
        </w:tc>
        <w:tc>
          <w:tcPr>
            <w:tcW w:w="45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8C2ADF" w:rsidRPr="008C2ADF" w:rsidRDefault="008C2ADF" w:rsidP="00D21617">
            <w:pPr>
              <w:widowControl w:val="0"/>
              <w:autoSpaceDE w:val="0"/>
              <w:autoSpaceDN w:val="0"/>
              <w:adjustRightInd w:val="0"/>
              <w:rPr>
                <w:rFonts w:ascii="Arial" w:hAnsi="Arial" w:cs="Arial"/>
              </w:rPr>
            </w:pPr>
            <w:r>
              <w:rPr>
                <w:rFonts w:ascii="Arial" w:hAnsi="Arial" w:cs="Arial"/>
              </w:rPr>
              <w:t>92.2%</w:t>
            </w:r>
          </w:p>
        </w:tc>
        <w:tc>
          <w:tcPr>
            <w:tcW w:w="509" w:type="pct"/>
            <w:gridSpan w:val="3"/>
            <w:tcBorders>
              <w:top w:val="single" w:sz="4" w:space="0" w:color="000000"/>
              <w:left w:val="single" w:sz="4" w:space="0" w:color="auto"/>
              <w:bottom w:val="single" w:sz="4" w:space="0" w:color="000000"/>
              <w:right w:val="single" w:sz="4" w:space="0" w:color="000000"/>
            </w:tcBorders>
            <w:vAlign w:val="center"/>
          </w:tcPr>
          <w:p w:rsidR="008C2ADF" w:rsidRPr="008C2ADF" w:rsidRDefault="008C2ADF" w:rsidP="00D21617">
            <w:pPr>
              <w:ind w:left="-49" w:right="-108" w:hanging="60"/>
              <w:rPr>
                <w:rFonts w:ascii="Arial" w:hAnsi="Arial" w:cs="Arial"/>
                <w:color w:val="000000"/>
                <w:lang w:eastAsia="en-GB"/>
              </w:rPr>
            </w:pPr>
            <w:r w:rsidRPr="008C2ADF">
              <w:rPr>
                <w:rFonts w:ascii="Arial" w:hAnsi="Arial" w:cs="Arial"/>
                <w:color w:val="000000"/>
                <w:lang w:eastAsia="en-GB"/>
              </w:rPr>
              <w:t>0</w:t>
            </w:r>
          </w:p>
        </w:tc>
        <w:tc>
          <w:tcPr>
            <w:tcW w:w="549" w:type="pct"/>
            <w:gridSpan w:val="2"/>
            <w:tcBorders>
              <w:top w:val="single" w:sz="4" w:space="0" w:color="000000"/>
              <w:left w:val="single" w:sz="4" w:space="0" w:color="000000"/>
              <w:bottom w:val="single" w:sz="4" w:space="0" w:color="000000"/>
              <w:right w:val="single" w:sz="4" w:space="0" w:color="000000"/>
            </w:tcBorders>
            <w:shd w:val="clear" w:color="auto" w:fill="FF0000"/>
            <w:vAlign w:val="center"/>
          </w:tcPr>
          <w:p w:rsidR="008C2ADF" w:rsidRPr="008C2ADF" w:rsidRDefault="008C2ADF" w:rsidP="00D21617">
            <w:pPr>
              <w:widowControl w:val="0"/>
              <w:autoSpaceDE w:val="0"/>
              <w:autoSpaceDN w:val="0"/>
              <w:adjustRightInd w:val="0"/>
              <w:rPr>
                <w:rFonts w:ascii="Arial" w:hAnsi="Arial" w:cs="Arial"/>
                <w:color w:val="000000"/>
                <w:lang w:eastAsia="en-GB"/>
              </w:rPr>
            </w:pPr>
            <w:r w:rsidRPr="008C2ADF">
              <w:rPr>
                <w:rFonts w:ascii="Arial" w:hAnsi="Arial" w:cs="Arial"/>
                <w:color w:val="000000"/>
                <w:lang w:eastAsia="en-GB"/>
              </w:rPr>
              <w:sym w:font="Wingdings" w:char="F0F2"/>
            </w:r>
          </w:p>
        </w:tc>
      </w:tr>
      <w:tr w:rsidR="00B2085D"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5000" w:type="pct"/>
            <w:gridSpan w:val="27"/>
            <w:tcBorders>
              <w:top w:val="single" w:sz="4" w:space="0" w:color="000000"/>
              <w:left w:val="single" w:sz="4" w:space="0" w:color="000000"/>
              <w:bottom w:val="single" w:sz="4" w:space="0" w:color="000000"/>
              <w:right w:val="single" w:sz="4" w:space="0" w:color="000000"/>
            </w:tcBorders>
          </w:tcPr>
          <w:p w:rsidR="00B2085D" w:rsidRPr="008C2ADF" w:rsidRDefault="00B2085D" w:rsidP="00D21617">
            <w:pPr>
              <w:autoSpaceDE w:val="0"/>
              <w:autoSpaceDN w:val="0"/>
              <w:spacing w:after="120"/>
              <w:rPr>
                <w:rFonts w:ascii="Arial" w:hAnsi="Arial" w:cs="Arial"/>
                <w:b/>
                <w:iCs/>
                <w:color w:val="000000"/>
              </w:rPr>
            </w:pPr>
            <w:r w:rsidRPr="008C2ADF">
              <w:rPr>
                <w:rFonts w:ascii="Arial" w:hAnsi="Arial" w:cs="Arial"/>
                <w:b/>
                <w:iCs/>
                <w:color w:val="000000"/>
              </w:rPr>
              <w:t>Analysis</w:t>
            </w:r>
          </w:p>
          <w:p w:rsidR="00524586" w:rsidRPr="00723D08" w:rsidRDefault="008C2ADF" w:rsidP="00D21617">
            <w:pPr>
              <w:pStyle w:val="ListParagraph"/>
              <w:tabs>
                <w:tab w:val="left" w:pos="360"/>
              </w:tabs>
              <w:ind w:left="0" w:right="386"/>
              <w:rPr>
                <w:rFonts w:ascii="Arial" w:hAnsi="Arial" w:cs="Arial"/>
                <w:highlight w:val="yellow"/>
              </w:rPr>
            </w:pPr>
            <w:r w:rsidRPr="008C2ADF">
              <w:rPr>
                <w:rFonts w:ascii="Arial" w:hAnsi="Arial" w:cs="Arial"/>
                <w:sz w:val="24"/>
                <w:szCs w:val="24"/>
              </w:rPr>
              <w:t xml:space="preserve">In September the percentage of patients treated within 12 weeks was below the 95% threshold for the first time. 92.2% of patients were treated within their TTG. Six Cardiac Surgery and 100 Cardiology patients were treated over 12 weeks during September. The Cardiology patients included 64 Coronary, 26 Electrophysiology, eight Device and two Lead Extraction patients. </w:t>
            </w:r>
          </w:p>
        </w:tc>
      </w:tr>
      <w:tr w:rsidR="008D0A46"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987" w:type="pct"/>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8D0A46" w:rsidRPr="008C2ADF" w:rsidRDefault="008D0A46" w:rsidP="00D21617">
            <w:pPr>
              <w:widowControl w:val="0"/>
              <w:autoSpaceDE w:val="0"/>
              <w:autoSpaceDN w:val="0"/>
              <w:adjustRightInd w:val="0"/>
              <w:rPr>
                <w:rFonts w:ascii="Arial" w:hAnsi="Arial" w:cs="Arial"/>
                <w:color w:val="000000"/>
                <w:lang w:eastAsia="en-GB"/>
              </w:rPr>
            </w:pPr>
            <w:r w:rsidRPr="008C2ADF">
              <w:rPr>
                <w:rFonts w:ascii="Arial" w:hAnsi="Arial" w:cs="Arial"/>
                <w:color w:val="000000"/>
                <w:lang w:eastAsia="en-GB"/>
              </w:rPr>
              <w:t>KPI</w:t>
            </w:r>
          </w:p>
        </w:tc>
        <w:tc>
          <w:tcPr>
            <w:tcW w:w="1602" w:type="pct"/>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8D0A46" w:rsidRPr="008C2ADF" w:rsidRDefault="008D0A46" w:rsidP="00D21617">
            <w:pPr>
              <w:rPr>
                <w:rFonts w:ascii="Arial" w:hAnsi="Arial" w:cs="Arial"/>
              </w:rPr>
            </w:pPr>
            <w:r w:rsidRPr="008C2ADF">
              <w:rPr>
                <w:rFonts w:ascii="Arial" w:hAnsi="Arial" w:cs="Arial"/>
                <w:color w:val="000000"/>
                <w:lang w:eastAsia="en-GB"/>
              </w:rPr>
              <w:t>Details</w:t>
            </w:r>
          </w:p>
        </w:tc>
        <w:tc>
          <w:tcPr>
            <w:tcW w:w="350" w:type="pct"/>
            <w:tcBorders>
              <w:top w:val="single" w:sz="4" w:space="0" w:color="000000"/>
              <w:left w:val="single" w:sz="4" w:space="0" w:color="000000"/>
              <w:bottom w:val="single" w:sz="4" w:space="0" w:color="000000"/>
              <w:right w:val="single" w:sz="4" w:space="0" w:color="000000"/>
            </w:tcBorders>
            <w:shd w:val="clear" w:color="auto" w:fill="D9D9D9"/>
          </w:tcPr>
          <w:p w:rsidR="008D0A46" w:rsidRPr="008C2ADF" w:rsidRDefault="008D0A46" w:rsidP="00D21617">
            <w:pPr>
              <w:widowControl w:val="0"/>
              <w:autoSpaceDE w:val="0"/>
              <w:autoSpaceDN w:val="0"/>
              <w:adjustRightInd w:val="0"/>
              <w:rPr>
                <w:rFonts w:ascii="Arial" w:hAnsi="Arial" w:cs="Arial"/>
                <w:color w:val="000000"/>
                <w:lang w:eastAsia="en-GB"/>
              </w:rPr>
            </w:pPr>
            <w:r w:rsidRPr="008C2ADF">
              <w:rPr>
                <w:rFonts w:ascii="Arial" w:hAnsi="Arial" w:cs="Arial"/>
                <w:color w:val="000000"/>
                <w:lang w:eastAsia="en-GB"/>
              </w:rPr>
              <w:t>Jul 2018</w:t>
            </w:r>
          </w:p>
        </w:tc>
        <w:tc>
          <w:tcPr>
            <w:tcW w:w="350" w:type="pct"/>
            <w:gridSpan w:val="4"/>
            <w:tcBorders>
              <w:top w:val="single" w:sz="4" w:space="0" w:color="000000"/>
              <w:left w:val="single" w:sz="4" w:space="0" w:color="000000"/>
              <w:bottom w:val="single" w:sz="4" w:space="0" w:color="000000"/>
              <w:right w:val="single" w:sz="4" w:space="0" w:color="000000"/>
            </w:tcBorders>
            <w:shd w:val="clear" w:color="auto" w:fill="D9D9D9"/>
          </w:tcPr>
          <w:p w:rsidR="008D0A46" w:rsidRPr="008C2ADF" w:rsidRDefault="008D0A46" w:rsidP="00D21617">
            <w:pPr>
              <w:widowControl w:val="0"/>
              <w:autoSpaceDE w:val="0"/>
              <w:autoSpaceDN w:val="0"/>
              <w:adjustRightInd w:val="0"/>
              <w:rPr>
                <w:rFonts w:ascii="Arial" w:hAnsi="Arial" w:cs="Arial"/>
                <w:color w:val="000000"/>
                <w:lang w:eastAsia="en-GB"/>
              </w:rPr>
            </w:pPr>
            <w:r w:rsidRPr="008C2ADF">
              <w:rPr>
                <w:rFonts w:ascii="Arial" w:hAnsi="Arial" w:cs="Arial"/>
                <w:color w:val="000000"/>
                <w:lang w:eastAsia="en-GB"/>
              </w:rPr>
              <w:t>Aug 2018</w:t>
            </w:r>
          </w:p>
        </w:tc>
        <w:tc>
          <w:tcPr>
            <w:tcW w:w="349" w:type="pct"/>
            <w:gridSpan w:val="3"/>
            <w:tcBorders>
              <w:top w:val="single" w:sz="4" w:space="0" w:color="000000"/>
              <w:left w:val="single" w:sz="4" w:space="0" w:color="000000"/>
              <w:bottom w:val="single" w:sz="4" w:space="0" w:color="000000"/>
              <w:right w:val="single" w:sz="4" w:space="0" w:color="000000"/>
            </w:tcBorders>
            <w:shd w:val="clear" w:color="auto" w:fill="D9D9D9"/>
          </w:tcPr>
          <w:p w:rsidR="008D0A46" w:rsidRPr="008C2ADF" w:rsidRDefault="008D0A46" w:rsidP="00D21617">
            <w:pPr>
              <w:widowControl w:val="0"/>
              <w:autoSpaceDE w:val="0"/>
              <w:autoSpaceDN w:val="0"/>
              <w:adjustRightInd w:val="0"/>
              <w:rPr>
                <w:rFonts w:ascii="Arial" w:hAnsi="Arial" w:cs="Arial"/>
                <w:color w:val="000000"/>
                <w:lang w:eastAsia="en-GB"/>
              </w:rPr>
            </w:pPr>
            <w:r w:rsidRPr="008C2ADF">
              <w:rPr>
                <w:rFonts w:ascii="Arial" w:hAnsi="Arial" w:cs="Arial"/>
                <w:color w:val="000000"/>
                <w:lang w:eastAsia="en-GB"/>
              </w:rPr>
              <w:t>Sep 2018</w:t>
            </w:r>
          </w:p>
        </w:tc>
        <w:tc>
          <w:tcPr>
            <w:tcW w:w="304" w:type="pct"/>
            <w:gridSpan w:val="3"/>
            <w:tcBorders>
              <w:top w:val="single" w:sz="4" w:space="0" w:color="000000"/>
              <w:left w:val="single" w:sz="4" w:space="0" w:color="000000"/>
              <w:bottom w:val="single" w:sz="4" w:space="0" w:color="000000"/>
              <w:right w:val="single" w:sz="4" w:space="0" w:color="000000"/>
            </w:tcBorders>
            <w:shd w:val="clear" w:color="auto" w:fill="D9D9D9"/>
          </w:tcPr>
          <w:p w:rsidR="008D0A46" w:rsidRPr="008C2ADF" w:rsidRDefault="008D0A46" w:rsidP="00D21617">
            <w:pPr>
              <w:widowControl w:val="0"/>
              <w:autoSpaceDE w:val="0"/>
              <w:autoSpaceDN w:val="0"/>
              <w:adjustRightInd w:val="0"/>
              <w:rPr>
                <w:rFonts w:ascii="Arial" w:hAnsi="Arial" w:cs="Arial"/>
                <w:color w:val="000000"/>
                <w:lang w:eastAsia="en-GB"/>
              </w:rPr>
            </w:pPr>
            <w:r>
              <w:rPr>
                <w:rFonts w:ascii="Arial" w:hAnsi="Arial" w:cs="Arial"/>
                <w:color w:val="000000"/>
                <w:lang w:eastAsia="en-GB"/>
              </w:rPr>
              <w:t>Oct 2018</w:t>
            </w:r>
          </w:p>
        </w:tc>
        <w:tc>
          <w:tcPr>
            <w:tcW w:w="500"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8D0A46" w:rsidRPr="008C2ADF" w:rsidRDefault="008D0A46" w:rsidP="00D21617">
            <w:pPr>
              <w:widowControl w:val="0"/>
              <w:autoSpaceDE w:val="0"/>
              <w:autoSpaceDN w:val="0"/>
              <w:adjustRightInd w:val="0"/>
              <w:rPr>
                <w:rFonts w:ascii="Arial" w:hAnsi="Arial" w:cs="Arial"/>
                <w:color w:val="000000"/>
                <w:lang w:eastAsia="en-GB"/>
              </w:rPr>
            </w:pPr>
            <w:r w:rsidRPr="008C2ADF">
              <w:rPr>
                <w:rFonts w:ascii="Arial" w:hAnsi="Arial" w:cs="Arial"/>
                <w:color w:val="000000"/>
                <w:lang w:eastAsia="en-GB"/>
              </w:rPr>
              <w:t>Target</w:t>
            </w:r>
          </w:p>
        </w:tc>
        <w:tc>
          <w:tcPr>
            <w:tcW w:w="558"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8D0A46" w:rsidRPr="008C2ADF" w:rsidRDefault="008D0A46" w:rsidP="00D21617">
            <w:pPr>
              <w:widowControl w:val="0"/>
              <w:autoSpaceDE w:val="0"/>
              <w:autoSpaceDN w:val="0"/>
              <w:adjustRightInd w:val="0"/>
              <w:rPr>
                <w:rFonts w:ascii="Arial" w:hAnsi="Arial" w:cs="Arial"/>
                <w:lang w:eastAsia="en-GB"/>
              </w:rPr>
            </w:pPr>
            <w:r w:rsidRPr="008C2ADF">
              <w:rPr>
                <w:rFonts w:ascii="Arial" w:hAnsi="Arial" w:cs="Arial"/>
                <w:lang w:eastAsia="en-GB"/>
              </w:rPr>
              <w:t>On Track</w:t>
            </w:r>
          </w:p>
        </w:tc>
      </w:tr>
      <w:tr w:rsidR="008D0A46" w:rsidRPr="00524586"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110"/>
        </w:trPr>
        <w:tc>
          <w:tcPr>
            <w:tcW w:w="987" w:type="pct"/>
            <w:gridSpan w:val="5"/>
            <w:tcBorders>
              <w:top w:val="single" w:sz="4" w:space="0" w:color="000000"/>
              <w:left w:val="single" w:sz="4" w:space="0" w:color="000000"/>
              <w:bottom w:val="single" w:sz="4" w:space="0" w:color="000000"/>
              <w:right w:val="single" w:sz="4" w:space="0" w:color="000000"/>
            </w:tcBorders>
          </w:tcPr>
          <w:p w:rsidR="008D0A46" w:rsidRPr="008C2ADF" w:rsidRDefault="008D0A46" w:rsidP="00D21617">
            <w:pPr>
              <w:autoSpaceDE w:val="0"/>
              <w:autoSpaceDN w:val="0"/>
              <w:spacing w:after="120"/>
              <w:rPr>
                <w:rFonts w:ascii="Arial" w:hAnsi="Arial" w:cs="Arial"/>
                <w:b/>
                <w:iCs/>
                <w:color w:val="000000"/>
              </w:rPr>
            </w:pPr>
            <w:r w:rsidRPr="007A4EC7">
              <w:rPr>
                <w:rFonts w:ascii="Arial" w:hAnsi="Arial" w:cs="Arial"/>
                <w:color w:val="000000"/>
                <w:lang w:eastAsia="en-GB"/>
              </w:rPr>
              <w:t>Orthopaedic Day of Surgery</w:t>
            </w:r>
            <w:r w:rsidRPr="007A4EC7">
              <w:rPr>
                <w:rFonts w:ascii="Arial" w:hAnsi="Arial" w:cs="Arial"/>
                <w:b/>
                <w:iCs/>
                <w:color w:val="000000"/>
              </w:rPr>
              <w:t xml:space="preserve"> </w:t>
            </w:r>
            <w:r w:rsidRPr="007A4EC7">
              <w:rPr>
                <w:rFonts w:ascii="Arial" w:hAnsi="Arial" w:cs="Arial"/>
                <w:color w:val="000000"/>
                <w:lang w:eastAsia="en-GB"/>
              </w:rPr>
              <w:t>Admission Rate (Primary Joint Replacement)</w:t>
            </w:r>
          </w:p>
        </w:tc>
        <w:tc>
          <w:tcPr>
            <w:tcW w:w="1602" w:type="pct"/>
            <w:gridSpan w:val="6"/>
            <w:tcBorders>
              <w:top w:val="single" w:sz="4" w:space="0" w:color="000000"/>
              <w:left w:val="single" w:sz="4" w:space="0" w:color="000000"/>
              <w:bottom w:val="single" w:sz="4" w:space="0" w:color="000000"/>
              <w:right w:val="single" w:sz="4" w:space="0" w:color="000000"/>
            </w:tcBorders>
          </w:tcPr>
          <w:p w:rsidR="008D0A46" w:rsidRPr="00524586" w:rsidRDefault="008D0A46" w:rsidP="00D21617">
            <w:pPr>
              <w:autoSpaceDE w:val="0"/>
              <w:autoSpaceDN w:val="0"/>
              <w:spacing w:after="120"/>
              <w:rPr>
                <w:rFonts w:ascii="Arial" w:hAnsi="Arial" w:cs="Arial"/>
                <w:iCs/>
                <w:color w:val="000000"/>
              </w:rPr>
            </w:pPr>
            <w:r w:rsidRPr="00524586">
              <w:rPr>
                <w:rFonts w:ascii="Arial" w:hAnsi="Arial" w:cs="Arial"/>
                <w:iCs/>
                <w:color w:val="000000"/>
              </w:rPr>
              <w:t>Target for 70% of Orthopaedic Primary Joint Replacement admissions to be DoSA, rising to 75% from October 2018.</w:t>
            </w:r>
          </w:p>
        </w:tc>
        <w:tc>
          <w:tcPr>
            <w:tcW w:w="350" w:type="pct"/>
            <w:tcBorders>
              <w:top w:val="single" w:sz="4" w:space="0" w:color="000000"/>
              <w:left w:val="single" w:sz="4" w:space="0" w:color="000000"/>
              <w:bottom w:val="single" w:sz="4" w:space="0" w:color="000000"/>
              <w:right w:val="single" w:sz="4" w:space="0" w:color="000000"/>
            </w:tcBorders>
          </w:tcPr>
          <w:p w:rsidR="008D0A46" w:rsidRDefault="008D0A46" w:rsidP="00D21617">
            <w:pPr>
              <w:widowControl w:val="0"/>
              <w:autoSpaceDE w:val="0"/>
              <w:autoSpaceDN w:val="0"/>
              <w:adjustRightInd w:val="0"/>
              <w:rPr>
                <w:rFonts w:ascii="Arial" w:hAnsi="Arial" w:cs="Arial"/>
              </w:rPr>
            </w:pPr>
          </w:p>
          <w:p w:rsidR="008D0A46" w:rsidRPr="00524586" w:rsidRDefault="008D0A46" w:rsidP="00D21617">
            <w:pPr>
              <w:widowControl w:val="0"/>
              <w:autoSpaceDE w:val="0"/>
              <w:autoSpaceDN w:val="0"/>
              <w:adjustRightInd w:val="0"/>
              <w:rPr>
                <w:rFonts w:ascii="Arial" w:hAnsi="Arial" w:cs="Arial"/>
              </w:rPr>
            </w:pPr>
            <w:r w:rsidRPr="00524586">
              <w:rPr>
                <w:rFonts w:ascii="Arial" w:hAnsi="Arial" w:cs="Arial"/>
              </w:rPr>
              <w:t>58.6%</w:t>
            </w:r>
          </w:p>
        </w:tc>
        <w:tc>
          <w:tcPr>
            <w:tcW w:w="350" w:type="pct"/>
            <w:gridSpan w:val="4"/>
            <w:tcBorders>
              <w:top w:val="single" w:sz="4" w:space="0" w:color="000000"/>
              <w:left w:val="single" w:sz="4" w:space="0" w:color="000000"/>
              <w:bottom w:val="single" w:sz="4" w:space="0" w:color="000000"/>
              <w:right w:val="single" w:sz="4" w:space="0" w:color="000000"/>
            </w:tcBorders>
          </w:tcPr>
          <w:p w:rsidR="008D0A46" w:rsidRDefault="008D0A46" w:rsidP="00D21617">
            <w:pPr>
              <w:widowControl w:val="0"/>
              <w:autoSpaceDE w:val="0"/>
              <w:autoSpaceDN w:val="0"/>
              <w:adjustRightInd w:val="0"/>
              <w:rPr>
                <w:rFonts w:ascii="Arial" w:hAnsi="Arial" w:cs="Arial"/>
              </w:rPr>
            </w:pPr>
          </w:p>
          <w:p w:rsidR="008D0A46" w:rsidRPr="00524586" w:rsidRDefault="008D0A46" w:rsidP="00D21617">
            <w:pPr>
              <w:widowControl w:val="0"/>
              <w:autoSpaceDE w:val="0"/>
              <w:autoSpaceDN w:val="0"/>
              <w:adjustRightInd w:val="0"/>
              <w:rPr>
                <w:rFonts w:ascii="Arial" w:hAnsi="Arial" w:cs="Arial"/>
              </w:rPr>
            </w:pPr>
            <w:r w:rsidRPr="00524586">
              <w:rPr>
                <w:rFonts w:ascii="Arial" w:hAnsi="Arial" w:cs="Arial"/>
              </w:rPr>
              <w:t>-</w:t>
            </w:r>
          </w:p>
        </w:tc>
        <w:tc>
          <w:tcPr>
            <w:tcW w:w="349" w:type="pct"/>
            <w:gridSpan w:val="3"/>
            <w:tcBorders>
              <w:top w:val="single" w:sz="4" w:space="0" w:color="000000"/>
              <w:left w:val="single" w:sz="4" w:space="0" w:color="000000"/>
              <w:bottom w:val="single" w:sz="4" w:space="0" w:color="000000"/>
              <w:right w:val="single" w:sz="4" w:space="0" w:color="000000"/>
            </w:tcBorders>
          </w:tcPr>
          <w:p w:rsidR="008D0A46" w:rsidRDefault="008D0A46" w:rsidP="00D21617">
            <w:pPr>
              <w:widowControl w:val="0"/>
              <w:autoSpaceDE w:val="0"/>
              <w:autoSpaceDN w:val="0"/>
              <w:adjustRightInd w:val="0"/>
              <w:rPr>
                <w:rFonts w:ascii="Arial" w:hAnsi="Arial" w:cs="Arial"/>
              </w:rPr>
            </w:pPr>
          </w:p>
          <w:p w:rsidR="008D0A46" w:rsidRDefault="008D0A46" w:rsidP="00D21617">
            <w:pPr>
              <w:widowControl w:val="0"/>
              <w:autoSpaceDE w:val="0"/>
              <w:autoSpaceDN w:val="0"/>
              <w:adjustRightInd w:val="0"/>
              <w:rPr>
                <w:rFonts w:ascii="Arial" w:hAnsi="Arial" w:cs="Arial"/>
              </w:rPr>
            </w:pPr>
            <w:r>
              <w:rPr>
                <w:rFonts w:ascii="Arial" w:hAnsi="Arial" w:cs="Arial"/>
              </w:rPr>
              <w:t>-</w:t>
            </w:r>
          </w:p>
        </w:tc>
        <w:tc>
          <w:tcPr>
            <w:tcW w:w="304" w:type="pct"/>
            <w:gridSpan w:val="3"/>
            <w:tcBorders>
              <w:top w:val="single" w:sz="4" w:space="0" w:color="000000"/>
              <w:left w:val="single" w:sz="4" w:space="0" w:color="000000"/>
              <w:bottom w:val="single" w:sz="4" w:space="0" w:color="000000"/>
              <w:right w:val="single" w:sz="4" w:space="0" w:color="000000"/>
            </w:tcBorders>
          </w:tcPr>
          <w:p w:rsidR="008D0A46" w:rsidRDefault="008D0A46" w:rsidP="00D21617">
            <w:pPr>
              <w:widowControl w:val="0"/>
              <w:autoSpaceDE w:val="0"/>
              <w:autoSpaceDN w:val="0"/>
              <w:adjustRightInd w:val="0"/>
              <w:rPr>
                <w:rFonts w:ascii="Arial" w:hAnsi="Arial" w:cs="Arial"/>
              </w:rPr>
            </w:pPr>
          </w:p>
          <w:p w:rsidR="008D0A46" w:rsidRPr="00524586" w:rsidRDefault="008D0A46" w:rsidP="00D21617">
            <w:pPr>
              <w:widowControl w:val="0"/>
              <w:autoSpaceDE w:val="0"/>
              <w:autoSpaceDN w:val="0"/>
              <w:adjustRightInd w:val="0"/>
              <w:rPr>
                <w:rFonts w:ascii="Arial" w:hAnsi="Arial" w:cs="Arial"/>
              </w:rPr>
            </w:pPr>
            <w:r w:rsidRPr="00524586">
              <w:rPr>
                <w:rFonts w:ascii="Arial" w:hAnsi="Arial" w:cs="Arial"/>
              </w:rPr>
              <w:t>-</w:t>
            </w:r>
          </w:p>
        </w:tc>
        <w:tc>
          <w:tcPr>
            <w:tcW w:w="500" w:type="pct"/>
            <w:gridSpan w:val="2"/>
            <w:tcBorders>
              <w:top w:val="single" w:sz="4" w:space="0" w:color="000000"/>
              <w:left w:val="single" w:sz="4" w:space="0" w:color="000000"/>
              <w:bottom w:val="single" w:sz="4" w:space="0" w:color="000000"/>
              <w:right w:val="single" w:sz="4" w:space="0" w:color="000000"/>
            </w:tcBorders>
          </w:tcPr>
          <w:p w:rsidR="008D0A46" w:rsidRDefault="008D0A46" w:rsidP="00D21617">
            <w:pPr>
              <w:widowControl w:val="0"/>
              <w:autoSpaceDE w:val="0"/>
              <w:autoSpaceDN w:val="0"/>
              <w:adjustRightInd w:val="0"/>
              <w:rPr>
                <w:rFonts w:ascii="Arial" w:hAnsi="Arial" w:cs="Arial"/>
              </w:rPr>
            </w:pPr>
            <w:r>
              <w:rPr>
                <w:rFonts w:ascii="Arial" w:hAnsi="Arial" w:cs="Arial"/>
              </w:rPr>
              <w:t>75% from October 2018</w:t>
            </w:r>
          </w:p>
          <w:p w:rsidR="008D0A46" w:rsidRPr="00524586" w:rsidRDefault="008D0A46" w:rsidP="00D21617">
            <w:pPr>
              <w:widowControl w:val="0"/>
              <w:autoSpaceDE w:val="0"/>
              <w:autoSpaceDN w:val="0"/>
              <w:adjustRightInd w:val="0"/>
              <w:rPr>
                <w:rFonts w:ascii="Arial" w:hAnsi="Arial" w:cs="Arial"/>
              </w:rPr>
            </w:pPr>
          </w:p>
        </w:tc>
        <w:tc>
          <w:tcPr>
            <w:tcW w:w="558" w:type="pct"/>
            <w:gridSpan w:val="3"/>
            <w:tcBorders>
              <w:top w:val="single" w:sz="4" w:space="0" w:color="000000"/>
              <w:left w:val="single" w:sz="4" w:space="0" w:color="000000"/>
              <w:bottom w:val="single" w:sz="4" w:space="0" w:color="000000"/>
              <w:right w:val="single" w:sz="4" w:space="0" w:color="000000"/>
            </w:tcBorders>
            <w:shd w:val="clear" w:color="auto" w:fill="FF0000"/>
          </w:tcPr>
          <w:p w:rsidR="008D0A46" w:rsidRDefault="008D0A46" w:rsidP="00D21617">
            <w:pPr>
              <w:widowControl w:val="0"/>
              <w:autoSpaceDE w:val="0"/>
              <w:autoSpaceDN w:val="0"/>
              <w:adjustRightInd w:val="0"/>
              <w:rPr>
                <w:rFonts w:ascii="Arial" w:hAnsi="Arial" w:cs="Arial"/>
              </w:rPr>
            </w:pPr>
          </w:p>
          <w:p w:rsidR="008D0A46" w:rsidRPr="00524586" w:rsidRDefault="008D0A46" w:rsidP="00D21617">
            <w:pPr>
              <w:widowControl w:val="0"/>
              <w:autoSpaceDE w:val="0"/>
              <w:autoSpaceDN w:val="0"/>
              <w:adjustRightInd w:val="0"/>
              <w:rPr>
                <w:rFonts w:ascii="Arial" w:hAnsi="Arial" w:cs="Arial"/>
              </w:rPr>
            </w:pPr>
            <w:r>
              <w:rPr>
                <w:rFonts w:ascii="Arial" w:hAnsi="Arial" w:cs="Arial"/>
              </w:rPr>
              <w:sym w:font="Wingdings" w:char="F0F2"/>
            </w:r>
          </w:p>
        </w:tc>
      </w:tr>
      <w:tr w:rsidR="008D0A46" w:rsidRPr="00524586"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108"/>
        </w:trPr>
        <w:tc>
          <w:tcPr>
            <w:tcW w:w="987" w:type="pct"/>
            <w:gridSpan w:val="5"/>
            <w:tcBorders>
              <w:top w:val="single" w:sz="4" w:space="0" w:color="000000"/>
              <w:left w:val="single" w:sz="4" w:space="0" w:color="000000"/>
              <w:bottom w:val="single" w:sz="4" w:space="0" w:color="000000"/>
              <w:right w:val="single" w:sz="4" w:space="0" w:color="000000"/>
            </w:tcBorders>
          </w:tcPr>
          <w:p w:rsidR="008D0A46" w:rsidRPr="007A4EC7" w:rsidRDefault="008D0A46" w:rsidP="00D21617">
            <w:pPr>
              <w:autoSpaceDE w:val="0"/>
              <w:autoSpaceDN w:val="0"/>
              <w:spacing w:after="120"/>
              <w:rPr>
                <w:rFonts w:ascii="Arial" w:hAnsi="Arial" w:cs="Arial"/>
                <w:iCs/>
                <w:color w:val="000000"/>
              </w:rPr>
            </w:pPr>
            <w:r w:rsidRPr="007A4EC7">
              <w:rPr>
                <w:rFonts w:ascii="Arial" w:hAnsi="Arial" w:cs="Arial"/>
                <w:iCs/>
                <w:color w:val="000000"/>
              </w:rPr>
              <w:t xml:space="preserve">Thoracic Surgery Day of Surgery Admission </w:t>
            </w:r>
            <w:r w:rsidRPr="007A4EC7">
              <w:rPr>
                <w:rFonts w:ascii="Arial" w:hAnsi="Arial" w:cs="Arial"/>
                <w:iCs/>
                <w:color w:val="000000"/>
              </w:rPr>
              <w:lastRenderedPageBreak/>
              <w:t>Rate</w:t>
            </w:r>
          </w:p>
        </w:tc>
        <w:tc>
          <w:tcPr>
            <w:tcW w:w="1602" w:type="pct"/>
            <w:gridSpan w:val="6"/>
            <w:tcBorders>
              <w:top w:val="single" w:sz="4" w:space="0" w:color="000000"/>
              <w:left w:val="single" w:sz="4" w:space="0" w:color="000000"/>
              <w:bottom w:val="single" w:sz="4" w:space="0" w:color="000000"/>
              <w:right w:val="single" w:sz="4" w:space="0" w:color="000000"/>
            </w:tcBorders>
          </w:tcPr>
          <w:p w:rsidR="008D0A46" w:rsidRPr="00524586" w:rsidRDefault="008D0A46" w:rsidP="00D21617">
            <w:pPr>
              <w:autoSpaceDE w:val="0"/>
              <w:autoSpaceDN w:val="0"/>
              <w:spacing w:after="120"/>
              <w:rPr>
                <w:rFonts w:ascii="Arial" w:hAnsi="Arial" w:cs="Arial"/>
                <w:iCs/>
                <w:color w:val="000000"/>
              </w:rPr>
            </w:pPr>
            <w:r w:rsidRPr="007A4EC7">
              <w:rPr>
                <w:rFonts w:ascii="Arial" w:hAnsi="Arial" w:cs="Arial"/>
                <w:iCs/>
                <w:color w:val="000000"/>
              </w:rPr>
              <w:lastRenderedPageBreak/>
              <w:t xml:space="preserve">Target for 44% of Thoracic Surgery </w:t>
            </w:r>
            <w:r w:rsidRPr="007A4EC7">
              <w:rPr>
                <w:rFonts w:ascii="Arial" w:hAnsi="Arial" w:cs="Arial"/>
                <w:iCs/>
                <w:color w:val="000000"/>
              </w:rPr>
              <w:lastRenderedPageBreak/>
              <w:t>admissions to be DoSA by March 2019</w:t>
            </w:r>
          </w:p>
        </w:tc>
        <w:tc>
          <w:tcPr>
            <w:tcW w:w="350" w:type="pct"/>
            <w:tcBorders>
              <w:top w:val="single" w:sz="4" w:space="0" w:color="000000"/>
              <w:left w:val="single" w:sz="4" w:space="0" w:color="000000"/>
              <w:bottom w:val="single" w:sz="4" w:space="0" w:color="000000"/>
              <w:right w:val="single" w:sz="4" w:space="0" w:color="000000"/>
            </w:tcBorders>
          </w:tcPr>
          <w:p w:rsidR="008D0A46" w:rsidRDefault="008D0A46" w:rsidP="00D21617">
            <w:pPr>
              <w:widowControl w:val="0"/>
              <w:autoSpaceDE w:val="0"/>
              <w:autoSpaceDN w:val="0"/>
              <w:adjustRightInd w:val="0"/>
              <w:rPr>
                <w:rFonts w:ascii="Arial" w:hAnsi="Arial" w:cs="Arial"/>
              </w:rPr>
            </w:pPr>
          </w:p>
          <w:p w:rsidR="008D0A46" w:rsidRPr="00524586" w:rsidRDefault="008D0A46" w:rsidP="00D21617">
            <w:pPr>
              <w:widowControl w:val="0"/>
              <w:autoSpaceDE w:val="0"/>
              <w:autoSpaceDN w:val="0"/>
              <w:adjustRightInd w:val="0"/>
              <w:rPr>
                <w:rFonts w:ascii="Arial" w:hAnsi="Arial" w:cs="Arial"/>
              </w:rPr>
            </w:pPr>
            <w:r w:rsidRPr="00524586">
              <w:rPr>
                <w:rFonts w:ascii="Arial" w:hAnsi="Arial" w:cs="Arial"/>
              </w:rPr>
              <w:t>31.7%</w:t>
            </w:r>
          </w:p>
        </w:tc>
        <w:tc>
          <w:tcPr>
            <w:tcW w:w="350" w:type="pct"/>
            <w:gridSpan w:val="4"/>
            <w:tcBorders>
              <w:top w:val="single" w:sz="4" w:space="0" w:color="000000"/>
              <w:left w:val="single" w:sz="4" w:space="0" w:color="000000"/>
              <w:bottom w:val="single" w:sz="4" w:space="0" w:color="000000"/>
              <w:right w:val="single" w:sz="4" w:space="0" w:color="000000"/>
            </w:tcBorders>
          </w:tcPr>
          <w:p w:rsidR="008D0A46" w:rsidRDefault="008D0A46" w:rsidP="00D21617">
            <w:pPr>
              <w:widowControl w:val="0"/>
              <w:autoSpaceDE w:val="0"/>
              <w:autoSpaceDN w:val="0"/>
              <w:adjustRightInd w:val="0"/>
              <w:rPr>
                <w:rFonts w:ascii="Arial" w:hAnsi="Arial" w:cs="Arial"/>
              </w:rPr>
            </w:pPr>
          </w:p>
          <w:p w:rsidR="008D0A46" w:rsidRPr="00524586" w:rsidRDefault="008D0A46" w:rsidP="00D21617">
            <w:pPr>
              <w:widowControl w:val="0"/>
              <w:autoSpaceDE w:val="0"/>
              <w:autoSpaceDN w:val="0"/>
              <w:adjustRightInd w:val="0"/>
              <w:rPr>
                <w:rFonts w:ascii="Arial" w:hAnsi="Arial" w:cs="Arial"/>
              </w:rPr>
            </w:pPr>
            <w:r w:rsidRPr="00524586">
              <w:rPr>
                <w:rFonts w:ascii="Arial" w:hAnsi="Arial" w:cs="Arial"/>
              </w:rPr>
              <w:t>36.5%</w:t>
            </w:r>
          </w:p>
        </w:tc>
        <w:tc>
          <w:tcPr>
            <w:tcW w:w="349" w:type="pct"/>
            <w:gridSpan w:val="3"/>
            <w:tcBorders>
              <w:top w:val="single" w:sz="4" w:space="0" w:color="000000"/>
              <w:left w:val="single" w:sz="4" w:space="0" w:color="000000"/>
              <w:bottom w:val="single" w:sz="4" w:space="0" w:color="000000"/>
              <w:right w:val="single" w:sz="4" w:space="0" w:color="000000"/>
            </w:tcBorders>
          </w:tcPr>
          <w:p w:rsidR="008D0A46" w:rsidRDefault="008D0A46" w:rsidP="00D21617">
            <w:pPr>
              <w:widowControl w:val="0"/>
              <w:autoSpaceDE w:val="0"/>
              <w:autoSpaceDN w:val="0"/>
              <w:adjustRightInd w:val="0"/>
              <w:rPr>
                <w:rFonts w:ascii="Arial" w:hAnsi="Arial" w:cs="Arial"/>
              </w:rPr>
            </w:pPr>
          </w:p>
          <w:p w:rsidR="008D0A46" w:rsidRDefault="008D0A46" w:rsidP="00D21617">
            <w:pPr>
              <w:widowControl w:val="0"/>
              <w:autoSpaceDE w:val="0"/>
              <w:autoSpaceDN w:val="0"/>
              <w:adjustRightInd w:val="0"/>
              <w:rPr>
                <w:rFonts w:ascii="Arial" w:hAnsi="Arial" w:cs="Arial"/>
              </w:rPr>
            </w:pPr>
            <w:r>
              <w:rPr>
                <w:rFonts w:ascii="Arial" w:hAnsi="Arial" w:cs="Arial"/>
              </w:rPr>
              <w:t>-</w:t>
            </w:r>
          </w:p>
        </w:tc>
        <w:tc>
          <w:tcPr>
            <w:tcW w:w="304" w:type="pct"/>
            <w:gridSpan w:val="3"/>
            <w:tcBorders>
              <w:top w:val="single" w:sz="4" w:space="0" w:color="000000"/>
              <w:left w:val="single" w:sz="4" w:space="0" w:color="000000"/>
              <w:bottom w:val="single" w:sz="4" w:space="0" w:color="000000"/>
              <w:right w:val="single" w:sz="4" w:space="0" w:color="000000"/>
            </w:tcBorders>
          </w:tcPr>
          <w:p w:rsidR="008D0A46" w:rsidRDefault="008D0A46" w:rsidP="00D21617">
            <w:pPr>
              <w:widowControl w:val="0"/>
              <w:autoSpaceDE w:val="0"/>
              <w:autoSpaceDN w:val="0"/>
              <w:adjustRightInd w:val="0"/>
              <w:rPr>
                <w:rFonts w:ascii="Arial" w:hAnsi="Arial" w:cs="Arial"/>
              </w:rPr>
            </w:pPr>
          </w:p>
          <w:p w:rsidR="008D0A46" w:rsidRPr="00524586" w:rsidRDefault="008D0A46" w:rsidP="00D21617">
            <w:pPr>
              <w:widowControl w:val="0"/>
              <w:autoSpaceDE w:val="0"/>
              <w:autoSpaceDN w:val="0"/>
              <w:adjustRightInd w:val="0"/>
              <w:rPr>
                <w:rFonts w:ascii="Arial" w:hAnsi="Arial" w:cs="Arial"/>
              </w:rPr>
            </w:pPr>
            <w:r w:rsidRPr="00524586">
              <w:rPr>
                <w:rFonts w:ascii="Arial" w:hAnsi="Arial" w:cs="Arial"/>
              </w:rPr>
              <w:t>-</w:t>
            </w:r>
          </w:p>
        </w:tc>
        <w:tc>
          <w:tcPr>
            <w:tcW w:w="500" w:type="pct"/>
            <w:gridSpan w:val="2"/>
            <w:tcBorders>
              <w:top w:val="single" w:sz="4" w:space="0" w:color="000000"/>
              <w:left w:val="single" w:sz="4" w:space="0" w:color="000000"/>
              <w:bottom w:val="single" w:sz="4" w:space="0" w:color="000000"/>
              <w:right w:val="single" w:sz="4" w:space="0" w:color="000000"/>
            </w:tcBorders>
          </w:tcPr>
          <w:p w:rsidR="008D0A46" w:rsidRPr="00524586" w:rsidRDefault="008D0A46" w:rsidP="00D21617">
            <w:pPr>
              <w:widowControl w:val="0"/>
              <w:autoSpaceDE w:val="0"/>
              <w:autoSpaceDN w:val="0"/>
              <w:adjustRightInd w:val="0"/>
              <w:rPr>
                <w:rFonts w:ascii="Arial" w:hAnsi="Arial" w:cs="Arial"/>
              </w:rPr>
            </w:pPr>
            <w:r>
              <w:rPr>
                <w:rFonts w:ascii="Arial" w:hAnsi="Arial" w:cs="Arial"/>
              </w:rPr>
              <w:t xml:space="preserve">44% by March </w:t>
            </w:r>
            <w:r>
              <w:rPr>
                <w:rFonts w:ascii="Arial" w:hAnsi="Arial" w:cs="Arial"/>
              </w:rPr>
              <w:lastRenderedPageBreak/>
              <w:t>2019</w:t>
            </w:r>
          </w:p>
        </w:tc>
        <w:tc>
          <w:tcPr>
            <w:tcW w:w="558" w:type="pct"/>
            <w:gridSpan w:val="3"/>
            <w:tcBorders>
              <w:top w:val="single" w:sz="4" w:space="0" w:color="000000"/>
              <w:left w:val="single" w:sz="4" w:space="0" w:color="000000"/>
              <w:bottom w:val="single" w:sz="4" w:space="0" w:color="000000"/>
              <w:right w:val="single" w:sz="4" w:space="0" w:color="000000"/>
            </w:tcBorders>
            <w:shd w:val="clear" w:color="auto" w:fill="00B050"/>
          </w:tcPr>
          <w:p w:rsidR="008D0A46" w:rsidRDefault="008D0A46" w:rsidP="00D21617">
            <w:pPr>
              <w:widowControl w:val="0"/>
              <w:autoSpaceDE w:val="0"/>
              <w:autoSpaceDN w:val="0"/>
              <w:adjustRightInd w:val="0"/>
              <w:rPr>
                <w:rFonts w:ascii="Arial" w:hAnsi="Arial" w:cs="Arial"/>
              </w:rPr>
            </w:pPr>
          </w:p>
          <w:p w:rsidR="008D0A46" w:rsidRPr="00524586" w:rsidRDefault="008D0A46" w:rsidP="00D21617">
            <w:pPr>
              <w:widowControl w:val="0"/>
              <w:autoSpaceDE w:val="0"/>
              <w:autoSpaceDN w:val="0"/>
              <w:adjustRightInd w:val="0"/>
              <w:rPr>
                <w:rFonts w:ascii="Arial" w:hAnsi="Arial" w:cs="Arial"/>
              </w:rPr>
            </w:pPr>
            <w:r>
              <w:rPr>
                <w:rFonts w:ascii="Arial" w:hAnsi="Arial" w:cs="Arial"/>
              </w:rPr>
              <w:sym w:font="Wingdings" w:char="F0F1"/>
            </w:r>
          </w:p>
        </w:tc>
      </w:tr>
      <w:tr w:rsidR="008D0A46" w:rsidRPr="00524586"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108"/>
        </w:trPr>
        <w:tc>
          <w:tcPr>
            <w:tcW w:w="987" w:type="pct"/>
            <w:gridSpan w:val="5"/>
            <w:tcBorders>
              <w:top w:val="single" w:sz="4" w:space="0" w:color="000000"/>
              <w:left w:val="single" w:sz="4" w:space="0" w:color="000000"/>
              <w:bottom w:val="single" w:sz="4" w:space="0" w:color="000000"/>
              <w:right w:val="single" w:sz="4" w:space="0" w:color="000000"/>
            </w:tcBorders>
          </w:tcPr>
          <w:p w:rsidR="008D0A46" w:rsidRPr="007A4EC7" w:rsidRDefault="008D0A46" w:rsidP="00D21617">
            <w:pPr>
              <w:autoSpaceDE w:val="0"/>
              <w:autoSpaceDN w:val="0"/>
              <w:spacing w:after="120"/>
              <w:rPr>
                <w:rFonts w:ascii="Arial" w:hAnsi="Arial" w:cs="Arial"/>
                <w:iCs/>
                <w:color w:val="000000"/>
              </w:rPr>
            </w:pPr>
            <w:r w:rsidRPr="007A4EC7">
              <w:rPr>
                <w:rFonts w:ascii="Arial" w:hAnsi="Arial" w:cs="Arial"/>
                <w:iCs/>
                <w:color w:val="000000"/>
              </w:rPr>
              <w:lastRenderedPageBreak/>
              <w:t>Cardiac Surgery Day of Surgery Admission Rate</w:t>
            </w:r>
          </w:p>
        </w:tc>
        <w:tc>
          <w:tcPr>
            <w:tcW w:w="1602" w:type="pct"/>
            <w:gridSpan w:val="6"/>
            <w:tcBorders>
              <w:top w:val="single" w:sz="4" w:space="0" w:color="000000"/>
              <w:left w:val="single" w:sz="4" w:space="0" w:color="000000"/>
              <w:bottom w:val="single" w:sz="4" w:space="0" w:color="000000"/>
              <w:right w:val="single" w:sz="4" w:space="0" w:color="000000"/>
            </w:tcBorders>
          </w:tcPr>
          <w:p w:rsidR="008D0A46" w:rsidRPr="00524586" w:rsidRDefault="008D0A46" w:rsidP="00D21617">
            <w:pPr>
              <w:autoSpaceDE w:val="0"/>
              <w:autoSpaceDN w:val="0"/>
              <w:spacing w:after="120"/>
              <w:rPr>
                <w:rFonts w:ascii="Arial" w:hAnsi="Arial" w:cs="Arial"/>
                <w:iCs/>
                <w:color w:val="000000"/>
              </w:rPr>
            </w:pPr>
            <w:r w:rsidRPr="007A4EC7">
              <w:rPr>
                <w:rFonts w:ascii="Arial" w:hAnsi="Arial" w:cs="Arial"/>
                <w:iCs/>
                <w:color w:val="000000"/>
              </w:rPr>
              <w:t>Target for 15% of Cardiac Surgery major procedure admissions to be DoSA by March 2019</w:t>
            </w:r>
          </w:p>
        </w:tc>
        <w:tc>
          <w:tcPr>
            <w:tcW w:w="350" w:type="pct"/>
            <w:tcBorders>
              <w:top w:val="single" w:sz="4" w:space="0" w:color="000000"/>
              <w:left w:val="single" w:sz="4" w:space="0" w:color="000000"/>
              <w:bottom w:val="single" w:sz="4" w:space="0" w:color="000000"/>
              <w:right w:val="single" w:sz="4" w:space="0" w:color="000000"/>
            </w:tcBorders>
          </w:tcPr>
          <w:p w:rsidR="008D0A46" w:rsidRDefault="008D0A46" w:rsidP="00D21617">
            <w:pPr>
              <w:widowControl w:val="0"/>
              <w:autoSpaceDE w:val="0"/>
              <w:autoSpaceDN w:val="0"/>
              <w:adjustRightInd w:val="0"/>
              <w:rPr>
                <w:rFonts w:ascii="Arial" w:hAnsi="Arial" w:cs="Arial"/>
              </w:rPr>
            </w:pPr>
          </w:p>
          <w:p w:rsidR="008D0A46" w:rsidRPr="00524586" w:rsidRDefault="008D0A46" w:rsidP="00D21617">
            <w:pPr>
              <w:widowControl w:val="0"/>
              <w:autoSpaceDE w:val="0"/>
              <w:autoSpaceDN w:val="0"/>
              <w:adjustRightInd w:val="0"/>
              <w:rPr>
                <w:rFonts w:ascii="Arial" w:hAnsi="Arial" w:cs="Arial"/>
              </w:rPr>
            </w:pPr>
            <w:r>
              <w:rPr>
                <w:rFonts w:ascii="Arial" w:hAnsi="Arial" w:cs="Arial"/>
              </w:rPr>
              <w:t>8.2%</w:t>
            </w:r>
          </w:p>
        </w:tc>
        <w:tc>
          <w:tcPr>
            <w:tcW w:w="350" w:type="pct"/>
            <w:gridSpan w:val="4"/>
            <w:tcBorders>
              <w:top w:val="single" w:sz="4" w:space="0" w:color="000000"/>
              <w:left w:val="single" w:sz="4" w:space="0" w:color="000000"/>
              <w:bottom w:val="single" w:sz="4" w:space="0" w:color="000000"/>
              <w:right w:val="single" w:sz="4" w:space="0" w:color="000000"/>
            </w:tcBorders>
          </w:tcPr>
          <w:p w:rsidR="008D0A46" w:rsidRDefault="008D0A46" w:rsidP="00D21617">
            <w:pPr>
              <w:widowControl w:val="0"/>
              <w:autoSpaceDE w:val="0"/>
              <w:autoSpaceDN w:val="0"/>
              <w:adjustRightInd w:val="0"/>
              <w:rPr>
                <w:rFonts w:ascii="Arial" w:hAnsi="Arial" w:cs="Arial"/>
              </w:rPr>
            </w:pPr>
          </w:p>
          <w:p w:rsidR="008D0A46" w:rsidRPr="00524586" w:rsidRDefault="008D0A46" w:rsidP="00D21617">
            <w:pPr>
              <w:widowControl w:val="0"/>
              <w:autoSpaceDE w:val="0"/>
              <w:autoSpaceDN w:val="0"/>
              <w:adjustRightInd w:val="0"/>
              <w:rPr>
                <w:rFonts w:ascii="Arial" w:hAnsi="Arial" w:cs="Arial"/>
              </w:rPr>
            </w:pPr>
            <w:r>
              <w:rPr>
                <w:rFonts w:ascii="Arial" w:hAnsi="Arial" w:cs="Arial"/>
              </w:rPr>
              <w:t>11.8%</w:t>
            </w:r>
          </w:p>
        </w:tc>
        <w:tc>
          <w:tcPr>
            <w:tcW w:w="349" w:type="pct"/>
            <w:gridSpan w:val="3"/>
            <w:tcBorders>
              <w:top w:val="single" w:sz="4" w:space="0" w:color="000000"/>
              <w:left w:val="single" w:sz="4" w:space="0" w:color="000000"/>
              <w:bottom w:val="single" w:sz="4" w:space="0" w:color="000000"/>
              <w:right w:val="single" w:sz="4" w:space="0" w:color="000000"/>
            </w:tcBorders>
          </w:tcPr>
          <w:p w:rsidR="008D0A46" w:rsidRDefault="008D0A46" w:rsidP="00D21617">
            <w:pPr>
              <w:widowControl w:val="0"/>
              <w:autoSpaceDE w:val="0"/>
              <w:autoSpaceDN w:val="0"/>
              <w:adjustRightInd w:val="0"/>
              <w:rPr>
                <w:rFonts w:ascii="Arial" w:hAnsi="Arial" w:cs="Arial"/>
              </w:rPr>
            </w:pPr>
          </w:p>
          <w:p w:rsidR="008D0A46" w:rsidRDefault="008D0A46" w:rsidP="00D21617">
            <w:pPr>
              <w:widowControl w:val="0"/>
              <w:autoSpaceDE w:val="0"/>
              <w:autoSpaceDN w:val="0"/>
              <w:adjustRightInd w:val="0"/>
              <w:rPr>
                <w:rFonts w:ascii="Arial" w:hAnsi="Arial" w:cs="Arial"/>
              </w:rPr>
            </w:pPr>
            <w:r>
              <w:rPr>
                <w:rFonts w:ascii="Arial" w:hAnsi="Arial" w:cs="Arial"/>
              </w:rPr>
              <w:t>6.4%</w:t>
            </w:r>
          </w:p>
        </w:tc>
        <w:tc>
          <w:tcPr>
            <w:tcW w:w="304" w:type="pct"/>
            <w:gridSpan w:val="3"/>
            <w:tcBorders>
              <w:top w:val="single" w:sz="4" w:space="0" w:color="000000"/>
              <w:left w:val="single" w:sz="4" w:space="0" w:color="000000"/>
              <w:bottom w:val="single" w:sz="4" w:space="0" w:color="000000"/>
              <w:right w:val="single" w:sz="4" w:space="0" w:color="000000"/>
            </w:tcBorders>
          </w:tcPr>
          <w:p w:rsidR="008D0A46" w:rsidRDefault="008D0A46" w:rsidP="00D21617">
            <w:pPr>
              <w:widowControl w:val="0"/>
              <w:autoSpaceDE w:val="0"/>
              <w:autoSpaceDN w:val="0"/>
              <w:adjustRightInd w:val="0"/>
              <w:rPr>
                <w:rFonts w:ascii="Arial" w:hAnsi="Arial" w:cs="Arial"/>
              </w:rPr>
            </w:pPr>
          </w:p>
          <w:p w:rsidR="008D0A46" w:rsidRPr="00524586" w:rsidRDefault="008D0A46" w:rsidP="00D21617">
            <w:pPr>
              <w:widowControl w:val="0"/>
              <w:autoSpaceDE w:val="0"/>
              <w:autoSpaceDN w:val="0"/>
              <w:adjustRightInd w:val="0"/>
              <w:rPr>
                <w:rFonts w:ascii="Arial" w:hAnsi="Arial" w:cs="Arial"/>
              </w:rPr>
            </w:pPr>
            <w:r w:rsidRPr="00524586">
              <w:rPr>
                <w:rFonts w:ascii="Arial" w:hAnsi="Arial" w:cs="Arial"/>
              </w:rPr>
              <w:t>5.4%</w:t>
            </w:r>
          </w:p>
        </w:tc>
        <w:tc>
          <w:tcPr>
            <w:tcW w:w="500" w:type="pct"/>
            <w:gridSpan w:val="2"/>
            <w:tcBorders>
              <w:top w:val="single" w:sz="4" w:space="0" w:color="000000"/>
              <w:left w:val="single" w:sz="4" w:space="0" w:color="000000"/>
              <w:bottom w:val="single" w:sz="4" w:space="0" w:color="000000"/>
              <w:right w:val="single" w:sz="4" w:space="0" w:color="000000"/>
            </w:tcBorders>
          </w:tcPr>
          <w:p w:rsidR="008D0A46" w:rsidRPr="00524586" w:rsidRDefault="008D0A46" w:rsidP="00D21617">
            <w:pPr>
              <w:widowControl w:val="0"/>
              <w:autoSpaceDE w:val="0"/>
              <w:autoSpaceDN w:val="0"/>
              <w:adjustRightInd w:val="0"/>
              <w:rPr>
                <w:rFonts w:ascii="Arial" w:hAnsi="Arial" w:cs="Arial"/>
              </w:rPr>
            </w:pPr>
            <w:r>
              <w:rPr>
                <w:rFonts w:ascii="Arial" w:hAnsi="Arial" w:cs="Arial"/>
              </w:rPr>
              <w:t>15% by March 2019</w:t>
            </w:r>
          </w:p>
        </w:tc>
        <w:tc>
          <w:tcPr>
            <w:tcW w:w="558" w:type="pct"/>
            <w:gridSpan w:val="3"/>
            <w:tcBorders>
              <w:top w:val="single" w:sz="4" w:space="0" w:color="000000"/>
              <w:left w:val="single" w:sz="4" w:space="0" w:color="000000"/>
              <w:bottom w:val="single" w:sz="4" w:space="0" w:color="000000"/>
              <w:right w:val="single" w:sz="4" w:space="0" w:color="000000"/>
            </w:tcBorders>
            <w:shd w:val="clear" w:color="auto" w:fill="FF0000"/>
          </w:tcPr>
          <w:p w:rsidR="008D0A46" w:rsidRDefault="008D0A46" w:rsidP="00D21617">
            <w:pPr>
              <w:rPr>
                <w:rFonts w:ascii="Arial" w:hAnsi="Arial" w:cs="Arial"/>
              </w:rPr>
            </w:pPr>
          </w:p>
          <w:p w:rsidR="008D0A46" w:rsidRPr="00524586" w:rsidRDefault="008D0A46" w:rsidP="00D21617">
            <w:pPr>
              <w:rPr>
                <w:rFonts w:ascii="Arial" w:hAnsi="Arial" w:cs="Arial"/>
              </w:rPr>
            </w:pPr>
            <w:r>
              <w:rPr>
                <w:rFonts w:ascii="Arial" w:hAnsi="Arial" w:cs="Arial"/>
              </w:rPr>
              <w:sym w:font="Wingdings" w:char="F0F2"/>
            </w:r>
          </w:p>
        </w:tc>
      </w:tr>
      <w:tr w:rsidR="007A4EC7" w:rsidRPr="00723D08" w:rsidTr="00D216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40"/>
        </w:trPr>
        <w:tc>
          <w:tcPr>
            <w:tcW w:w="5000" w:type="pct"/>
            <w:gridSpan w:val="27"/>
            <w:tcBorders>
              <w:top w:val="single" w:sz="4" w:space="0" w:color="000000"/>
              <w:left w:val="single" w:sz="4" w:space="0" w:color="000000"/>
              <w:bottom w:val="single" w:sz="4" w:space="0" w:color="000000"/>
              <w:right w:val="single" w:sz="4" w:space="0" w:color="000000"/>
            </w:tcBorders>
          </w:tcPr>
          <w:p w:rsidR="007A4EC7" w:rsidRDefault="007A4EC7" w:rsidP="00D21617">
            <w:pPr>
              <w:autoSpaceDE w:val="0"/>
              <w:autoSpaceDN w:val="0"/>
              <w:spacing w:after="120"/>
              <w:rPr>
                <w:rFonts w:ascii="Arial" w:hAnsi="Arial" w:cs="Arial"/>
                <w:b/>
                <w:iCs/>
                <w:color w:val="000000"/>
              </w:rPr>
            </w:pPr>
            <w:r>
              <w:rPr>
                <w:rFonts w:ascii="Arial" w:hAnsi="Arial" w:cs="Arial"/>
                <w:b/>
                <w:iCs/>
                <w:color w:val="000000"/>
              </w:rPr>
              <w:t>Analysis</w:t>
            </w:r>
          </w:p>
          <w:p w:rsidR="00524586" w:rsidRDefault="00524586" w:rsidP="00D21617">
            <w:pPr>
              <w:pStyle w:val="ListParagraph"/>
              <w:tabs>
                <w:tab w:val="left" w:pos="360"/>
              </w:tabs>
              <w:spacing w:after="240"/>
              <w:ind w:left="0" w:right="386"/>
              <w:rPr>
                <w:rFonts w:ascii="Arial" w:hAnsi="Arial" w:cs="Arial"/>
                <w:sz w:val="24"/>
              </w:rPr>
            </w:pPr>
            <w:r w:rsidRPr="00524586">
              <w:rPr>
                <w:rFonts w:ascii="Arial" w:hAnsi="Arial" w:cs="Arial"/>
                <w:sz w:val="24"/>
              </w:rPr>
              <w:t xml:space="preserve">The number of Orthopaedic patients being admitted as DoSA </w:t>
            </w:r>
            <w:r>
              <w:rPr>
                <w:rFonts w:ascii="Arial" w:hAnsi="Arial" w:cs="Arial"/>
                <w:sz w:val="24"/>
              </w:rPr>
              <w:t>reduced</w:t>
            </w:r>
            <w:r w:rsidRPr="00524586">
              <w:rPr>
                <w:rFonts w:ascii="Arial" w:hAnsi="Arial" w:cs="Arial"/>
                <w:sz w:val="24"/>
              </w:rPr>
              <w:t xml:space="preserve"> during June and July. The rates were impacted by an increase in the number of </w:t>
            </w:r>
            <w:proofErr w:type="spellStart"/>
            <w:r w:rsidRPr="00524586">
              <w:rPr>
                <w:rFonts w:ascii="Arial" w:hAnsi="Arial" w:cs="Arial"/>
                <w:sz w:val="24"/>
              </w:rPr>
              <w:t>Raigmore</w:t>
            </w:r>
            <w:proofErr w:type="spellEnd"/>
            <w:r w:rsidRPr="00524586">
              <w:rPr>
                <w:rFonts w:ascii="Arial" w:hAnsi="Arial" w:cs="Arial"/>
                <w:sz w:val="24"/>
              </w:rPr>
              <w:t>, Shetland, Orkney and Western Isles patients admitted. As these patients are seen through outreach or video conference clinics and have not been assessed by the full clinical team</w:t>
            </w:r>
            <w:r w:rsidR="00D21617">
              <w:rPr>
                <w:rFonts w:ascii="Arial" w:hAnsi="Arial" w:cs="Arial"/>
                <w:sz w:val="24"/>
              </w:rPr>
              <w:t>,</w:t>
            </w:r>
            <w:r w:rsidRPr="00524586">
              <w:rPr>
                <w:rFonts w:ascii="Arial" w:hAnsi="Arial" w:cs="Arial"/>
                <w:sz w:val="24"/>
              </w:rPr>
              <w:t xml:space="preserve"> they are brought in the day prior to surgery.</w:t>
            </w:r>
          </w:p>
          <w:p w:rsidR="00524586" w:rsidRPr="00524586" w:rsidRDefault="00524586" w:rsidP="00D21617">
            <w:pPr>
              <w:pStyle w:val="ListParagraph"/>
              <w:tabs>
                <w:tab w:val="left" w:pos="360"/>
              </w:tabs>
              <w:spacing w:after="240"/>
              <w:ind w:left="0" w:right="386"/>
              <w:rPr>
                <w:rFonts w:ascii="Arial" w:hAnsi="Arial" w:cs="Arial"/>
                <w:sz w:val="24"/>
              </w:rPr>
            </w:pPr>
            <w:r w:rsidRPr="00524586">
              <w:rPr>
                <w:rFonts w:ascii="Arial" w:hAnsi="Arial" w:cs="Arial"/>
                <w:sz w:val="24"/>
              </w:rPr>
              <w:t>Thoracic Surgery DoSA rates continue to exceed the monthly improvement target and are in line to achieve the March 2019 target of 44% of Thoracic Surgery patients to be admitted on the same day as their surgery.</w:t>
            </w:r>
          </w:p>
          <w:p w:rsidR="007A4EC7" w:rsidRDefault="00892AB3" w:rsidP="00D21617">
            <w:pPr>
              <w:pStyle w:val="ListParagraph"/>
              <w:tabs>
                <w:tab w:val="left" w:pos="360"/>
              </w:tabs>
              <w:spacing w:after="240"/>
              <w:ind w:left="0" w:right="386"/>
              <w:rPr>
                <w:rFonts w:ascii="Arial" w:hAnsi="Arial" w:cs="Arial"/>
                <w:sz w:val="24"/>
              </w:rPr>
            </w:pPr>
            <w:r w:rsidRPr="00892AB3">
              <w:rPr>
                <w:rFonts w:ascii="Arial" w:hAnsi="Arial" w:cs="Arial"/>
                <w:sz w:val="24"/>
              </w:rPr>
              <w:t>Cardiac Surgery DoSA rates fell during September and October. This was in part due to the requirement for MSSA patients to be admitted the day prior to surgery. A new protocol to allow MSSA patients to be treated in the community has been developed and is awaiting approval. During October</w:t>
            </w:r>
            <w:r w:rsidR="00B73198">
              <w:rPr>
                <w:rFonts w:ascii="Arial" w:hAnsi="Arial" w:cs="Arial"/>
                <w:sz w:val="24"/>
              </w:rPr>
              <w:t>,</w:t>
            </w:r>
            <w:r w:rsidRPr="00892AB3">
              <w:rPr>
                <w:rFonts w:ascii="Arial" w:hAnsi="Arial" w:cs="Arial"/>
                <w:sz w:val="24"/>
              </w:rPr>
              <w:t xml:space="preserve"> pressures with </w:t>
            </w:r>
            <w:r w:rsidR="00B73198">
              <w:rPr>
                <w:rFonts w:ascii="Arial" w:hAnsi="Arial" w:cs="Arial"/>
                <w:sz w:val="24"/>
              </w:rPr>
              <w:t xml:space="preserve">numbers of </w:t>
            </w:r>
            <w:r w:rsidRPr="00892AB3">
              <w:rPr>
                <w:rFonts w:ascii="Arial" w:hAnsi="Arial" w:cs="Arial"/>
                <w:sz w:val="24"/>
              </w:rPr>
              <w:t>available Critical Care beds resulted in a number of Cardiac DoSA patients being cancelled. Patients identified as suitable for DoSA are generally patients with a lower clinical urgency than those admitted in advance of their procedure. DoSA cancellations are not included on the reported figure.</w:t>
            </w:r>
          </w:p>
          <w:p w:rsidR="00C353F9" w:rsidRPr="00892AB3" w:rsidRDefault="00C353F9" w:rsidP="00D21617">
            <w:pPr>
              <w:pStyle w:val="ListParagraph"/>
              <w:tabs>
                <w:tab w:val="left" w:pos="360"/>
              </w:tabs>
              <w:spacing w:after="240"/>
              <w:ind w:left="0" w:right="386"/>
            </w:pPr>
            <w:r>
              <w:rPr>
                <w:rFonts w:ascii="Arial" w:hAnsi="Arial" w:cs="Arial"/>
                <w:sz w:val="24"/>
              </w:rPr>
              <w:t xml:space="preserve">The measurement of Orthopaedic and Thoracic Surgery DoSA rates relies on coded data. </w:t>
            </w:r>
            <w:r w:rsidR="00154B6A">
              <w:rPr>
                <w:rFonts w:ascii="Arial" w:hAnsi="Arial" w:cs="Arial"/>
                <w:sz w:val="24"/>
              </w:rPr>
              <w:t xml:space="preserve">The backlog of coded episodes is recovering and approximately two weeks behind plan. </w:t>
            </w:r>
            <w:r>
              <w:rPr>
                <w:rFonts w:ascii="Arial" w:hAnsi="Arial" w:cs="Arial"/>
                <w:sz w:val="24"/>
              </w:rPr>
              <w:t>An alternative calculation method has been devised for Cardiac Surgery DoSA which allows for real time measurement. Work is continuing to allow real time measurement of Orthopaedic and Thoracic Surgery DoSA.</w:t>
            </w:r>
          </w:p>
        </w:tc>
      </w:tr>
      <w:tr w:rsidR="00356C7F" w:rsidRPr="00723D08" w:rsidTr="00D21617">
        <w:tblPrEx>
          <w:tblLook w:val="04A0"/>
        </w:tblPrEx>
        <w:trPr>
          <w:trHeight w:val="411"/>
        </w:trPr>
        <w:tc>
          <w:tcPr>
            <w:tcW w:w="5000" w:type="pct"/>
            <w:gridSpan w:val="27"/>
          </w:tcPr>
          <w:p w:rsidR="00356C7F" w:rsidRPr="00723D08" w:rsidRDefault="00356C7F" w:rsidP="00D21617">
            <w:pPr>
              <w:rPr>
                <w:rFonts w:ascii="Arial" w:hAnsi="Arial" w:cs="Arial"/>
                <w:highlight w:val="yellow"/>
              </w:rPr>
            </w:pPr>
            <w:r w:rsidRPr="00356C7F">
              <w:rPr>
                <w:rFonts w:ascii="Arial" w:hAnsi="Arial" w:cs="Arial"/>
                <w:b/>
                <w:bCs/>
                <w:lang w:eastAsia="en-GB"/>
              </w:rPr>
              <w:t>Safe                                                                                                                            Board Performance update – November 2018</w:t>
            </w:r>
          </w:p>
        </w:tc>
      </w:tr>
      <w:tr w:rsidR="00356C7F" w:rsidRPr="00723D08" w:rsidTr="00D21617">
        <w:tblPrEx>
          <w:tblLook w:val="04A0"/>
        </w:tblPrEx>
        <w:trPr>
          <w:trHeight w:val="403"/>
        </w:trPr>
        <w:tc>
          <w:tcPr>
            <w:tcW w:w="624" w:type="pct"/>
            <w:gridSpan w:val="2"/>
            <w:shd w:val="clear" w:color="auto" w:fill="D9D9D9"/>
            <w:vAlign w:val="center"/>
          </w:tcPr>
          <w:p w:rsidR="00356C7F" w:rsidRPr="00356C7F" w:rsidRDefault="00356C7F" w:rsidP="00D21617">
            <w:pPr>
              <w:widowControl w:val="0"/>
              <w:autoSpaceDE w:val="0"/>
              <w:autoSpaceDN w:val="0"/>
              <w:adjustRightInd w:val="0"/>
              <w:rPr>
                <w:rFonts w:ascii="Arial" w:hAnsi="Arial" w:cs="Arial"/>
                <w:color w:val="000000"/>
                <w:lang w:eastAsia="en-GB"/>
              </w:rPr>
            </w:pPr>
            <w:r w:rsidRPr="00356C7F">
              <w:rPr>
                <w:rFonts w:ascii="Arial" w:hAnsi="Arial" w:cs="Arial"/>
                <w:color w:val="000000"/>
                <w:lang w:eastAsia="en-GB"/>
              </w:rPr>
              <w:t>KPI</w:t>
            </w:r>
          </w:p>
        </w:tc>
        <w:tc>
          <w:tcPr>
            <w:tcW w:w="625" w:type="pct"/>
            <w:gridSpan w:val="4"/>
            <w:shd w:val="clear" w:color="auto" w:fill="D9D9D9"/>
            <w:vAlign w:val="center"/>
          </w:tcPr>
          <w:p w:rsidR="00356C7F" w:rsidRPr="00356C7F" w:rsidRDefault="00356C7F" w:rsidP="00D21617">
            <w:pPr>
              <w:widowControl w:val="0"/>
              <w:autoSpaceDE w:val="0"/>
              <w:autoSpaceDN w:val="0"/>
              <w:adjustRightInd w:val="0"/>
              <w:rPr>
                <w:rFonts w:ascii="Arial" w:hAnsi="Arial" w:cs="Arial"/>
                <w:color w:val="000000"/>
                <w:lang w:eastAsia="en-GB"/>
              </w:rPr>
            </w:pPr>
            <w:r w:rsidRPr="00356C7F">
              <w:rPr>
                <w:rFonts w:ascii="Arial" w:hAnsi="Arial" w:cs="Arial"/>
                <w:color w:val="000000"/>
                <w:lang w:eastAsia="en-GB"/>
              </w:rPr>
              <w:t>Details</w:t>
            </w:r>
          </w:p>
        </w:tc>
        <w:tc>
          <w:tcPr>
            <w:tcW w:w="625" w:type="pct"/>
            <w:gridSpan w:val="2"/>
            <w:shd w:val="clear" w:color="auto" w:fill="D9D9D9"/>
            <w:vAlign w:val="center"/>
          </w:tcPr>
          <w:p w:rsidR="00356C7F" w:rsidRPr="00356C7F" w:rsidRDefault="00356C7F" w:rsidP="00D21617">
            <w:pPr>
              <w:rPr>
                <w:rFonts w:ascii="Arial" w:hAnsi="Arial" w:cs="Arial"/>
              </w:rPr>
            </w:pPr>
            <w:r w:rsidRPr="00356C7F">
              <w:rPr>
                <w:rFonts w:ascii="Arial" w:hAnsi="Arial" w:cs="Arial"/>
              </w:rPr>
              <w:t>Tolerance</w:t>
            </w:r>
          </w:p>
        </w:tc>
        <w:tc>
          <w:tcPr>
            <w:tcW w:w="625" w:type="pct"/>
            <w:gridSpan w:val="2"/>
            <w:shd w:val="clear" w:color="auto" w:fill="D9D9D9"/>
          </w:tcPr>
          <w:p w:rsidR="00356C7F" w:rsidRPr="00356C7F" w:rsidRDefault="00356C7F" w:rsidP="00D21617">
            <w:pPr>
              <w:widowControl w:val="0"/>
              <w:autoSpaceDE w:val="0"/>
              <w:autoSpaceDN w:val="0"/>
              <w:adjustRightInd w:val="0"/>
              <w:rPr>
                <w:rFonts w:ascii="Arial" w:hAnsi="Arial" w:cs="Arial"/>
                <w:color w:val="000000"/>
                <w:lang w:eastAsia="en-GB"/>
              </w:rPr>
            </w:pPr>
            <w:r>
              <w:rPr>
                <w:rFonts w:ascii="Arial" w:hAnsi="Arial" w:cs="Arial"/>
                <w:color w:val="000000"/>
                <w:lang w:eastAsia="en-GB"/>
              </w:rPr>
              <w:t>Jul</w:t>
            </w:r>
            <w:r w:rsidRPr="00356C7F">
              <w:rPr>
                <w:rFonts w:ascii="Arial" w:hAnsi="Arial" w:cs="Arial"/>
                <w:color w:val="000000"/>
                <w:lang w:eastAsia="en-GB"/>
              </w:rPr>
              <w:t xml:space="preserve"> 2018</w:t>
            </w:r>
          </w:p>
        </w:tc>
        <w:tc>
          <w:tcPr>
            <w:tcW w:w="625" w:type="pct"/>
            <w:gridSpan w:val="5"/>
            <w:shd w:val="clear" w:color="auto" w:fill="D9D9D9"/>
          </w:tcPr>
          <w:p w:rsidR="00356C7F" w:rsidRPr="00356C7F" w:rsidRDefault="00356C7F" w:rsidP="00D21617">
            <w:pPr>
              <w:widowControl w:val="0"/>
              <w:autoSpaceDE w:val="0"/>
              <w:autoSpaceDN w:val="0"/>
              <w:adjustRightInd w:val="0"/>
              <w:rPr>
                <w:rFonts w:ascii="Arial" w:hAnsi="Arial" w:cs="Arial"/>
                <w:color w:val="000000"/>
                <w:lang w:eastAsia="en-GB"/>
              </w:rPr>
            </w:pPr>
            <w:r>
              <w:rPr>
                <w:rFonts w:ascii="Arial" w:hAnsi="Arial" w:cs="Arial"/>
                <w:color w:val="000000"/>
                <w:lang w:eastAsia="en-GB"/>
              </w:rPr>
              <w:t>Aug</w:t>
            </w:r>
            <w:r w:rsidRPr="00356C7F">
              <w:rPr>
                <w:rFonts w:ascii="Arial" w:hAnsi="Arial" w:cs="Arial"/>
                <w:color w:val="000000"/>
                <w:lang w:eastAsia="en-GB"/>
              </w:rPr>
              <w:t xml:space="preserve"> 2018</w:t>
            </w:r>
          </w:p>
        </w:tc>
        <w:tc>
          <w:tcPr>
            <w:tcW w:w="625" w:type="pct"/>
            <w:gridSpan w:val="5"/>
            <w:shd w:val="clear" w:color="auto" w:fill="D9D9D9"/>
          </w:tcPr>
          <w:p w:rsidR="00356C7F" w:rsidRPr="00356C7F" w:rsidRDefault="00356C7F" w:rsidP="00D21617">
            <w:pPr>
              <w:widowControl w:val="0"/>
              <w:autoSpaceDE w:val="0"/>
              <w:autoSpaceDN w:val="0"/>
              <w:adjustRightInd w:val="0"/>
              <w:rPr>
                <w:rFonts w:ascii="Arial" w:hAnsi="Arial" w:cs="Arial"/>
                <w:color w:val="000000"/>
                <w:lang w:eastAsia="en-GB"/>
              </w:rPr>
            </w:pPr>
            <w:r>
              <w:rPr>
                <w:rFonts w:ascii="Arial" w:hAnsi="Arial" w:cs="Arial"/>
                <w:color w:val="000000"/>
                <w:lang w:eastAsia="en-GB"/>
              </w:rPr>
              <w:t>Sep</w:t>
            </w:r>
            <w:r w:rsidRPr="00356C7F">
              <w:rPr>
                <w:rFonts w:ascii="Arial" w:hAnsi="Arial" w:cs="Arial"/>
                <w:color w:val="000000"/>
                <w:lang w:eastAsia="en-GB"/>
              </w:rPr>
              <w:t xml:space="preserve"> 2018</w:t>
            </w:r>
          </w:p>
        </w:tc>
        <w:tc>
          <w:tcPr>
            <w:tcW w:w="625" w:type="pct"/>
            <w:gridSpan w:val="3"/>
            <w:shd w:val="clear" w:color="auto" w:fill="D9D9D9"/>
            <w:vAlign w:val="center"/>
          </w:tcPr>
          <w:p w:rsidR="00356C7F" w:rsidRPr="00356C7F" w:rsidRDefault="00356C7F" w:rsidP="00D21617">
            <w:pPr>
              <w:widowControl w:val="0"/>
              <w:autoSpaceDE w:val="0"/>
              <w:autoSpaceDN w:val="0"/>
              <w:adjustRightInd w:val="0"/>
              <w:rPr>
                <w:rFonts w:ascii="Arial" w:hAnsi="Arial" w:cs="Arial"/>
                <w:color w:val="000000"/>
                <w:lang w:eastAsia="en-GB"/>
              </w:rPr>
            </w:pPr>
            <w:r w:rsidRPr="00356C7F">
              <w:rPr>
                <w:rFonts w:ascii="Arial" w:hAnsi="Arial" w:cs="Arial"/>
                <w:color w:val="000000"/>
                <w:lang w:eastAsia="en-GB"/>
              </w:rPr>
              <w:t>Target</w:t>
            </w:r>
          </w:p>
        </w:tc>
        <w:tc>
          <w:tcPr>
            <w:tcW w:w="625" w:type="pct"/>
            <w:gridSpan w:val="4"/>
            <w:tcBorders>
              <w:bottom w:val="single" w:sz="4" w:space="0" w:color="auto"/>
            </w:tcBorders>
            <w:shd w:val="clear" w:color="auto" w:fill="D9D9D9"/>
            <w:vAlign w:val="center"/>
          </w:tcPr>
          <w:p w:rsidR="00356C7F" w:rsidRPr="00356C7F" w:rsidRDefault="00356C7F" w:rsidP="00D21617">
            <w:pPr>
              <w:widowControl w:val="0"/>
              <w:autoSpaceDE w:val="0"/>
              <w:autoSpaceDN w:val="0"/>
              <w:adjustRightInd w:val="0"/>
              <w:rPr>
                <w:rFonts w:ascii="Arial" w:hAnsi="Arial" w:cs="Arial"/>
                <w:lang w:eastAsia="en-GB"/>
              </w:rPr>
            </w:pPr>
            <w:r w:rsidRPr="00356C7F">
              <w:rPr>
                <w:rFonts w:ascii="Arial" w:hAnsi="Arial" w:cs="Arial"/>
                <w:lang w:eastAsia="en-GB"/>
              </w:rPr>
              <w:t>On Track</w:t>
            </w:r>
          </w:p>
        </w:tc>
      </w:tr>
      <w:tr w:rsidR="00356C7F" w:rsidRPr="00723D08" w:rsidTr="00D21617">
        <w:tblPrEx>
          <w:tblLook w:val="04A0"/>
        </w:tblPrEx>
        <w:trPr>
          <w:trHeight w:val="422"/>
        </w:trPr>
        <w:tc>
          <w:tcPr>
            <w:tcW w:w="624" w:type="pct"/>
            <w:gridSpan w:val="2"/>
          </w:tcPr>
          <w:p w:rsidR="00356C7F" w:rsidRPr="00356C7F" w:rsidRDefault="00356C7F" w:rsidP="00D21617">
            <w:pPr>
              <w:widowControl w:val="0"/>
              <w:autoSpaceDE w:val="0"/>
              <w:autoSpaceDN w:val="0"/>
              <w:adjustRightInd w:val="0"/>
              <w:rPr>
                <w:rFonts w:ascii="Arial" w:hAnsi="Arial" w:cs="Arial"/>
                <w:color w:val="000000"/>
                <w:lang w:eastAsia="en-GB"/>
              </w:rPr>
            </w:pPr>
            <w:r w:rsidRPr="00356C7F">
              <w:rPr>
                <w:rFonts w:ascii="Arial" w:hAnsi="Arial" w:cs="Arial"/>
                <w:color w:val="000000"/>
                <w:lang w:eastAsia="en-GB"/>
              </w:rPr>
              <w:t>MRSA/MSSA bacterium</w:t>
            </w:r>
          </w:p>
        </w:tc>
        <w:tc>
          <w:tcPr>
            <w:tcW w:w="625" w:type="pct"/>
            <w:gridSpan w:val="4"/>
          </w:tcPr>
          <w:p w:rsidR="00356C7F" w:rsidRPr="00356C7F" w:rsidRDefault="00356C7F" w:rsidP="00D21617">
            <w:pPr>
              <w:widowControl w:val="0"/>
              <w:autoSpaceDE w:val="0"/>
              <w:autoSpaceDN w:val="0"/>
              <w:adjustRightInd w:val="0"/>
              <w:rPr>
                <w:rFonts w:ascii="Arial" w:hAnsi="Arial" w:cs="Arial"/>
                <w:color w:val="000000"/>
                <w:lang w:eastAsia="en-GB"/>
              </w:rPr>
            </w:pPr>
            <w:r w:rsidRPr="00356C7F">
              <w:rPr>
                <w:rFonts w:ascii="Arial" w:hAnsi="Arial" w:cs="Arial"/>
                <w:color w:val="000000"/>
                <w:lang w:eastAsia="en-GB"/>
              </w:rPr>
              <w:t xml:space="preserve">Maintain at a rate of 0.12 cases per </w:t>
            </w:r>
            <w:r w:rsidRPr="00356C7F">
              <w:rPr>
                <w:rFonts w:ascii="Arial" w:hAnsi="Arial" w:cs="Arial"/>
                <w:color w:val="000000"/>
                <w:lang w:eastAsia="en-GB"/>
              </w:rPr>
              <w:lastRenderedPageBreak/>
              <w:t>1000 occupied bed days</w:t>
            </w:r>
          </w:p>
        </w:tc>
        <w:tc>
          <w:tcPr>
            <w:tcW w:w="625" w:type="pct"/>
            <w:gridSpan w:val="2"/>
            <w:vAlign w:val="center"/>
          </w:tcPr>
          <w:p w:rsidR="00356C7F" w:rsidRPr="00356C7F" w:rsidRDefault="00356C7F" w:rsidP="00D21617">
            <w:pPr>
              <w:rPr>
                <w:rFonts w:ascii="Arial" w:hAnsi="Arial" w:cs="Arial"/>
                <w:color w:val="000000"/>
                <w:sz w:val="22"/>
              </w:rPr>
            </w:pPr>
            <w:r w:rsidRPr="00356C7F">
              <w:rPr>
                <w:rFonts w:ascii="Arial" w:hAnsi="Arial" w:cs="Arial"/>
                <w:color w:val="000000"/>
                <w:sz w:val="22"/>
              </w:rPr>
              <w:lastRenderedPageBreak/>
              <w:t>≤0.12 = Green</w:t>
            </w:r>
          </w:p>
          <w:p w:rsidR="00356C7F" w:rsidRPr="00356C7F" w:rsidRDefault="00356C7F" w:rsidP="00D21617">
            <w:pPr>
              <w:rPr>
                <w:rFonts w:ascii="Arial" w:hAnsi="Arial" w:cs="Arial"/>
                <w:color w:val="000000"/>
              </w:rPr>
            </w:pPr>
            <w:r w:rsidRPr="00356C7F">
              <w:rPr>
                <w:rFonts w:ascii="Arial" w:hAnsi="Arial" w:cs="Arial"/>
                <w:color w:val="000000"/>
                <w:sz w:val="22"/>
              </w:rPr>
              <w:t>&gt;0.12 = Red</w:t>
            </w:r>
          </w:p>
        </w:tc>
        <w:tc>
          <w:tcPr>
            <w:tcW w:w="625" w:type="pct"/>
            <w:gridSpan w:val="2"/>
            <w:vAlign w:val="center"/>
          </w:tcPr>
          <w:p w:rsidR="00356C7F" w:rsidRPr="00356C7F" w:rsidRDefault="00356C7F" w:rsidP="00D21617">
            <w:pPr>
              <w:widowControl w:val="0"/>
              <w:autoSpaceDE w:val="0"/>
              <w:autoSpaceDN w:val="0"/>
              <w:adjustRightInd w:val="0"/>
              <w:rPr>
                <w:rFonts w:ascii="Arial" w:hAnsi="Arial" w:cs="Arial"/>
                <w:color w:val="000000"/>
                <w:lang w:eastAsia="en-GB"/>
              </w:rPr>
            </w:pPr>
            <w:r w:rsidRPr="00356C7F">
              <w:rPr>
                <w:rFonts w:ascii="Arial" w:hAnsi="Arial" w:cs="Arial"/>
                <w:color w:val="000000"/>
                <w:lang w:eastAsia="en-GB"/>
              </w:rPr>
              <w:t>N/A</w:t>
            </w:r>
          </w:p>
        </w:tc>
        <w:tc>
          <w:tcPr>
            <w:tcW w:w="625" w:type="pct"/>
            <w:gridSpan w:val="5"/>
            <w:vAlign w:val="center"/>
          </w:tcPr>
          <w:p w:rsidR="00356C7F" w:rsidRPr="00356C7F" w:rsidRDefault="00356C7F" w:rsidP="00D21617">
            <w:pPr>
              <w:widowControl w:val="0"/>
              <w:autoSpaceDE w:val="0"/>
              <w:autoSpaceDN w:val="0"/>
              <w:adjustRightInd w:val="0"/>
              <w:rPr>
                <w:rFonts w:ascii="Arial" w:hAnsi="Arial" w:cs="Arial"/>
                <w:color w:val="000000"/>
                <w:lang w:eastAsia="en-GB"/>
              </w:rPr>
            </w:pPr>
            <w:r w:rsidRPr="00356C7F">
              <w:rPr>
                <w:rFonts w:ascii="Arial" w:hAnsi="Arial" w:cs="Arial"/>
                <w:color w:val="000000"/>
                <w:lang w:eastAsia="en-GB"/>
              </w:rPr>
              <w:t>N/A</w:t>
            </w:r>
          </w:p>
        </w:tc>
        <w:tc>
          <w:tcPr>
            <w:tcW w:w="625" w:type="pct"/>
            <w:gridSpan w:val="5"/>
            <w:vAlign w:val="center"/>
          </w:tcPr>
          <w:p w:rsidR="00356C7F" w:rsidRPr="00356C7F" w:rsidRDefault="00356C7F" w:rsidP="00D21617">
            <w:pPr>
              <w:widowControl w:val="0"/>
              <w:autoSpaceDE w:val="0"/>
              <w:autoSpaceDN w:val="0"/>
              <w:adjustRightInd w:val="0"/>
              <w:rPr>
                <w:rFonts w:ascii="Arial" w:hAnsi="Arial" w:cs="Arial"/>
                <w:color w:val="000000"/>
                <w:lang w:eastAsia="en-GB"/>
              </w:rPr>
            </w:pPr>
            <w:r w:rsidRPr="00356C7F">
              <w:rPr>
                <w:rFonts w:ascii="Arial" w:hAnsi="Arial" w:cs="Arial"/>
                <w:color w:val="000000"/>
                <w:lang w:eastAsia="en-GB"/>
              </w:rPr>
              <w:t>0</w:t>
            </w:r>
          </w:p>
        </w:tc>
        <w:tc>
          <w:tcPr>
            <w:tcW w:w="625" w:type="pct"/>
            <w:gridSpan w:val="3"/>
            <w:vAlign w:val="center"/>
          </w:tcPr>
          <w:p w:rsidR="00356C7F" w:rsidRPr="00356C7F" w:rsidRDefault="00356C7F" w:rsidP="00D21617">
            <w:pPr>
              <w:widowControl w:val="0"/>
              <w:autoSpaceDE w:val="0"/>
              <w:autoSpaceDN w:val="0"/>
              <w:adjustRightInd w:val="0"/>
              <w:ind w:left="-109" w:right="-108"/>
              <w:rPr>
                <w:rFonts w:ascii="Arial" w:hAnsi="Arial" w:cs="Arial"/>
                <w:color w:val="000000"/>
                <w:lang w:eastAsia="en-GB"/>
              </w:rPr>
            </w:pPr>
            <w:r w:rsidRPr="00356C7F">
              <w:rPr>
                <w:rFonts w:ascii="Arial" w:hAnsi="Arial" w:cs="Arial"/>
                <w:color w:val="000000"/>
                <w:sz w:val="22"/>
              </w:rPr>
              <w:t>≤0.12</w:t>
            </w:r>
          </w:p>
        </w:tc>
        <w:tc>
          <w:tcPr>
            <w:tcW w:w="625" w:type="pct"/>
            <w:gridSpan w:val="4"/>
            <w:tcBorders>
              <w:bottom w:val="single" w:sz="4" w:space="0" w:color="auto"/>
            </w:tcBorders>
            <w:shd w:val="clear" w:color="auto" w:fill="00B050"/>
            <w:vAlign w:val="center"/>
          </w:tcPr>
          <w:p w:rsidR="00356C7F" w:rsidRPr="00356C7F" w:rsidRDefault="00356C7F" w:rsidP="00D21617">
            <w:pPr>
              <w:widowControl w:val="0"/>
              <w:autoSpaceDE w:val="0"/>
              <w:autoSpaceDN w:val="0"/>
              <w:adjustRightInd w:val="0"/>
              <w:rPr>
                <w:rFonts w:ascii="Arial" w:hAnsi="Arial" w:cs="Arial"/>
                <w:color w:val="000000"/>
                <w:lang w:eastAsia="en-GB"/>
              </w:rPr>
            </w:pPr>
            <w:r w:rsidRPr="00356C7F">
              <w:rPr>
                <w:rFonts w:ascii="Arial" w:hAnsi="Arial" w:cs="Arial"/>
                <w:color w:val="000000"/>
                <w:lang w:eastAsia="en-GB"/>
              </w:rPr>
              <w:sym w:font="Wingdings" w:char="F0F1"/>
            </w:r>
          </w:p>
        </w:tc>
      </w:tr>
      <w:tr w:rsidR="00356C7F" w:rsidRPr="00723D08" w:rsidTr="00D21617">
        <w:tblPrEx>
          <w:tblLook w:val="04A0"/>
        </w:tblPrEx>
        <w:trPr>
          <w:trHeight w:val="422"/>
        </w:trPr>
        <w:tc>
          <w:tcPr>
            <w:tcW w:w="624" w:type="pct"/>
            <w:gridSpan w:val="2"/>
          </w:tcPr>
          <w:p w:rsidR="00356C7F" w:rsidRPr="00356C7F" w:rsidRDefault="00356C7F" w:rsidP="00D21617">
            <w:pPr>
              <w:widowControl w:val="0"/>
              <w:autoSpaceDE w:val="0"/>
              <w:autoSpaceDN w:val="0"/>
              <w:adjustRightInd w:val="0"/>
              <w:rPr>
                <w:rFonts w:ascii="Arial" w:hAnsi="Arial" w:cs="Arial"/>
                <w:color w:val="000000"/>
                <w:lang w:eastAsia="en-GB"/>
              </w:rPr>
            </w:pPr>
            <w:r w:rsidRPr="00356C7F">
              <w:rPr>
                <w:rFonts w:ascii="Arial" w:hAnsi="Arial" w:cs="Arial"/>
                <w:color w:val="000000"/>
                <w:lang w:eastAsia="en-GB"/>
              </w:rPr>
              <w:lastRenderedPageBreak/>
              <w:t xml:space="preserve">Clostridium </w:t>
            </w:r>
            <w:proofErr w:type="spellStart"/>
            <w:r w:rsidRPr="00356C7F">
              <w:rPr>
                <w:rFonts w:ascii="Arial" w:hAnsi="Arial" w:cs="Arial"/>
                <w:color w:val="000000"/>
                <w:lang w:eastAsia="en-GB"/>
              </w:rPr>
              <w:t>difficile</w:t>
            </w:r>
            <w:proofErr w:type="spellEnd"/>
            <w:r w:rsidRPr="00356C7F">
              <w:rPr>
                <w:rFonts w:ascii="Arial" w:hAnsi="Arial" w:cs="Arial"/>
                <w:color w:val="000000"/>
                <w:lang w:eastAsia="en-GB"/>
              </w:rPr>
              <w:t xml:space="preserve"> infections (CDI) in ages 15+</w:t>
            </w:r>
          </w:p>
        </w:tc>
        <w:tc>
          <w:tcPr>
            <w:tcW w:w="625" w:type="pct"/>
            <w:gridSpan w:val="4"/>
          </w:tcPr>
          <w:p w:rsidR="00356C7F" w:rsidRPr="00356C7F" w:rsidRDefault="00356C7F" w:rsidP="00D21617">
            <w:pPr>
              <w:widowControl w:val="0"/>
              <w:autoSpaceDE w:val="0"/>
              <w:autoSpaceDN w:val="0"/>
              <w:adjustRightInd w:val="0"/>
              <w:rPr>
                <w:rFonts w:ascii="Arial" w:hAnsi="Arial" w:cs="Arial"/>
                <w:color w:val="000000"/>
                <w:lang w:eastAsia="en-GB"/>
              </w:rPr>
            </w:pPr>
            <w:r w:rsidRPr="00356C7F">
              <w:rPr>
                <w:rFonts w:ascii="Arial" w:hAnsi="Arial" w:cs="Arial"/>
                <w:color w:val="000000"/>
                <w:lang w:eastAsia="en-GB"/>
              </w:rPr>
              <w:t>Maintain at 0.10 cases per 1000 total acute occupied bed days or lower</w:t>
            </w:r>
          </w:p>
        </w:tc>
        <w:tc>
          <w:tcPr>
            <w:tcW w:w="625" w:type="pct"/>
            <w:gridSpan w:val="2"/>
            <w:vAlign w:val="center"/>
          </w:tcPr>
          <w:p w:rsidR="00356C7F" w:rsidRPr="00356C7F" w:rsidRDefault="00356C7F" w:rsidP="00D21617">
            <w:pPr>
              <w:rPr>
                <w:rFonts w:ascii="Arial" w:hAnsi="Arial" w:cs="Arial"/>
                <w:color w:val="000000"/>
                <w:sz w:val="22"/>
              </w:rPr>
            </w:pPr>
            <w:r w:rsidRPr="00356C7F">
              <w:rPr>
                <w:rFonts w:ascii="Arial" w:hAnsi="Arial" w:cs="Arial"/>
                <w:color w:val="000000"/>
                <w:sz w:val="22"/>
              </w:rPr>
              <w:t>≤0.10 = Green</w:t>
            </w:r>
          </w:p>
          <w:p w:rsidR="00356C7F" w:rsidRPr="00356C7F" w:rsidRDefault="00356C7F" w:rsidP="00D21617">
            <w:pPr>
              <w:rPr>
                <w:rFonts w:ascii="Arial" w:hAnsi="Arial" w:cs="Arial"/>
                <w:color w:val="000000"/>
                <w:sz w:val="22"/>
              </w:rPr>
            </w:pPr>
            <w:r w:rsidRPr="00356C7F">
              <w:rPr>
                <w:rFonts w:ascii="Arial" w:hAnsi="Arial" w:cs="Arial"/>
                <w:color w:val="000000"/>
                <w:sz w:val="22"/>
              </w:rPr>
              <w:t>&gt;0.10 = Red</w:t>
            </w:r>
          </w:p>
        </w:tc>
        <w:tc>
          <w:tcPr>
            <w:tcW w:w="625" w:type="pct"/>
            <w:gridSpan w:val="2"/>
            <w:vAlign w:val="center"/>
          </w:tcPr>
          <w:p w:rsidR="00356C7F" w:rsidRPr="00356C7F" w:rsidRDefault="00356C7F" w:rsidP="00D21617">
            <w:pPr>
              <w:widowControl w:val="0"/>
              <w:autoSpaceDE w:val="0"/>
              <w:autoSpaceDN w:val="0"/>
              <w:adjustRightInd w:val="0"/>
              <w:rPr>
                <w:rFonts w:ascii="Arial" w:hAnsi="Arial" w:cs="Arial"/>
                <w:color w:val="000000"/>
                <w:lang w:eastAsia="en-GB"/>
              </w:rPr>
            </w:pPr>
            <w:r>
              <w:rPr>
                <w:rFonts w:ascii="Arial" w:hAnsi="Arial" w:cs="Arial"/>
                <w:color w:val="000000"/>
                <w:lang w:eastAsia="en-GB"/>
              </w:rPr>
              <w:t>N/A</w:t>
            </w:r>
          </w:p>
        </w:tc>
        <w:tc>
          <w:tcPr>
            <w:tcW w:w="625" w:type="pct"/>
            <w:gridSpan w:val="5"/>
            <w:vAlign w:val="center"/>
          </w:tcPr>
          <w:p w:rsidR="00356C7F" w:rsidRPr="00356C7F" w:rsidRDefault="00356C7F" w:rsidP="00D21617">
            <w:pPr>
              <w:widowControl w:val="0"/>
              <w:autoSpaceDE w:val="0"/>
              <w:autoSpaceDN w:val="0"/>
              <w:adjustRightInd w:val="0"/>
              <w:rPr>
                <w:rFonts w:ascii="Arial" w:hAnsi="Arial" w:cs="Arial"/>
                <w:color w:val="000000"/>
                <w:lang w:eastAsia="en-GB"/>
              </w:rPr>
            </w:pPr>
            <w:r>
              <w:rPr>
                <w:rFonts w:ascii="Arial" w:hAnsi="Arial" w:cs="Arial"/>
                <w:color w:val="000000"/>
                <w:lang w:eastAsia="en-GB"/>
              </w:rPr>
              <w:t>N/A</w:t>
            </w:r>
          </w:p>
        </w:tc>
        <w:tc>
          <w:tcPr>
            <w:tcW w:w="625" w:type="pct"/>
            <w:gridSpan w:val="5"/>
            <w:vAlign w:val="center"/>
          </w:tcPr>
          <w:p w:rsidR="00356C7F" w:rsidRPr="00356C7F" w:rsidRDefault="00356C7F" w:rsidP="00D21617">
            <w:pPr>
              <w:widowControl w:val="0"/>
              <w:autoSpaceDE w:val="0"/>
              <w:autoSpaceDN w:val="0"/>
              <w:adjustRightInd w:val="0"/>
              <w:rPr>
                <w:rFonts w:ascii="Arial" w:hAnsi="Arial" w:cs="Arial"/>
                <w:color w:val="000000"/>
                <w:lang w:eastAsia="en-GB"/>
              </w:rPr>
            </w:pPr>
            <w:r>
              <w:rPr>
                <w:rFonts w:ascii="Arial" w:hAnsi="Arial" w:cs="Arial"/>
                <w:color w:val="000000"/>
                <w:lang w:eastAsia="en-GB"/>
              </w:rPr>
              <w:t>0</w:t>
            </w:r>
          </w:p>
        </w:tc>
        <w:tc>
          <w:tcPr>
            <w:tcW w:w="625" w:type="pct"/>
            <w:gridSpan w:val="3"/>
            <w:vAlign w:val="center"/>
          </w:tcPr>
          <w:p w:rsidR="00356C7F" w:rsidRPr="00356C7F" w:rsidRDefault="00356C7F" w:rsidP="00D21617">
            <w:pPr>
              <w:widowControl w:val="0"/>
              <w:autoSpaceDE w:val="0"/>
              <w:autoSpaceDN w:val="0"/>
              <w:adjustRightInd w:val="0"/>
              <w:ind w:left="-109" w:right="-108"/>
              <w:rPr>
                <w:rFonts w:ascii="Arial" w:hAnsi="Arial" w:cs="Arial"/>
                <w:color w:val="000000"/>
                <w:sz w:val="22"/>
              </w:rPr>
            </w:pPr>
            <w:r w:rsidRPr="00356C7F">
              <w:rPr>
                <w:rFonts w:ascii="Arial" w:hAnsi="Arial" w:cs="Arial"/>
                <w:color w:val="000000"/>
                <w:sz w:val="22"/>
              </w:rPr>
              <w:t>≤0.10</w:t>
            </w:r>
          </w:p>
        </w:tc>
        <w:tc>
          <w:tcPr>
            <w:tcW w:w="625" w:type="pct"/>
            <w:gridSpan w:val="4"/>
            <w:tcBorders>
              <w:bottom w:val="single" w:sz="4" w:space="0" w:color="auto"/>
            </w:tcBorders>
            <w:shd w:val="clear" w:color="auto" w:fill="00B050"/>
            <w:vAlign w:val="center"/>
          </w:tcPr>
          <w:p w:rsidR="00356C7F" w:rsidRPr="00356C7F" w:rsidRDefault="00356C7F" w:rsidP="00D21617">
            <w:pPr>
              <w:widowControl w:val="0"/>
              <w:autoSpaceDE w:val="0"/>
              <w:autoSpaceDN w:val="0"/>
              <w:adjustRightInd w:val="0"/>
              <w:rPr>
                <w:rFonts w:ascii="Arial" w:hAnsi="Arial" w:cs="Arial"/>
                <w:color w:val="000000"/>
                <w:lang w:eastAsia="en-GB"/>
              </w:rPr>
            </w:pPr>
            <w:r>
              <w:rPr>
                <w:rFonts w:ascii="Arial" w:hAnsi="Arial" w:cs="Arial"/>
                <w:color w:val="000000"/>
                <w:lang w:eastAsia="en-GB"/>
              </w:rPr>
              <w:sym w:font="Wingdings" w:char="F0F3"/>
            </w:r>
          </w:p>
        </w:tc>
      </w:tr>
      <w:tr w:rsidR="00356C7F" w:rsidRPr="00723D08" w:rsidTr="00D21617">
        <w:tblPrEx>
          <w:tblLook w:val="04A0"/>
        </w:tblPrEx>
        <w:trPr>
          <w:trHeight w:val="414"/>
        </w:trPr>
        <w:tc>
          <w:tcPr>
            <w:tcW w:w="5000" w:type="pct"/>
            <w:gridSpan w:val="27"/>
          </w:tcPr>
          <w:p w:rsidR="00356C7F" w:rsidRDefault="00356C7F" w:rsidP="00D21617">
            <w:pPr>
              <w:pStyle w:val="ListParagraph"/>
              <w:ind w:left="0" w:right="386"/>
              <w:rPr>
                <w:rFonts w:ascii="Arial" w:hAnsi="Arial" w:cs="Arial"/>
                <w:b/>
                <w:sz w:val="24"/>
                <w:szCs w:val="24"/>
              </w:rPr>
            </w:pPr>
            <w:r w:rsidRPr="00356C7F">
              <w:rPr>
                <w:rFonts w:ascii="Arial" w:hAnsi="Arial" w:cs="Arial"/>
                <w:b/>
                <w:sz w:val="24"/>
                <w:szCs w:val="24"/>
              </w:rPr>
              <w:t>Analysis</w:t>
            </w:r>
          </w:p>
          <w:p w:rsidR="00356C7F" w:rsidRPr="00356C7F" w:rsidRDefault="00356C7F" w:rsidP="00D21617">
            <w:pPr>
              <w:pStyle w:val="ListParagraph"/>
              <w:ind w:left="0" w:right="386"/>
              <w:rPr>
                <w:rFonts w:ascii="Arial" w:hAnsi="Arial" w:cs="Arial"/>
                <w:sz w:val="24"/>
                <w:szCs w:val="24"/>
              </w:rPr>
            </w:pPr>
            <w:r>
              <w:rPr>
                <w:rFonts w:ascii="Arial" w:hAnsi="Arial" w:cs="Arial"/>
                <w:sz w:val="24"/>
                <w:szCs w:val="24"/>
              </w:rPr>
              <w:t>For the first time since December 2014</w:t>
            </w:r>
            <w:r w:rsidR="00D21617">
              <w:rPr>
                <w:rFonts w:ascii="Arial" w:hAnsi="Arial" w:cs="Arial"/>
                <w:sz w:val="24"/>
                <w:szCs w:val="24"/>
              </w:rPr>
              <w:t>,</w:t>
            </w:r>
            <w:r>
              <w:rPr>
                <w:rFonts w:ascii="Arial" w:hAnsi="Arial" w:cs="Arial"/>
                <w:sz w:val="24"/>
                <w:szCs w:val="24"/>
              </w:rPr>
              <w:t xml:space="preserve"> no in</w:t>
            </w:r>
            <w:r w:rsidR="008C2ADF">
              <w:rPr>
                <w:rFonts w:ascii="Arial" w:hAnsi="Arial" w:cs="Arial"/>
                <w:sz w:val="24"/>
                <w:szCs w:val="24"/>
              </w:rPr>
              <w:t xml:space="preserve">stances of Staphylococcus </w:t>
            </w:r>
            <w:proofErr w:type="spellStart"/>
            <w:r w:rsidR="008C2ADF">
              <w:rPr>
                <w:rFonts w:ascii="Arial" w:hAnsi="Arial" w:cs="Arial"/>
                <w:sz w:val="24"/>
                <w:szCs w:val="24"/>
              </w:rPr>
              <w:t>Aureus</w:t>
            </w:r>
            <w:proofErr w:type="spellEnd"/>
            <w:r>
              <w:rPr>
                <w:rFonts w:ascii="Arial" w:hAnsi="Arial" w:cs="Arial"/>
                <w:sz w:val="24"/>
                <w:szCs w:val="24"/>
              </w:rPr>
              <w:t xml:space="preserve"> Bacteraemia (SAB) were reported during the last quarter. In total</w:t>
            </w:r>
            <w:r w:rsidR="00D21617">
              <w:rPr>
                <w:rFonts w:ascii="Arial" w:hAnsi="Arial" w:cs="Arial"/>
                <w:sz w:val="24"/>
                <w:szCs w:val="24"/>
              </w:rPr>
              <w:t>,</w:t>
            </w:r>
            <w:r>
              <w:rPr>
                <w:rFonts w:ascii="Arial" w:hAnsi="Arial" w:cs="Arial"/>
                <w:sz w:val="24"/>
                <w:szCs w:val="24"/>
              </w:rPr>
              <w:t xml:space="preserve"> one instance of SAB has been reported since April 2018.</w:t>
            </w:r>
          </w:p>
          <w:p w:rsidR="00356C7F" w:rsidRPr="00723D08" w:rsidRDefault="00356C7F" w:rsidP="00D21617">
            <w:pPr>
              <w:rPr>
                <w:rFonts w:ascii="Arial" w:hAnsi="Arial" w:cs="Arial"/>
                <w:highlight w:val="yellow"/>
              </w:rPr>
            </w:pPr>
            <w:r w:rsidRPr="00356C7F">
              <w:rPr>
                <w:rFonts w:ascii="Arial" w:hAnsi="Arial" w:cs="Arial"/>
              </w:rPr>
              <w:t xml:space="preserve">No instances of Clostridium </w:t>
            </w:r>
            <w:proofErr w:type="spellStart"/>
            <w:r w:rsidRPr="00356C7F">
              <w:rPr>
                <w:rFonts w:ascii="Arial" w:hAnsi="Arial" w:cs="Arial"/>
              </w:rPr>
              <w:t>Difficile</w:t>
            </w:r>
            <w:proofErr w:type="spellEnd"/>
            <w:r w:rsidRPr="00356C7F">
              <w:rPr>
                <w:rFonts w:ascii="Arial" w:hAnsi="Arial" w:cs="Arial"/>
              </w:rPr>
              <w:t xml:space="preserve"> infections have been reported since April 2018.</w:t>
            </w:r>
          </w:p>
        </w:tc>
      </w:tr>
    </w:tbl>
    <w:p w:rsidR="005C4449" w:rsidRPr="00723D08" w:rsidRDefault="005C4449" w:rsidP="00D21617">
      <w:pPr>
        <w:rPr>
          <w:rFonts w:ascii="Arial" w:hAnsi="Arial" w:cs="Arial"/>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86"/>
        <w:gridCol w:w="1772"/>
        <w:gridCol w:w="394"/>
        <w:gridCol w:w="1378"/>
        <w:gridCol w:w="464"/>
        <w:gridCol w:w="1308"/>
        <w:gridCol w:w="393"/>
        <w:gridCol w:w="1379"/>
        <w:gridCol w:w="181"/>
        <w:gridCol w:w="1591"/>
        <w:gridCol w:w="110"/>
        <w:gridCol w:w="1662"/>
        <w:gridCol w:w="180"/>
        <w:gridCol w:w="1592"/>
      </w:tblGrid>
      <w:tr w:rsidR="00176E07" w:rsidRPr="00723D08" w:rsidTr="00E641FB">
        <w:trPr>
          <w:trHeight w:val="411"/>
        </w:trPr>
        <w:tc>
          <w:tcPr>
            <w:tcW w:w="14174" w:type="dxa"/>
            <w:gridSpan w:val="15"/>
          </w:tcPr>
          <w:p w:rsidR="00176E07" w:rsidRPr="000C2740" w:rsidRDefault="00176E07" w:rsidP="00D21617">
            <w:pPr>
              <w:rPr>
                <w:rFonts w:ascii="Arial" w:hAnsi="Arial" w:cs="Arial"/>
              </w:rPr>
            </w:pPr>
            <w:r w:rsidRPr="000C2740">
              <w:rPr>
                <w:rFonts w:ascii="Arial" w:hAnsi="Arial" w:cs="Arial"/>
                <w:b/>
                <w:bCs/>
                <w:lang w:eastAsia="en-GB"/>
              </w:rPr>
              <w:t xml:space="preserve">Person Centred                                                                                                          Board Performance update – </w:t>
            </w:r>
            <w:r w:rsidR="00E62EBA" w:rsidRPr="000C2740">
              <w:rPr>
                <w:rFonts w:ascii="Arial" w:hAnsi="Arial" w:cs="Arial"/>
                <w:b/>
                <w:bCs/>
                <w:lang w:eastAsia="en-GB"/>
              </w:rPr>
              <w:t xml:space="preserve">November </w:t>
            </w:r>
            <w:r w:rsidRPr="000C2740">
              <w:rPr>
                <w:rFonts w:ascii="Arial" w:hAnsi="Arial" w:cs="Arial"/>
                <w:b/>
                <w:bCs/>
                <w:lang w:eastAsia="en-GB"/>
              </w:rPr>
              <w:t xml:space="preserve"> 2018</w:t>
            </w:r>
          </w:p>
        </w:tc>
      </w:tr>
      <w:tr w:rsidR="000C2740" w:rsidRPr="00723D08" w:rsidTr="00AB3656">
        <w:trPr>
          <w:trHeight w:val="403"/>
        </w:trPr>
        <w:tc>
          <w:tcPr>
            <w:tcW w:w="1770" w:type="dxa"/>
            <w:gridSpan w:val="2"/>
            <w:shd w:val="clear" w:color="auto" w:fill="D9D9D9"/>
            <w:vAlign w:val="center"/>
          </w:tcPr>
          <w:p w:rsidR="000C2740" w:rsidRPr="000C2740" w:rsidRDefault="000C2740" w:rsidP="00D21617">
            <w:pPr>
              <w:widowControl w:val="0"/>
              <w:autoSpaceDE w:val="0"/>
              <w:autoSpaceDN w:val="0"/>
              <w:adjustRightInd w:val="0"/>
              <w:rPr>
                <w:rFonts w:ascii="Arial" w:hAnsi="Arial" w:cs="Arial"/>
                <w:color w:val="000000"/>
                <w:lang w:eastAsia="en-GB"/>
              </w:rPr>
            </w:pPr>
            <w:r w:rsidRPr="000C2740">
              <w:rPr>
                <w:rFonts w:ascii="Arial" w:hAnsi="Arial" w:cs="Arial"/>
                <w:color w:val="000000"/>
                <w:lang w:eastAsia="en-GB"/>
              </w:rPr>
              <w:t>KPI</w:t>
            </w:r>
          </w:p>
        </w:tc>
        <w:tc>
          <w:tcPr>
            <w:tcW w:w="1772" w:type="dxa"/>
            <w:shd w:val="clear" w:color="auto" w:fill="D9D9D9"/>
            <w:vAlign w:val="center"/>
          </w:tcPr>
          <w:p w:rsidR="000C2740" w:rsidRPr="000C2740" w:rsidRDefault="000C2740" w:rsidP="00D21617">
            <w:pPr>
              <w:widowControl w:val="0"/>
              <w:autoSpaceDE w:val="0"/>
              <w:autoSpaceDN w:val="0"/>
              <w:adjustRightInd w:val="0"/>
              <w:rPr>
                <w:rFonts w:ascii="Arial" w:hAnsi="Arial" w:cs="Arial"/>
                <w:color w:val="000000"/>
                <w:lang w:eastAsia="en-GB"/>
              </w:rPr>
            </w:pPr>
            <w:r w:rsidRPr="000C2740">
              <w:rPr>
                <w:rFonts w:ascii="Arial" w:hAnsi="Arial" w:cs="Arial"/>
                <w:color w:val="000000"/>
                <w:lang w:eastAsia="en-GB"/>
              </w:rPr>
              <w:t>Details</w:t>
            </w:r>
          </w:p>
        </w:tc>
        <w:tc>
          <w:tcPr>
            <w:tcW w:w="1772" w:type="dxa"/>
            <w:gridSpan w:val="2"/>
            <w:shd w:val="clear" w:color="auto" w:fill="D9D9D9"/>
            <w:vAlign w:val="center"/>
          </w:tcPr>
          <w:p w:rsidR="000C2740" w:rsidRPr="000C2740" w:rsidRDefault="000C2740" w:rsidP="00D21617">
            <w:pPr>
              <w:rPr>
                <w:rFonts w:ascii="Arial" w:hAnsi="Arial" w:cs="Arial"/>
              </w:rPr>
            </w:pPr>
            <w:r w:rsidRPr="000C2740">
              <w:rPr>
                <w:rFonts w:ascii="Arial" w:hAnsi="Arial" w:cs="Arial"/>
              </w:rPr>
              <w:t>Tolerance</w:t>
            </w:r>
          </w:p>
        </w:tc>
        <w:tc>
          <w:tcPr>
            <w:tcW w:w="1772" w:type="dxa"/>
            <w:gridSpan w:val="2"/>
            <w:shd w:val="clear" w:color="auto" w:fill="D9D9D9"/>
          </w:tcPr>
          <w:p w:rsidR="000C2740" w:rsidRPr="000C2740" w:rsidRDefault="000C2740" w:rsidP="00D21617">
            <w:pPr>
              <w:widowControl w:val="0"/>
              <w:autoSpaceDE w:val="0"/>
              <w:autoSpaceDN w:val="0"/>
              <w:adjustRightInd w:val="0"/>
              <w:rPr>
                <w:rFonts w:ascii="Arial" w:hAnsi="Arial" w:cs="Arial"/>
                <w:color w:val="000000"/>
                <w:lang w:eastAsia="en-GB"/>
              </w:rPr>
            </w:pPr>
            <w:r w:rsidRPr="000C2740">
              <w:rPr>
                <w:rFonts w:ascii="Arial" w:hAnsi="Arial" w:cs="Arial"/>
                <w:color w:val="000000"/>
                <w:lang w:eastAsia="en-GB"/>
              </w:rPr>
              <w:t>Jul 2018</w:t>
            </w:r>
          </w:p>
        </w:tc>
        <w:tc>
          <w:tcPr>
            <w:tcW w:w="1772" w:type="dxa"/>
            <w:gridSpan w:val="2"/>
            <w:shd w:val="clear" w:color="auto" w:fill="D9D9D9"/>
          </w:tcPr>
          <w:p w:rsidR="000C2740" w:rsidRPr="000C2740" w:rsidRDefault="000C2740" w:rsidP="00D21617">
            <w:pPr>
              <w:widowControl w:val="0"/>
              <w:autoSpaceDE w:val="0"/>
              <w:autoSpaceDN w:val="0"/>
              <w:adjustRightInd w:val="0"/>
              <w:rPr>
                <w:rFonts w:ascii="Arial" w:hAnsi="Arial" w:cs="Arial"/>
                <w:color w:val="000000"/>
                <w:lang w:eastAsia="en-GB"/>
              </w:rPr>
            </w:pPr>
            <w:r w:rsidRPr="000C2740">
              <w:rPr>
                <w:rFonts w:ascii="Arial" w:hAnsi="Arial" w:cs="Arial"/>
                <w:color w:val="000000"/>
                <w:lang w:eastAsia="en-GB"/>
              </w:rPr>
              <w:t>Aug 2018</w:t>
            </w:r>
          </w:p>
        </w:tc>
        <w:tc>
          <w:tcPr>
            <w:tcW w:w="1772" w:type="dxa"/>
            <w:gridSpan w:val="2"/>
            <w:shd w:val="clear" w:color="auto" w:fill="D9D9D9"/>
          </w:tcPr>
          <w:p w:rsidR="000C2740" w:rsidRPr="000C2740" w:rsidRDefault="000C2740" w:rsidP="00D21617">
            <w:pPr>
              <w:widowControl w:val="0"/>
              <w:autoSpaceDE w:val="0"/>
              <w:autoSpaceDN w:val="0"/>
              <w:adjustRightInd w:val="0"/>
              <w:rPr>
                <w:rFonts w:ascii="Arial" w:hAnsi="Arial" w:cs="Arial"/>
                <w:color w:val="000000"/>
                <w:lang w:eastAsia="en-GB"/>
              </w:rPr>
            </w:pPr>
            <w:r w:rsidRPr="000C2740">
              <w:rPr>
                <w:rFonts w:ascii="Arial" w:hAnsi="Arial" w:cs="Arial"/>
                <w:color w:val="000000"/>
                <w:lang w:eastAsia="en-GB"/>
              </w:rPr>
              <w:t>Sep 2018</w:t>
            </w:r>
          </w:p>
        </w:tc>
        <w:tc>
          <w:tcPr>
            <w:tcW w:w="1772" w:type="dxa"/>
            <w:gridSpan w:val="2"/>
            <w:shd w:val="clear" w:color="auto" w:fill="D9D9D9"/>
            <w:vAlign w:val="center"/>
          </w:tcPr>
          <w:p w:rsidR="000C2740" w:rsidRPr="000C2740" w:rsidRDefault="000C2740" w:rsidP="00D21617">
            <w:pPr>
              <w:widowControl w:val="0"/>
              <w:autoSpaceDE w:val="0"/>
              <w:autoSpaceDN w:val="0"/>
              <w:adjustRightInd w:val="0"/>
              <w:rPr>
                <w:rFonts w:ascii="Arial" w:hAnsi="Arial" w:cs="Arial"/>
                <w:color w:val="000000"/>
                <w:lang w:eastAsia="en-GB"/>
              </w:rPr>
            </w:pPr>
            <w:r w:rsidRPr="000C2740">
              <w:rPr>
                <w:rFonts w:ascii="Arial" w:hAnsi="Arial" w:cs="Arial"/>
                <w:color w:val="000000"/>
                <w:lang w:eastAsia="en-GB"/>
              </w:rPr>
              <w:t>Target</w:t>
            </w:r>
          </w:p>
        </w:tc>
        <w:tc>
          <w:tcPr>
            <w:tcW w:w="1772" w:type="dxa"/>
            <w:gridSpan w:val="2"/>
            <w:shd w:val="clear" w:color="auto" w:fill="D9D9D9"/>
            <w:vAlign w:val="center"/>
          </w:tcPr>
          <w:p w:rsidR="000C2740" w:rsidRPr="000C2740" w:rsidRDefault="000C2740" w:rsidP="00D21617">
            <w:pPr>
              <w:widowControl w:val="0"/>
              <w:autoSpaceDE w:val="0"/>
              <w:autoSpaceDN w:val="0"/>
              <w:adjustRightInd w:val="0"/>
              <w:rPr>
                <w:rFonts w:ascii="Arial" w:hAnsi="Arial" w:cs="Arial"/>
                <w:lang w:eastAsia="en-GB"/>
              </w:rPr>
            </w:pPr>
            <w:r w:rsidRPr="000C2740">
              <w:rPr>
                <w:rFonts w:ascii="Arial" w:hAnsi="Arial" w:cs="Arial"/>
                <w:lang w:eastAsia="en-GB"/>
              </w:rPr>
              <w:t>On Track</w:t>
            </w:r>
          </w:p>
        </w:tc>
      </w:tr>
      <w:tr w:rsidR="00990BB1" w:rsidRPr="00723D08" w:rsidTr="000C2740">
        <w:trPr>
          <w:trHeight w:val="422"/>
        </w:trPr>
        <w:tc>
          <w:tcPr>
            <w:tcW w:w="1770" w:type="dxa"/>
            <w:gridSpan w:val="2"/>
          </w:tcPr>
          <w:p w:rsidR="00990BB1" w:rsidRPr="000C2740" w:rsidRDefault="00E62EBA" w:rsidP="00D21617">
            <w:pPr>
              <w:widowControl w:val="0"/>
              <w:autoSpaceDE w:val="0"/>
              <w:autoSpaceDN w:val="0"/>
              <w:adjustRightInd w:val="0"/>
              <w:rPr>
                <w:rFonts w:ascii="Arial" w:hAnsi="Arial" w:cs="Arial"/>
                <w:color w:val="000000"/>
                <w:lang w:eastAsia="en-GB"/>
              </w:rPr>
            </w:pPr>
            <w:r w:rsidRPr="000C2740">
              <w:rPr>
                <w:rFonts w:ascii="Arial" w:hAnsi="Arial" w:cs="Arial"/>
                <w:color w:val="000000"/>
                <w:lang w:eastAsia="en-GB"/>
              </w:rPr>
              <w:t>Total complaints (stage 1 &amp; stage 2)</w:t>
            </w:r>
          </w:p>
        </w:tc>
        <w:tc>
          <w:tcPr>
            <w:tcW w:w="1772" w:type="dxa"/>
          </w:tcPr>
          <w:p w:rsidR="00990BB1" w:rsidRPr="000C2740" w:rsidRDefault="00E62EBA" w:rsidP="00D21617">
            <w:pPr>
              <w:widowControl w:val="0"/>
              <w:autoSpaceDE w:val="0"/>
              <w:autoSpaceDN w:val="0"/>
              <w:adjustRightInd w:val="0"/>
              <w:rPr>
                <w:rFonts w:ascii="Arial" w:hAnsi="Arial" w:cs="Arial"/>
                <w:color w:val="000000"/>
                <w:lang w:eastAsia="en-GB"/>
              </w:rPr>
            </w:pPr>
            <w:r w:rsidRPr="000C2740">
              <w:rPr>
                <w:rFonts w:ascii="Arial" w:hAnsi="Arial" w:cs="Arial"/>
                <w:color w:val="000000"/>
                <w:lang w:eastAsia="en-GB"/>
              </w:rPr>
              <w:t>Measured as a percentage against the volume of patient activity</w:t>
            </w:r>
          </w:p>
        </w:tc>
        <w:tc>
          <w:tcPr>
            <w:tcW w:w="1772" w:type="dxa"/>
            <w:gridSpan w:val="2"/>
            <w:vAlign w:val="center"/>
          </w:tcPr>
          <w:p w:rsidR="00E62EBA" w:rsidRPr="000C2740" w:rsidRDefault="00E62EBA" w:rsidP="00D21617">
            <w:pPr>
              <w:rPr>
                <w:rFonts w:ascii="Arial" w:hAnsi="Arial" w:cs="Arial"/>
                <w:color w:val="000000"/>
                <w:sz w:val="22"/>
              </w:rPr>
            </w:pPr>
            <w:r w:rsidRPr="000C2740">
              <w:rPr>
                <w:rFonts w:ascii="Arial" w:hAnsi="Arial" w:cs="Arial"/>
                <w:color w:val="000000"/>
                <w:sz w:val="22"/>
              </w:rPr>
              <w:t xml:space="preserve">≤ 0.10% = Green          </w:t>
            </w:r>
          </w:p>
          <w:p w:rsidR="00E62EBA" w:rsidRPr="000C2740" w:rsidRDefault="00E62EBA" w:rsidP="00D21617">
            <w:pPr>
              <w:rPr>
                <w:rFonts w:ascii="Arial" w:hAnsi="Arial" w:cs="Arial"/>
                <w:color w:val="000000"/>
                <w:sz w:val="22"/>
              </w:rPr>
            </w:pPr>
            <w:r w:rsidRPr="000C2740">
              <w:rPr>
                <w:rFonts w:ascii="Arial" w:hAnsi="Arial" w:cs="Arial"/>
                <w:color w:val="000000"/>
                <w:sz w:val="22"/>
              </w:rPr>
              <w:t xml:space="preserve">0.11% - 0.14% = Amber        </w:t>
            </w:r>
          </w:p>
          <w:p w:rsidR="00990BB1" w:rsidRPr="000C2740" w:rsidRDefault="00E62EBA" w:rsidP="00D21617">
            <w:pPr>
              <w:rPr>
                <w:rFonts w:ascii="Arial" w:hAnsi="Arial" w:cs="Arial"/>
                <w:color w:val="000000"/>
              </w:rPr>
            </w:pPr>
            <w:r w:rsidRPr="000C2740">
              <w:rPr>
                <w:rFonts w:ascii="Arial" w:hAnsi="Arial" w:cs="Arial"/>
                <w:color w:val="000000"/>
                <w:sz w:val="22"/>
              </w:rPr>
              <w:t>≥0.15% = Red</w:t>
            </w:r>
          </w:p>
        </w:tc>
        <w:tc>
          <w:tcPr>
            <w:tcW w:w="1772" w:type="dxa"/>
            <w:gridSpan w:val="2"/>
            <w:vAlign w:val="center"/>
          </w:tcPr>
          <w:p w:rsidR="00990BB1" w:rsidRPr="000C2740" w:rsidRDefault="000C2740" w:rsidP="00D21617">
            <w:pPr>
              <w:widowControl w:val="0"/>
              <w:autoSpaceDE w:val="0"/>
              <w:autoSpaceDN w:val="0"/>
              <w:adjustRightInd w:val="0"/>
              <w:rPr>
                <w:rFonts w:ascii="Arial" w:hAnsi="Arial" w:cs="Arial"/>
                <w:color w:val="000000"/>
                <w:lang w:eastAsia="en-GB"/>
              </w:rPr>
            </w:pPr>
            <w:r w:rsidRPr="000C2740">
              <w:rPr>
                <w:rFonts w:ascii="Arial" w:hAnsi="Arial" w:cs="Arial"/>
                <w:color w:val="000000"/>
                <w:lang w:eastAsia="en-GB"/>
              </w:rPr>
              <w:t>0.08%</w:t>
            </w:r>
          </w:p>
        </w:tc>
        <w:tc>
          <w:tcPr>
            <w:tcW w:w="1772" w:type="dxa"/>
            <w:gridSpan w:val="2"/>
            <w:vAlign w:val="center"/>
          </w:tcPr>
          <w:p w:rsidR="00990BB1" w:rsidRPr="000C2740" w:rsidRDefault="000C2740" w:rsidP="00D21617">
            <w:pPr>
              <w:widowControl w:val="0"/>
              <w:autoSpaceDE w:val="0"/>
              <w:autoSpaceDN w:val="0"/>
              <w:adjustRightInd w:val="0"/>
              <w:rPr>
                <w:rFonts w:ascii="Arial" w:hAnsi="Arial" w:cs="Arial"/>
                <w:color w:val="000000"/>
                <w:lang w:eastAsia="en-GB"/>
              </w:rPr>
            </w:pPr>
            <w:r w:rsidRPr="000C2740">
              <w:rPr>
                <w:rFonts w:ascii="Arial" w:hAnsi="Arial" w:cs="Arial"/>
                <w:color w:val="000000"/>
                <w:lang w:eastAsia="en-GB"/>
              </w:rPr>
              <w:t>0.12%</w:t>
            </w:r>
          </w:p>
        </w:tc>
        <w:tc>
          <w:tcPr>
            <w:tcW w:w="1772" w:type="dxa"/>
            <w:gridSpan w:val="2"/>
            <w:vAlign w:val="center"/>
          </w:tcPr>
          <w:p w:rsidR="00990BB1" w:rsidRPr="000C2740" w:rsidRDefault="000C2740" w:rsidP="00D21617">
            <w:pPr>
              <w:widowControl w:val="0"/>
              <w:autoSpaceDE w:val="0"/>
              <w:autoSpaceDN w:val="0"/>
              <w:adjustRightInd w:val="0"/>
              <w:rPr>
                <w:rFonts w:ascii="Arial" w:hAnsi="Arial" w:cs="Arial"/>
                <w:color w:val="000000"/>
                <w:lang w:eastAsia="en-GB"/>
              </w:rPr>
            </w:pPr>
            <w:r w:rsidRPr="000C2740">
              <w:rPr>
                <w:rFonts w:ascii="Arial" w:hAnsi="Arial" w:cs="Arial"/>
                <w:color w:val="000000"/>
                <w:lang w:eastAsia="en-GB"/>
              </w:rPr>
              <w:t>0.03%</w:t>
            </w:r>
          </w:p>
        </w:tc>
        <w:tc>
          <w:tcPr>
            <w:tcW w:w="1772" w:type="dxa"/>
            <w:gridSpan w:val="2"/>
            <w:vAlign w:val="center"/>
          </w:tcPr>
          <w:p w:rsidR="00990BB1" w:rsidRPr="000C2740" w:rsidRDefault="000C2740" w:rsidP="00D21617">
            <w:pPr>
              <w:widowControl w:val="0"/>
              <w:autoSpaceDE w:val="0"/>
              <w:autoSpaceDN w:val="0"/>
              <w:adjustRightInd w:val="0"/>
              <w:ind w:left="-109" w:right="-108"/>
              <w:rPr>
                <w:rFonts w:ascii="Arial" w:hAnsi="Arial" w:cs="Arial"/>
                <w:color w:val="000000"/>
                <w:lang w:eastAsia="en-GB"/>
              </w:rPr>
            </w:pPr>
            <w:r w:rsidRPr="000C2740">
              <w:rPr>
                <w:rFonts w:ascii="Arial" w:hAnsi="Arial" w:cs="Arial"/>
                <w:color w:val="000000"/>
                <w:lang w:eastAsia="en-GB"/>
              </w:rPr>
              <w:t>≤0.10</w:t>
            </w:r>
            <w:r w:rsidR="00767171" w:rsidRPr="000C2740">
              <w:rPr>
                <w:rFonts w:ascii="Arial" w:hAnsi="Arial" w:cs="Arial"/>
                <w:color w:val="000000"/>
                <w:lang w:eastAsia="en-GB"/>
              </w:rPr>
              <w:t>%</w:t>
            </w:r>
          </w:p>
        </w:tc>
        <w:tc>
          <w:tcPr>
            <w:tcW w:w="1772" w:type="dxa"/>
            <w:gridSpan w:val="2"/>
            <w:shd w:val="clear" w:color="auto" w:fill="00B050"/>
            <w:vAlign w:val="center"/>
          </w:tcPr>
          <w:p w:rsidR="00990BB1" w:rsidRPr="000C2740" w:rsidRDefault="000C2740" w:rsidP="00D21617">
            <w:pPr>
              <w:widowControl w:val="0"/>
              <w:autoSpaceDE w:val="0"/>
              <w:autoSpaceDN w:val="0"/>
              <w:adjustRightInd w:val="0"/>
              <w:rPr>
                <w:rFonts w:ascii="Arial" w:hAnsi="Arial" w:cs="Arial"/>
                <w:color w:val="000000"/>
                <w:lang w:eastAsia="en-GB"/>
              </w:rPr>
            </w:pPr>
            <w:r w:rsidRPr="000C2740">
              <w:rPr>
                <w:rFonts w:ascii="Arial" w:hAnsi="Arial" w:cs="Arial"/>
                <w:color w:val="000000"/>
                <w:lang w:eastAsia="en-GB"/>
              </w:rPr>
              <w:sym w:font="Wingdings" w:char="F0F1"/>
            </w:r>
          </w:p>
        </w:tc>
      </w:tr>
      <w:tr w:rsidR="00176E07" w:rsidRPr="00723D08" w:rsidTr="00E641FB">
        <w:trPr>
          <w:trHeight w:val="414"/>
        </w:trPr>
        <w:tc>
          <w:tcPr>
            <w:tcW w:w="14174" w:type="dxa"/>
            <w:gridSpan w:val="15"/>
          </w:tcPr>
          <w:p w:rsidR="00176E07" w:rsidRPr="000C2740" w:rsidRDefault="00176E07" w:rsidP="00D21617">
            <w:pPr>
              <w:pStyle w:val="ListParagraph"/>
              <w:ind w:left="0" w:right="386"/>
              <w:rPr>
                <w:rFonts w:ascii="Arial" w:hAnsi="Arial" w:cs="Arial"/>
                <w:b/>
                <w:sz w:val="24"/>
                <w:szCs w:val="24"/>
              </w:rPr>
            </w:pPr>
            <w:r w:rsidRPr="000C2740">
              <w:rPr>
                <w:rFonts w:ascii="Arial" w:hAnsi="Arial" w:cs="Arial"/>
                <w:b/>
                <w:sz w:val="24"/>
                <w:szCs w:val="24"/>
              </w:rPr>
              <w:t>Analysis</w:t>
            </w:r>
          </w:p>
          <w:p w:rsidR="00176E07" w:rsidRPr="00723D08" w:rsidRDefault="000C2740" w:rsidP="00D21617">
            <w:pPr>
              <w:pStyle w:val="ListParagraph"/>
              <w:ind w:left="0" w:right="386"/>
              <w:rPr>
                <w:rFonts w:ascii="Arial" w:hAnsi="Arial" w:cs="Arial"/>
                <w:highlight w:val="yellow"/>
              </w:rPr>
            </w:pPr>
            <w:r w:rsidRPr="000C2740">
              <w:rPr>
                <w:rFonts w:ascii="Arial" w:hAnsi="Arial" w:cs="Arial"/>
                <w:sz w:val="24"/>
                <w:szCs w:val="24"/>
              </w:rPr>
              <w:t>The total number of complaints re</w:t>
            </w:r>
            <w:r w:rsidR="00ED5E5D">
              <w:rPr>
                <w:rFonts w:ascii="Arial" w:hAnsi="Arial" w:cs="Arial"/>
                <w:sz w:val="24"/>
                <w:szCs w:val="24"/>
              </w:rPr>
              <w:t>ceived in September were at the</w:t>
            </w:r>
            <w:r w:rsidRPr="000C2740">
              <w:rPr>
                <w:rFonts w:ascii="Arial" w:hAnsi="Arial" w:cs="Arial"/>
                <w:sz w:val="24"/>
                <w:szCs w:val="24"/>
              </w:rPr>
              <w:t>r</w:t>
            </w:r>
            <w:r w:rsidR="00ED5E5D">
              <w:rPr>
                <w:rFonts w:ascii="Arial" w:hAnsi="Arial" w:cs="Arial"/>
                <w:sz w:val="24"/>
                <w:szCs w:val="24"/>
              </w:rPr>
              <w:t>e</w:t>
            </w:r>
            <w:r w:rsidRPr="000C2740">
              <w:rPr>
                <w:rFonts w:ascii="Arial" w:hAnsi="Arial" w:cs="Arial"/>
                <w:sz w:val="24"/>
                <w:szCs w:val="24"/>
              </w:rPr>
              <w:t xml:space="preserve"> lowest level since April 2017. During September no stage one complaints were received. Two stage two complaints were received during September.</w:t>
            </w:r>
          </w:p>
        </w:tc>
      </w:tr>
      <w:tr w:rsidR="00B801F0" w:rsidRPr="00723D08" w:rsidTr="00892AB3">
        <w:trPr>
          <w:trHeight w:val="277"/>
        </w:trPr>
        <w:tc>
          <w:tcPr>
            <w:tcW w:w="1384" w:type="dxa"/>
            <w:shd w:val="clear" w:color="auto" w:fill="D9D9D9"/>
            <w:vAlign w:val="center"/>
          </w:tcPr>
          <w:p w:rsidR="00B801F0" w:rsidRPr="00B801F0" w:rsidRDefault="00B801F0"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KPI</w:t>
            </w:r>
          </w:p>
        </w:tc>
        <w:tc>
          <w:tcPr>
            <w:tcW w:w="2552" w:type="dxa"/>
            <w:gridSpan w:val="3"/>
            <w:shd w:val="clear" w:color="auto" w:fill="D9D9D9"/>
            <w:vAlign w:val="center"/>
          </w:tcPr>
          <w:p w:rsidR="00B801F0" w:rsidRPr="00B801F0" w:rsidRDefault="00B801F0"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Details</w:t>
            </w:r>
          </w:p>
        </w:tc>
        <w:tc>
          <w:tcPr>
            <w:tcW w:w="1842" w:type="dxa"/>
            <w:gridSpan w:val="2"/>
            <w:shd w:val="clear" w:color="auto" w:fill="D9D9D9"/>
            <w:vAlign w:val="center"/>
          </w:tcPr>
          <w:p w:rsidR="00B801F0" w:rsidRPr="00B801F0" w:rsidRDefault="00B801F0" w:rsidP="00D21617">
            <w:pPr>
              <w:rPr>
                <w:rFonts w:ascii="Arial" w:hAnsi="Arial" w:cs="Arial"/>
              </w:rPr>
            </w:pPr>
            <w:r w:rsidRPr="00B801F0">
              <w:rPr>
                <w:rFonts w:ascii="Arial" w:hAnsi="Arial" w:cs="Arial"/>
              </w:rPr>
              <w:t>Tolerance</w:t>
            </w:r>
          </w:p>
        </w:tc>
        <w:tc>
          <w:tcPr>
            <w:tcW w:w="1701" w:type="dxa"/>
            <w:gridSpan w:val="2"/>
            <w:shd w:val="clear" w:color="auto" w:fill="D9D9D9"/>
          </w:tcPr>
          <w:p w:rsidR="00B801F0" w:rsidRPr="00B801F0" w:rsidRDefault="00B801F0"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Jul 2018</w:t>
            </w:r>
          </w:p>
        </w:tc>
        <w:tc>
          <w:tcPr>
            <w:tcW w:w="1560" w:type="dxa"/>
            <w:gridSpan w:val="2"/>
            <w:shd w:val="clear" w:color="auto" w:fill="D9D9D9"/>
          </w:tcPr>
          <w:p w:rsidR="00B801F0" w:rsidRPr="00B801F0" w:rsidRDefault="00B801F0"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Aug 2018</w:t>
            </w:r>
          </w:p>
        </w:tc>
        <w:tc>
          <w:tcPr>
            <w:tcW w:w="1701" w:type="dxa"/>
            <w:gridSpan w:val="2"/>
            <w:shd w:val="clear" w:color="auto" w:fill="D9D9D9"/>
          </w:tcPr>
          <w:p w:rsidR="00B801F0" w:rsidRPr="00B801F0" w:rsidRDefault="00B801F0"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Sep 2018</w:t>
            </w:r>
          </w:p>
        </w:tc>
        <w:tc>
          <w:tcPr>
            <w:tcW w:w="1842" w:type="dxa"/>
            <w:gridSpan w:val="2"/>
            <w:shd w:val="clear" w:color="auto" w:fill="D9D9D9"/>
            <w:vAlign w:val="center"/>
          </w:tcPr>
          <w:p w:rsidR="00B801F0" w:rsidRPr="00B801F0" w:rsidRDefault="00B801F0"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Target</w:t>
            </w:r>
          </w:p>
        </w:tc>
        <w:tc>
          <w:tcPr>
            <w:tcW w:w="1592" w:type="dxa"/>
            <w:shd w:val="clear" w:color="auto" w:fill="D9D9D9"/>
            <w:vAlign w:val="center"/>
          </w:tcPr>
          <w:p w:rsidR="00B801F0" w:rsidRPr="00B801F0" w:rsidRDefault="00B801F0" w:rsidP="00D21617">
            <w:pPr>
              <w:widowControl w:val="0"/>
              <w:autoSpaceDE w:val="0"/>
              <w:autoSpaceDN w:val="0"/>
              <w:adjustRightInd w:val="0"/>
              <w:rPr>
                <w:rFonts w:ascii="Arial" w:hAnsi="Arial" w:cs="Arial"/>
                <w:lang w:eastAsia="en-GB"/>
              </w:rPr>
            </w:pPr>
            <w:r w:rsidRPr="00B801F0">
              <w:rPr>
                <w:rFonts w:ascii="Arial" w:hAnsi="Arial" w:cs="Arial"/>
                <w:lang w:eastAsia="en-GB"/>
              </w:rPr>
              <w:t>On Track</w:t>
            </w:r>
          </w:p>
        </w:tc>
      </w:tr>
      <w:tr w:rsidR="00767171" w:rsidRPr="00723D08" w:rsidTr="00892AB3">
        <w:trPr>
          <w:trHeight w:val="276"/>
        </w:trPr>
        <w:tc>
          <w:tcPr>
            <w:tcW w:w="1384" w:type="dxa"/>
          </w:tcPr>
          <w:p w:rsidR="00767171" w:rsidRPr="00B801F0" w:rsidRDefault="00767171" w:rsidP="00D21617">
            <w:pPr>
              <w:widowControl w:val="0"/>
              <w:autoSpaceDE w:val="0"/>
              <w:autoSpaceDN w:val="0"/>
              <w:adjustRightInd w:val="0"/>
              <w:rPr>
                <w:rFonts w:ascii="Arial" w:hAnsi="Arial" w:cs="Arial"/>
              </w:rPr>
            </w:pPr>
            <w:r w:rsidRPr="00B801F0">
              <w:rPr>
                <w:rFonts w:ascii="Arial" w:hAnsi="Arial" w:cs="Arial"/>
              </w:rPr>
              <w:t xml:space="preserve">Sickness </w:t>
            </w:r>
            <w:r w:rsidRPr="00B801F0">
              <w:rPr>
                <w:rFonts w:ascii="Arial" w:hAnsi="Arial" w:cs="Arial"/>
              </w:rPr>
              <w:lastRenderedPageBreak/>
              <w:t>absence</w:t>
            </w:r>
          </w:p>
        </w:tc>
        <w:tc>
          <w:tcPr>
            <w:tcW w:w="2552" w:type="dxa"/>
            <w:gridSpan w:val="3"/>
          </w:tcPr>
          <w:p w:rsidR="00767171" w:rsidRPr="00B801F0" w:rsidRDefault="00767171" w:rsidP="00D21617">
            <w:pPr>
              <w:widowControl w:val="0"/>
              <w:autoSpaceDE w:val="0"/>
              <w:autoSpaceDN w:val="0"/>
              <w:adjustRightInd w:val="0"/>
              <w:rPr>
                <w:rFonts w:ascii="Arial" w:hAnsi="Arial" w:cs="Arial"/>
              </w:rPr>
            </w:pPr>
            <w:r w:rsidRPr="00B801F0">
              <w:rPr>
                <w:rFonts w:ascii="Arial" w:hAnsi="Arial" w:cs="Arial"/>
              </w:rPr>
              <w:lastRenderedPageBreak/>
              <w:t xml:space="preserve">Percentage hours lost </w:t>
            </w:r>
            <w:r w:rsidRPr="00B801F0">
              <w:rPr>
                <w:rFonts w:ascii="Arial" w:hAnsi="Arial" w:cs="Arial"/>
              </w:rPr>
              <w:lastRenderedPageBreak/>
              <w:t>due to staff sickness absence as reported via SWISS</w:t>
            </w:r>
          </w:p>
        </w:tc>
        <w:tc>
          <w:tcPr>
            <w:tcW w:w="1842" w:type="dxa"/>
            <w:gridSpan w:val="2"/>
          </w:tcPr>
          <w:p w:rsidR="00767171" w:rsidRPr="00B801F0" w:rsidRDefault="00767171" w:rsidP="00D21617">
            <w:pPr>
              <w:widowControl w:val="0"/>
              <w:autoSpaceDE w:val="0"/>
              <w:autoSpaceDN w:val="0"/>
              <w:adjustRightInd w:val="0"/>
              <w:ind w:left="-107" w:right="-108"/>
              <w:rPr>
                <w:rFonts w:ascii="Arial" w:hAnsi="Arial" w:cs="Arial"/>
              </w:rPr>
            </w:pPr>
            <w:r w:rsidRPr="00B801F0">
              <w:rPr>
                <w:rFonts w:ascii="Arial" w:hAnsi="Arial" w:cs="Arial"/>
              </w:rPr>
              <w:lastRenderedPageBreak/>
              <w:t xml:space="preserve">Achieved = </w:t>
            </w:r>
            <w:r w:rsidRPr="00B801F0">
              <w:rPr>
                <w:rFonts w:ascii="Arial" w:hAnsi="Arial" w:cs="Arial"/>
              </w:rPr>
              <w:lastRenderedPageBreak/>
              <w:t xml:space="preserve">Green                  </w:t>
            </w:r>
          </w:p>
          <w:p w:rsidR="00767171" w:rsidRPr="00B801F0" w:rsidRDefault="00767171" w:rsidP="00D21617">
            <w:pPr>
              <w:widowControl w:val="0"/>
              <w:autoSpaceDE w:val="0"/>
              <w:autoSpaceDN w:val="0"/>
              <w:adjustRightInd w:val="0"/>
              <w:ind w:left="-108" w:right="-108"/>
              <w:rPr>
                <w:rFonts w:ascii="Arial" w:hAnsi="Arial" w:cs="Arial"/>
              </w:rPr>
            </w:pPr>
            <w:r w:rsidRPr="00B801F0">
              <w:rPr>
                <w:rFonts w:ascii="Arial" w:hAnsi="Arial" w:cs="Arial"/>
              </w:rPr>
              <w:t>Not achieved = Red</w:t>
            </w:r>
          </w:p>
        </w:tc>
        <w:tc>
          <w:tcPr>
            <w:tcW w:w="1701" w:type="dxa"/>
            <w:gridSpan w:val="2"/>
            <w:vAlign w:val="center"/>
          </w:tcPr>
          <w:p w:rsidR="00767171" w:rsidRPr="00B801F0" w:rsidRDefault="00B801F0"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lastRenderedPageBreak/>
              <w:t>4.96%</w:t>
            </w:r>
          </w:p>
        </w:tc>
        <w:tc>
          <w:tcPr>
            <w:tcW w:w="1560" w:type="dxa"/>
            <w:gridSpan w:val="2"/>
            <w:vAlign w:val="center"/>
          </w:tcPr>
          <w:p w:rsidR="00767171" w:rsidRPr="00B801F0" w:rsidRDefault="00B801F0"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4.88</w:t>
            </w:r>
            <w:r w:rsidR="00767171" w:rsidRPr="00B801F0">
              <w:rPr>
                <w:rFonts w:ascii="Arial" w:hAnsi="Arial" w:cs="Arial"/>
                <w:color w:val="000000"/>
                <w:lang w:eastAsia="en-GB"/>
              </w:rPr>
              <w:t>%</w:t>
            </w:r>
          </w:p>
        </w:tc>
        <w:tc>
          <w:tcPr>
            <w:tcW w:w="1701" w:type="dxa"/>
            <w:gridSpan w:val="2"/>
            <w:vAlign w:val="center"/>
          </w:tcPr>
          <w:p w:rsidR="00767171" w:rsidRPr="00B801F0" w:rsidRDefault="00B801F0" w:rsidP="00D21617">
            <w:pPr>
              <w:widowControl w:val="0"/>
              <w:autoSpaceDE w:val="0"/>
              <w:autoSpaceDN w:val="0"/>
              <w:adjustRightInd w:val="0"/>
              <w:rPr>
                <w:rFonts w:ascii="Arial" w:hAnsi="Arial" w:cs="Arial"/>
                <w:color w:val="000000"/>
                <w:lang w:eastAsia="en-GB"/>
              </w:rPr>
            </w:pPr>
            <w:r w:rsidRPr="00B801F0">
              <w:rPr>
                <w:rFonts w:ascii="Arial" w:hAnsi="Arial" w:cs="Arial"/>
                <w:color w:val="000000"/>
                <w:lang w:eastAsia="en-GB"/>
              </w:rPr>
              <w:t>4.74</w:t>
            </w:r>
            <w:r w:rsidR="00767171" w:rsidRPr="00B801F0">
              <w:rPr>
                <w:rFonts w:ascii="Arial" w:hAnsi="Arial" w:cs="Arial"/>
                <w:color w:val="000000"/>
                <w:lang w:eastAsia="en-GB"/>
              </w:rPr>
              <w:t>%</w:t>
            </w:r>
          </w:p>
        </w:tc>
        <w:tc>
          <w:tcPr>
            <w:tcW w:w="1842" w:type="dxa"/>
            <w:gridSpan w:val="2"/>
            <w:vAlign w:val="center"/>
          </w:tcPr>
          <w:p w:rsidR="00767171" w:rsidRPr="00B801F0" w:rsidRDefault="00767171" w:rsidP="00D21617">
            <w:pPr>
              <w:widowControl w:val="0"/>
              <w:autoSpaceDE w:val="0"/>
              <w:autoSpaceDN w:val="0"/>
              <w:adjustRightInd w:val="0"/>
              <w:rPr>
                <w:rFonts w:ascii="Arial" w:hAnsi="Arial" w:cs="Arial"/>
              </w:rPr>
            </w:pPr>
            <w:r w:rsidRPr="00B801F0">
              <w:rPr>
                <w:rFonts w:ascii="Arial" w:hAnsi="Arial" w:cs="Arial"/>
              </w:rPr>
              <w:t>≤4%</w:t>
            </w:r>
          </w:p>
        </w:tc>
        <w:tc>
          <w:tcPr>
            <w:tcW w:w="1592" w:type="dxa"/>
            <w:shd w:val="clear" w:color="auto" w:fill="FF0000"/>
            <w:vAlign w:val="center"/>
          </w:tcPr>
          <w:p w:rsidR="00767171" w:rsidRPr="00B801F0" w:rsidRDefault="00767171" w:rsidP="00D21617">
            <w:pPr>
              <w:widowControl w:val="0"/>
              <w:autoSpaceDE w:val="0"/>
              <w:autoSpaceDN w:val="0"/>
              <w:adjustRightInd w:val="0"/>
              <w:rPr>
                <w:rFonts w:ascii="Arial" w:hAnsi="Arial" w:cs="Arial"/>
                <w:color w:val="000000"/>
                <w:lang w:eastAsia="en-GB"/>
              </w:rPr>
            </w:pPr>
            <w:r w:rsidRPr="00B801F0">
              <w:rPr>
                <w:rFonts w:ascii="Arial" w:hAnsi="Arial" w:cs="Arial"/>
                <w:lang w:eastAsia="en-GB"/>
              </w:rPr>
              <w:sym w:font="Wingdings" w:char="F0F1"/>
            </w:r>
          </w:p>
        </w:tc>
      </w:tr>
      <w:tr w:rsidR="00AB3656" w:rsidRPr="00723D08" w:rsidTr="00AB3656">
        <w:trPr>
          <w:trHeight w:val="276"/>
        </w:trPr>
        <w:tc>
          <w:tcPr>
            <w:tcW w:w="14174" w:type="dxa"/>
            <w:gridSpan w:val="15"/>
          </w:tcPr>
          <w:p w:rsidR="00AB3656" w:rsidRPr="00B801F0" w:rsidRDefault="00AB3656" w:rsidP="00D21617">
            <w:pPr>
              <w:autoSpaceDE w:val="0"/>
              <w:autoSpaceDN w:val="0"/>
              <w:spacing w:after="120"/>
              <w:rPr>
                <w:rFonts w:ascii="Arial" w:hAnsi="Arial" w:cs="Arial"/>
                <w:b/>
                <w:iCs/>
                <w:color w:val="000000"/>
              </w:rPr>
            </w:pPr>
            <w:r w:rsidRPr="00B801F0">
              <w:rPr>
                <w:rFonts w:ascii="Arial" w:hAnsi="Arial" w:cs="Arial"/>
                <w:b/>
                <w:iCs/>
                <w:color w:val="000000"/>
              </w:rPr>
              <w:lastRenderedPageBreak/>
              <w:t>Analysis</w:t>
            </w:r>
          </w:p>
          <w:p w:rsidR="00B801F0" w:rsidRPr="00B801F0" w:rsidRDefault="00B801F0" w:rsidP="00D21617">
            <w:pPr>
              <w:pStyle w:val="ListParagraph"/>
              <w:spacing w:after="240"/>
              <w:ind w:left="0"/>
              <w:rPr>
                <w:rFonts w:ascii="Arial" w:hAnsi="Arial" w:cs="Arial"/>
                <w:sz w:val="24"/>
              </w:rPr>
            </w:pPr>
            <w:r w:rsidRPr="00B801F0">
              <w:rPr>
                <w:rFonts w:ascii="Arial" w:hAnsi="Arial" w:cs="Arial"/>
                <w:sz w:val="24"/>
              </w:rPr>
              <w:t>The sickness absence rate reduced for the fourth successive month in September. The sickness absence rate of 4.74% was the lowest since September 2017.</w:t>
            </w:r>
          </w:p>
          <w:p w:rsidR="008F5509" w:rsidRPr="00B801F0" w:rsidRDefault="00B801F0" w:rsidP="00D21617">
            <w:pPr>
              <w:pStyle w:val="ListParagraph"/>
              <w:ind w:left="0"/>
              <w:rPr>
                <w:rFonts w:ascii="Arial" w:hAnsi="Arial" w:cs="Arial"/>
                <w:sz w:val="24"/>
              </w:rPr>
            </w:pPr>
            <w:r w:rsidRPr="00B801F0">
              <w:rPr>
                <w:rFonts w:ascii="Arial" w:hAnsi="Arial" w:cs="Arial"/>
                <w:sz w:val="24"/>
              </w:rPr>
              <w:t>Long term sickness absence was reported at 2.12% with short term sickness absence being 2.62%. The Golden Jubilee’s long term and short term sickness absence w</w:t>
            </w:r>
            <w:r w:rsidR="00D21617">
              <w:rPr>
                <w:rFonts w:ascii="Arial" w:hAnsi="Arial" w:cs="Arial"/>
                <w:sz w:val="24"/>
              </w:rPr>
              <w:t xml:space="preserve">ere both below the national </w:t>
            </w:r>
            <w:proofErr w:type="spellStart"/>
            <w:r w:rsidR="00D21617">
              <w:rPr>
                <w:rFonts w:ascii="Arial" w:hAnsi="Arial" w:cs="Arial"/>
                <w:sz w:val="24"/>
              </w:rPr>
              <w:t>NHS</w:t>
            </w:r>
            <w:r w:rsidRPr="00B801F0">
              <w:rPr>
                <w:rFonts w:ascii="Arial" w:hAnsi="Arial" w:cs="Arial"/>
                <w:sz w:val="24"/>
              </w:rPr>
              <w:t>Scotland</w:t>
            </w:r>
            <w:proofErr w:type="spellEnd"/>
            <w:r w:rsidRPr="00B801F0">
              <w:rPr>
                <w:rFonts w:ascii="Arial" w:hAnsi="Arial" w:cs="Arial"/>
                <w:sz w:val="24"/>
              </w:rPr>
              <w:t xml:space="preserve"> average figures. </w:t>
            </w:r>
          </w:p>
        </w:tc>
      </w:tr>
    </w:tbl>
    <w:p w:rsidR="006539A8" w:rsidRPr="00723D08" w:rsidRDefault="006539A8" w:rsidP="00D21617">
      <w:pPr>
        <w:rPr>
          <w:rFonts w:ascii="Arial" w:hAnsi="Arial" w:cs="Arial"/>
          <w:highlight w:val="yellow"/>
        </w:rPr>
      </w:pPr>
    </w:p>
    <w:tbl>
      <w:tblPr>
        <w:tblW w:w="5000" w:type="pct"/>
        <w:tblLook w:val="0000"/>
      </w:tblPr>
      <w:tblGrid>
        <w:gridCol w:w="14174"/>
      </w:tblGrid>
      <w:tr w:rsidR="00422856" w:rsidRPr="00723D08" w:rsidTr="0066043B">
        <w:trPr>
          <w:trHeight w:val="274"/>
        </w:trPr>
        <w:tc>
          <w:tcPr>
            <w:tcW w:w="5000" w:type="pct"/>
            <w:tcBorders>
              <w:top w:val="single" w:sz="4" w:space="0" w:color="auto"/>
            </w:tcBorders>
            <w:shd w:val="clear" w:color="auto" w:fill="CCCCCC"/>
          </w:tcPr>
          <w:p w:rsidR="00422856" w:rsidRPr="00723D08" w:rsidRDefault="003C3BAC" w:rsidP="00D21617">
            <w:pPr>
              <w:rPr>
                <w:rFonts w:ascii="Arial" w:hAnsi="Arial" w:cs="Arial"/>
                <w:b/>
                <w:highlight w:val="yellow"/>
              </w:rPr>
            </w:pPr>
            <w:r w:rsidRPr="00761F30">
              <w:rPr>
                <w:rFonts w:ascii="Arial" w:hAnsi="Arial" w:cs="Arial"/>
                <w:b/>
              </w:rPr>
              <w:t>S</w:t>
            </w:r>
            <w:r w:rsidR="00422856" w:rsidRPr="00761F30">
              <w:rPr>
                <w:rFonts w:ascii="Arial" w:hAnsi="Arial" w:cs="Arial"/>
                <w:b/>
              </w:rPr>
              <w:t xml:space="preserve">urgical Services Division Performance                                              </w:t>
            </w:r>
            <w:r w:rsidR="00761F30" w:rsidRPr="00761F30">
              <w:rPr>
                <w:rFonts w:ascii="Arial" w:hAnsi="Arial" w:cs="Arial"/>
                <w:b/>
              </w:rPr>
              <w:t xml:space="preserve">                  </w:t>
            </w:r>
            <w:r w:rsidR="00422856" w:rsidRPr="00761F30">
              <w:rPr>
                <w:rFonts w:ascii="Arial" w:hAnsi="Arial" w:cs="Arial"/>
                <w:b/>
              </w:rPr>
              <w:t xml:space="preserve">Board Performance Update – </w:t>
            </w:r>
            <w:r w:rsidR="00761F30" w:rsidRPr="00761F30">
              <w:rPr>
                <w:rFonts w:ascii="Arial" w:hAnsi="Arial" w:cs="Arial"/>
                <w:b/>
              </w:rPr>
              <w:t>November</w:t>
            </w:r>
            <w:r w:rsidR="00422856" w:rsidRPr="00761F30">
              <w:rPr>
                <w:rFonts w:ascii="Arial" w:hAnsi="Arial" w:cs="Arial"/>
                <w:b/>
              </w:rPr>
              <w:t xml:space="preserve"> 2018</w:t>
            </w:r>
          </w:p>
        </w:tc>
      </w:tr>
    </w:tbl>
    <w:p w:rsidR="00422856" w:rsidRPr="00723D08" w:rsidRDefault="00422856" w:rsidP="00D21617">
      <w:pPr>
        <w:rPr>
          <w:rFonts w:ascii="Arial" w:hAnsi="Arial" w:cs="Arial"/>
          <w:highlight w:val="yellow"/>
        </w:rPr>
      </w:pPr>
    </w:p>
    <w:tbl>
      <w:tblPr>
        <w:tblW w:w="13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7"/>
        <w:gridCol w:w="8172"/>
        <w:gridCol w:w="1937"/>
        <w:gridCol w:w="1603"/>
      </w:tblGrid>
      <w:tr w:rsidR="00422856" w:rsidRPr="00723D08" w:rsidTr="0031443E">
        <w:trPr>
          <w:tblHeader/>
        </w:trPr>
        <w:tc>
          <w:tcPr>
            <w:tcW w:w="2217" w:type="dxa"/>
            <w:shd w:val="clear" w:color="auto" w:fill="auto"/>
          </w:tcPr>
          <w:p w:rsidR="00422856" w:rsidRPr="00761F30" w:rsidRDefault="00422856" w:rsidP="00D21617">
            <w:pPr>
              <w:rPr>
                <w:rFonts w:ascii="Arial" w:hAnsi="Arial" w:cs="Arial"/>
                <w:b/>
              </w:rPr>
            </w:pPr>
            <w:r w:rsidRPr="00761F30">
              <w:rPr>
                <w:rFonts w:ascii="Arial" w:hAnsi="Arial" w:cs="Arial"/>
                <w:b/>
              </w:rPr>
              <w:t>ISSUE</w:t>
            </w:r>
          </w:p>
        </w:tc>
        <w:tc>
          <w:tcPr>
            <w:tcW w:w="8172" w:type="dxa"/>
            <w:shd w:val="clear" w:color="auto" w:fill="auto"/>
          </w:tcPr>
          <w:p w:rsidR="00422856" w:rsidRPr="00761F30" w:rsidRDefault="00422856" w:rsidP="00D21617">
            <w:pPr>
              <w:rPr>
                <w:rFonts w:ascii="Arial" w:hAnsi="Arial" w:cs="Arial"/>
                <w:b/>
              </w:rPr>
            </w:pPr>
            <w:r w:rsidRPr="00761F30">
              <w:rPr>
                <w:rFonts w:ascii="Arial" w:hAnsi="Arial" w:cs="Arial"/>
                <w:b/>
              </w:rPr>
              <w:t>ACTION</w:t>
            </w:r>
          </w:p>
        </w:tc>
        <w:tc>
          <w:tcPr>
            <w:tcW w:w="1937" w:type="dxa"/>
            <w:shd w:val="clear" w:color="auto" w:fill="auto"/>
          </w:tcPr>
          <w:p w:rsidR="00422856" w:rsidRPr="00761F30" w:rsidRDefault="00422856" w:rsidP="00D21617">
            <w:pPr>
              <w:rPr>
                <w:rFonts w:ascii="Arial" w:hAnsi="Arial" w:cs="Arial"/>
                <w:b/>
              </w:rPr>
            </w:pPr>
            <w:r w:rsidRPr="00761F30">
              <w:rPr>
                <w:rFonts w:ascii="Arial" w:hAnsi="Arial" w:cs="Arial"/>
                <w:b/>
              </w:rPr>
              <w:t>RESPONSIBLE LEAD</w:t>
            </w:r>
          </w:p>
        </w:tc>
        <w:tc>
          <w:tcPr>
            <w:tcW w:w="1603" w:type="dxa"/>
            <w:shd w:val="clear" w:color="auto" w:fill="auto"/>
          </w:tcPr>
          <w:p w:rsidR="00422856" w:rsidRPr="00761F30" w:rsidRDefault="00422856" w:rsidP="00D21617">
            <w:pPr>
              <w:rPr>
                <w:rFonts w:ascii="Arial" w:hAnsi="Arial" w:cs="Arial"/>
                <w:b/>
              </w:rPr>
            </w:pPr>
            <w:r w:rsidRPr="00761F30">
              <w:rPr>
                <w:rFonts w:ascii="Arial" w:hAnsi="Arial" w:cs="Arial"/>
                <w:b/>
              </w:rPr>
              <w:t>TIMESCALE</w:t>
            </w:r>
          </w:p>
        </w:tc>
      </w:tr>
      <w:tr w:rsidR="00C40A66" w:rsidRPr="00723D08" w:rsidTr="0031443E">
        <w:trPr>
          <w:trHeight w:val="627"/>
        </w:trPr>
        <w:tc>
          <w:tcPr>
            <w:tcW w:w="2217" w:type="dxa"/>
          </w:tcPr>
          <w:p w:rsidR="00C40A66" w:rsidRPr="0031443E" w:rsidRDefault="00C40A66" w:rsidP="00D21617">
            <w:pPr>
              <w:spacing w:after="240"/>
              <w:rPr>
                <w:rFonts w:ascii="Arial" w:hAnsi="Arial" w:cs="Arial"/>
              </w:rPr>
            </w:pPr>
            <w:r w:rsidRPr="0031443E">
              <w:rPr>
                <w:rFonts w:ascii="Arial" w:hAnsi="Arial" w:cs="Arial"/>
              </w:rPr>
              <w:t>Critical Care</w:t>
            </w:r>
          </w:p>
        </w:tc>
        <w:tc>
          <w:tcPr>
            <w:tcW w:w="8172" w:type="dxa"/>
            <w:shd w:val="clear" w:color="auto" w:fill="auto"/>
          </w:tcPr>
          <w:p w:rsidR="003655A3" w:rsidRPr="0031443E" w:rsidRDefault="00584189" w:rsidP="00D21617">
            <w:pPr>
              <w:spacing w:after="240"/>
              <w:rPr>
                <w:rFonts w:ascii="Arial" w:eastAsia="Arial Unicode MS" w:hAnsi="Arial" w:cs="Arial"/>
              </w:rPr>
            </w:pPr>
            <w:r w:rsidRPr="0031443E">
              <w:rPr>
                <w:rFonts w:ascii="Arial" w:eastAsia="Arial Unicode MS" w:hAnsi="Arial" w:cs="Arial"/>
              </w:rPr>
              <w:t>P</w:t>
            </w:r>
            <w:r w:rsidR="003655A3" w:rsidRPr="0031443E">
              <w:rPr>
                <w:rFonts w:ascii="Arial" w:eastAsia="Arial Unicode MS" w:hAnsi="Arial" w:cs="Arial"/>
              </w:rPr>
              <w:t>ressure on beds and staffing within critical care remained lo</w:t>
            </w:r>
            <w:r w:rsidRPr="0031443E">
              <w:rPr>
                <w:rFonts w:ascii="Arial" w:eastAsia="Arial Unicode MS" w:hAnsi="Arial" w:cs="Arial"/>
              </w:rPr>
              <w:t xml:space="preserve">w during September. This was as a result of a continued reduction in unplanned activity coupled with a decrease in cardiology occupied bed usage within the units. This allowed all elective cases to be accommodated and a number of other clinical areas to be supported by critical care staff. </w:t>
            </w:r>
          </w:p>
          <w:p w:rsidR="00584189" w:rsidRPr="0031443E" w:rsidRDefault="00584189" w:rsidP="00D21617">
            <w:pPr>
              <w:spacing w:after="240"/>
              <w:rPr>
                <w:rFonts w:ascii="Arial" w:eastAsia="Arial Unicode MS" w:hAnsi="Arial" w:cs="Arial"/>
              </w:rPr>
            </w:pPr>
            <w:r w:rsidRPr="0031443E">
              <w:rPr>
                <w:rFonts w:ascii="Arial" w:eastAsia="Arial Unicode MS" w:hAnsi="Arial" w:cs="Arial"/>
              </w:rPr>
              <w:t xml:space="preserve">However this position altered in October with emergency activity resulting in increased occupancy within ICU2. Full capacity within critical care was reached on a number of occasions. This led to some cardiac surgery cancellations due to a lack of physical bed capacity. A reduction in the number of unscheduled cases during November has alleviated the pressure on critical care. </w:t>
            </w:r>
          </w:p>
          <w:p w:rsidR="00584189" w:rsidRPr="0031443E" w:rsidRDefault="00584189" w:rsidP="00D21617">
            <w:pPr>
              <w:spacing w:after="240"/>
              <w:rPr>
                <w:rFonts w:ascii="Arial" w:eastAsia="Arial Unicode MS" w:hAnsi="Arial" w:cs="Arial"/>
              </w:rPr>
            </w:pPr>
            <w:r w:rsidRPr="0031443E">
              <w:rPr>
                <w:rFonts w:ascii="Arial" w:eastAsia="Arial Unicode MS" w:hAnsi="Arial" w:cs="Arial"/>
              </w:rPr>
              <w:t xml:space="preserve">Critical care has agreed to support cardiology with a registered nurse to allow ward 2D to remain open into the weekend. This has been agreed on </w:t>
            </w:r>
            <w:r w:rsidRPr="0031443E">
              <w:rPr>
                <w:rFonts w:ascii="Arial" w:eastAsia="Arial Unicode MS" w:hAnsi="Arial" w:cs="Arial"/>
              </w:rPr>
              <w:lastRenderedPageBreak/>
              <w:t>a three month seconded basis.</w:t>
            </w:r>
          </w:p>
          <w:p w:rsidR="00512B2C" w:rsidRPr="0031443E" w:rsidRDefault="00DA6080" w:rsidP="00D21617">
            <w:pPr>
              <w:spacing w:after="240"/>
              <w:rPr>
                <w:rFonts w:ascii="Arial" w:eastAsia="Arial Unicode MS" w:hAnsi="Arial" w:cs="Arial"/>
                <w:color w:val="000000"/>
              </w:rPr>
            </w:pPr>
            <w:r w:rsidRPr="0031443E">
              <w:rPr>
                <w:rFonts w:ascii="Arial" w:eastAsia="Arial Unicode MS" w:hAnsi="Arial" w:cs="Arial"/>
              </w:rPr>
              <w:t>The service continues to work closely with the Patient Flow team.</w:t>
            </w:r>
          </w:p>
        </w:tc>
        <w:tc>
          <w:tcPr>
            <w:tcW w:w="1937" w:type="dxa"/>
          </w:tcPr>
          <w:p w:rsidR="00C40A66" w:rsidRPr="0031443E" w:rsidRDefault="00C40A66" w:rsidP="00D21617">
            <w:pPr>
              <w:spacing w:after="240"/>
              <w:rPr>
                <w:rFonts w:ascii="Arial" w:hAnsi="Arial" w:cs="Arial"/>
              </w:rPr>
            </w:pPr>
            <w:r w:rsidRPr="0031443E">
              <w:rPr>
                <w:rFonts w:ascii="Arial" w:hAnsi="Arial" w:cs="Arial"/>
              </w:rPr>
              <w:lastRenderedPageBreak/>
              <w:t>Lynn Graham</w:t>
            </w:r>
          </w:p>
          <w:p w:rsidR="00C40A66" w:rsidRPr="0031443E" w:rsidRDefault="00C40A66" w:rsidP="00D21617">
            <w:pPr>
              <w:spacing w:after="240"/>
              <w:rPr>
                <w:rFonts w:ascii="Arial" w:hAnsi="Arial" w:cs="Arial"/>
              </w:rPr>
            </w:pPr>
          </w:p>
        </w:tc>
        <w:tc>
          <w:tcPr>
            <w:tcW w:w="1603" w:type="dxa"/>
          </w:tcPr>
          <w:p w:rsidR="00C40A66" w:rsidRPr="0031443E" w:rsidRDefault="00C40A66" w:rsidP="00D21617">
            <w:pPr>
              <w:spacing w:after="240"/>
              <w:rPr>
                <w:rFonts w:ascii="Arial" w:hAnsi="Arial" w:cs="Arial"/>
              </w:rPr>
            </w:pPr>
            <w:r w:rsidRPr="0031443E">
              <w:rPr>
                <w:rFonts w:ascii="Arial" w:hAnsi="Arial" w:cs="Arial"/>
              </w:rPr>
              <w:t>Ongoing</w:t>
            </w:r>
          </w:p>
        </w:tc>
      </w:tr>
      <w:tr w:rsidR="00C40A66" w:rsidRPr="00723D08" w:rsidTr="0031443E">
        <w:trPr>
          <w:trHeight w:val="627"/>
        </w:trPr>
        <w:tc>
          <w:tcPr>
            <w:tcW w:w="2217" w:type="dxa"/>
          </w:tcPr>
          <w:p w:rsidR="00C40A66" w:rsidRPr="00723D08" w:rsidRDefault="00C40A66" w:rsidP="00D21617">
            <w:pPr>
              <w:spacing w:after="240"/>
              <w:rPr>
                <w:rFonts w:ascii="Arial" w:hAnsi="Arial" w:cs="Arial"/>
                <w:highlight w:val="yellow"/>
              </w:rPr>
            </w:pPr>
            <w:r w:rsidRPr="00761F30">
              <w:rPr>
                <w:rFonts w:ascii="Arial" w:hAnsi="Arial" w:cs="Arial"/>
              </w:rPr>
              <w:lastRenderedPageBreak/>
              <w:t>Cardiac Surgery</w:t>
            </w:r>
          </w:p>
        </w:tc>
        <w:tc>
          <w:tcPr>
            <w:tcW w:w="8172" w:type="dxa"/>
            <w:shd w:val="clear" w:color="auto" w:fill="auto"/>
          </w:tcPr>
          <w:p w:rsidR="00542597" w:rsidRDefault="00761F30" w:rsidP="00D21617">
            <w:pPr>
              <w:spacing w:after="240"/>
              <w:rPr>
                <w:rFonts w:ascii="Arial" w:eastAsia="Arial Unicode MS" w:hAnsi="Arial" w:cs="Arial"/>
              </w:rPr>
            </w:pPr>
            <w:r w:rsidRPr="00761F30">
              <w:rPr>
                <w:rFonts w:ascii="Arial" w:eastAsia="Arial Unicode MS" w:hAnsi="Arial" w:cs="Arial"/>
              </w:rPr>
              <w:t>Pl</w:t>
            </w:r>
            <w:r>
              <w:rPr>
                <w:rFonts w:ascii="Arial" w:eastAsia="Arial Unicode MS" w:hAnsi="Arial" w:cs="Arial"/>
              </w:rPr>
              <w:t>anned elective theatre activity dropped slightly in September and October after a busy few months over July and August. Increased</w:t>
            </w:r>
            <w:r w:rsidRPr="00761F30">
              <w:rPr>
                <w:rFonts w:ascii="Arial" w:eastAsia="Arial Unicode MS" w:hAnsi="Arial" w:cs="Arial"/>
              </w:rPr>
              <w:t xml:space="preserve"> emergency workloa</w:t>
            </w:r>
            <w:r>
              <w:rPr>
                <w:rFonts w:ascii="Arial" w:eastAsia="Arial Unicode MS" w:hAnsi="Arial" w:cs="Arial"/>
              </w:rPr>
              <w:t xml:space="preserve">d and some bed </w:t>
            </w:r>
            <w:r w:rsidRPr="00761F30">
              <w:rPr>
                <w:rFonts w:ascii="Arial" w:eastAsia="Arial Unicode MS" w:hAnsi="Arial" w:cs="Arial"/>
              </w:rPr>
              <w:t xml:space="preserve">challenges had a clear impact in October.  </w:t>
            </w:r>
          </w:p>
          <w:p w:rsidR="00542597" w:rsidRDefault="00761F30" w:rsidP="00D21617">
            <w:pPr>
              <w:spacing w:after="240"/>
              <w:rPr>
                <w:rFonts w:ascii="Arial" w:eastAsia="Arial Unicode MS" w:hAnsi="Arial" w:cs="Arial"/>
              </w:rPr>
            </w:pPr>
            <w:r>
              <w:rPr>
                <w:rFonts w:ascii="Arial" w:eastAsia="Arial Unicode MS" w:hAnsi="Arial" w:cs="Arial"/>
              </w:rPr>
              <w:t xml:space="preserve">As previously mentioned </w:t>
            </w:r>
            <w:r w:rsidRPr="00761F30">
              <w:rPr>
                <w:rFonts w:ascii="Arial" w:eastAsia="Arial Unicode MS" w:hAnsi="Arial" w:cs="Arial"/>
              </w:rPr>
              <w:t>urgent and emergency inpatient cardiac referral requests have remained a significant challenge</w:t>
            </w:r>
            <w:r>
              <w:rPr>
                <w:rFonts w:ascii="Arial" w:eastAsia="Arial Unicode MS" w:hAnsi="Arial" w:cs="Arial"/>
              </w:rPr>
              <w:t>. D</w:t>
            </w:r>
            <w:r w:rsidRPr="00761F30">
              <w:rPr>
                <w:rFonts w:ascii="Arial" w:eastAsia="Arial Unicode MS" w:hAnsi="Arial" w:cs="Arial"/>
              </w:rPr>
              <w:t xml:space="preserve">espite this the service has worked hard to reduce the impact on elective patients and minimise the number of 12 week </w:t>
            </w:r>
            <w:r w:rsidR="003655A3">
              <w:rPr>
                <w:rFonts w:ascii="Arial" w:eastAsia="Arial Unicode MS" w:hAnsi="Arial" w:cs="Arial"/>
              </w:rPr>
              <w:t>Treatment Time Guarantee</w:t>
            </w:r>
            <w:r w:rsidR="003655A3" w:rsidRPr="00761F30">
              <w:rPr>
                <w:rFonts w:ascii="Arial" w:eastAsia="Arial Unicode MS" w:hAnsi="Arial" w:cs="Arial"/>
              </w:rPr>
              <w:t xml:space="preserve"> </w:t>
            </w:r>
            <w:r w:rsidR="003655A3">
              <w:rPr>
                <w:rFonts w:ascii="Arial" w:eastAsia="Arial Unicode MS" w:hAnsi="Arial" w:cs="Arial"/>
              </w:rPr>
              <w:t>(</w:t>
            </w:r>
            <w:r w:rsidRPr="00761F30">
              <w:rPr>
                <w:rFonts w:ascii="Arial" w:eastAsia="Arial Unicode MS" w:hAnsi="Arial" w:cs="Arial"/>
              </w:rPr>
              <w:t>TTG</w:t>
            </w:r>
            <w:r w:rsidR="003655A3">
              <w:rPr>
                <w:rFonts w:ascii="Arial" w:eastAsia="Arial Unicode MS" w:hAnsi="Arial" w:cs="Arial"/>
              </w:rPr>
              <w:t>)</w:t>
            </w:r>
            <w:r w:rsidRPr="00761F30">
              <w:rPr>
                <w:rFonts w:ascii="Arial" w:eastAsia="Arial Unicode MS" w:hAnsi="Arial" w:cs="Arial"/>
              </w:rPr>
              <w:t xml:space="preserve"> breaches.  </w:t>
            </w:r>
            <w:r w:rsidR="00542597">
              <w:rPr>
                <w:rFonts w:ascii="Arial" w:eastAsia="Arial Unicode MS" w:hAnsi="Arial" w:cs="Arial"/>
              </w:rPr>
              <w:t>There were four patients i</w:t>
            </w:r>
            <w:r w:rsidRPr="00761F30">
              <w:rPr>
                <w:rFonts w:ascii="Arial" w:eastAsia="Arial Unicode MS" w:hAnsi="Arial" w:cs="Arial"/>
              </w:rPr>
              <w:t xml:space="preserve">n September </w:t>
            </w:r>
            <w:r w:rsidR="00542597">
              <w:rPr>
                <w:rFonts w:ascii="Arial" w:eastAsia="Arial Unicode MS" w:hAnsi="Arial" w:cs="Arial"/>
              </w:rPr>
              <w:t>and six in October</w:t>
            </w:r>
            <w:r w:rsidRPr="00761F30">
              <w:rPr>
                <w:rFonts w:ascii="Arial" w:eastAsia="Arial Unicode MS" w:hAnsi="Arial" w:cs="Arial"/>
              </w:rPr>
              <w:t xml:space="preserve"> treated over the 12</w:t>
            </w:r>
            <w:r w:rsidR="00542597">
              <w:rPr>
                <w:rFonts w:ascii="Arial" w:eastAsia="Arial Unicode MS" w:hAnsi="Arial" w:cs="Arial"/>
              </w:rPr>
              <w:t xml:space="preserve"> week </w:t>
            </w:r>
            <w:r w:rsidRPr="00761F30">
              <w:rPr>
                <w:rFonts w:ascii="Arial" w:eastAsia="Arial Unicode MS" w:hAnsi="Arial" w:cs="Arial"/>
              </w:rPr>
              <w:t xml:space="preserve">TTG. </w:t>
            </w:r>
          </w:p>
          <w:p w:rsidR="00542597" w:rsidRDefault="00542597" w:rsidP="00D21617">
            <w:pPr>
              <w:spacing w:after="240"/>
              <w:rPr>
                <w:rFonts w:ascii="Arial" w:eastAsia="Arial Unicode MS" w:hAnsi="Arial" w:cs="Arial"/>
              </w:rPr>
            </w:pPr>
            <w:r>
              <w:rPr>
                <w:rFonts w:ascii="Arial" w:eastAsia="Arial Unicode MS" w:hAnsi="Arial" w:cs="Arial"/>
              </w:rPr>
              <w:t>The increase in referral numbers across all cardiac pathways has meant that despite increased theatre activity (compared to 2017/18) the balance of delivering elective activity, maintaining the waiting list whilst treating patients within appropriate clinical timescales has remained an ongoing challenge.</w:t>
            </w:r>
          </w:p>
          <w:p w:rsidR="00761F30" w:rsidRPr="00767709" w:rsidRDefault="00767709" w:rsidP="00D21617">
            <w:pPr>
              <w:spacing w:after="240"/>
              <w:rPr>
                <w:rFonts w:ascii="Arial" w:eastAsia="Arial Unicode MS" w:hAnsi="Arial" w:cs="Arial"/>
              </w:rPr>
            </w:pPr>
            <w:r w:rsidRPr="00426E78">
              <w:rPr>
                <w:rFonts w:ascii="Arial" w:eastAsia="Arial Unicode MS" w:hAnsi="Arial" w:cs="Arial"/>
              </w:rPr>
              <w:t xml:space="preserve">The addition of an additional </w:t>
            </w:r>
            <w:r w:rsidR="00D21617" w:rsidRPr="00426E78">
              <w:rPr>
                <w:rFonts w:ascii="Arial" w:eastAsia="Arial Unicode MS" w:hAnsi="Arial" w:cs="Arial"/>
              </w:rPr>
              <w:t>C</w:t>
            </w:r>
            <w:r w:rsidR="00163B2D" w:rsidRPr="00426E78">
              <w:rPr>
                <w:rFonts w:ascii="Arial" w:eastAsia="Arial Unicode MS" w:hAnsi="Arial" w:cs="Arial"/>
              </w:rPr>
              <w:t xml:space="preserve">onsultant </w:t>
            </w:r>
            <w:r w:rsidR="00D21617" w:rsidRPr="00426E78">
              <w:rPr>
                <w:rFonts w:ascii="Arial" w:eastAsia="Arial Unicode MS" w:hAnsi="Arial" w:cs="Arial"/>
              </w:rPr>
              <w:t>A</w:t>
            </w:r>
            <w:r w:rsidRPr="00426E78">
              <w:rPr>
                <w:rFonts w:ascii="Arial" w:eastAsia="Arial Unicode MS" w:hAnsi="Arial" w:cs="Arial"/>
              </w:rPr>
              <w:t xml:space="preserve">naesthetist has helped to increase activity at the cardiac pre-operative assessment clinics. </w:t>
            </w:r>
            <w:r w:rsidR="00426E78" w:rsidRPr="00426E78">
              <w:rPr>
                <w:rFonts w:ascii="Arial" w:eastAsia="Arial Unicode MS" w:hAnsi="Arial" w:cs="Arial"/>
              </w:rPr>
              <w:t xml:space="preserve">For the first time, in </w:t>
            </w:r>
            <w:r w:rsidRPr="00426E78">
              <w:rPr>
                <w:rFonts w:ascii="Arial" w:eastAsia="Arial Unicode MS" w:hAnsi="Arial" w:cs="Arial"/>
              </w:rPr>
              <w:t xml:space="preserve">October </w:t>
            </w:r>
            <w:r w:rsidR="00426E78" w:rsidRPr="00426E78">
              <w:rPr>
                <w:rFonts w:ascii="Arial" w:eastAsia="Arial Unicode MS" w:hAnsi="Arial" w:cs="Arial"/>
              </w:rPr>
              <w:t xml:space="preserve">the number of cardiac surgery </w:t>
            </w:r>
            <w:r w:rsidRPr="00426E78">
              <w:rPr>
                <w:rFonts w:ascii="Arial" w:eastAsia="Arial Unicode MS" w:hAnsi="Arial" w:cs="Arial"/>
              </w:rPr>
              <w:t xml:space="preserve">patients </w:t>
            </w:r>
            <w:r w:rsidR="00426E78" w:rsidRPr="00426E78">
              <w:rPr>
                <w:rFonts w:ascii="Arial" w:eastAsia="Arial Unicode MS" w:hAnsi="Arial" w:cs="Arial"/>
              </w:rPr>
              <w:t>exceeded 100.</w:t>
            </w:r>
            <w:r w:rsidRPr="00426E78">
              <w:rPr>
                <w:rFonts w:ascii="Arial" w:eastAsia="Arial Unicode MS" w:hAnsi="Arial" w:cs="Arial"/>
              </w:rPr>
              <w:t xml:space="preserve"> </w:t>
            </w:r>
          </w:p>
          <w:p w:rsidR="00BF5D71" w:rsidRPr="00163B2D" w:rsidRDefault="00767709" w:rsidP="00426E78">
            <w:pPr>
              <w:spacing w:after="240"/>
              <w:rPr>
                <w:rFonts w:ascii="Arial" w:eastAsia="Arial Unicode MS" w:hAnsi="Arial" w:cs="Arial"/>
              </w:rPr>
            </w:pPr>
            <w:r w:rsidRPr="00163B2D">
              <w:rPr>
                <w:rFonts w:ascii="Arial" w:eastAsia="Arial Unicode MS" w:hAnsi="Arial" w:cs="Arial"/>
              </w:rPr>
              <w:t>The outpatient staffing model r</w:t>
            </w:r>
            <w:r w:rsidR="00163B2D">
              <w:rPr>
                <w:rFonts w:ascii="Arial" w:eastAsia="Arial Unicode MS" w:hAnsi="Arial" w:cs="Arial"/>
              </w:rPr>
              <w:t>eorganisation is complete with pre-op</w:t>
            </w:r>
            <w:r w:rsidR="00D21617">
              <w:rPr>
                <w:rFonts w:ascii="Arial" w:eastAsia="Arial Unicode MS" w:hAnsi="Arial" w:cs="Arial"/>
              </w:rPr>
              <w:t>erative</w:t>
            </w:r>
            <w:r w:rsidR="00163B2D">
              <w:rPr>
                <w:rFonts w:ascii="Arial" w:eastAsia="Arial Unicode MS" w:hAnsi="Arial" w:cs="Arial"/>
              </w:rPr>
              <w:t xml:space="preserve"> p</w:t>
            </w:r>
            <w:r w:rsidRPr="00163B2D">
              <w:rPr>
                <w:rFonts w:ascii="Arial" w:eastAsia="Arial Unicode MS" w:hAnsi="Arial" w:cs="Arial"/>
              </w:rPr>
              <w:t xml:space="preserve">ractitioners covering all specialties. Ongoing training is being provided to </w:t>
            </w:r>
            <w:r w:rsidRPr="00163B2D">
              <w:rPr>
                <w:rFonts w:ascii="Arial" w:eastAsia="Arial Unicode MS" w:hAnsi="Arial" w:cs="Arial"/>
              </w:rPr>
              <w:lastRenderedPageBreak/>
              <w:t xml:space="preserve">ensure confidence in </w:t>
            </w:r>
            <w:r w:rsidR="00163B2D">
              <w:rPr>
                <w:rFonts w:ascii="Arial" w:eastAsia="Arial Unicode MS" w:hAnsi="Arial" w:cs="Arial"/>
              </w:rPr>
              <w:t xml:space="preserve">the </w:t>
            </w:r>
            <w:r w:rsidRPr="00163B2D">
              <w:rPr>
                <w:rFonts w:ascii="Arial" w:eastAsia="Arial Unicode MS" w:hAnsi="Arial" w:cs="Arial"/>
              </w:rPr>
              <w:t>pre-</w:t>
            </w:r>
            <w:r w:rsidR="00163B2D">
              <w:rPr>
                <w:rFonts w:ascii="Arial" w:eastAsia="Arial Unicode MS" w:hAnsi="Arial" w:cs="Arial"/>
              </w:rPr>
              <w:t xml:space="preserve">operative </w:t>
            </w:r>
            <w:r w:rsidRPr="00163B2D">
              <w:rPr>
                <w:rFonts w:ascii="Arial" w:eastAsia="Arial Unicode MS" w:hAnsi="Arial" w:cs="Arial"/>
              </w:rPr>
              <w:t>assess</w:t>
            </w:r>
            <w:r w:rsidR="00163B2D">
              <w:rPr>
                <w:rFonts w:ascii="Arial" w:eastAsia="Arial Unicode MS" w:hAnsi="Arial" w:cs="Arial"/>
              </w:rPr>
              <w:t>ment of</w:t>
            </w:r>
            <w:r w:rsidRPr="00163B2D">
              <w:rPr>
                <w:rFonts w:ascii="Arial" w:eastAsia="Arial Unicode MS" w:hAnsi="Arial" w:cs="Arial"/>
              </w:rPr>
              <w:t xml:space="preserve"> higher risk patients. </w:t>
            </w:r>
          </w:p>
        </w:tc>
        <w:tc>
          <w:tcPr>
            <w:tcW w:w="1937" w:type="dxa"/>
          </w:tcPr>
          <w:p w:rsidR="00C40A66" w:rsidRPr="00761F30" w:rsidRDefault="00C40A66" w:rsidP="00D21617">
            <w:pPr>
              <w:spacing w:after="240"/>
              <w:rPr>
                <w:rFonts w:ascii="Arial" w:hAnsi="Arial" w:cs="Arial"/>
              </w:rPr>
            </w:pPr>
            <w:r w:rsidRPr="00761F30">
              <w:rPr>
                <w:rFonts w:ascii="Arial" w:hAnsi="Arial" w:cs="Arial"/>
              </w:rPr>
              <w:lastRenderedPageBreak/>
              <w:t>Lynn Graham</w:t>
            </w:r>
          </w:p>
          <w:p w:rsidR="00C40A66" w:rsidRPr="00761F30" w:rsidRDefault="00C40A66" w:rsidP="00D21617">
            <w:pPr>
              <w:spacing w:after="240"/>
              <w:rPr>
                <w:rFonts w:ascii="Arial" w:hAnsi="Arial" w:cs="Arial"/>
              </w:rPr>
            </w:pPr>
          </w:p>
        </w:tc>
        <w:tc>
          <w:tcPr>
            <w:tcW w:w="1603" w:type="dxa"/>
          </w:tcPr>
          <w:p w:rsidR="00C40A66" w:rsidRPr="00761F30" w:rsidRDefault="00C40A66" w:rsidP="00D21617">
            <w:pPr>
              <w:spacing w:after="240"/>
              <w:rPr>
                <w:rFonts w:ascii="Arial" w:hAnsi="Arial" w:cs="Arial"/>
              </w:rPr>
            </w:pPr>
            <w:r w:rsidRPr="00761F30">
              <w:rPr>
                <w:rFonts w:ascii="Arial" w:hAnsi="Arial" w:cs="Arial"/>
              </w:rPr>
              <w:t>Ongoing</w:t>
            </w:r>
          </w:p>
        </w:tc>
      </w:tr>
      <w:tr w:rsidR="00C40A66" w:rsidRPr="00723D08" w:rsidTr="0031443E">
        <w:trPr>
          <w:trHeight w:val="433"/>
        </w:trPr>
        <w:tc>
          <w:tcPr>
            <w:tcW w:w="2217" w:type="dxa"/>
          </w:tcPr>
          <w:p w:rsidR="00C40A66" w:rsidRPr="00723D08" w:rsidRDefault="00C40A66" w:rsidP="00D21617">
            <w:pPr>
              <w:spacing w:after="240"/>
              <w:rPr>
                <w:rFonts w:ascii="Arial" w:hAnsi="Arial" w:cs="Arial"/>
                <w:highlight w:val="yellow"/>
              </w:rPr>
            </w:pPr>
            <w:r w:rsidRPr="008A131A">
              <w:rPr>
                <w:rFonts w:ascii="Arial" w:hAnsi="Arial" w:cs="Arial"/>
              </w:rPr>
              <w:lastRenderedPageBreak/>
              <w:t>Thoracic</w:t>
            </w:r>
          </w:p>
        </w:tc>
        <w:tc>
          <w:tcPr>
            <w:tcW w:w="8172" w:type="dxa"/>
            <w:shd w:val="clear" w:color="auto" w:fill="auto"/>
          </w:tcPr>
          <w:p w:rsidR="00163B2D" w:rsidRDefault="00163B2D" w:rsidP="00D21617">
            <w:pPr>
              <w:spacing w:after="240"/>
              <w:rPr>
                <w:rFonts w:ascii="Arial" w:eastAsia="Arial Unicode MS" w:hAnsi="Arial" w:cs="Arial"/>
                <w:highlight w:val="yellow"/>
              </w:rPr>
            </w:pPr>
            <w:r w:rsidRPr="00163B2D">
              <w:rPr>
                <w:rFonts w:ascii="Arial" w:eastAsia="Arial Unicode MS" w:hAnsi="Arial" w:cs="Arial"/>
                <w:szCs w:val="20"/>
              </w:rPr>
              <w:t xml:space="preserve">The service has now successfully treated 35 patients </w:t>
            </w:r>
            <w:r w:rsidR="00D21617">
              <w:rPr>
                <w:rFonts w:ascii="Arial" w:eastAsia="Arial Unicode MS" w:hAnsi="Arial" w:cs="Arial"/>
                <w:szCs w:val="20"/>
              </w:rPr>
              <w:t>using</w:t>
            </w:r>
            <w:r w:rsidRPr="00163B2D">
              <w:rPr>
                <w:rFonts w:ascii="Arial" w:eastAsia="Arial Unicode MS" w:hAnsi="Arial" w:cs="Arial"/>
                <w:szCs w:val="20"/>
              </w:rPr>
              <w:t xml:space="preserve"> Robotic Assisted Thoracic </w:t>
            </w:r>
            <w:r>
              <w:rPr>
                <w:rFonts w:ascii="Arial" w:eastAsia="Arial Unicode MS" w:hAnsi="Arial" w:cs="Arial"/>
                <w:szCs w:val="20"/>
              </w:rPr>
              <w:t>Surgery (RATS</w:t>
            </w:r>
            <w:r w:rsidRPr="00163B2D">
              <w:rPr>
                <w:rFonts w:ascii="Arial" w:eastAsia="Arial Unicode MS" w:hAnsi="Arial" w:cs="Arial"/>
                <w:szCs w:val="20"/>
              </w:rPr>
              <w:t xml:space="preserve">). </w:t>
            </w:r>
            <w:r>
              <w:rPr>
                <w:rFonts w:ascii="Arial" w:eastAsia="Arial Unicode MS" w:hAnsi="Arial" w:cs="Arial"/>
                <w:szCs w:val="20"/>
              </w:rPr>
              <w:t>A third thoracic surgeon and one clinical f</w:t>
            </w:r>
            <w:r w:rsidRPr="00163B2D">
              <w:rPr>
                <w:rFonts w:ascii="Arial" w:eastAsia="Arial Unicode MS" w:hAnsi="Arial" w:cs="Arial"/>
                <w:szCs w:val="20"/>
              </w:rPr>
              <w:t xml:space="preserve">ellow are undergoing robotic </w:t>
            </w:r>
            <w:r>
              <w:rPr>
                <w:rFonts w:ascii="Arial" w:eastAsia="Arial Unicode MS" w:hAnsi="Arial" w:cs="Arial"/>
                <w:szCs w:val="20"/>
              </w:rPr>
              <w:t>training</w:t>
            </w:r>
            <w:r w:rsidR="00D21617">
              <w:rPr>
                <w:rFonts w:ascii="Arial" w:eastAsia="Arial Unicode MS" w:hAnsi="Arial" w:cs="Arial"/>
                <w:szCs w:val="20"/>
              </w:rPr>
              <w:t xml:space="preserve">; this </w:t>
            </w:r>
            <w:r w:rsidRPr="00163B2D">
              <w:rPr>
                <w:rFonts w:ascii="Arial" w:eastAsia="Arial Unicode MS" w:hAnsi="Arial" w:cs="Arial"/>
                <w:szCs w:val="20"/>
              </w:rPr>
              <w:t>will be completed by the end of November</w:t>
            </w:r>
            <w:r>
              <w:rPr>
                <w:rFonts w:ascii="Arial" w:eastAsia="Arial Unicode MS" w:hAnsi="Arial" w:cs="Arial"/>
                <w:szCs w:val="20"/>
              </w:rPr>
              <w:t xml:space="preserve">. This will </w:t>
            </w:r>
            <w:r w:rsidRPr="00163B2D">
              <w:rPr>
                <w:rFonts w:ascii="Arial" w:eastAsia="Arial Unicode MS" w:hAnsi="Arial" w:cs="Arial"/>
                <w:szCs w:val="20"/>
              </w:rPr>
              <w:t xml:space="preserve">increase the </w:t>
            </w:r>
            <w:r>
              <w:rPr>
                <w:rFonts w:ascii="Arial" w:eastAsia="Arial Unicode MS" w:hAnsi="Arial" w:cs="Arial"/>
                <w:szCs w:val="20"/>
              </w:rPr>
              <w:t>number of RATS procedures</w:t>
            </w:r>
            <w:r w:rsidRPr="00163B2D">
              <w:rPr>
                <w:rFonts w:ascii="Arial" w:eastAsia="Arial Unicode MS" w:hAnsi="Arial" w:cs="Arial"/>
                <w:szCs w:val="20"/>
              </w:rPr>
              <w:t xml:space="preserve"> from </w:t>
            </w:r>
            <w:r>
              <w:rPr>
                <w:rFonts w:ascii="Arial" w:eastAsia="Arial Unicode MS" w:hAnsi="Arial" w:cs="Arial"/>
                <w:szCs w:val="20"/>
              </w:rPr>
              <w:t>two to four cases per week, in line with the Business C</w:t>
            </w:r>
            <w:r w:rsidRPr="00163B2D">
              <w:rPr>
                <w:rFonts w:ascii="Arial" w:eastAsia="Arial Unicode MS" w:hAnsi="Arial" w:cs="Arial"/>
                <w:szCs w:val="20"/>
              </w:rPr>
              <w:t>ase trajectories.</w:t>
            </w:r>
          </w:p>
          <w:p w:rsidR="00163B2D" w:rsidRPr="008A131A" w:rsidRDefault="008A131A" w:rsidP="00D21617">
            <w:pPr>
              <w:spacing w:after="240"/>
              <w:rPr>
                <w:rFonts w:ascii="Arial" w:eastAsia="Arial Unicode MS" w:hAnsi="Arial" w:cs="Arial"/>
              </w:rPr>
            </w:pPr>
            <w:r w:rsidRPr="008A131A">
              <w:rPr>
                <w:rFonts w:ascii="Arial" w:eastAsia="Arial Unicode MS" w:hAnsi="Arial" w:cs="Arial"/>
              </w:rPr>
              <w:t>A sub-group of t</w:t>
            </w:r>
            <w:r w:rsidR="00163B2D" w:rsidRPr="008A131A">
              <w:rPr>
                <w:rFonts w:ascii="Arial" w:eastAsia="Arial Unicode MS" w:hAnsi="Arial" w:cs="Arial"/>
              </w:rPr>
              <w:t>he Thoracic Enhanced Recovery Forum has been</w:t>
            </w:r>
            <w:r w:rsidRPr="008A131A">
              <w:rPr>
                <w:rFonts w:ascii="Arial" w:eastAsia="Arial Unicode MS" w:hAnsi="Arial" w:cs="Arial"/>
              </w:rPr>
              <w:t xml:space="preserve"> exploring the opportunities for post operative day zero patients to recover within the ward setting. </w:t>
            </w:r>
            <w:proofErr w:type="gramStart"/>
            <w:r w:rsidRPr="008A131A">
              <w:rPr>
                <w:rFonts w:ascii="Arial" w:eastAsia="Arial Unicode MS" w:hAnsi="Arial" w:cs="Arial"/>
              </w:rPr>
              <w:t xml:space="preserve">A proposal </w:t>
            </w:r>
            <w:r w:rsidR="00B73198">
              <w:rPr>
                <w:rFonts w:ascii="Arial" w:eastAsia="Arial Unicode MS" w:hAnsi="Arial" w:cs="Arial"/>
              </w:rPr>
              <w:t xml:space="preserve">paper </w:t>
            </w:r>
            <w:r w:rsidRPr="008A131A">
              <w:rPr>
                <w:rFonts w:ascii="Arial" w:eastAsia="Arial Unicode MS" w:hAnsi="Arial" w:cs="Arial"/>
              </w:rPr>
              <w:t>and site visit are</w:t>
            </w:r>
            <w:proofErr w:type="gramEnd"/>
            <w:r w:rsidRPr="008A131A">
              <w:rPr>
                <w:rFonts w:ascii="Arial" w:eastAsia="Arial Unicode MS" w:hAnsi="Arial" w:cs="Arial"/>
              </w:rPr>
              <w:t xml:space="preserve"> being planned.</w:t>
            </w:r>
          </w:p>
          <w:p w:rsidR="00C40A66" w:rsidRPr="008E50DE" w:rsidRDefault="008A131A" w:rsidP="00D21617">
            <w:pPr>
              <w:spacing w:after="240"/>
              <w:rPr>
                <w:rFonts w:ascii="Arial" w:eastAsia="Arial Unicode MS" w:hAnsi="Arial" w:cs="Arial"/>
              </w:rPr>
            </w:pPr>
            <w:r w:rsidRPr="008E50DE">
              <w:rPr>
                <w:rFonts w:ascii="Arial" w:eastAsia="Arial Unicode MS" w:hAnsi="Arial" w:cs="Arial"/>
              </w:rPr>
              <w:t xml:space="preserve">Referral </w:t>
            </w:r>
            <w:r w:rsidR="008E50DE" w:rsidRPr="008E50DE">
              <w:rPr>
                <w:rFonts w:ascii="Arial" w:eastAsia="Arial Unicode MS" w:hAnsi="Arial" w:cs="Arial"/>
              </w:rPr>
              <w:t xml:space="preserve">numbers </w:t>
            </w:r>
            <w:r w:rsidRPr="008E50DE">
              <w:rPr>
                <w:rFonts w:ascii="Arial" w:eastAsia="Arial Unicode MS" w:hAnsi="Arial" w:cs="Arial"/>
              </w:rPr>
              <w:t>decreased in September and October</w:t>
            </w:r>
            <w:r w:rsidR="00D21617">
              <w:rPr>
                <w:rFonts w:ascii="Arial" w:eastAsia="Arial Unicode MS" w:hAnsi="Arial" w:cs="Arial"/>
              </w:rPr>
              <w:t>,</w:t>
            </w:r>
            <w:r w:rsidRPr="008E50DE">
              <w:rPr>
                <w:rFonts w:ascii="Arial" w:eastAsia="Arial Unicode MS" w:hAnsi="Arial" w:cs="Arial"/>
              </w:rPr>
              <w:t xml:space="preserve"> allowing the service some limited recovery following </w:t>
            </w:r>
            <w:r w:rsidR="008E50DE" w:rsidRPr="008E50DE">
              <w:rPr>
                <w:rFonts w:ascii="Arial" w:eastAsia="Arial Unicode MS" w:hAnsi="Arial" w:cs="Arial"/>
              </w:rPr>
              <w:t xml:space="preserve">a surge earlier in the year. </w:t>
            </w:r>
            <w:r w:rsidR="008E50DE">
              <w:rPr>
                <w:rFonts w:ascii="Arial" w:eastAsia="Arial Unicode MS" w:hAnsi="Arial" w:cs="Arial"/>
              </w:rPr>
              <w:t>The absence of one whole time equivalent thoracic surgeon means that there is some clinical pressure within the service. This has resulted in a</w:t>
            </w:r>
            <w:r w:rsidR="008E50DE" w:rsidRPr="008E50DE">
              <w:rPr>
                <w:rFonts w:ascii="Arial" w:eastAsia="Arial Unicode MS" w:hAnsi="Arial" w:cs="Arial"/>
              </w:rPr>
              <w:t xml:space="preserve"> small number of non-cancer patients (one in September and two in October) </w:t>
            </w:r>
            <w:r w:rsidR="008E50DE">
              <w:rPr>
                <w:rFonts w:ascii="Arial" w:eastAsia="Arial Unicode MS" w:hAnsi="Arial" w:cs="Arial"/>
              </w:rPr>
              <w:t>being</w:t>
            </w:r>
            <w:r w:rsidR="008E50DE" w:rsidRPr="008E50DE">
              <w:rPr>
                <w:rFonts w:ascii="Arial" w:eastAsia="Arial Unicode MS" w:hAnsi="Arial" w:cs="Arial"/>
              </w:rPr>
              <w:t xml:space="preserve"> dated over nine weeks. All patients have been treated within TTG.</w:t>
            </w:r>
          </w:p>
        </w:tc>
        <w:tc>
          <w:tcPr>
            <w:tcW w:w="1937" w:type="dxa"/>
          </w:tcPr>
          <w:p w:rsidR="00C40A66" w:rsidRPr="008A131A" w:rsidRDefault="00C40A66" w:rsidP="00D21617">
            <w:pPr>
              <w:spacing w:after="240"/>
              <w:rPr>
                <w:rFonts w:ascii="Arial" w:hAnsi="Arial" w:cs="Arial"/>
              </w:rPr>
            </w:pPr>
            <w:r w:rsidRPr="008A131A">
              <w:rPr>
                <w:rFonts w:ascii="Arial" w:hAnsi="Arial" w:cs="Arial"/>
              </w:rPr>
              <w:t>Lynn Graham</w:t>
            </w:r>
          </w:p>
          <w:p w:rsidR="00C40A66" w:rsidRPr="008A131A" w:rsidRDefault="00C40A66" w:rsidP="00D21617">
            <w:pPr>
              <w:spacing w:after="240"/>
              <w:rPr>
                <w:rFonts w:ascii="Arial" w:hAnsi="Arial" w:cs="Arial"/>
              </w:rPr>
            </w:pPr>
          </w:p>
        </w:tc>
        <w:tc>
          <w:tcPr>
            <w:tcW w:w="1603" w:type="dxa"/>
          </w:tcPr>
          <w:p w:rsidR="00C40A66" w:rsidRPr="008A131A" w:rsidRDefault="00C40A66" w:rsidP="00D21617">
            <w:pPr>
              <w:spacing w:after="240"/>
              <w:rPr>
                <w:rFonts w:ascii="Arial" w:hAnsi="Arial" w:cs="Arial"/>
              </w:rPr>
            </w:pPr>
            <w:r w:rsidRPr="008A131A">
              <w:rPr>
                <w:rFonts w:ascii="Arial" w:hAnsi="Arial" w:cs="Arial"/>
              </w:rPr>
              <w:t>Ongoing</w:t>
            </w:r>
          </w:p>
        </w:tc>
      </w:tr>
      <w:tr w:rsidR="00C40A66" w:rsidRPr="00723D08" w:rsidTr="0031443E">
        <w:trPr>
          <w:trHeight w:val="627"/>
        </w:trPr>
        <w:tc>
          <w:tcPr>
            <w:tcW w:w="2217" w:type="dxa"/>
          </w:tcPr>
          <w:p w:rsidR="00C40A66" w:rsidRPr="008F0161" w:rsidRDefault="00C40A66" w:rsidP="00D21617">
            <w:pPr>
              <w:spacing w:after="240"/>
              <w:rPr>
                <w:rFonts w:ascii="Arial" w:hAnsi="Arial" w:cs="Arial"/>
              </w:rPr>
            </w:pPr>
            <w:r w:rsidRPr="008F0161">
              <w:rPr>
                <w:rFonts w:ascii="Arial" w:hAnsi="Arial" w:cs="Arial"/>
              </w:rPr>
              <w:t>Orthopaedics</w:t>
            </w:r>
          </w:p>
        </w:tc>
        <w:tc>
          <w:tcPr>
            <w:tcW w:w="8172" w:type="dxa"/>
            <w:shd w:val="clear" w:color="auto" w:fill="auto"/>
          </w:tcPr>
          <w:p w:rsidR="008F0161" w:rsidRPr="008F0161" w:rsidRDefault="008E50DE" w:rsidP="00D21617">
            <w:pPr>
              <w:pStyle w:val="Footer"/>
              <w:shd w:val="clear" w:color="auto" w:fill="FFFFFF"/>
              <w:tabs>
                <w:tab w:val="clear" w:pos="4153"/>
                <w:tab w:val="center" w:pos="1440"/>
              </w:tabs>
              <w:spacing w:after="240"/>
              <w:rPr>
                <w:rFonts w:ascii="Arial" w:eastAsia="Arial Unicode MS" w:hAnsi="Arial" w:cs="Arial"/>
              </w:rPr>
            </w:pPr>
            <w:r w:rsidRPr="008F0161">
              <w:rPr>
                <w:rFonts w:ascii="Arial" w:eastAsia="Arial Unicode MS" w:hAnsi="Arial" w:cs="Arial"/>
              </w:rPr>
              <w:t xml:space="preserve">The Day of Surgery Admission (DoSA) rate for June was 68%. This dropped in July to 59%. This reduction can primarily be attributed to the number of NHS Highland patients who were seen during July following the May clinic. The process for admitting patients from NHS Highland, and other Boards where outreach clinics are held, is for the patients to be admitted on the day </w:t>
            </w:r>
            <w:r w:rsidR="00154B6A">
              <w:rPr>
                <w:rFonts w:ascii="Arial" w:eastAsia="Arial Unicode MS" w:hAnsi="Arial" w:cs="Arial"/>
              </w:rPr>
              <w:t>before</w:t>
            </w:r>
            <w:r w:rsidR="00B73198" w:rsidRPr="008F0161">
              <w:rPr>
                <w:rFonts w:ascii="Arial" w:eastAsia="Arial Unicode MS" w:hAnsi="Arial" w:cs="Arial"/>
              </w:rPr>
              <w:t xml:space="preserve"> </w:t>
            </w:r>
            <w:r w:rsidRPr="008F0161">
              <w:rPr>
                <w:rFonts w:ascii="Arial" w:eastAsia="Arial Unicode MS" w:hAnsi="Arial" w:cs="Arial"/>
              </w:rPr>
              <w:t xml:space="preserve">surgery. This process is currently being reviewed. </w:t>
            </w:r>
          </w:p>
          <w:p w:rsidR="008E50DE" w:rsidRDefault="008E50DE" w:rsidP="00D21617">
            <w:pPr>
              <w:pStyle w:val="Footer"/>
              <w:shd w:val="clear" w:color="auto" w:fill="FFFFFF"/>
              <w:tabs>
                <w:tab w:val="clear" w:pos="4153"/>
                <w:tab w:val="center" w:pos="1440"/>
              </w:tabs>
              <w:spacing w:after="240"/>
              <w:rPr>
                <w:rFonts w:ascii="Arial" w:eastAsia="Arial Unicode MS" w:hAnsi="Arial" w:cs="Arial"/>
              </w:rPr>
            </w:pPr>
            <w:r w:rsidRPr="008F0161">
              <w:rPr>
                <w:rFonts w:ascii="Arial" w:eastAsia="Arial Unicode MS" w:hAnsi="Arial" w:cs="Arial"/>
              </w:rPr>
              <w:t xml:space="preserve">A secondary factor in the reduction in the DoSA rate was a number of patients whose care was transferred to a different consultant. </w:t>
            </w:r>
            <w:r w:rsidR="008F0161" w:rsidRPr="008F0161">
              <w:rPr>
                <w:rFonts w:ascii="Arial" w:eastAsia="Arial Unicode MS" w:hAnsi="Arial" w:cs="Arial"/>
              </w:rPr>
              <w:t xml:space="preserve">As the </w:t>
            </w:r>
            <w:r w:rsidR="008F0161" w:rsidRPr="008F0161">
              <w:rPr>
                <w:rFonts w:ascii="Arial" w:eastAsia="Arial Unicode MS" w:hAnsi="Arial" w:cs="Arial"/>
              </w:rPr>
              <w:lastRenderedPageBreak/>
              <w:t>operating consultant has not seen the patient in clinic</w:t>
            </w:r>
            <w:r w:rsidR="00D21617">
              <w:rPr>
                <w:rFonts w:ascii="Arial" w:eastAsia="Arial Unicode MS" w:hAnsi="Arial" w:cs="Arial"/>
              </w:rPr>
              <w:t>,</w:t>
            </w:r>
            <w:r w:rsidR="008F0161" w:rsidRPr="008F0161">
              <w:rPr>
                <w:rFonts w:ascii="Arial" w:eastAsia="Arial Unicode MS" w:hAnsi="Arial" w:cs="Arial"/>
              </w:rPr>
              <w:t xml:space="preserve"> they are routinely admitted the day prior to surgery. </w:t>
            </w:r>
          </w:p>
          <w:p w:rsidR="008F0161" w:rsidRPr="008F0161" w:rsidRDefault="008F0161" w:rsidP="00D21617">
            <w:pPr>
              <w:pStyle w:val="Footer"/>
              <w:shd w:val="clear" w:color="auto" w:fill="FFFFFF"/>
              <w:tabs>
                <w:tab w:val="clear" w:pos="4153"/>
                <w:tab w:val="center" w:pos="1440"/>
              </w:tabs>
              <w:spacing w:after="240"/>
              <w:rPr>
                <w:rFonts w:ascii="Arial" w:eastAsia="Arial Unicode MS" w:hAnsi="Arial" w:cs="Arial"/>
              </w:rPr>
            </w:pPr>
            <w:r>
              <w:rPr>
                <w:rFonts w:ascii="Arial" w:eastAsia="Arial Unicode MS" w:hAnsi="Arial" w:cs="Arial"/>
              </w:rPr>
              <w:t>The Orthopaedic Satellite Day Unit opened on 25 September</w:t>
            </w:r>
            <w:r w:rsidR="00D21617">
              <w:rPr>
                <w:rFonts w:ascii="Arial" w:eastAsia="Arial Unicode MS" w:hAnsi="Arial" w:cs="Arial"/>
              </w:rPr>
              <w:t>, a</w:t>
            </w:r>
            <w:r w:rsidR="007A764C">
              <w:rPr>
                <w:rFonts w:ascii="Arial" w:eastAsia="Arial Unicode MS" w:hAnsi="Arial" w:cs="Arial"/>
              </w:rPr>
              <w:t>llowing a</w:t>
            </w:r>
            <w:r>
              <w:rPr>
                <w:rFonts w:ascii="Arial" w:eastAsia="Arial Unicode MS" w:hAnsi="Arial" w:cs="Arial"/>
              </w:rPr>
              <w:t xml:space="preserve">ll patients undergoing </w:t>
            </w:r>
            <w:r w:rsidR="007A764C">
              <w:rPr>
                <w:rFonts w:ascii="Arial" w:eastAsia="Arial Unicode MS" w:hAnsi="Arial" w:cs="Arial"/>
              </w:rPr>
              <w:t>primary joint replacement to be admitted as DoSA to level two.</w:t>
            </w:r>
            <w:r w:rsidR="00BD4AAF">
              <w:rPr>
                <w:rFonts w:ascii="Arial" w:eastAsia="Arial Unicode MS" w:hAnsi="Arial" w:cs="Arial"/>
              </w:rPr>
              <w:t xml:space="preserve"> All day case patients are still admitted to the Surgical Day Unit on level three.</w:t>
            </w:r>
          </w:p>
          <w:p w:rsidR="008F0161" w:rsidRPr="008F0161" w:rsidRDefault="008F0161" w:rsidP="00D21617">
            <w:pPr>
              <w:pStyle w:val="Footer"/>
              <w:shd w:val="clear" w:color="auto" w:fill="FFFFFF"/>
              <w:tabs>
                <w:tab w:val="clear" w:pos="4153"/>
                <w:tab w:val="center" w:pos="1440"/>
              </w:tabs>
              <w:spacing w:after="240"/>
              <w:rPr>
                <w:rFonts w:ascii="Arial" w:eastAsia="Arial Unicode MS" w:hAnsi="Arial" w:cs="Arial"/>
              </w:rPr>
            </w:pPr>
            <w:r w:rsidRPr="008F0161">
              <w:rPr>
                <w:rFonts w:ascii="Arial" w:eastAsia="Arial Unicode MS" w:hAnsi="Arial" w:cs="Arial"/>
              </w:rPr>
              <w:t>In September, 20% of primary total hip replacement patients were discharg</w:t>
            </w:r>
            <w:r w:rsidR="00DA6080" w:rsidRPr="008F0161">
              <w:rPr>
                <w:rFonts w:ascii="Arial" w:eastAsia="Arial Unicode MS" w:hAnsi="Arial" w:cs="Arial"/>
              </w:rPr>
              <w:t>e</w:t>
            </w:r>
            <w:r w:rsidRPr="008F0161">
              <w:rPr>
                <w:rFonts w:ascii="Arial" w:eastAsia="Arial Unicode MS" w:hAnsi="Arial" w:cs="Arial"/>
              </w:rPr>
              <w:t xml:space="preserve">d on post operative day one. The trajectories for post-operative day two and three discharge following total hip replacement and day three discharge following total knee replacement were all exceeded in September. </w:t>
            </w:r>
          </w:p>
          <w:p w:rsidR="00CB2CA2" w:rsidRPr="00723D08" w:rsidRDefault="008F0161" w:rsidP="00D21617">
            <w:pPr>
              <w:pStyle w:val="Footer"/>
              <w:shd w:val="clear" w:color="auto" w:fill="FFFFFF"/>
              <w:tabs>
                <w:tab w:val="clear" w:pos="4153"/>
                <w:tab w:val="center" w:pos="1440"/>
              </w:tabs>
              <w:spacing w:after="240"/>
              <w:rPr>
                <w:rFonts w:ascii="Arial" w:eastAsia="Arial Unicode MS" w:hAnsi="Arial" w:cs="Arial"/>
                <w:highlight w:val="yellow"/>
              </w:rPr>
            </w:pPr>
            <w:r w:rsidRPr="008F0161">
              <w:rPr>
                <w:rFonts w:ascii="Arial" w:eastAsia="Arial Unicode MS" w:hAnsi="Arial" w:cs="Arial"/>
              </w:rPr>
              <w:t xml:space="preserve">A short life working group has been established to investigate potential reasons and solutions for a decline in post-operative day two discharge following primary total knee replacement. </w:t>
            </w:r>
          </w:p>
        </w:tc>
        <w:tc>
          <w:tcPr>
            <w:tcW w:w="1937" w:type="dxa"/>
          </w:tcPr>
          <w:p w:rsidR="00C40A66" w:rsidRPr="008F0161" w:rsidRDefault="00C40A66" w:rsidP="00D21617">
            <w:pPr>
              <w:spacing w:after="240"/>
              <w:rPr>
                <w:rFonts w:ascii="Arial" w:hAnsi="Arial" w:cs="Arial"/>
              </w:rPr>
            </w:pPr>
            <w:r w:rsidRPr="008F0161">
              <w:rPr>
                <w:rFonts w:ascii="Arial" w:hAnsi="Arial" w:cs="Arial"/>
              </w:rPr>
              <w:lastRenderedPageBreak/>
              <w:t xml:space="preserve">Christine Divers </w:t>
            </w:r>
          </w:p>
          <w:p w:rsidR="00C40A66" w:rsidRPr="008F0161" w:rsidRDefault="00C40A66" w:rsidP="00D21617">
            <w:pPr>
              <w:spacing w:after="240"/>
              <w:rPr>
                <w:rFonts w:ascii="Arial" w:hAnsi="Arial" w:cs="Arial"/>
              </w:rPr>
            </w:pPr>
          </w:p>
        </w:tc>
        <w:tc>
          <w:tcPr>
            <w:tcW w:w="1603" w:type="dxa"/>
          </w:tcPr>
          <w:p w:rsidR="00C40A66" w:rsidRPr="008F0161" w:rsidRDefault="00C40A66" w:rsidP="00D21617">
            <w:pPr>
              <w:spacing w:after="240"/>
              <w:rPr>
                <w:rFonts w:ascii="Arial" w:hAnsi="Arial" w:cs="Arial"/>
              </w:rPr>
            </w:pPr>
            <w:r w:rsidRPr="008F0161">
              <w:rPr>
                <w:rFonts w:ascii="Arial" w:hAnsi="Arial" w:cs="Arial"/>
              </w:rPr>
              <w:t>Ongoing</w:t>
            </w:r>
          </w:p>
          <w:p w:rsidR="00C40A66" w:rsidRPr="008F0161" w:rsidRDefault="00C40A66" w:rsidP="00D21617">
            <w:pPr>
              <w:spacing w:after="240"/>
              <w:rPr>
                <w:rFonts w:ascii="Arial" w:hAnsi="Arial" w:cs="Arial"/>
              </w:rPr>
            </w:pPr>
          </w:p>
          <w:p w:rsidR="00C40A66" w:rsidRPr="008F0161" w:rsidRDefault="00C40A66" w:rsidP="00D21617">
            <w:pPr>
              <w:spacing w:after="240"/>
              <w:rPr>
                <w:rFonts w:ascii="Arial" w:hAnsi="Arial" w:cs="Arial"/>
              </w:rPr>
            </w:pPr>
          </w:p>
        </w:tc>
      </w:tr>
      <w:tr w:rsidR="00C40A66" w:rsidRPr="00723D08" w:rsidTr="0031443E">
        <w:trPr>
          <w:trHeight w:val="627"/>
        </w:trPr>
        <w:tc>
          <w:tcPr>
            <w:tcW w:w="2217" w:type="dxa"/>
          </w:tcPr>
          <w:p w:rsidR="00C40A66" w:rsidRPr="00723D08" w:rsidRDefault="00C40A66" w:rsidP="00D21617">
            <w:pPr>
              <w:spacing w:after="240"/>
              <w:rPr>
                <w:rFonts w:ascii="Arial" w:hAnsi="Arial" w:cs="Arial"/>
                <w:highlight w:val="yellow"/>
              </w:rPr>
            </w:pPr>
            <w:r w:rsidRPr="007A764C">
              <w:rPr>
                <w:rFonts w:ascii="Arial" w:hAnsi="Arial" w:cs="Arial"/>
              </w:rPr>
              <w:lastRenderedPageBreak/>
              <w:t>Ophthalmology</w:t>
            </w:r>
          </w:p>
        </w:tc>
        <w:tc>
          <w:tcPr>
            <w:tcW w:w="8172" w:type="dxa"/>
            <w:shd w:val="clear" w:color="auto" w:fill="auto"/>
          </w:tcPr>
          <w:p w:rsidR="007A764C" w:rsidRDefault="007A764C" w:rsidP="00D21617">
            <w:pPr>
              <w:spacing w:after="240"/>
              <w:rPr>
                <w:rFonts w:ascii="Arial" w:eastAsia="Arial Unicode MS" w:hAnsi="Arial" w:cs="Arial"/>
                <w:szCs w:val="20"/>
              </w:rPr>
            </w:pPr>
            <w:r w:rsidRPr="007A764C">
              <w:rPr>
                <w:rFonts w:ascii="Arial" w:eastAsia="Arial Unicode MS" w:hAnsi="Arial" w:cs="Arial"/>
                <w:szCs w:val="20"/>
              </w:rPr>
              <w:t xml:space="preserve">Input from the division continues to shape the workforce redesign in both outpatients and theatres as work progresses in the development of the new </w:t>
            </w:r>
            <w:r>
              <w:rPr>
                <w:rFonts w:ascii="Arial" w:eastAsia="Arial Unicode MS" w:hAnsi="Arial" w:cs="Arial"/>
                <w:szCs w:val="20"/>
              </w:rPr>
              <w:t>Ophthalmology Centre</w:t>
            </w:r>
            <w:r w:rsidRPr="007A764C">
              <w:rPr>
                <w:rFonts w:ascii="Arial" w:eastAsia="Arial Unicode MS" w:hAnsi="Arial" w:cs="Arial"/>
                <w:szCs w:val="20"/>
              </w:rPr>
              <w:t>.</w:t>
            </w:r>
          </w:p>
          <w:p w:rsidR="00D171F0" w:rsidRPr="00D171F0" w:rsidRDefault="00154B6A" w:rsidP="0014682D">
            <w:pPr>
              <w:spacing w:after="240"/>
              <w:rPr>
                <w:rFonts w:ascii="Arial" w:hAnsi="Arial" w:cs="Arial"/>
                <w:szCs w:val="20"/>
              </w:rPr>
            </w:pPr>
            <w:r w:rsidRPr="007A764C">
              <w:rPr>
                <w:rFonts w:ascii="Arial" w:hAnsi="Arial" w:cs="Arial"/>
                <w:szCs w:val="20"/>
              </w:rPr>
              <w:t xml:space="preserve">In </w:t>
            </w:r>
            <w:r>
              <w:rPr>
                <w:rFonts w:ascii="Arial" w:hAnsi="Arial" w:cs="Arial"/>
                <w:szCs w:val="20"/>
              </w:rPr>
              <w:t xml:space="preserve">line with the vision for a different staffing model in the new Ophthalmology </w:t>
            </w:r>
            <w:r w:rsidR="0014682D">
              <w:rPr>
                <w:rFonts w:ascii="Arial" w:hAnsi="Arial" w:cs="Arial"/>
                <w:szCs w:val="20"/>
              </w:rPr>
              <w:t>unit</w:t>
            </w:r>
            <w:r>
              <w:rPr>
                <w:rFonts w:ascii="Arial" w:hAnsi="Arial" w:cs="Arial"/>
                <w:szCs w:val="20"/>
              </w:rPr>
              <w:t>,</w:t>
            </w:r>
            <w:r w:rsidRPr="007A764C">
              <w:rPr>
                <w:rFonts w:ascii="Arial" w:hAnsi="Arial" w:cs="Arial"/>
                <w:szCs w:val="20"/>
              </w:rPr>
              <w:t xml:space="preserve"> </w:t>
            </w:r>
            <w:r>
              <w:rPr>
                <w:rFonts w:ascii="Arial" w:hAnsi="Arial" w:cs="Arial"/>
                <w:szCs w:val="20"/>
              </w:rPr>
              <w:t xml:space="preserve">scrub and anaesthetic nurses </w:t>
            </w:r>
            <w:r w:rsidRPr="007A764C">
              <w:rPr>
                <w:rFonts w:ascii="Arial" w:hAnsi="Arial" w:cs="Arial"/>
                <w:szCs w:val="20"/>
              </w:rPr>
              <w:t>work</w:t>
            </w:r>
            <w:r>
              <w:rPr>
                <w:rFonts w:ascii="Arial" w:hAnsi="Arial" w:cs="Arial"/>
                <w:szCs w:val="20"/>
              </w:rPr>
              <w:t>ing</w:t>
            </w:r>
            <w:r w:rsidRPr="007A764C">
              <w:rPr>
                <w:rFonts w:ascii="Arial" w:hAnsi="Arial" w:cs="Arial"/>
                <w:szCs w:val="20"/>
              </w:rPr>
              <w:t xml:space="preserve"> in the </w:t>
            </w:r>
            <w:r w:rsidR="0014682D">
              <w:rPr>
                <w:rFonts w:ascii="Arial" w:hAnsi="Arial" w:cs="Arial"/>
                <w:szCs w:val="20"/>
              </w:rPr>
              <w:t>mobile u</w:t>
            </w:r>
            <w:r w:rsidRPr="007A764C">
              <w:rPr>
                <w:rFonts w:ascii="Arial" w:hAnsi="Arial" w:cs="Arial"/>
                <w:szCs w:val="20"/>
              </w:rPr>
              <w:t xml:space="preserve">nit </w:t>
            </w:r>
            <w:r>
              <w:rPr>
                <w:rFonts w:ascii="Arial" w:hAnsi="Arial" w:cs="Arial"/>
                <w:szCs w:val="20"/>
              </w:rPr>
              <w:t>have recently started to rotate.</w:t>
            </w:r>
            <w:r w:rsidRPr="007A764C">
              <w:rPr>
                <w:rFonts w:ascii="Arial" w:hAnsi="Arial" w:cs="Arial"/>
                <w:szCs w:val="20"/>
              </w:rPr>
              <w:t xml:space="preserve"> There</w:t>
            </w:r>
            <w:r>
              <w:rPr>
                <w:rFonts w:ascii="Arial" w:hAnsi="Arial" w:cs="Arial"/>
                <w:szCs w:val="20"/>
              </w:rPr>
              <w:t xml:space="preserve"> is good engagement amongst </w:t>
            </w:r>
            <w:r w:rsidRPr="007A764C">
              <w:rPr>
                <w:rFonts w:ascii="Arial" w:hAnsi="Arial" w:cs="Arial"/>
                <w:szCs w:val="20"/>
              </w:rPr>
              <w:t>staff to develop the rotational model and enth</w:t>
            </w:r>
            <w:r>
              <w:rPr>
                <w:rFonts w:ascii="Arial" w:hAnsi="Arial" w:cs="Arial"/>
                <w:szCs w:val="20"/>
              </w:rPr>
              <w:t>usiasm for this initial test of change</w:t>
            </w:r>
            <w:r w:rsidRPr="007A764C">
              <w:rPr>
                <w:rFonts w:ascii="Arial" w:hAnsi="Arial" w:cs="Arial"/>
                <w:szCs w:val="20"/>
              </w:rPr>
              <w:t>.</w:t>
            </w:r>
          </w:p>
        </w:tc>
        <w:tc>
          <w:tcPr>
            <w:tcW w:w="1937" w:type="dxa"/>
          </w:tcPr>
          <w:p w:rsidR="00C40A66" w:rsidRPr="007A764C" w:rsidRDefault="00C40A66" w:rsidP="00D21617">
            <w:pPr>
              <w:spacing w:after="240"/>
              <w:rPr>
                <w:rFonts w:ascii="Arial" w:hAnsi="Arial" w:cs="Arial"/>
              </w:rPr>
            </w:pPr>
            <w:r w:rsidRPr="007A764C">
              <w:rPr>
                <w:rFonts w:ascii="Arial" w:hAnsi="Arial" w:cs="Arial"/>
              </w:rPr>
              <w:t>Lynn Graham</w:t>
            </w:r>
          </w:p>
          <w:p w:rsidR="00C40A66" w:rsidRPr="007A764C" w:rsidRDefault="00C40A66" w:rsidP="00D21617">
            <w:pPr>
              <w:spacing w:after="240"/>
              <w:rPr>
                <w:rFonts w:ascii="Arial" w:hAnsi="Arial" w:cs="Arial"/>
              </w:rPr>
            </w:pPr>
          </w:p>
        </w:tc>
        <w:tc>
          <w:tcPr>
            <w:tcW w:w="1603" w:type="dxa"/>
          </w:tcPr>
          <w:p w:rsidR="00C40A66" w:rsidRPr="007A764C" w:rsidRDefault="00C40A66" w:rsidP="00D21617">
            <w:pPr>
              <w:spacing w:after="240"/>
              <w:rPr>
                <w:rFonts w:ascii="Arial" w:hAnsi="Arial" w:cs="Arial"/>
              </w:rPr>
            </w:pPr>
            <w:r w:rsidRPr="007A764C">
              <w:rPr>
                <w:rFonts w:ascii="Arial" w:hAnsi="Arial" w:cs="Arial"/>
              </w:rPr>
              <w:t>Ongoing</w:t>
            </w:r>
          </w:p>
          <w:p w:rsidR="00C40A66" w:rsidRPr="007A764C" w:rsidRDefault="00C40A66" w:rsidP="00D21617">
            <w:pPr>
              <w:spacing w:after="240"/>
              <w:rPr>
                <w:rFonts w:ascii="Arial" w:hAnsi="Arial" w:cs="Arial"/>
              </w:rPr>
            </w:pPr>
          </w:p>
        </w:tc>
      </w:tr>
      <w:tr w:rsidR="00C40A66" w:rsidRPr="00723D08" w:rsidTr="0031443E">
        <w:trPr>
          <w:trHeight w:val="291"/>
        </w:trPr>
        <w:tc>
          <w:tcPr>
            <w:tcW w:w="2217" w:type="dxa"/>
          </w:tcPr>
          <w:p w:rsidR="00C40A66" w:rsidRPr="007A764C" w:rsidRDefault="00C40A66" w:rsidP="00D21617">
            <w:pPr>
              <w:spacing w:after="240"/>
              <w:rPr>
                <w:rFonts w:ascii="Arial" w:hAnsi="Arial" w:cs="Arial"/>
              </w:rPr>
            </w:pPr>
            <w:r w:rsidRPr="007A764C">
              <w:rPr>
                <w:rFonts w:ascii="Arial" w:hAnsi="Arial" w:cs="Arial"/>
                <w:bCs/>
                <w:color w:val="000000"/>
                <w:lang w:eastAsia="en-GB"/>
              </w:rPr>
              <w:lastRenderedPageBreak/>
              <w:t>Theatre Utilisation</w:t>
            </w:r>
          </w:p>
        </w:tc>
        <w:tc>
          <w:tcPr>
            <w:tcW w:w="8172" w:type="dxa"/>
            <w:shd w:val="clear" w:color="auto" w:fill="auto"/>
          </w:tcPr>
          <w:p w:rsidR="00567211" w:rsidRDefault="007A764C" w:rsidP="00D21617">
            <w:pPr>
              <w:spacing w:after="240"/>
              <w:rPr>
                <w:rFonts w:ascii="Arial" w:hAnsi="Arial" w:cs="Arial"/>
                <w:szCs w:val="20"/>
                <w:lang w:val="en-US"/>
              </w:rPr>
            </w:pPr>
            <w:r w:rsidRPr="007A764C">
              <w:rPr>
                <w:rFonts w:ascii="Arial" w:hAnsi="Arial" w:cs="Arial"/>
                <w:szCs w:val="20"/>
                <w:lang w:val="en-US"/>
              </w:rPr>
              <w:t xml:space="preserve">The Theatre </w:t>
            </w:r>
            <w:r w:rsidRPr="00567211">
              <w:rPr>
                <w:rFonts w:ascii="Arial" w:hAnsi="Arial" w:cs="Arial"/>
                <w:szCs w:val="20"/>
              </w:rPr>
              <w:t>Utilisation</w:t>
            </w:r>
            <w:r w:rsidRPr="007A764C">
              <w:rPr>
                <w:rFonts w:ascii="Arial" w:hAnsi="Arial" w:cs="Arial"/>
                <w:szCs w:val="20"/>
                <w:lang w:val="en-US"/>
              </w:rPr>
              <w:t xml:space="preserve"> and Productivity Group continue to focus on the plan of work for 2018</w:t>
            </w:r>
            <w:r w:rsidR="0014682D">
              <w:rPr>
                <w:rFonts w:ascii="Arial" w:hAnsi="Arial" w:cs="Arial"/>
                <w:szCs w:val="20"/>
                <w:lang w:val="en-US"/>
              </w:rPr>
              <w:t>/</w:t>
            </w:r>
            <w:r w:rsidRPr="007A764C">
              <w:rPr>
                <w:rFonts w:ascii="Arial" w:hAnsi="Arial" w:cs="Arial"/>
                <w:szCs w:val="20"/>
                <w:lang w:val="en-US"/>
              </w:rPr>
              <w:t>19</w:t>
            </w:r>
            <w:r w:rsidR="0014682D">
              <w:rPr>
                <w:rFonts w:ascii="Arial" w:hAnsi="Arial" w:cs="Arial"/>
                <w:szCs w:val="20"/>
                <w:lang w:val="en-US"/>
              </w:rPr>
              <w:t>,</w:t>
            </w:r>
            <w:r w:rsidRPr="007A764C">
              <w:rPr>
                <w:rFonts w:ascii="Arial" w:hAnsi="Arial" w:cs="Arial"/>
                <w:szCs w:val="20"/>
                <w:lang w:val="en-US"/>
              </w:rPr>
              <w:t xml:space="preserve"> concentrating on three key themes:  Theatre Efficiencies, Workforce and Procurement opportunities</w:t>
            </w:r>
            <w:r w:rsidR="0014682D">
              <w:rPr>
                <w:rFonts w:ascii="Arial" w:hAnsi="Arial" w:cs="Arial"/>
                <w:szCs w:val="20"/>
                <w:lang w:val="en-US"/>
              </w:rPr>
              <w:t>,</w:t>
            </w:r>
            <w:r w:rsidRPr="007A764C">
              <w:rPr>
                <w:rFonts w:ascii="Arial" w:hAnsi="Arial" w:cs="Arial"/>
                <w:szCs w:val="20"/>
                <w:lang w:val="en-US"/>
              </w:rPr>
              <w:t xml:space="preserve"> and has been mapped to the National Theatre improvement work.  </w:t>
            </w:r>
          </w:p>
          <w:p w:rsidR="00A73120" w:rsidRPr="007A764C" w:rsidRDefault="007A764C" w:rsidP="00D21617">
            <w:pPr>
              <w:spacing w:after="240"/>
              <w:rPr>
                <w:rFonts w:ascii="Arial" w:hAnsi="Arial" w:cs="Arial"/>
              </w:rPr>
            </w:pPr>
            <w:r w:rsidRPr="007A764C">
              <w:rPr>
                <w:rFonts w:ascii="Arial" w:hAnsi="Arial" w:cs="Arial"/>
                <w:szCs w:val="20"/>
                <w:lang w:val="en-US"/>
              </w:rPr>
              <w:t xml:space="preserve">The aim to reduce on the day theatre cancellations continues in line with the agreed targets for each clinical specialty, and a short life working group has recently been formed to concentrate on reducing both general </w:t>
            </w:r>
            <w:r w:rsidR="00567211">
              <w:rPr>
                <w:rFonts w:ascii="Arial" w:hAnsi="Arial" w:cs="Arial"/>
                <w:szCs w:val="20"/>
                <w:lang w:val="en-US"/>
              </w:rPr>
              <w:t xml:space="preserve">surgery </w:t>
            </w:r>
            <w:r w:rsidRPr="007A764C">
              <w:rPr>
                <w:rFonts w:ascii="Arial" w:hAnsi="Arial" w:cs="Arial"/>
                <w:szCs w:val="20"/>
                <w:lang w:val="en-US"/>
              </w:rPr>
              <w:t>and endoscopy cancellations.</w:t>
            </w:r>
          </w:p>
        </w:tc>
        <w:tc>
          <w:tcPr>
            <w:tcW w:w="1937" w:type="dxa"/>
          </w:tcPr>
          <w:p w:rsidR="00C40A66" w:rsidRPr="007A764C" w:rsidRDefault="00C40A66" w:rsidP="00D21617">
            <w:pPr>
              <w:spacing w:after="240"/>
              <w:rPr>
                <w:rFonts w:ascii="Arial" w:hAnsi="Arial" w:cs="Arial"/>
              </w:rPr>
            </w:pPr>
            <w:r w:rsidRPr="007A764C">
              <w:rPr>
                <w:rFonts w:ascii="Arial" w:hAnsi="Arial" w:cs="Arial"/>
              </w:rPr>
              <w:t>June Rogers</w:t>
            </w:r>
          </w:p>
        </w:tc>
        <w:tc>
          <w:tcPr>
            <w:tcW w:w="1603" w:type="dxa"/>
          </w:tcPr>
          <w:p w:rsidR="00C40A66" w:rsidRPr="007A764C" w:rsidRDefault="00C40A66" w:rsidP="00D21617">
            <w:pPr>
              <w:spacing w:after="240"/>
              <w:rPr>
                <w:rFonts w:ascii="Arial" w:hAnsi="Arial" w:cs="Arial"/>
              </w:rPr>
            </w:pPr>
            <w:r w:rsidRPr="007A764C">
              <w:rPr>
                <w:rFonts w:ascii="Arial" w:hAnsi="Arial" w:cs="Arial"/>
              </w:rPr>
              <w:t>Ongoing</w:t>
            </w:r>
          </w:p>
          <w:p w:rsidR="00C40A66" w:rsidRPr="007A764C" w:rsidRDefault="00C40A66" w:rsidP="00D21617">
            <w:pPr>
              <w:spacing w:after="240"/>
              <w:rPr>
                <w:rFonts w:ascii="Arial" w:hAnsi="Arial" w:cs="Arial"/>
              </w:rPr>
            </w:pPr>
          </w:p>
        </w:tc>
      </w:tr>
    </w:tbl>
    <w:p w:rsidR="00985856" w:rsidRPr="004444E7" w:rsidRDefault="00DE4AF9" w:rsidP="00D21617">
      <w:pPr>
        <w:spacing w:after="240"/>
        <w:rPr>
          <w:rFonts w:ascii="Arial" w:hAnsi="Arial" w:cs="Arial"/>
        </w:rPr>
      </w:pPr>
      <w:r w:rsidRPr="00723D08">
        <w:rPr>
          <w:rFonts w:ascii="Arial" w:hAnsi="Arial" w:cs="Arial"/>
          <w:highlight w:val="yellow"/>
        </w:rPr>
        <w:br w:type="page"/>
      </w:r>
    </w:p>
    <w:tbl>
      <w:tblPr>
        <w:tblW w:w="0" w:type="auto"/>
        <w:shd w:val="clear" w:color="auto" w:fill="CCCCCC"/>
        <w:tblLook w:val="01E0"/>
      </w:tblPr>
      <w:tblGrid>
        <w:gridCol w:w="14174"/>
      </w:tblGrid>
      <w:tr w:rsidR="00985856" w:rsidRPr="004444E7" w:rsidTr="00202D2D">
        <w:tc>
          <w:tcPr>
            <w:tcW w:w="14174" w:type="dxa"/>
            <w:shd w:val="clear" w:color="auto" w:fill="D9D9D9"/>
          </w:tcPr>
          <w:p w:rsidR="00985856" w:rsidRPr="004444E7" w:rsidRDefault="00985856" w:rsidP="00D21617">
            <w:pPr>
              <w:rPr>
                <w:rFonts w:ascii="Arial" w:hAnsi="Arial" w:cs="Arial"/>
                <w:b/>
              </w:rPr>
            </w:pPr>
            <w:r w:rsidRPr="004444E7">
              <w:rPr>
                <w:rFonts w:ascii="Arial" w:hAnsi="Arial" w:cs="Arial"/>
                <w:b/>
              </w:rPr>
              <w:lastRenderedPageBreak/>
              <w:t xml:space="preserve">Regional and National Medicine Division Performance                       </w:t>
            </w:r>
            <w:r w:rsidR="004444E7" w:rsidRPr="004444E7">
              <w:rPr>
                <w:rFonts w:ascii="Arial" w:hAnsi="Arial" w:cs="Arial"/>
                <w:b/>
              </w:rPr>
              <w:t xml:space="preserve">                </w:t>
            </w:r>
            <w:r w:rsidRPr="004444E7">
              <w:rPr>
                <w:rFonts w:ascii="Arial" w:hAnsi="Arial" w:cs="Arial"/>
                <w:b/>
              </w:rPr>
              <w:t xml:space="preserve">Board Performance Update – </w:t>
            </w:r>
            <w:r w:rsidR="004444E7" w:rsidRPr="004444E7">
              <w:rPr>
                <w:rFonts w:ascii="Arial" w:hAnsi="Arial" w:cs="Arial"/>
                <w:b/>
              </w:rPr>
              <w:t>November</w:t>
            </w:r>
            <w:r w:rsidRPr="004444E7">
              <w:rPr>
                <w:rFonts w:ascii="Arial" w:hAnsi="Arial" w:cs="Arial"/>
                <w:b/>
              </w:rPr>
              <w:t xml:space="preserve"> </w:t>
            </w:r>
            <w:r w:rsidRPr="004444E7">
              <w:rPr>
                <w:rFonts w:ascii="Arial" w:hAnsi="Arial" w:cs="Arial"/>
                <w:b/>
                <w:bCs/>
                <w:lang w:eastAsia="en-GB"/>
              </w:rPr>
              <w:t>2018</w:t>
            </w:r>
          </w:p>
        </w:tc>
      </w:tr>
    </w:tbl>
    <w:p w:rsidR="00985856" w:rsidRPr="004444E7" w:rsidRDefault="00985856" w:rsidP="00D21617">
      <w:pPr>
        <w:rPr>
          <w:rFonts w:ascii="Arial" w:hAnsi="Arial" w:cs="Arial"/>
        </w:rPr>
      </w:pPr>
      <w:r w:rsidRPr="004444E7">
        <w:rPr>
          <w:rFonts w:ascii="Arial" w:hAnsi="Arial" w:cs="Arial"/>
        </w:rPr>
        <w:t xml:space="preserve"> </w:t>
      </w:r>
    </w:p>
    <w:tbl>
      <w:tblPr>
        <w:tblW w:w="13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8363"/>
        <w:gridCol w:w="1985"/>
        <w:gridCol w:w="1630"/>
      </w:tblGrid>
      <w:tr w:rsidR="00985856" w:rsidRPr="004444E7" w:rsidTr="004444E7">
        <w:trPr>
          <w:tblHeader/>
        </w:trPr>
        <w:tc>
          <w:tcPr>
            <w:tcW w:w="1951" w:type="dxa"/>
            <w:shd w:val="clear" w:color="auto" w:fill="auto"/>
          </w:tcPr>
          <w:p w:rsidR="00985856" w:rsidRPr="004444E7" w:rsidRDefault="00985856" w:rsidP="00D21617">
            <w:pPr>
              <w:tabs>
                <w:tab w:val="left" w:pos="765"/>
                <w:tab w:val="center" w:pos="2286"/>
              </w:tabs>
              <w:rPr>
                <w:rFonts w:ascii="Arial" w:hAnsi="Arial" w:cs="Arial"/>
                <w:b/>
              </w:rPr>
            </w:pPr>
            <w:r w:rsidRPr="004444E7">
              <w:rPr>
                <w:rFonts w:ascii="Arial" w:hAnsi="Arial" w:cs="Arial"/>
                <w:b/>
              </w:rPr>
              <w:t>ISSUE</w:t>
            </w:r>
          </w:p>
        </w:tc>
        <w:tc>
          <w:tcPr>
            <w:tcW w:w="8363" w:type="dxa"/>
            <w:shd w:val="clear" w:color="auto" w:fill="auto"/>
          </w:tcPr>
          <w:p w:rsidR="00985856" w:rsidRPr="004444E7" w:rsidRDefault="00985856" w:rsidP="00D21617">
            <w:pPr>
              <w:rPr>
                <w:rFonts w:ascii="Arial" w:hAnsi="Arial" w:cs="Arial"/>
                <w:b/>
              </w:rPr>
            </w:pPr>
            <w:r w:rsidRPr="004444E7">
              <w:rPr>
                <w:rFonts w:ascii="Arial" w:hAnsi="Arial" w:cs="Arial"/>
                <w:b/>
              </w:rPr>
              <w:t>ACTION</w:t>
            </w:r>
          </w:p>
        </w:tc>
        <w:tc>
          <w:tcPr>
            <w:tcW w:w="1985" w:type="dxa"/>
            <w:shd w:val="clear" w:color="auto" w:fill="auto"/>
          </w:tcPr>
          <w:p w:rsidR="00985856" w:rsidRPr="004444E7" w:rsidRDefault="00985856" w:rsidP="00D21617">
            <w:pPr>
              <w:rPr>
                <w:rFonts w:ascii="Arial" w:hAnsi="Arial" w:cs="Arial"/>
                <w:b/>
              </w:rPr>
            </w:pPr>
            <w:r w:rsidRPr="004444E7">
              <w:rPr>
                <w:rFonts w:ascii="Arial" w:hAnsi="Arial" w:cs="Arial"/>
                <w:b/>
              </w:rPr>
              <w:t>RESPONSIBLE LEAD</w:t>
            </w:r>
          </w:p>
        </w:tc>
        <w:tc>
          <w:tcPr>
            <w:tcW w:w="1630" w:type="dxa"/>
            <w:shd w:val="clear" w:color="auto" w:fill="auto"/>
          </w:tcPr>
          <w:p w:rsidR="00985856" w:rsidRPr="004444E7" w:rsidRDefault="00985856" w:rsidP="00D21617">
            <w:pPr>
              <w:ind w:left="175" w:hanging="175"/>
              <w:rPr>
                <w:rFonts w:ascii="Arial" w:hAnsi="Arial" w:cs="Arial"/>
                <w:b/>
              </w:rPr>
            </w:pPr>
            <w:r w:rsidRPr="004444E7">
              <w:rPr>
                <w:rFonts w:ascii="Arial" w:hAnsi="Arial" w:cs="Arial"/>
                <w:b/>
              </w:rPr>
              <w:t>TIMESCALE</w:t>
            </w:r>
          </w:p>
        </w:tc>
      </w:tr>
      <w:tr w:rsidR="00985856" w:rsidRPr="00723D08" w:rsidTr="004444E7">
        <w:trPr>
          <w:trHeight w:val="1092"/>
        </w:trPr>
        <w:tc>
          <w:tcPr>
            <w:tcW w:w="1951" w:type="dxa"/>
            <w:shd w:val="clear" w:color="auto" w:fill="auto"/>
          </w:tcPr>
          <w:p w:rsidR="00985856" w:rsidRPr="004444E7" w:rsidRDefault="00985856" w:rsidP="00D21617">
            <w:pPr>
              <w:spacing w:after="240"/>
              <w:rPr>
                <w:rFonts w:ascii="Arial" w:hAnsi="Arial" w:cs="Arial"/>
              </w:rPr>
            </w:pPr>
            <w:r w:rsidRPr="004444E7">
              <w:rPr>
                <w:rFonts w:ascii="Arial" w:hAnsi="Arial" w:cs="Arial"/>
              </w:rPr>
              <w:t>Scottish National Advanced Heart Failure Service (SNAHFS) Transplant Update</w:t>
            </w:r>
          </w:p>
        </w:tc>
        <w:tc>
          <w:tcPr>
            <w:tcW w:w="8363" w:type="dxa"/>
            <w:shd w:val="clear" w:color="auto" w:fill="auto"/>
          </w:tcPr>
          <w:p w:rsidR="00345214" w:rsidRPr="0035533E" w:rsidRDefault="00345214" w:rsidP="00D21617">
            <w:pPr>
              <w:tabs>
                <w:tab w:val="left" w:pos="360"/>
                <w:tab w:val="num" w:pos="1070"/>
              </w:tabs>
              <w:spacing w:after="240"/>
              <w:ind w:right="-77"/>
              <w:rPr>
                <w:rFonts w:ascii="Arial" w:hAnsi="Arial" w:cs="Arial"/>
              </w:rPr>
            </w:pPr>
            <w:r w:rsidRPr="004444E7">
              <w:rPr>
                <w:rFonts w:ascii="Arial" w:hAnsi="Arial" w:cs="Arial"/>
              </w:rPr>
              <w:t xml:space="preserve">As at </w:t>
            </w:r>
            <w:r w:rsidR="000C0231">
              <w:rPr>
                <w:rFonts w:ascii="Arial" w:hAnsi="Arial" w:cs="Arial"/>
              </w:rPr>
              <w:t>1</w:t>
            </w:r>
            <w:r w:rsidR="004444E7" w:rsidRPr="004444E7">
              <w:rPr>
                <w:rFonts w:ascii="Arial" w:hAnsi="Arial" w:cs="Arial"/>
              </w:rPr>
              <w:t>5 November 2018</w:t>
            </w:r>
            <w:r w:rsidR="0014682D">
              <w:rPr>
                <w:rFonts w:ascii="Arial" w:hAnsi="Arial" w:cs="Arial"/>
              </w:rPr>
              <w:t>,</w:t>
            </w:r>
            <w:r w:rsidR="004444E7" w:rsidRPr="004444E7">
              <w:rPr>
                <w:rFonts w:ascii="Arial" w:hAnsi="Arial" w:cs="Arial"/>
              </w:rPr>
              <w:t xml:space="preserve"> there were 21</w:t>
            </w:r>
            <w:r w:rsidRPr="004444E7">
              <w:rPr>
                <w:rFonts w:ascii="Arial" w:hAnsi="Arial" w:cs="Arial"/>
              </w:rPr>
              <w:t xml:space="preserve"> patients on the transplant waiting list</w:t>
            </w:r>
            <w:r w:rsidR="004444E7" w:rsidRPr="004444E7">
              <w:rPr>
                <w:rFonts w:ascii="Arial" w:hAnsi="Arial" w:cs="Arial"/>
              </w:rPr>
              <w:t>.</w:t>
            </w:r>
            <w:r w:rsidR="004444E7">
              <w:rPr>
                <w:rFonts w:ascii="Arial" w:hAnsi="Arial" w:cs="Arial"/>
              </w:rPr>
              <w:t xml:space="preserve"> </w:t>
            </w:r>
            <w:r w:rsidR="004444E7" w:rsidRPr="004444E7">
              <w:rPr>
                <w:rFonts w:ascii="Arial" w:hAnsi="Arial" w:cs="Arial"/>
              </w:rPr>
              <w:t>Five</w:t>
            </w:r>
            <w:r w:rsidRPr="004444E7">
              <w:rPr>
                <w:rFonts w:ascii="Arial" w:hAnsi="Arial" w:cs="Arial"/>
              </w:rPr>
              <w:t xml:space="preserve"> transplants have been carried out during 2018/19</w:t>
            </w:r>
            <w:r w:rsidR="002D49AC" w:rsidRPr="004444E7">
              <w:rPr>
                <w:rFonts w:ascii="Arial" w:hAnsi="Arial" w:cs="Arial"/>
              </w:rPr>
              <w:t>;</w:t>
            </w:r>
            <w:r w:rsidRPr="004444E7">
              <w:rPr>
                <w:rFonts w:ascii="Arial" w:hAnsi="Arial" w:cs="Arial"/>
              </w:rPr>
              <w:t xml:space="preserve"> </w:t>
            </w:r>
            <w:r w:rsidR="00F9485B" w:rsidRPr="0035533E">
              <w:rPr>
                <w:rFonts w:ascii="Arial" w:hAnsi="Arial" w:cs="Arial"/>
              </w:rPr>
              <w:t>This</w:t>
            </w:r>
            <w:r w:rsidRPr="0035533E">
              <w:rPr>
                <w:rFonts w:ascii="Arial" w:hAnsi="Arial" w:cs="Arial"/>
              </w:rPr>
              <w:t xml:space="preserve"> reflects the recent lo</w:t>
            </w:r>
            <w:r w:rsidR="004444E7" w:rsidRPr="0035533E">
              <w:rPr>
                <w:rFonts w:ascii="Arial" w:hAnsi="Arial" w:cs="Arial"/>
              </w:rPr>
              <w:t>w number of donors in Scotland.</w:t>
            </w:r>
          </w:p>
          <w:p w:rsidR="001F2498" w:rsidRPr="00723D08" w:rsidRDefault="001F2498" w:rsidP="00D21617">
            <w:pPr>
              <w:tabs>
                <w:tab w:val="left" w:pos="360"/>
                <w:tab w:val="num" w:pos="1070"/>
              </w:tabs>
              <w:spacing w:after="240"/>
              <w:ind w:right="-77"/>
              <w:rPr>
                <w:rFonts w:ascii="Arial" w:hAnsi="Arial" w:cs="Arial"/>
                <w:highlight w:val="yellow"/>
              </w:rPr>
            </w:pPr>
          </w:p>
        </w:tc>
        <w:tc>
          <w:tcPr>
            <w:tcW w:w="1985" w:type="dxa"/>
            <w:shd w:val="clear" w:color="auto" w:fill="auto"/>
          </w:tcPr>
          <w:p w:rsidR="00985856" w:rsidRPr="004444E7" w:rsidRDefault="00985856" w:rsidP="00D21617">
            <w:pPr>
              <w:spacing w:after="240"/>
              <w:rPr>
                <w:rFonts w:ascii="Arial" w:hAnsi="Arial" w:cs="Arial"/>
                <w:lang w:val="fr-FR"/>
              </w:rPr>
            </w:pPr>
            <w:r w:rsidRPr="004444E7">
              <w:rPr>
                <w:rFonts w:ascii="Arial" w:hAnsi="Arial" w:cs="Arial"/>
                <w:lang w:val="fr-FR"/>
              </w:rPr>
              <w:t>Lynne Ayton</w:t>
            </w:r>
          </w:p>
          <w:p w:rsidR="00985856" w:rsidRPr="004444E7" w:rsidRDefault="00985856" w:rsidP="00D21617">
            <w:pPr>
              <w:spacing w:after="240"/>
              <w:rPr>
                <w:rFonts w:ascii="Arial" w:hAnsi="Arial" w:cs="Arial"/>
                <w:lang w:val="fr-FR"/>
              </w:rPr>
            </w:pPr>
          </w:p>
          <w:p w:rsidR="00985856" w:rsidRPr="004444E7" w:rsidRDefault="00985856" w:rsidP="00D21617">
            <w:pPr>
              <w:spacing w:after="240"/>
              <w:rPr>
                <w:rFonts w:ascii="Arial" w:hAnsi="Arial" w:cs="Arial"/>
                <w:lang w:val="fr-FR"/>
              </w:rPr>
            </w:pPr>
          </w:p>
        </w:tc>
        <w:tc>
          <w:tcPr>
            <w:tcW w:w="1630" w:type="dxa"/>
            <w:shd w:val="clear" w:color="auto" w:fill="auto"/>
          </w:tcPr>
          <w:p w:rsidR="00985856" w:rsidRPr="004444E7" w:rsidRDefault="00985856" w:rsidP="00D21617">
            <w:pPr>
              <w:spacing w:after="240"/>
              <w:rPr>
                <w:rFonts w:ascii="Arial" w:hAnsi="Arial" w:cs="Arial"/>
              </w:rPr>
            </w:pPr>
            <w:r w:rsidRPr="004444E7">
              <w:rPr>
                <w:rFonts w:ascii="Arial" w:hAnsi="Arial" w:cs="Arial"/>
              </w:rPr>
              <w:t>Ongoing</w:t>
            </w:r>
          </w:p>
          <w:p w:rsidR="00985856" w:rsidRPr="004444E7" w:rsidRDefault="00985856" w:rsidP="00D21617">
            <w:pPr>
              <w:spacing w:after="240"/>
              <w:rPr>
                <w:rFonts w:ascii="Arial" w:hAnsi="Arial" w:cs="Arial"/>
              </w:rPr>
            </w:pPr>
          </w:p>
          <w:p w:rsidR="00985856" w:rsidRPr="004444E7" w:rsidRDefault="00985856" w:rsidP="00D21617">
            <w:pPr>
              <w:spacing w:after="240"/>
              <w:rPr>
                <w:rFonts w:ascii="Arial" w:hAnsi="Arial" w:cs="Arial"/>
              </w:rPr>
            </w:pPr>
          </w:p>
        </w:tc>
      </w:tr>
      <w:tr w:rsidR="00985856" w:rsidRPr="00723D08" w:rsidTr="004444E7">
        <w:trPr>
          <w:trHeight w:val="433"/>
        </w:trPr>
        <w:tc>
          <w:tcPr>
            <w:tcW w:w="1951" w:type="dxa"/>
          </w:tcPr>
          <w:p w:rsidR="00985856" w:rsidRPr="004444E7" w:rsidRDefault="00985856" w:rsidP="00D21617">
            <w:pPr>
              <w:spacing w:after="240"/>
              <w:rPr>
                <w:rFonts w:ascii="Arial" w:eastAsia="Arial Unicode MS" w:hAnsi="Arial" w:cs="Arial"/>
              </w:rPr>
            </w:pPr>
            <w:r w:rsidRPr="004444E7">
              <w:rPr>
                <w:rFonts w:ascii="Arial" w:eastAsia="Arial Unicode MS" w:hAnsi="Arial" w:cs="Arial"/>
              </w:rPr>
              <w:t>Scottish Adult Congenital Cardiac Ser</w:t>
            </w:r>
            <w:r w:rsidR="00D171F0">
              <w:rPr>
                <w:rFonts w:ascii="Arial" w:eastAsia="Arial Unicode MS" w:hAnsi="Arial" w:cs="Arial"/>
              </w:rPr>
              <w:t xml:space="preserve">vice </w:t>
            </w:r>
            <w:r w:rsidRPr="004444E7">
              <w:rPr>
                <w:rFonts w:ascii="Arial" w:eastAsia="Arial Unicode MS" w:hAnsi="Arial" w:cs="Arial"/>
              </w:rPr>
              <w:t>(SACCS)</w:t>
            </w:r>
          </w:p>
        </w:tc>
        <w:tc>
          <w:tcPr>
            <w:tcW w:w="8363" w:type="dxa"/>
          </w:tcPr>
          <w:p w:rsidR="004444E7" w:rsidRDefault="004444E7" w:rsidP="00D21617">
            <w:pPr>
              <w:tabs>
                <w:tab w:val="left" w:pos="360"/>
                <w:tab w:val="num" w:pos="1070"/>
              </w:tabs>
              <w:spacing w:after="240"/>
              <w:ind w:right="-77"/>
              <w:rPr>
                <w:rFonts w:ascii="Arial" w:eastAsia="Arial Unicode MS" w:hAnsi="Arial" w:cs="Arial"/>
              </w:rPr>
            </w:pPr>
            <w:r w:rsidRPr="004444E7">
              <w:rPr>
                <w:rFonts w:ascii="Arial" w:eastAsia="Arial Unicode MS" w:hAnsi="Arial" w:cs="Arial"/>
              </w:rPr>
              <w:t xml:space="preserve">A new consultant appointment was made in October, however </w:t>
            </w:r>
            <w:r w:rsidR="007E3510">
              <w:rPr>
                <w:rFonts w:ascii="Arial" w:eastAsia="Arial Unicode MS" w:hAnsi="Arial" w:cs="Arial"/>
              </w:rPr>
              <w:t xml:space="preserve">as the successful candidate </w:t>
            </w:r>
            <w:proofErr w:type="gramStart"/>
            <w:r w:rsidR="007E3510">
              <w:rPr>
                <w:rFonts w:ascii="Arial" w:eastAsia="Arial Unicode MS" w:hAnsi="Arial" w:cs="Arial"/>
              </w:rPr>
              <w:t>is still completing some</w:t>
            </w:r>
            <w:proofErr w:type="gramEnd"/>
            <w:r w:rsidR="007E3510">
              <w:rPr>
                <w:rFonts w:ascii="Arial" w:eastAsia="Arial Unicode MS" w:hAnsi="Arial" w:cs="Arial"/>
              </w:rPr>
              <w:t xml:space="preserve"> training, a</w:t>
            </w:r>
            <w:r w:rsidRPr="004444E7">
              <w:rPr>
                <w:rFonts w:ascii="Arial" w:eastAsia="Arial Unicode MS" w:hAnsi="Arial" w:cs="Arial"/>
              </w:rPr>
              <w:t xml:space="preserve"> locum will be appointed in the interim.</w:t>
            </w:r>
          </w:p>
          <w:p w:rsidR="00BA772D" w:rsidRPr="004444E7" w:rsidRDefault="00BA772D" w:rsidP="00D21617">
            <w:pPr>
              <w:tabs>
                <w:tab w:val="left" w:pos="360"/>
                <w:tab w:val="num" w:pos="1070"/>
              </w:tabs>
              <w:spacing w:after="240"/>
              <w:ind w:right="-77"/>
              <w:rPr>
                <w:rFonts w:ascii="Arial" w:eastAsia="Arial Unicode MS" w:hAnsi="Arial" w:cs="Arial"/>
              </w:rPr>
            </w:pPr>
            <w:r>
              <w:rPr>
                <w:rFonts w:ascii="Arial" w:eastAsia="Arial Unicode MS" w:hAnsi="Arial" w:cs="Arial"/>
              </w:rPr>
              <w:t>The recent appointment of a locum radiologist will support additional SACC</w:t>
            </w:r>
            <w:r w:rsidR="0014682D">
              <w:rPr>
                <w:rFonts w:ascii="Arial" w:eastAsia="Arial Unicode MS" w:hAnsi="Arial" w:cs="Arial"/>
              </w:rPr>
              <w:t>S</w:t>
            </w:r>
            <w:r>
              <w:rPr>
                <w:rFonts w:ascii="Arial" w:eastAsia="Arial Unicode MS" w:hAnsi="Arial" w:cs="Arial"/>
              </w:rPr>
              <w:t xml:space="preserve"> MRI capacity until January 2019.</w:t>
            </w:r>
          </w:p>
          <w:p w:rsidR="00BA772D" w:rsidRPr="00BA772D" w:rsidRDefault="0014682D" w:rsidP="0035533E">
            <w:pPr>
              <w:tabs>
                <w:tab w:val="left" w:pos="360"/>
                <w:tab w:val="num" w:pos="1070"/>
              </w:tabs>
              <w:spacing w:after="240"/>
              <w:ind w:right="-77"/>
              <w:rPr>
                <w:rFonts w:ascii="Arial" w:eastAsia="Arial Unicode MS" w:hAnsi="Arial" w:cs="Arial"/>
              </w:rPr>
            </w:pPr>
            <w:r w:rsidRPr="0035533E">
              <w:rPr>
                <w:rFonts w:ascii="Arial" w:eastAsia="Arial Unicode MS" w:hAnsi="Arial" w:cs="Arial"/>
              </w:rPr>
              <w:t>T</w:t>
            </w:r>
            <w:r w:rsidR="00BA772D" w:rsidRPr="0035533E">
              <w:rPr>
                <w:rFonts w:ascii="Arial" w:eastAsia="Arial Unicode MS" w:hAnsi="Arial" w:cs="Arial"/>
              </w:rPr>
              <w:t xml:space="preserve">here </w:t>
            </w:r>
            <w:r w:rsidR="007E3510" w:rsidRPr="0035533E">
              <w:rPr>
                <w:rFonts w:ascii="Arial" w:eastAsia="Arial Unicode MS" w:hAnsi="Arial" w:cs="Arial"/>
              </w:rPr>
              <w:t>continues to be a</w:t>
            </w:r>
            <w:r w:rsidR="00BA772D" w:rsidRPr="0035533E">
              <w:rPr>
                <w:rFonts w:ascii="Arial" w:eastAsia="Arial Unicode MS" w:hAnsi="Arial" w:cs="Arial"/>
              </w:rPr>
              <w:t xml:space="preserve"> gap with outpatient demand significantly outstripping capacity. Measures have been put in place to address the shortfall </w:t>
            </w:r>
            <w:r w:rsidR="007E3510" w:rsidRPr="0035533E">
              <w:rPr>
                <w:rFonts w:ascii="Arial" w:eastAsia="Arial Unicode MS" w:hAnsi="Arial" w:cs="Arial"/>
              </w:rPr>
              <w:t>with some impact and f</w:t>
            </w:r>
            <w:r w:rsidR="00BA772D" w:rsidRPr="0035533E">
              <w:rPr>
                <w:rFonts w:ascii="Arial" w:eastAsia="Arial Unicode MS" w:hAnsi="Arial" w:cs="Arial"/>
              </w:rPr>
              <w:t>urther work is progressing to carry out a full demand and capacity analysis.</w:t>
            </w:r>
          </w:p>
        </w:tc>
        <w:tc>
          <w:tcPr>
            <w:tcW w:w="1985" w:type="dxa"/>
          </w:tcPr>
          <w:p w:rsidR="00985856" w:rsidRPr="004444E7" w:rsidRDefault="00985856" w:rsidP="00D21617">
            <w:pPr>
              <w:spacing w:after="240"/>
              <w:rPr>
                <w:rFonts w:ascii="Arial" w:hAnsi="Arial" w:cs="Arial"/>
                <w:lang w:val="fr-FR"/>
              </w:rPr>
            </w:pPr>
            <w:r w:rsidRPr="004444E7">
              <w:rPr>
                <w:rFonts w:ascii="Arial" w:hAnsi="Arial" w:cs="Arial"/>
                <w:lang w:val="fr-FR"/>
              </w:rPr>
              <w:t>Lynne Ayton</w:t>
            </w:r>
          </w:p>
        </w:tc>
        <w:tc>
          <w:tcPr>
            <w:tcW w:w="1630" w:type="dxa"/>
          </w:tcPr>
          <w:p w:rsidR="00985856" w:rsidRPr="004444E7" w:rsidRDefault="00985856" w:rsidP="00D21617">
            <w:pPr>
              <w:spacing w:after="240"/>
              <w:rPr>
                <w:rFonts w:ascii="Arial" w:hAnsi="Arial" w:cs="Arial"/>
              </w:rPr>
            </w:pPr>
            <w:r w:rsidRPr="004444E7">
              <w:rPr>
                <w:rFonts w:ascii="Arial" w:hAnsi="Arial" w:cs="Arial"/>
              </w:rPr>
              <w:t>Ongoing</w:t>
            </w:r>
          </w:p>
        </w:tc>
      </w:tr>
      <w:tr w:rsidR="00985856" w:rsidRPr="00723D08" w:rsidTr="004444E7">
        <w:trPr>
          <w:trHeight w:val="433"/>
        </w:trPr>
        <w:tc>
          <w:tcPr>
            <w:tcW w:w="1951" w:type="dxa"/>
          </w:tcPr>
          <w:p w:rsidR="00985856" w:rsidRPr="00723D08" w:rsidRDefault="00985856" w:rsidP="00D21617">
            <w:pPr>
              <w:spacing w:after="240"/>
              <w:rPr>
                <w:rFonts w:ascii="Arial" w:eastAsia="Arial Unicode MS" w:hAnsi="Arial" w:cs="Arial"/>
                <w:highlight w:val="yellow"/>
              </w:rPr>
            </w:pPr>
            <w:r w:rsidRPr="005907EB">
              <w:rPr>
                <w:rFonts w:ascii="Arial" w:eastAsia="Arial Unicode MS" w:hAnsi="Arial" w:cs="Arial"/>
              </w:rPr>
              <w:t xml:space="preserve">Interventional Cardiology </w:t>
            </w:r>
          </w:p>
        </w:tc>
        <w:tc>
          <w:tcPr>
            <w:tcW w:w="8363" w:type="dxa"/>
          </w:tcPr>
          <w:p w:rsidR="00B87DAC" w:rsidRDefault="00B87DAC" w:rsidP="00D21617">
            <w:pPr>
              <w:spacing w:after="240"/>
              <w:rPr>
                <w:rFonts w:ascii="Arial" w:hAnsi="Arial" w:cs="Arial"/>
              </w:rPr>
            </w:pPr>
            <w:r>
              <w:rPr>
                <w:rFonts w:ascii="Arial" w:hAnsi="Arial" w:cs="Arial"/>
              </w:rPr>
              <w:t>The significant pressures previously reported in cardiology are continuing with over 1000 patients on the waiting list.</w:t>
            </w:r>
          </w:p>
          <w:p w:rsidR="00D27475" w:rsidRDefault="00951915" w:rsidP="00D21617">
            <w:pPr>
              <w:spacing w:after="240"/>
              <w:rPr>
                <w:rFonts w:ascii="Arial" w:hAnsi="Arial" w:cs="Arial"/>
              </w:rPr>
            </w:pPr>
            <w:r w:rsidRPr="00D27475">
              <w:rPr>
                <w:rFonts w:ascii="Arial" w:hAnsi="Arial" w:cs="Arial"/>
              </w:rPr>
              <w:t>Following confirmation of funding from</w:t>
            </w:r>
            <w:r w:rsidR="0014682D">
              <w:rPr>
                <w:rFonts w:ascii="Arial" w:hAnsi="Arial" w:cs="Arial"/>
              </w:rPr>
              <w:t xml:space="preserve"> the</w:t>
            </w:r>
            <w:r w:rsidRPr="00D27475">
              <w:rPr>
                <w:rFonts w:ascii="Arial" w:hAnsi="Arial" w:cs="Arial"/>
              </w:rPr>
              <w:t xml:space="preserve"> Scottish Government, a recovery plan is now in place to reduce waiting times before the end of the financial year. This is being </w:t>
            </w:r>
            <w:r w:rsidR="00D27475" w:rsidRPr="00D27475">
              <w:rPr>
                <w:rFonts w:ascii="Arial" w:hAnsi="Arial" w:cs="Arial"/>
              </w:rPr>
              <w:t xml:space="preserve">closely </w:t>
            </w:r>
            <w:r w:rsidRPr="00D27475">
              <w:rPr>
                <w:rFonts w:ascii="Arial" w:hAnsi="Arial" w:cs="Arial"/>
              </w:rPr>
              <w:t xml:space="preserve">monitored within the Divisional Management </w:t>
            </w:r>
            <w:r w:rsidRPr="00D27475">
              <w:rPr>
                <w:rFonts w:ascii="Arial" w:hAnsi="Arial" w:cs="Arial"/>
              </w:rPr>
              <w:lastRenderedPageBreak/>
              <w:t>Team</w:t>
            </w:r>
            <w:r w:rsidR="00D27475" w:rsidRPr="00D27475">
              <w:rPr>
                <w:rFonts w:ascii="Arial" w:hAnsi="Arial" w:cs="Arial"/>
              </w:rPr>
              <w:t>.</w:t>
            </w:r>
          </w:p>
          <w:p w:rsidR="00D27475" w:rsidRDefault="00D27475" w:rsidP="00D21617">
            <w:pPr>
              <w:spacing w:after="240"/>
              <w:rPr>
                <w:rFonts w:ascii="Arial" w:hAnsi="Arial" w:cs="Arial"/>
              </w:rPr>
            </w:pPr>
            <w:r>
              <w:rPr>
                <w:rFonts w:ascii="Arial" w:hAnsi="Arial" w:cs="Arial"/>
              </w:rPr>
              <w:t>Due to small teams and recruitment challenges</w:t>
            </w:r>
            <w:r w:rsidR="0014682D">
              <w:rPr>
                <w:rFonts w:ascii="Arial" w:hAnsi="Arial" w:cs="Arial"/>
              </w:rPr>
              <w:t>,</w:t>
            </w:r>
            <w:r>
              <w:rPr>
                <w:rFonts w:ascii="Arial" w:hAnsi="Arial" w:cs="Arial"/>
              </w:rPr>
              <w:t xml:space="preserve"> the ability to increase capacity within</w:t>
            </w:r>
            <w:r w:rsidR="0014682D">
              <w:rPr>
                <w:rFonts w:ascii="Arial" w:hAnsi="Arial" w:cs="Arial"/>
              </w:rPr>
              <w:t xml:space="preserve"> Electrophysiology</w:t>
            </w:r>
            <w:r>
              <w:rPr>
                <w:rFonts w:ascii="Arial" w:hAnsi="Arial" w:cs="Arial"/>
              </w:rPr>
              <w:t xml:space="preserve"> has proven difficult. An offer from NHS Lothian to provide some assistance to enable us to increase capacity on an ad</w:t>
            </w:r>
            <w:r w:rsidR="0014682D">
              <w:rPr>
                <w:rFonts w:ascii="Arial" w:hAnsi="Arial" w:cs="Arial"/>
              </w:rPr>
              <w:t>-</w:t>
            </w:r>
            <w:r>
              <w:rPr>
                <w:rFonts w:ascii="Arial" w:hAnsi="Arial" w:cs="Arial"/>
              </w:rPr>
              <w:t xml:space="preserve">hoc basis is being progressed. </w:t>
            </w:r>
          </w:p>
          <w:p w:rsidR="00D27475" w:rsidRDefault="00D27475" w:rsidP="00D21617">
            <w:pPr>
              <w:spacing w:after="240"/>
              <w:rPr>
                <w:rFonts w:ascii="Arial" w:hAnsi="Arial" w:cs="Arial"/>
              </w:rPr>
            </w:pPr>
            <w:r>
              <w:rPr>
                <w:rFonts w:ascii="Arial" w:hAnsi="Arial" w:cs="Arial"/>
              </w:rPr>
              <w:t>From January</w:t>
            </w:r>
            <w:r w:rsidR="00E67AAF">
              <w:rPr>
                <w:rFonts w:ascii="Arial" w:hAnsi="Arial" w:cs="Arial"/>
              </w:rPr>
              <w:t xml:space="preserve"> 2019</w:t>
            </w:r>
            <w:r>
              <w:rPr>
                <w:rFonts w:ascii="Arial" w:hAnsi="Arial" w:cs="Arial"/>
              </w:rPr>
              <w:t xml:space="preserve"> until March</w:t>
            </w:r>
            <w:r w:rsidR="00E67AAF">
              <w:rPr>
                <w:rFonts w:ascii="Arial" w:hAnsi="Arial" w:cs="Arial"/>
              </w:rPr>
              <w:t xml:space="preserve"> 2019</w:t>
            </w:r>
            <w:r w:rsidR="0014682D">
              <w:rPr>
                <w:rFonts w:ascii="Arial" w:hAnsi="Arial" w:cs="Arial"/>
              </w:rPr>
              <w:t>,</w:t>
            </w:r>
            <w:r>
              <w:rPr>
                <w:rFonts w:ascii="Arial" w:hAnsi="Arial" w:cs="Arial"/>
              </w:rPr>
              <w:t xml:space="preserve"> a mobile </w:t>
            </w:r>
            <w:r w:rsidR="0014682D">
              <w:rPr>
                <w:rFonts w:ascii="Arial" w:hAnsi="Arial" w:cs="Arial"/>
              </w:rPr>
              <w:t>Cardiac Catheterisation Laboratory (</w:t>
            </w:r>
            <w:proofErr w:type="spellStart"/>
            <w:r>
              <w:rPr>
                <w:rFonts w:ascii="Arial" w:hAnsi="Arial" w:cs="Arial"/>
              </w:rPr>
              <w:t>cath</w:t>
            </w:r>
            <w:proofErr w:type="spellEnd"/>
            <w:r>
              <w:rPr>
                <w:rFonts w:ascii="Arial" w:hAnsi="Arial" w:cs="Arial"/>
              </w:rPr>
              <w:t xml:space="preserve"> lab</w:t>
            </w:r>
            <w:r w:rsidR="0014682D">
              <w:rPr>
                <w:rFonts w:ascii="Arial" w:hAnsi="Arial" w:cs="Arial"/>
              </w:rPr>
              <w:t>)</w:t>
            </w:r>
            <w:r>
              <w:rPr>
                <w:rFonts w:ascii="Arial" w:hAnsi="Arial" w:cs="Arial"/>
              </w:rPr>
              <w:t xml:space="preserve"> will be on site. It is expected to carry out 500 pro</w:t>
            </w:r>
            <w:r w:rsidR="00E67AAF">
              <w:rPr>
                <w:rFonts w:ascii="Arial" w:hAnsi="Arial" w:cs="Arial"/>
              </w:rPr>
              <w:t xml:space="preserve">cedures during this period. The fourth </w:t>
            </w:r>
            <w:proofErr w:type="spellStart"/>
            <w:r w:rsidR="00E67AAF">
              <w:rPr>
                <w:rFonts w:ascii="Arial" w:hAnsi="Arial" w:cs="Arial"/>
              </w:rPr>
              <w:t>cath</w:t>
            </w:r>
            <w:proofErr w:type="spellEnd"/>
            <w:r w:rsidR="00E67AAF">
              <w:rPr>
                <w:rFonts w:ascii="Arial" w:hAnsi="Arial" w:cs="Arial"/>
              </w:rPr>
              <w:t xml:space="preserve"> lab is now opened most Tuesdays</w:t>
            </w:r>
            <w:r w:rsidR="0014682D">
              <w:rPr>
                <w:rFonts w:ascii="Arial" w:hAnsi="Arial" w:cs="Arial"/>
              </w:rPr>
              <w:t>,</w:t>
            </w:r>
            <w:r w:rsidR="00E67AAF">
              <w:rPr>
                <w:rFonts w:ascii="Arial" w:hAnsi="Arial" w:cs="Arial"/>
              </w:rPr>
              <w:t xml:space="preserve"> which is </w:t>
            </w:r>
            <w:r w:rsidR="000C0231">
              <w:rPr>
                <w:rFonts w:ascii="Arial" w:hAnsi="Arial" w:cs="Arial"/>
              </w:rPr>
              <w:t xml:space="preserve">also </w:t>
            </w:r>
            <w:r w:rsidR="00E67AAF">
              <w:rPr>
                <w:rFonts w:ascii="Arial" w:hAnsi="Arial" w:cs="Arial"/>
              </w:rPr>
              <w:t>providing additional capacity. Weekend lists</w:t>
            </w:r>
            <w:r w:rsidR="000C0231">
              <w:rPr>
                <w:rFonts w:ascii="Arial" w:hAnsi="Arial" w:cs="Arial"/>
              </w:rPr>
              <w:t xml:space="preserve">, when </w:t>
            </w:r>
            <w:proofErr w:type="gramStart"/>
            <w:r w:rsidR="000C0231">
              <w:rPr>
                <w:rFonts w:ascii="Arial" w:hAnsi="Arial" w:cs="Arial"/>
              </w:rPr>
              <w:t>staff are</w:t>
            </w:r>
            <w:proofErr w:type="gramEnd"/>
            <w:r w:rsidR="000C0231">
              <w:rPr>
                <w:rFonts w:ascii="Arial" w:hAnsi="Arial" w:cs="Arial"/>
              </w:rPr>
              <w:t xml:space="preserve"> available,</w:t>
            </w:r>
            <w:r w:rsidR="00E67AAF">
              <w:rPr>
                <w:rFonts w:ascii="Arial" w:hAnsi="Arial" w:cs="Arial"/>
              </w:rPr>
              <w:t xml:space="preserve"> are planned to continue until Christmas 2019.</w:t>
            </w:r>
          </w:p>
          <w:p w:rsidR="00E67AAF" w:rsidRDefault="00E67AAF" w:rsidP="00D21617">
            <w:pPr>
              <w:spacing w:after="240"/>
              <w:rPr>
                <w:rFonts w:ascii="Arial" w:hAnsi="Arial" w:cs="Arial"/>
              </w:rPr>
            </w:pPr>
            <w:r>
              <w:rPr>
                <w:rFonts w:ascii="Arial" w:hAnsi="Arial" w:cs="Arial"/>
              </w:rPr>
              <w:t xml:space="preserve">A short life working group has been convened to plan for a fifth </w:t>
            </w:r>
            <w:proofErr w:type="spellStart"/>
            <w:r>
              <w:rPr>
                <w:rFonts w:ascii="Arial" w:hAnsi="Arial" w:cs="Arial"/>
              </w:rPr>
              <w:t>cath</w:t>
            </w:r>
            <w:proofErr w:type="spellEnd"/>
            <w:r>
              <w:rPr>
                <w:rFonts w:ascii="Arial" w:hAnsi="Arial" w:cs="Arial"/>
              </w:rPr>
              <w:t xml:space="preserve"> lab and it is anticipated that the business case will be presented to the Senior Management Team in February 2019</w:t>
            </w:r>
            <w:r w:rsidR="0014682D">
              <w:rPr>
                <w:rFonts w:ascii="Arial" w:hAnsi="Arial" w:cs="Arial"/>
              </w:rPr>
              <w:t xml:space="preserve"> and Board thereafter</w:t>
            </w:r>
            <w:r>
              <w:rPr>
                <w:rFonts w:ascii="Arial" w:hAnsi="Arial" w:cs="Arial"/>
              </w:rPr>
              <w:t>.</w:t>
            </w:r>
          </w:p>
          <w:p w:rsidR="00985856" w:rsidRPr="00B87DAC" w:rsidRDefault="00B87DAC" w:rsidP="00D21617">
            <w:pPr>
              <w:spacing w:after="240"/>
              <w:rPr>
                <w:rFonts w:ascii="Arial" w:hAnsi="Arial" w:cs="Arial"/>
              </w:rPr>
            </w:pPr>
            <w:r>
              <w:rPr>
                <w:rFonts w:ascii="Arial" w:hAnsi="Arial" w:cs="Arial"/>
              </w:rPr>
              <w:t xml:space="preserve">Ward 2D has opened on Friday evening where possible. Work between interventional cardiology and critical care to provide staff to facilitate 2D opening overnight on Fridays on a more regular basis has begun. This will help to accommodate as </w:t>
            </w:r>
            <w:r w:rsidR="00FC41F1">
              <w:rPr>
                <w:rFonts w:ascii="Arial" w:hAnsi="Arial" w:cs="Arial"/>
              </w:rPr>
              <w:t xml:space="preserve">much </w:t>
            </w:r>
            <w:r>
              <w:rPr>
                <w:rFonts w:ascii="Arial" w:hAnsi="Arial" w:cs="Arial"/>
              </w:rPr>
              <w:t>patient treatment as possible.</w:t>
            </w:r>
          </w:p>
        </w:tc>
        <w:tc>
          <w:tcPr>
            <w:tcW w:w="1985" w:type="dxa"/>
          </w:tcPr>
          <w:p w:rsidR="00985856" w:rsidRPr="005907EB" w:rsidRDefault="00985856" w:rsidP="00D21617">
            <w:pPr>
              <w:spacing w:after="240"/>
              <w:rPr>
                <w:rFonts w:ascii="Arial" w:hAnsi="Arial" w:cs="Arial"/>
                <w:lang w:val="fr-FR"/>
              </w:rPr>
            </w:pPr>
            <w:r w:rsidRPr="005907EB">
              <w:rPr>
                <w:rFonts w:ascii="Arial" w:hAnsi="Arial" w:cs="Arial"/>
                <w:lang w:val="fr-FR"/>
              </w:rPr>
              <w:lastRenderedPageBreak/>
              <w:t>Lynne Ayton</w:t>
            </w:r>
          </w:p>
        </w:tc>
        <w:tc>
          <w:tcPr>
            <w:tcW w:w="1630" w:type="dxa"/>
          </w:tcPr>
          <w:p w:rsidR="00985856" w:rsidRPr="005907EB" w:rsidRDefault="00985856" w:rsidP="00D21617">
            <w:pPr>
              <w:spacing w:after="240"/>
              <w:rPr>
                <w:rFonts w:ascii="Arial" w:hAnsi="Arial" w:cs="Arial"/>
              </w:rPr>
            </w:pPr>
            <w:r w:rsidRPr="005907EB">
              <w:rPr>
                <w:rFonts w:ascii="Arial" w:hAnsi="Arial" w:cs="Arial"/>
              </w:rPr>
              <w:t>Ongoing</w:t>
            </w:r>
          </w:p>
        </w:tc>
      </w:tr>
      <w:tr w:rsidR="00985856" w:rsidRPr="0014682D" w:rsidTr="004444E7">
        <w:trPr>
          <w:trHeight w:val="433"/>
        </w:trPr>
        <w:tc>
          <w:tcPr>
            <w:tcW w:w="1951" w:type="dxa"/>
          </w:tcPr>
          <w:p w:rsidR="00985856" w:rsidRPr="00F9485B" w:rsidRDefault="00985856" w:rsidP="0014682D">
            <w:pPr>
              <w:spacing w:after="240"/>
              <w:rPr>
                <w:rFonts w:ascii="Arial" w:eastAsia="Arial Unicode MS" w:hAnsi="Arial" w:cs="Arial"/>
              </w:rPr>
            </w:pPr>
            <w:proofErr w:type="spellStart"/>
            <w:r w:rsidRPr="00F9485B">
              <w:rPr>
                <w:rFonts w:ascii="Arial" w:hAnsi="Arial" w:cs="Arial"/>
              </w:rPr>
              <w:lastRenderedPageBreak/>
              <w:t>Transcatheter</w:t>
            </w:r>
            <w:proofErr w:type="spellEnd"/>
            <w:r w:rsidRPr="00F9485B">
              <w:rPr>
                <w:rFonts w:ascii="Arial" w:hAnsi="Arial" w:cs="Arial"/>
              </w:rPr>
              <w:t xml:space="preserve"> </w:t>
            </w:r>
            <w:r w:rsidR="0014682D" w:rsidRPr="00F9485B">
              <w:rPr>
                <w:rFonts w:ascii="Arial" w:hAnsi="Arial" w:cs="Arial"/>
              </w:rPr>
              <w:t>A</w:t>
            </w:r>
            <w:r w:rsidRPr="00F9485B">
              <w:rPr>
                <w:rFonts w:ascii="Arial" w:hAnsi="Arial" w:cs="Arial"/>
              </w:rPr>
              <w:t xml:space="preserve">ortic </w:t>
            </w:r>
            <w:r w:rsidR="0014682D" w:rsidRPr="00F9485B">
              <w:rPr>
                <w:rFonts w:ascii="Arial" w:hAnsi="Arial" w:cs="Arial"/>
              </w:rPr>
              <w:t>Valve I</w:t>
            </w:r>
            <w:r w:rsidRPr="00F9485B">
              <w:rPr>
                <w:rFonts w:ascii="Arial" w:hAnsi="Arial" w:cs="Arial"/>
              </w:rPr>
              <w:t>mplantation</w:t>
            </w:r>
            <w:r w:rsidRPr="00F9485B">
              <w:rPr>
                <w:rStyle w:val="y0nh2b"/>
                <w:rFonts w:ascii="Arial" w:hAnsi="Arial" w:cs="Arial"/>
                <w:color w:val="222222"/>
              </w:rPr>
              <w:t xml:space="preserve"> (</w:t>
            </w:r>
            <w:r w:rsidRPr="00F9485B">
              <w:rPr>
                <w:rFonts w:ascii="Arial" w:eastAsia="Arial Unicode MS" w:hAnsi="Arial" w:cs="Arial"/>
              </w:rPr>
              <w:t>TAVI)</w:t>
            </w:r>
          </w:p>
        </w:tc>
        <w:tc>
          <w:tcPr>
            <w:tcW w:w="8363" w:type="dxa"/>
          </w:tcPr>
          <w:p w:rsidR="00985856" w:rsidRPr="00F9485B" w:rsidRDefault="00985856" w:rsidP="00D21617">
            <w:pPr>
              <w:spacing w:after="240"/>
              <w:rPr>
                <w:rFonts w:ascii="Arial" w:hAnsi="Arial" w:cs="Arial"/>
              </w:rPr>
            </w:pPr>
            <w:r w:rsidRPr="00F9485B">
              <w:rPr>
                <w:rFonts w:ascii="Arial" w:hAnsi="Arial" w:cs="Arial"/>
              </w:rPr>
              <w:t>TAVI has been running successfully since 10 April 2018</w:t>
            </w:r>
            <w:r w:rsidR="00ED5E5D" w:rsidRPr="00F9485B">
              <w:rPr>
                <w:rFonts w:ascii="Arial" w:hAnsi="Arial" w:cs="Arial"/>
              </w:rPr>
              <w:t>. A</w:t>
            </w:r>
            <w:r w:rsidR="009C77E2" w:rsidRPr="00F9485B">
              <w:rPr>
                <w:rFonts w:ascii="Arial" w:hAnsi="Arial" w:cs="Arial"/>
              </w:rPr>
              <w:t xml:space="preserve">s of </w:t>
            </w:r>
            <w:r w:rsidR="00E67AAF" w:rsidRPr="00F9485B">
              <w:rPr>
                <w:rFonts w:ascii="Arial" w:hAnsi="Arial" w:cs="Arial"/>
              </w:rPr>
              <w:t>6 November</w:t>
            </w:r>
            <w:r w:rsidR="00D7355F" w:rsidRPr="00F9485B">
              <w:rPr>
                <w:rFonts w:ascii="Arial" w:hAnsi="Arial" w:cs="Arial"/>
              </w:rPr>
              <w:t xml:space="preserve"> 2018</w:t>
            </w:r>
            <w:r w:rsidR="001C2208" w:rsidRPr="00F9485B">
              <w:rPr>
                <w:rFonts w:ascii="Arial" w:hAnsi="Arial" w:cs="Arial"/>
              </w:rPr>
              <w:t>,</w:t>
            </w:r>
            <w:r w:rsidR="00E67AAF" w:rsidRPr="00F9485B">
              <w:rPr>
                <w:rFonts w:ascii="Arial" w:hAnsi="Arial" w:cs="Arial"/>
              </w:rPr>
              <w:t xml:space="preserve"> 50</w:t>
            </w:r>
            <w:r w:rsidR="009C77E2" w:rsidRPr="00F9485B">
              <w:rPr>
                <w:rFonts w:ascii="Arial" w:hAnsi="Arial" w:cs="Arial"/>
              </w:rPr>
              <w:t xml:space="preserve"> patients </w:t>
            </w:r>
            <w:r w:rsidR="0014682D" w:rsidRPr="00F9485B">
              <w:rPr>
                <w:rFonts w:ascii="Arial" w:hAnsi="Arial" w:cs="Arial"/>
              </w:rPr>
              <w:t>have</w:t>
            </w:r>
            <w:r w:rsidR="009C77E2" w:rsidRPr="00F9485B">
              <w:rPr>
                <w:rFonts w:ascii="Arial" w:hAnsi="Arial" w:cs="Arial"/>
              </w:rPr>
              <w:t xml:space="preserve"> been successfully treated with excellent outcomes.</w:t>
            </w:r>
            <w:r w:rsidR="002116BE" w:rsidRPr="00F9485B">
              <w:rPr>
                <w:rFonts w:ascii="Arial" w:hAnsi="Arial" w:cs="Arial"/>
              </w:rPr>
              <w:t xml:space="preserve"> </w:t>
            </w:r>
          </w:p>
          <w:p w:rsidR="002116BE" w:rsidRPr="00F9485B" w:rsidRDefault="00E67AAF" w:rsidP="0014682D">
            <w:pPr>
              <w:spacing w:after="240"/>
              <w:rPr>
                <w:rFonts w:ascii="Arial" w:hAnsi="Arial" w:cs="Arial"/>
              </w:rPr>
            </w:pPr>
            <w:r w:rsidRPr="00F9485B">
              <w:rPr>
                <w:rFonts w:ascii="Arial" w:hAnsi="Arial" w:cs="Arial"/>
              </w:rPr>
              <w:t xml:space="preserve">Discussions are ongoing with NHS </w:t>
            </w:r>
            <w:r w:rsidR="0014682D" w:rsidRPr="00F9485B">
              <w:rPr>
                <w:rFonts w:ascii="Arial" w:hAnsi="Arial" w:cs="Arial"/>
              </w:rPr>
              <w:t>Greater Glasgow &amp; Clyde</w:t>
            </w:r>
            <w:r w:rsidRPr="00F9485B">
              <w:rPr>
                <w:rFonts w:ascii="Arial" w:hAnsi="Arial" w:cs="Arial"/>
              </w:rPr>
              <w:t xml:space="preserve"> and NHS Lanarkshire to develop the most appropriate and feasible </w:t>
            </w:r>
            <w:proofErr w:type="gramStart"/>
            <w:r w:rsidRPr="00F9485B">
              <w:rPr>
                <w:rFonts w:ascii="Arial" w:hAnsi="Arial" w:cs="Arial"/>
              </w:rPr>
              <w:t xml:space="preserve">option for </w:t>
            </w:r>
            <w:r w:rsidR="0014682D" w:rsidRPr="00F9485B">
              <w:rPr>
                <w:rFonts w:ascii="Arial" w:hAnsi="Arial" w:cs="Arial"/>
              </w:rPr>
              <w:t>p</w:t>
            </w:r>
            <w:r w:rsidRPr="00F9485B">
              <w:rPr>
                <w:rFonts w:ascii="Arial" w:hAnsi="Arial" w:cs="Arial"/>
              </w:rPr>
              <w:t>roviding vascular cover</w:t>
            </w:r>
            <w:proofErr w:type="gramEnd"/>
            <w:r w:rsidRPr="00F9485B">
              <w:rPr>
                <w:rFonts w:ascii="Arial" w:hAnsi="Arial" w:cs="Arial"/>
              </w:rPr>
              <w:t xml:space="preserve"> to the service.</w:t>
            </w:r>
          </w:p>
        </w:tc>
        <w:tc>
          <w:tcPr>
            <w:tcW w:w="1985" w:type="dxa"/>
          </w:tcPr>
          <w:p w:rsidR="00985856" w:rsidRPr="00F9485B" w:rsidRDefault="00985856" w:rsidP="00D21617">
            <w:pPr>
              <w:spacing w:after="240"/>
              <w:rPr>
                <w:rFonts w:ascii="Arial" w:hAnsi="Arial" w:cs="Arial"/>
                <w:lang w:val="fr-FR"/>
              </w:rPr>
            </w:pPr>
            <w:r w:rsidRPr="00F9485B">
              <w:rPr>
                <w:rFonts w:ascii="Arial" w:hAnsi="Arial" w:cs="Arial"/>
                <w:lang w:val="fr-FR"/>
              </w:rPr>
              <w:t>Lynne Ayton</w:t>
            </w:r>
          </w:p>
        </w:tc>
        <w:tc>
          <w:tcPr>
            <w:tcW w:w="1630" w:type="dxa"/>
          </w:tcPr>
          <w:p w:rsidR="00985856" w:rsidRPr="00F9485B" w:rsidRDefault="00985856" w:rsidP="00D21617">
            <w:pPr>
              <w:spacing w:after="240"/>
              <w:rPr>
                <w:rFonts w:ascii="Arial" w:hAnsi="Arial" w:cs="Arial"/>
              </w:rPr>
            </w:pPr>
            <w:r w:rsidRPr="00F9485B">
              <w:rPr>
                <w:rFonts w:ascii="Arial" w:hAnsi="Arial" w:cs="Arial"/>
              </w:rPr>
              <w:t>Ongoing</w:t>
            </w:r>
          </w:p>
        </w:tc>
      </w:tr>
      <w:tr w:rsidR="00951915" w:rsidRPr="00723D08" w:rsidTr="004444E7">
        <w:trPr>
          <w:trHeight w:val="433"/>
        </w:trPr>
        <w:tc>
          <w:tcPr>
            <w:tcW w:w="1951" w:type="dxa"/>
          </w:tcPr>
          <w:p w:rsidR="00951915" w:rsidRPr="00951915" w:rsidRDefault="00951915" w:rsidP="00D21617">
            <w:pPr>
              <w:spacing w:after="240"/>
              <w:rPr>
                <w:rFonts w:ascii="Arial" w:hAnsi="Arial" w:cs="Arial"/>
              </w:rPr>
            </w:pPr>
            <w:r w:rsidRPr="00951915">
              <w:rPr>
                <w:rFonts w:ascii="Arial" w:hAnsi="Arial" w:cs="Arial"/>
              </w:rPr>
              <w:lastRenderedPageBreak/>
              <w:t>Scottish Pulmonary Vascular Unit (SPVU)</w:t>
            </w:r>
          </w:p>
        </w:tc>
        <w:tc>
          <w:tcPr>
            <w:tcW w:w="8363" w:type="dxa"/>
          </w:tcPr>
          <w:p w:rsidR="00951915" w:rsidRPr="00951915" w:rsidRDefault="00951915" w:rsidP="00D21617">
            <w:pPr>
              <w:spacing w:after="240"/>
              <w:rPr>
                <w:rFonts w:ascii="Arial" w:hAnsi="Arial" w:cs="Arial"/>
              </w:rPr>
            </w:pPr>
            <w:r w:rsidRPr="00951915">
              <w:rPr>
                <w:rFonts w:ascii="Arial" w:hAnsi="Arial" w:cs="Arial"/>
              </w:rPr>
              <w:t>Discussions have progressed with NHS Lothian regarding the establishment of an outreach clinic for patients in the East of Scotland. This is planned to commence in November 2018.</w:t>
            </w:r>
          </w:p>
          <w:p w:rsidR="00951915" w:rsidRDefault="00951915" w:rsidP="00D21617">
            <w:pPr>
              <w:spacing w:after="240"/>
              <w:rPr>
                <w:rFonts w:ascii="Arial" w:hAnsi="Arial" w:cs="Arial"/>
              </w:rPr>
            </w:pPr>
            <w:r w:rsidRPr="00951915">
              <w:rPr>
                <w:rFonts w:ascii="Arial" w:hAnsi="Arial" w:cs="Arial"/>
              </w:rPr>
              <w:t xml:space="preserve">The increase in outreach clinics in conjunction with the appointment of a consultant has enabled the service to increase capacity and improve access for patients at the same time as reducing the regular Waiting List Initiative clinics. </w:t>
            </w:r>
            <w:r>
              <w:rPr>
                <w:rFonts w:ascii="Arial" w:hAnsi="Arial" w:cs="Arial"/>
              </w:rPr>
              <w:t xml:space="preserve">The </w:t>
            </w:r>
            <w:r w:rsidR="00FC41F1">
              <w:rPr>
                <w:rFonts w:ascii="Arial" w:hAnsi="Arial" w:cs="Arial"/>
              </w:rPr>
              <w:t xml:space="preserve">waiting time for </w:t>
            </w:r>
            <w:r>
              <w:rPr>
                <w:rFonts w:ascii="Arial" w:hAnsi="Arial" w:cs="Arial"/>
              </w:rPr>
              <w:t>new patient</w:t>
            </w:r>
            <w:r w:rsidR="00FC41F1">
              <w:rPr>
                <w:rFonts w:ascii="Arial" w:hAnsi="Arial" w:cs="Arial"/>
              </w:rPr>
              <w:t xml:space="preserve"> appointments and </w:t>
            </w:r>
            <w:r>
              <w:rPr>
                <w:rFonts w:ascii="Arial" w:hAnsi="Arial" w:cs="Arial"/>
              </w:rPr>
              <w:t xml:space="preserve">subsequent inpatient assessment has </w:t>
            </w:r>
            <w:r w:rsidR="00FC41F1">
              <w:rPr>
                <w:rFonts w:ascii="Arial" w:hAnsi="Arial" w:cs="Arial"/>
              </w:rPr>
              <w:t xml:space="preserve">reduced </w:t>
            </w:r>
            <w:r>
              <w:rPr>
                <w:rFonts w:ascii="Arial" w:hAnsi="Arial" w:cs="Arial"/>
              </w:rPr>
              <w:t>significantly over the last 12 months.</w:t>
            </w:r>
          </w:p>
          <w:p w:rsidR="00951915" w:rsidRPr="00951915" w:rsidRDefault="00951915" w:rsidP="00D21617">
            <w:pPr>
              <w:spacing w:after="240"/>
              <w:rPr>
                <w:rFonts w:ascii="Arial" w:hAnsi="Arial" w:cs="Arial"/>
              </w:rPr>
            </w:pPr>
            <w:r>
              <w:rPr>
                <w:rFonts w:ascii="Arial" w:hAnsi="Arial" w:cs="Arial"/>
              </w:rPr>
              <w:t xml:space="preserve">The annual review with the National Services Division </w:t>
            </w:r>
            <w:r w:rsidR="00FC41F1">
              <w:rPr>
                <w:rFonts w:ascii="Arial" w:hAnsi="Arial" w:cs="Arial"/>
              </w:rPr>
              <w:t>will take</w:t>
            </w:r>
            <w:r>
              <w:rPr>
                <w:rFonts w:ascii="Arial" w:hAnsi="Arial" w:cs="Arial"/>
              </w:rPr>
              <w:t xml:space="preserve"> place in November. The first six months</w:t>
            </w:r>
            <w:r w:rsidR="0014682D">
              <w:rPr>
                <w:rFonts w:ascii="Arial" w:hAnsi="Arial" w:cs="Arial"/>
              </w:rPr>
              <w:t>’</w:t>
            </w:r>
            <w:r>
              <w:rPr>
                <w:rFonts w:ascii="Arial" w:hAnsi="Arial" w:cs="Arial"/>
              </w:rPr>
              <w:t xml:space="preserve"> data for 2018/19 will be presented</w:t>
            </w:r>
            <w:r w:rsidR="0014682D">
              <w:rPr>
                <w:rFonts w:ascii="Arial" w:hAnsi="Arial" w:cs="Arial"/>
              </w:rPr>
              <w:t>,</w:t>
            </w:r>
            <w:r>
              <w:rPr>
                <w:rFonts w:ascii="Arial" w:hAnsi="Arial" w:cs="Arial"/>
              </w:rPr>
              <w:t xml:space="preserve"> detailing the increases in demand and activity being experienced within the service.</w:t>
            </w:r>
          </w:p>
        </w:tc>
        <w:tc>
          <w:tcPr>
            <w:tcW w:w="1985" w:type="dxa"/>
          </w:tcPr>
          <w:p w:rsidR="00951915" w:rsidRPr="00951915" w:rsidRDefault="00951915" w:rsidP="00D21617">
            <w:pPr>
              <w:spacing w:after="240"/>
              <w:rPr>
                <w:rFonts w:ascii="Arial" w:hAnsi="Arial" w:cs="Arial"/>
                <w:lang w:val="fr-FR"/>
              </w:rPr>
            </w:pPr>
            <w:r>
              <w:rPr>
                <w:rFonts w:ascii="Arial" w:hAnsi="Arial" w:cs="Arial"/>
                <w:lang w:val="fr-FR"/>
              </w:rPr>
              <w:t>Lynne Ayton</w:t>
            </w:r>
          </w:p>
        </w:tc>
        <w:tc>
          <w:tcPr>
            <w:tcW w:w="1630" w:type="dxa"/>
          </w:tcPr>
          <w:p w:rsidR="00951915" w:rsidRPr="00951915" w:rsidRDefault="00951915" w:rsidP="00D21617">
            <w:pPr>
              <w:spacing w:after="240"/>
              <w:rPr>
                <w:rFonts w:ascii="Arial" w:hAnsi="Arial" w:cs="Arial"/>
              </w:rPr>
            </w:pPr>
            <w:r>
              <w:rPr>
                <w:rFonts w:ascii="Arial" w:hAnsi="Arial" w:cs="Arial"/>
              </w:rPr>
              <w:t>Ongoing</w:t>
            </w:r>
          </w:p>
        </w:tc>
      </w:tr>
      <w:tr w:rsidR="005907EB" w:rsidRPr="00723D08" w:rsidTr="004444E7">
        <w:trPr>
          <w:trHeight w:val="433"/>
        </w:trPr>
        <w:tc>
          <w:tcPr>
            <w:tcW w:w="1951" w:type="dxa"/>
          </w:tcPr>
          <w:p w:rsidR="005907EB" w:rsidRPr="00951915" w:rsidRDefault="005907EB" w:rsidP="00D21617">
            <w:pPr>
              <w:spacing w:after="240"/>
              <w:rPr>
                <w:rFonts w:ascii="Arial" w:hAnsi="Arial" w:cs="Arial"/>
              </w:rPr>
            </w:pPr>
            <w:r>
              <w:rPr>
                <w:rFonts w:ascii="Arial" w:hAnsi="Arial" w:cs="Arial"/>
              </w:rPr>
              <w:t>Cardiac Physiology</w:t>
            </w:r>
          </w:p>
        </w:tc>
        <w:tc>
          <w:tcPr>
            <w:tcW w:w="8363" w:type="dxa"/>
          </w:tcPr>
          <w:p w:rsidR="005907EB" w:rsidRPr="005907EB" w:rsidRDefault="005907EB" w:rsidP="00D21617">
            <w:pPr>
              <w:spacing w:after="240"/>
              <w:rPr>
                <w:rFonts w:ascii="Arial" w:hAnsi="Arial" w:cs="Arial"/>
                <w:iCs/>
                <w:sz w:val="28"/>
              </w:rPr>
            </w:pPr>
            <w:r>
              <w:rPr>
                <w:rFonts w:ascii="Arial" w:hAnsi="Arial" w:cs="Arial"/>
                <w:szCs w:val="22"/>
              </w:rPr>
              <w:t>T</w:t>
            </w:r>
            <w:r w:rsidRPr="005907EB">
              <w:rPr>
                <w:rFonts w:ascii="Arial" w:hAnsi="Arial" w:cs="Arial"/>
                <w:szCs w:val="22"/>
              </w:rPr>
              <w:t xml:space="preserve">here is national recognition of the challenges faced in recruitment and retention of cardiac physiology staff.  The situation at GJNH is critical, with several </w:t>
            </w:r>
            <w:r w:rsidR="00FC41F1">
              <w:rPr>
                <w:rFonts w:ascii="Arial" w:hAnsi="Arial" w:cs="Arial"/>
                <w:szCs w:val="22"/>
              </w:rPr>
              <w:t xml:space="preserve">positions remaining </w:t>
            </w:r>
            <w:r w:rsidRPr="005907EB">
              <w:rPr>
                <w:rFonts w:ascii="Arial" w:hAnsi="Arial" w:cs="Arial"/>
                <w:szCs w:val="22"/>
              </w:rPr>
              <w:t>vacan</w:t>
            </w:r>
            <w:r w:rsidR="00FC41F1">
              <w:rPr>
                <w:rFonts w:ascii="Arial" w:hAnsi="Arial" w:cs="Arial"/>
                <w:szCs w:val="22"/>
              </w:rPr>
              <w:t>t</w:t>
            </w:r>
            <w:r w:rsidRPr="005907EB">
              <w:rPr>
                <w:rFonts w:ascii="Arial" w:hAnsi="Arial" w:cs="Arial"/>
                <w:szCs w:val="22"/>
              </w:rPr>
              <w:t xml:space="preserve">. </w:t>
            </w:r>
            <w:r>
              <w:rPr>
                <w:rFonts w:ascii="Arial" w:hAnsi="Arial" w:cs="Arial"/>
                <w:szCs w:val="22"/>
              </w:rPr>
              <w:t>Two locums</w:t>
            </w:r>
            <w:r w:rsidRPr="005907EB">
              <w:rPr>
                <w:rFonts w:ascii="Arial" w:hAnsi="Arial" w:cs="Arial"/>
                <w:szCs w:val="22"/>
              </w:rPr>
              <w:t xml:space="preserve"> have been recruited to cover core activity.</w:t>
            </w:r>
            <w:r w:rsidRPr="005907EB">
              <w:rPr>
                <w:rFonts w:ascii="Arial" w:hAnsi="Arial" w:cs="Arial"/>
                <w:iCs/>
                <w:szCs w:val="22"/>
              </w:rPr>
              <w:t xml:space="preserve"> To support the strategic intention to ‘grow our own’</w:t>
            </w:r>
            <w:r w:rsidR="0014682D">
              <w:rPr>
                <w:rFonts w:ascii="Arial" w:hAnsi="Arial" w:cs="Arial"/>
                <w:iCs/>
                <w:szCs w:val="22"/>
              </w:rPr>
              <w:t>,</w:t>
            </w:r>
            <w:r w:rsidRPr="005907EB">
              <w:rPr>
                <w:rFonts w:ascii="Arial" w:hAnsi="Arial" w:cs="Arial"/>
                <w:iCs/>
                <w:szCs w:val="22"/>
              </w:rPr>
              <w:t xml:space="preserve"> the vacancy budget is being used to recruit trainees.  There have been 48 applications to date.</w:t>
            </w:r>
          </w:p>
          <w:p w:rsidR="005907EB" w:rsidRPr="00951915" w:rsidRDefault="005907EB" w:rsidP="0014682D">
            <w:pPr>
              <w:spacing w:after="240"/>
              <w:rPr>
                <w:rFonts w:ascii="Arial" w:hAnsi="Arial" w:cs="Arial"/>
              </w:rPr>
            </w:pPr>
            <w:r w:rsidRPr="005907EB">
              <w:rPr>
                <w:rFonts w:ascii="Arial" w:hAnsi="Arial" w:cs="Arial"/>
                <w:szCs w:val="22"/>
              </w:rPr>
              <w:t xml:space="preserve">The desired outcome for these trainees would be to gain a Masters degree in </w:t>
            </w:r>
            <w:r w:rsidR="0014682D">
              <w:rPr>
                <w:rFonts w:ascii="Arial" w:hAnsi="Arial" w:cs="Arial"/>
                <w:szCs w:val="22"/>
              </w:rPr>
              <w:t>C</w:t>
            </w:r>
            <w:r w:rsidRPr="005907EB">
              <w:rPr>
                <w:rFonts w:ascii="Arial" w:hAnsi="Arial" w:cs="Arial"/>
                <w:szCs w:val="22"/>
              </w:rPr>
              <w:t xml:space="preserve">ardiac </w:t>
            </w:r>
            <w:r w:rsidR="0014682D">
              <w:rPr>
                <w:rFonts w:ascii="Arial" w:hAnsi="Arial" w:cs="Arial"/>
                <w:szCs w:val="22"/>
              </w:rPr>
              <w:t>S</w:t>
            </w:r>
            <w:r w:rsidRPr="005907EB">
              <w:rPr>
                <w:rFonts w:ascii="Arial" w:hAnsi="Arial" w:cs="Arial"/>
                <w:szCs w:val="22"/>
              </w:rPr>
              <w:t>cience awarded by the Academy for Health Care Science (AHCS) through the evaluation of the trainees</w:t>
            </w:r>
            <w:r w:rsidR="0014682D">
              <w:rPr>
                <w:rFonts w:ascii="Arial" w:hAnsi="Arial" w:cs="Arial"/>
                <w:szCs w:val="22"/>
              </w:rPr>
              <w:t xml:space="preserve">’ two to three </w:t>
            </w:r>
            <w:r w:rsidRPr="005907EB">
              <w:rPr>
                <w:rFonts w:ascii="Arial" w:hAnsi="Arial" w:cs="Arial"/>
                <w:szCs w:val="22"/>
              </w:rPr>
              <w:t>year portfolio in academic learning and practical training.</w:t>
            </w:r>
          </w:p>
        </w:tc>
        <w:tc>
          <w:tcPr>
            <w:tcW w:w="1985" w:type="dxa"/>
          </w:tcPr>
          <w:p w:rsidR="005907EB" w:rsidRDefault="005907EB" w:rsidP="00D21617">
            <w:pPr>
              <w:spacing w:after="240"/>
              <w:rPr>
                <w:rFonts w:ascii="Arial" w:hAnsi="Arial" w:cs="Arial"/>
                <w:lang w:val="fr-FR"/>
              </w:rPr>
            </w:pPr>
            <w:r>
              <w:rPr>
                <w:rFonts w:ascii="Arial" w:hAnsi="Arial" w:cs="Arial"/>
                <w:lang w:val="fr-FR"/>
              </w:rPr>
              <w:t>Lynne Ayton</w:t>
            </w:r>
          </w:p>
        </w:tc>
        <w:tc>
          <w:tcPr>
            <w:tcW w:w="1630" w:type="dxa"/>
          </w:tcPr>
          <w:p w:rsidR="005907EB" w:rsidRDefault="005907EB" w:rsidP="00D21617">
            <w:pPr>
              <w:spacing w:after="240"/>
              <w:rPr>
                <w:rFonts w:ascii="Arial" w:hAnsi="Arial" w:cs="Arial"/>
              </w:rPr>
            </w:pPr>
            <w:r>
              <w:rPr>
                <w:rFonts w:ascii="Arial" w:hAnsi="Arial" w:cs="Arial"/>
              </w:rPr>
              <w:t>Ongoing</w:t>
            </w:r>
          </w:p>
        </w:tc>
      </w:tr>
      <w:tr w:rsidR="00D171F0" w:rsidRPr="00723D08" w:rsidTr="004444E7">
        <w:trPr>
          <w:trHeight w:val="433"/>
        </w:trPr>
        <w:tc>
          <w:tcPr>
            <w:tcW w:w="1951" w:type="dxa"/>
          </w:tcPr>
          <w:p w:rsidR="00D171F0" w:rsidRDefault="00D171F0" w:rsidP="00D21617">
            <w:pPr>
              <w:spacing w:after="240"/>
              <w:rPr>
                <w:rFonts w:ascii="Arial" w:hAnsi="Arial" w:cs="Arial"/>
              </w:rPr>
            </w:pPr>
            <w:r>
              <w:rPr>
                <w:rFonts w:ascii="Arial" w:hAnsi="Arial" w:cs="Arial"/>
              </w:rPr>
              <w:t>Radiology</w:t>
            </w:r>
          </w:p>
        </w:tc>
        <w:tc>
          <w:tcPr>
            <w:tcW w:w="8363" w:type="dxa"/>
          </w:tcPr>
          <w:p w:rsidR="00D171F0" w:rsidRDefault="00D171F0" w:rsidP="00D21617">
            <w:pPr>
              <w:spacing w:after="240"/>
              <w:rPr>
                <w:rFonts w:ascii="Arial" w:hAnsi="Arial" w:cs="Arial"/>
                <w:szCs w:val="22"/>
              </w:rPr>
            </w:pPr>
            <w:r>
              <w:rPr>
                <w:rFonts w:ascii="Arial" w:hAnsi="Arial" w:cs="Arial"/>
                <w:szCs w:val="22"/>
              </w:rPr>
              <w:t>The primary cardiac MRI scanner is scheduled for replacement in this financial year and has been identified as a priority by the Medical Equipment Group (MEG).</w:t>
            </w:r>
            <w:r w:rsidR="000C0231">
              <w:rPr>
                <w:rFonts w:ascii="Arial" w:hAnsi="Arial" w:cs="Arial"/>
                <w:szCs w:val="22"/>
              </w:rPr>
              <w:t xml:space="preserve"> A business case will be presented to the Board in December </w:t>
            </w:r>
            <w:r w:rsidR="000C0231">
              <w:rPr>
                <w:rFonts w:ascii="Arial" w:hAnsi="Arial" w:cs="Arial"/>
                <w:szCs w:val="22"/>
              </w:rPr>
              <w:lastRenderedPageBreak/>
              <w:t>to ensure the work can be completed within this financial year.</w:t>
            </w:r>
          </w:p>
          <w:p w:rsidR="00D171F0" w:rsidRDefault="00D171F0" w:rsidP="00D21617">
            <w:pPr>
              <w:spacing w:after="240"/>
              <w:rPr>
                <w:rFonts w:ascii="Arial" w:hAnsi="Arial" w:cs="Arial"/>
                <w:szCs w:val="22"/>
              </w:rPr>
            </w:pPr>
            <w:r>
              <w:rPr>
                <w:rFonts w:ascii="Arial" w:hAnsi="Arial" w:cs="Arial"/>
                <w:szCs w:val="22"/>
              </w:rPr>
              <w:t>The business case describing the procurement and implementation of a second CT scanner was approved by the Board on 13 September. The equipment selection process is now complete and an order has been placed.</w:t>
            </w:r>
            <w:r w:rsidR="000C0231">
              <w:rPr>
                <w:rFonts w:ascii="Arial" w:hAnsi="Arial" w:cs="Arial"/>
                <w:szCs w:val="22"/>
              </w:rPr>
              <w:t xml:space="preserve"> The implementation group will oversee the project and report through the Cross Section</w:t>
            </w:r>
            <w:r w:rsidR="0014682D">
              <w:rPr>
                <w:rFonts w:ascii="Arial" w:hAnsi="Arial" w:cs="Arial"/>
                <w:szCs w:val="22"/>
              </w:rPr>
              <w:t>al</w:t>
            </w:r>
            <w:r w:rsidR="000C0231">
              <w:rPr>
                <w:rFonts w:ascii="Arial" w:hAnsi="Arial" w:cs="Arial"/>
                <w:szCs w:val="22"/>
              </w:rPr>
              <w:t xml:space="preserve"> Imaging group who provide project board support.</w:t>
            </w:r>
          </w:p>
        </w:tc>
        <w:tc>
          <w:tcPr>
            <w:tcW w:w="1985" w:type="dxa"/>
          </w:tcPr>
          <w:p w:rsidR="00D171F0" w:rsidRPr="00951915" w:rsidRDefault="00D171F0" w:rsidP="00D21617">
            <w:pPr>
              <w:spacing w:after="240"/>
              <w:rPr>
                <w:rFonts w:ascii="Arial" w:hAnsi="Arial" w:cs="Arial"/>
                <w:lang w:val="fr-FR"/>
              </w:rPr>
            </w:pPr>
            <w:r>
              <w:rPr>
                <w:rFonts w:ascii="Arial" w:hAnsi="Arial" w:cs="Arial"/>
                <w:lang w:val="fr-FR"/>
              </w:rPr>
              <w:lastRenderedPageBreak/>
              <w:t>Lynne Ayton</w:t>
            </w:r>
          </w:p>
        </w:tc>
        <w:tc>
          <w:tcPr>
            <w:tcW w:w="1630" w:type="dxa"/>
          </w:tcPr>
          <w:p w:rsidR="00D171F0" w:rsidRPr="00951915" w:rsidRDefault="00D171F0" w:rsidP="00D21617">
            <w:pPr>
              <w:spacing w:after="240"/>
              <w:rPr>
                <w:rFonts w:ascii="Arial" w:hAnsi="Arial" w:cs="Arial"/>
              </w:rPr>
            </w:pPr>
            <w:r>
              <w:rPr>
                <w:rFonts w:ascii="Arial" w:hAnsi="Arial" w:cs="Arial"/>
              </w:rPr>
              <w:t>Ongoing</w:t>
            </w:r>
          </w:p>
        </w:tc>
      </w:tr>
      <w:tr w:rsidR="00D171F0" w:rsidRPr="0014682D" w:rsidTr="004444E7">
        <w:trPr>
          <w:trHeight w:val="433"/>
        </w:trPr>
        <w:tc>
          <w:tcPr>
            <w:tcW w:w="1951" w:type="dxa"/>
          </w:tcPr>
          <w:p w:rsidR="00D171F0" w:rsidRPr="0035533E" w:rsidRDefault="00D171F0" w:rsidP="00D21617">
            <w:pPr>
              <w:spacing w:after="240"/>
              <w:rPr>
                <w:rFonts w:ascii="Arial" w:hAnsi="Arial" w:cs="Arial"/>
              </w:rPr>
            </w:pPr>
            <w:r w:rsidRPr="0035533E">
              <w:rPr>
                <w:rFonts w:ascii="Arial" w:hAnsi="Arial" w:cs="Arial"/>
              </w:rPr>
              <w:lastRenderedPageBreak/>
              <w:t>Laboratories</w:t>
            </w:r>
          </w:p>
        </w:tc>
        <w:tc>
          <w:tcPr>
            <w:tcW w:w="8363" w:type="dxa"/>
          </w:tcPr>
          <w:p w:rsidR="00D171F0" w:rsidRPr="0035533E" w:rsidRDefault="00D171F0" w:rsidP="00F9485B">
            <w:pPr>
              <w:spacing w:after="240"/>
              <w:rPr>
                <w:rFonts w:ascii="Arial" w:hAnsi="Arial" w:cs="Arial"/>
                <w:szCs w:val="22"/>
              </w:rPr>
            </w:pPr>
            <w:r w:rsidRPr="0035533E">
              <w:rPr>
                <w:rFonts w:ascii="Arial" w:hAnsi="Arial" w:cs="Arial"/>
                <w:szCs w:val="22"/>
              </w:rPr>
              <w:t>A business proposal will be presented to the Senior Management Team</w:t>
            </w:r>
            <w:r w:rsidR="000C0231" w:rsidRPr="0035533E">
              <w:rPr>
                <w:rFonts w:ascii="Arial" w:hAnsi="Arial" w:cs="Arial"/>
                <w:szCs w:val="22"/>
              </w:rPr>
              <w:t xml:space="preserve"> in November</w:t>
            </w:r>
            <w:r w:rsidRPr="0035533E">
              <w:rPr>
                <w:rFonts w:ascii="Arial" w:hAnsi="Arial" w:cs="Arial"/>
                <w:szCs w:val="22"/>
              </w:rPr>
              <w:t xml:space="preserve"> to</w:t>
            </w:r>
            <w:r w:rsidR="000C0231" w:rsidRPr="0035533E">
              <w:rPr>
                <w:rFonts w:ascii="Arial" w:hAnsi="Arial" w:cs="Arial"/>
                <w:szCs w:val="22"/>
              </w:rPr>
              <w:t xml:space="preserve"> seek authority to</w:t>
            </w:r>
            <w:r w:rsidRPr="0035533E">
              <w:rPr>
                <w:rFonts w:ascii="Arial" w:hAnsi="Arial" w:cs="Arial"/>
                <w:szCs w:val="22"/>
              </w:rPr>
              <w:t xml:space="preserve"> progress a strategic partnership </w:t>
            </w:r>
            <w:r w:rsidR="00F9485B" w:rsidRPr="0035533E">
              <w:rPr>
                <w:rFonts w:ascii="Arial" w:hAnsi="Arial" w:cs="Arial"/>
                <w:szCs w:val="22"/>
              </w:rPr>
              <w:t>between our labs and a third party.</w:t>
            </w:r>
          </w:p>
        </w:tc>
        <w:tc>
          <w:tcPr>
            <w:tcW w:w="1985" w:type="dxa"/>
          </w:tcPr>
          <w:p w:rsidR="00D171F0" w:rsidRPr="0035533E" w:rsidRDefault="00D171F0" w:rsidP="00D21617">
            <w:pPr>
              <w:spacing w:after="240"/>
              <w:rPr>
                <w:rFonts w:ascii="Arial" w:hAnsi="Arial" w:cs="Arial"/>
                <w:lang w:val="fr-FR"/>
              </w:rPr>
            </w:pPr>
            <w:r w:rsidRPr="0035533E">
              <w:rPr>
                <w:rFonts w:ascii="Arial" w:hAnsi="Arial" w:cs="Arial"/>
                <w:lang w:val="fr-FR"/>
              </w:rPr>
              <w:t>Lynne Ayton</w:t>
            </w:r>
          </w:p>
        </w:tc>
        <w:tc>
          <w:tcPr>
            <w:tcW w:w="1630" w:type="dxa"/>
          </w:tcPr>
          <w:p w:rsidR="00D171F0" w:rsidRPr="0035533E" w:rsidRDefault="00D171F0" w:rsidP="00D21617">
            <w:pPr>
              <w:spacing w:after="240"/>
              <w:rPr>
                <w:rFonts w:ascii="Arial" w:hAnsi="Arial" w:cs="Arial"/>
              </w:rPr>
            </w:pPr>
            <w:r w:rsidRPr="0035533E">
              <w:rPr>
                <w:rFonts w:ascii="Arial" w:hAnsi="Arial" w:cs="Arial"/>
              </w:rPr>
              <w:t>Ongoing</w:t>
            </w:r>
          </w:p>
        </w:tc>
      </w:tr>
      <w:tr w:rsidR="000C0231" w:rsidRPr="0014682D" w:rsidTr="004444E7">
        <w:trPr>
          <w:trHeight w:val="433"/>
        </w:trPr>
        <w:tc>
          <w:tcPr>
            <w:tcW w:w="1951" w:type="dxa"/>
          </w:tcPr>
          <w:p w:rsidR="000C0231" w:rsidRPr="0035533E" w:rsidRDefault="000C0231" w:rsidP="00D21617">
            <w:pPr>
              <w:spacing w:after="240"/>
              <w:rPr>
                <w:rFonts w:ascii="Arial" w:hAnsi="Arial" w:cs="Arial"/>
              </w:rPr>
            </w:pPr>
            <w:r w:rsidRPr="0035533E">
              <w:rPr>
                <w:rFonts w:ascii="Arial" w:hAnsi="Arial" w:cs="Arial"/>
              </w:rPr>
              <w:t>Lung Transplant</w:t>
            </w:r>
          </w:p>
        </w:tc>
        <w:tc>
          <w:tcPr>
            <w:tcW w:w="8363" w:type="dxa"/>
          </w:tcPr>
          <w:p w:rsidR="000C0231" w:rsidRPr="0035533E" w:rsidRDefault="000C0231" w:rsidP="00D21617">
            <w:pPr>
              <w:spacing w:after="240"/>
              <w:rPr>
                <w:rFonts w:ascii="Arial" w:hAnsi="Arial" w:cs="Arial"/>
                <w:szCs w:val="22"/>
              </w:rPr>
            </w:pPr>
            <w:r w:rsidRPr="0035533E">
              <w:rPr>
                <w:rFonts w:ascii="Arial" w:hAnsi="Arial" w:cs="Arial"/>
                <w:szCs w:val="22"/>
              </w:rPr>
              <w:t>Progress with scoping a lung transplantation service for the Golden Jubilee has proven challenging. To operate a lung transplant service would require a respiratory physician</w:t>
            </w:r>
            <w:r w:rsidR="0014682D" w:rsidRPr="0035533E">
              <w:rPr>
                <w:rFonts w:ascii="Arial" w:hAnsi="Arial" w:cs="Arial"/>
                <w:szCs w:val="22"/>
              </w:rPr>
              <w:t>,</w:t>
            </w:r>
            <w:r w:rsidRPr="0035533E">
              <w:rPr>
                <w:rFonts w:ascii="Arial" w:hAnsi="Arial" w:cs="Arial"/>
                <w:szCs w:val="22"/>
              </w:rPr>
              <w:t xml:space="preserve"> which in turn would require a respiratory service. Approaches to respiratory services have not </w:t>
            </w:r>
            <w:r w:rsidR="00F9485B" w:rsidRPr="0035533E">
              <w:rPr>
                <w:rFonts w:ascii="Arial" w:hAnsi="Arial" w:cs="Arial"/>
                <w:szCs w:val="22"/>
              </w:rPr>
              <w:t xml:space="preserve">progressed as well as expected. </w:t>
            </w:r>
            <w:r w:rsidRPr="0035533E">
              <w:rPr>
                <w:rFonts w:ascii="Arial" w:hAnsi="Arial" w:cs="Arial"/>
                <w:szCs w:val="22"/>
              </w:rPr>
              <w:t xml:space="preserve"> </w:t>
            </w:r>
          </w:p>
          <w:p w:rsidR="000C0231" w:rsidRPr="0035533E" w:rsidRDefault="000C0231" w:rsidP="00F9485B">
            <w:pPr>
              <w:spacing w:after="240"/>
              <w:rPr>
                <w:rFonts w:ascii="Arial" w:hAnsi="Arial" w:cs="Arial"/>
                <w:szCs w:val="22"/>
              </w:rPr>
            </w:pPr>
            <w:r w:rsidRPr="0035533E">
              <w:rPr>
                <w:rFonts w:ascii="Arial" w:hAnsi="Arial" w:cs="Arial"/>
                <w:szCs w:val="22"/>
              </w:rPr>
              <w:t xml:space="preserve">Chair and </w:t>
            </w:r>
            <w:r w:rsidR="0014682D" w:rsidRPr="0035533E">
              <w:rPr>
                <w:rFonts w:ascii="Arial" w:hAnsi="Arial" w:cs="Arial"/>
                <w:szCs w:val="22"/>
              </w:rPr>
              <w:t xml:space="preserve">Chief Executive </w:t>
            </w:r>
            <w:r w:rsidR="00F9485B" w:rsidRPr="0035533E">
              <w:rPr>
                <w:rFonts w:ascii="Arial" w:hAnsi="Arial" w:cs="Arial"/>
                <w:szCs w:val="22"/>
              </w:rPr>
              <w:t xml:space="preserve">assistance is now helping with this progression. </w:t>
            </w:r>
          </w:p>
        </w:tc>
        <w:tc>
          <w:tcPr>
            <w:tcW w:w="1985" w:type="dxa"/>
          </w:tcPr>
          <w:p w:rsidR="000C0231" w:rsidRPr="0035533E" w:rsidRDefault="000C0231" w:rsidP="00D21617">
            <w:pPr>
              <w:spacing w:after="240"/>
              <w:rPr>
                <w:rFonts w:ascii="Arial" w:hAnsi="Arial" w:cs="Arial"/>
                <w:lang w:val="fr-FR"/>
              </w:rPr>
            </w:pPr>
            <w:r w:rsidRPr="0035533E">
              <w:rPr>
                <w:rFonts w:ascii="Arial" w:hAnsi="Arial" w:cs="Arial"/>
                <w:lang w:val="fr-FR"/>
              </w:rPr>
              <w:t>Lynne Ayton</w:t>
            </w:r>
          </w:p>
        </w:tc>
        <w:tc>
          <w:tcPr>
            <w:tcW w:w="1630" w:type="dxa"/>
          </w:tcPr>
          <w:p w:rsidR="000C0231" w:rsidRPr="0014682D" w:rsidRDefault="000C0231" w:rsidP="00D21617">
            <w:pPr>
              <w:spacing w:after="240"/>
              <w:rPr>
                <w:rFonts w:ascii="Arial" w:hAnsi="Arial" w:cs="Arial"/>
                <w:highlight w:val="yellow"/>
              </w:rPr>
            </w:pPr>
            <w:r w:rsidRPr="0035533E">
              <w:rPr>
                <w:rFonts w:ascii="Arial" w:hAnsi="Arial" w:cs="Arial"/>
              </w:rPr>
              <w:t>Ongoing</w:t>
            </w:r>
          </w:p>
        </w:tc>
      </w:tr>
    </w:tbl>
    <w:p w:rsidR="00985856" w:rsidRPr="00723D08" w:rsidRDefault="00985856" w:rsidP="00D21617">
      <w:pPr>
        <w:spacing w:after="240"/>
        <w:rPr>
          <w:highlight w:val="yellow"/>
        </w:rPr>
      </w:pPr>
    </w:p>
    <w:p w:rsidR="00E56440" w:rsidRPr="00AE667B" w:rsidRDefault="00E56440" w:rsidP="00D21617">
      <w:pPr>
        <w:spacing w:after="120"/>
        <w:rPr>
          <w:rFonts w:eastAsia="Arial Unicode MS"/>
          <w:b/>
          <w:sz w:val="22"/>
          <w:szCs w:val="22"/>
        </w:rPr>
      </w:pPr>
      <w:r w:rsidRPr="00723D08">
        <w:rPr>
          <w:rFonts w:ascii="Arial" w:eastAsia="Arial Unicode MS" w:hAnsi="Arial" w:cs="Arial"/>
          <w:b/>
          <w:bCs/>
          <w:sz w:val="22"/>
          <w:szCs w:val="22"/>
          <w:highlight w:val="yellow"/>
        </w:rPr>
        <w:br w:type="page"/>
      </w:r>
      <w:r w:rsidRPr="00AE667B">
        <w:rPr>
          <w:rFonts w:ascii="Arial" w:eastAsia="Arial Unicode MS" w:hAnsi="Arial" w:cs="Arial"/>
          <w:b/>
          <w:bCs/>
          <w:szCs w:val="22"/>
        </w:rPr>
        <w:lastRenderedPageBreak/>
        <w:t>Cardiac Surgery Inpatient Waiting List</w:t>
      </w:r>
      <w:r w:rsidRPr="00AE667B">
        <w:rPr>
          <w:rFonts w:eastAsia="Arial Unicode MS"/>
          <w:b/>
          <w:szCs w:val="22"/>
        </w:rPr>
        <w:t xml:space="preserve"> </w:t>
      </w:r>
    </w:p>
    <w:p w:rsidR="00604F40" w:rsidRPr="00AE667B" w:rsidRDefault="005F443E" w:rsidP="00D21617">
      <w:pPr>
        <w:ind w:right="-122"/>
        <w:rPr>
          <w:rFonts w:ascii="Arial" w:eastAsia="Arial Unicode MS" w:hAnsi="Arial" w:cs="Arial"/>
          <w:bCs/>
          <w:szCs w:val="22"/>
        </w:rPr>
      </w:pPr>
      <w:r w:rsidRPr="00AE667B">
        <w:rPr>
          <w:rFonts w:ascii="Arial" w:eastAsia="Arial Unicode MS" w:hAnsi="Arial" w:cs="Arial"/>
          <w:bCs/>
          <w:szCs w:val="22"/>
        </w:rPr>
        <w:t xml:space="preserve">This is a snapshot of the cardiac surgery inpatient waiting list as at </w:t>
      </w:r>
      <w:r w:rsidR="00B81B4F" w:rsidRPr="00AE667B">
        <w:rPr>
          <w:rFonts w:ascii="Arial" w:eastAsia="Arial Unicode MS" w:hAnsi="Arial" w:cs="Arial"/>
          <w:bCs/>
          <w:szCs w:val="22"/>
        </w:rPr>
        <w:t>1</w:t>
      </w:r>
      <w:r w:rsidR="00AE667B">
        <w:rPr>
          <w:rFonts w:ascii="Arial" w:eastAsia="Arial Unicode MS" w:hAnsi="Arial" w:cs="Arial"/>
          <w:bCs/>
          <w:szCs w:val="22"/>
        </w:rPr>
        <w:t xml:space="preserve"> November</w:t>
      </w:r>
      <w:r w:rsidR="00284149" w:rsidRPr="00AE667B">
        <w:rPr>
          <w:rFonts w:ascii="Arial" w:eastAsia="Arial Unicode MS" w:hAnsi="Arial" w:cs="Arial"/>
          <w:bCs/>
          <w:szCs w:val="22"/>
        </w:rPr>
        <w:t xml:space="preserve"> </w:t>
      </w:r>
      <w:r w:rsidR="009B0F38" w:rsidRPr="00AE667B">
        <w:rPr>
          <w:rFonts w:ascii="Arial" w:eastAsia="Arial Unicode MS" w:hAnsi="Arial" w:cs="Arial"/>
          <w:bCs/>
          <w:szCs w:val="22"/>
        </w:rPr>
        <w:t>2018</w:t>
      </w:r>
      <w:r w:rsidR="00884929">
        <w:rPr>
          <w:rFonts w:ascii="Arial" w:eastAsia="Arial Unicode MS" w:hAnsi="Arial" w:cs="Arial"/>
          <w:bCs/>
          <w:szCs w:val="22"/>
        </w:rPr>
        <w:t>,</w:t>
      </w:r>
      <w:r w:rsidR="009B0F38" w:rsidRPr="00AE667B">
        <w:rPr>
          <w:rFonts w:ascii="Arial" w:eastAsia="Arial Unicode MS" w:hAnsi="Arial" w:cs="Arial"/>
          <w:bCs/>
          <w:szCs w:val="22"/>
        </w:rPr>
        <w:t xml:space="preserve"> </w:t>
      </w:r>
      <w:r w:rsidRPr="00AE667B">
        <w:rPr>
          <w:rFonts w:ascii="Arial" w:eastAsia="Arial Unicode MS" w:hAnsi="Arial" w:cs="Arial"/>
          <w:bCs/>
          <w:szCs w:val="22"/>
        </w:rPr>
        <w:t xml:space="preserve">with a total of </w:t>
      </w:r>
      <w:r w:rsidR="00811786" w:rsidRPr="00AE667B">
        <w:rPr>
          <w:rFonts w:ascii="Arial" w:eastAsia="Arial Unicode MS" w:hAnsi="Arial" w:cs="Arial"/>
          <w:bCs/>
          <w:szCs w:val="22"/>
        </w:rPr>
        <w:t>2</w:t>
      </w:r>
      <w:r w:rsidR="007906AA">
        <w:rPr>
          <w:rFonts w:ascii="Arial" w:eastAsia="Arial Unicode MS" w:hAnsi="Arial" w:cs="Arial"/>
          <w:bCs/>
          <w:szCs w:val="22"/>
        </w:rPr>
        <w:t>73</w:t>
      </w:r>
      <w:r w:rsidRPr="00AE667B">
        <w:rPr>
          <w:rFonts w:ascii="Arial" w:eastAsia="Arial Unicode MS" w:hAnsi="Arial" w:cs="Arial"/>
          <w:bCs/>
          <w:szCs w:val="22"/>
        </w:rPr>
        <w:t xml:space="preserve"> patients waiting for surgery</w:t>
      </w:r>
      <w:r w:rsidR="003B1E96" w:rsidRPr="00AE667B">
        <w:rPr>
          <w:rFonts w:ascii="Arial" w:eastAsia="Arial Unicode MS" w:hAnsi="Arial" w:cs="Arial"/>
          <w:bCs/>
          <w:szCs w:val="22"/>
        </w:rPr>
        <w:t xml:space="preserve">. </w:t>
      </w:r>
      <w:r w:rsidR="00272179" w:rsidRPr="00AE667B">
        <w:rPr>
          <w:rFonts w:ascii="Arial" w:eastAsia="Arial Unicode MS" w:hAnsi="Arial" w:cs="Arial"/>
          <w:bCs/>
          <w:szCs w:val="22"/>
        </w:rPr>
        <w:t>A</w:t>
      </w:r>
      <w:r w:rsidRPr="00AE667B">
        <w:rPr>
          <w:rFonts w:ascii="Arial" w:eastAsia="Arial Unicode MS" w:hAnsi="Arial" w:cs="Arial"/>
          <w:bCs/>
          <w:szCs w:val="22"/>
        </w:rPr>
        <w:t xml:space="preserve">pproximately </w:t>
      </w:r>
      <w:r w:rsidR="00943BB4">
        <w:rPr>
          <w:rFonts w:ascii="Arial" w:eastAsia="Arial Unicode MS" w:hAnsi="Arial" w:cs="Arial"/>
          <w:bCs/>
          <w:szCs w:val="22"/>
        </w:rPr>
        <w:t>58</w:t>
      </w:r>
      <w:r w:rsidRPr="00AE667B">
        <w:rPr>
          <w:rFonts w:ascii="Arial" w:eastAsia="Arial Unicode MS" w:hAnsi="Arial" w:cs="Arial"/>
          <w:bCs/>
          <w:szCs w:val="22"/>
        </w:rPr>
        <w:t xml:space="preserve">% </w:t>
      </w:r>
      <w:r w:rsidR="00AE1423" w:rsidRPr="00AE667B">
        <w:rPr>
          <w:rFonts w:ascii="Arial" w:eastAsia="Arial Unicode MS" w:hAnsi="Arial" w:cs="Arial"/>
          <w:bCs/>
          <w:szCs w:val="22"/>
        </w:rPr>
        <w:t xml:space="preserve">of the total waiting </w:t>
      </w:r>
      <w:proofErr w:type="gramStart"/>
      <w:r w:rsidR="00AC10CD" w:rsidRPr="00AE667B">
        <w:rPr>
          <w:rFonts w:ascii="Arial" w:eastAsia="Arial Unicode MS" w:hAnsi="Arial" w:cs="Arial"/>
          <w:bCs/>
          <w:szCs w:val="22"/>
        </w:rPr>
        <w:t xml:space="preserve">list </w:t>
      </w:r>
      <w:r w:rsidR="004326EA" w:rsidRPr="00AE667B">
        <w:rPr>
          <w:rFonts w:ascii="Arial" w:eastAsia="Arial Unicode MS" w:hAnsi="Arial" w:cs="Arial"/>
          <w:bCs/>
          <w:szCs w:val="22"/>
        </w:rPr>
        <w:t>are</w:t>
      </w:r>
      <w:proofErr w:type="gramEnd"/>
      <w:r w:rsidR="00C56A35" w:rsidRPr="00AE667B">
        <w:rPr>
          <w:rFonts w:ascii="Arial" w:eastAsia="Arial Unicode MS" w:hAnsi="Arial" w:cs="Arial"/>
          <w:bCs/>
          <w:szCs w:val="22"/>
        </w:rPr>
        <w:t xml:space="preserve"> </w:t>
      </w:r>
      <w:r w:rsidR="00AE1423" w:rsidRPr="00AE667B">
        <w:rPr>
          <w:rFonts w:ascii="Arial" w:eastAsia="Arial Unicode MS" w:hAnsi="Arial" w:cs="Arial"/>
          <w:bCs/>
          <w:szCs w:val="22"/>
        </w:rPr>
        <w:t xml:space="preserve">patients </w:t>
      </w:r>
      <w:r w:rsidR="00C56A35" w:rsidRPr="00AE667B">
        <w:rPr>
          <w:rFonts w:ascii="Arial" w:eastAsia="Arial Unicode MS" w:hAnsi="Arial" w:cs="Arial"/>
          <w:bCs/>
          <w:szCs w:val="22"/>
        </w:rPr>
        <w:t xml:space="preserve">on the </w:t>
      </w:r>
      <w:r w:rsidR="00AE1423" w:rsidRPr="00AE667B">
        <w:rPr>
          <w:rFonts w:ascii="Arial" w:eastAsia="Arial Unicode MS" w:hAnsi="Arial" w:cs="Arial"/>
          <w:bCs/>
          <w:szCs w:val="22"/>
        </w:rPr>
        <w:t>available</w:t>
      </w:r>
      <w:r w:rsidR="00C56A35" w:rsidRPr="00AE667B">
        <w:rPr>
          <w:rFonts w:ascii="Arial" w:eastAsia="Arial Unicode MS" w:hAnsi="Arial" w:cs="Arial"/>
          <w:bCs/>
          <w:szCs w:val="22"/>
        </w:rPr>
        <w:t xml:space="preserve"> waiting list</w:t>
      </w:r>
      <w:r w:rsidR="00AE1423" w:rsidRPr="00AE667B">
        <w:rPr>
          <w:rFonts w:ascii="Arial" w:eastAsia="Arial Unicode MS" w:hAnsi="Arial" w:cs="Arial"/>
          <w:bCs/>
          <w:szCs w:val="22"/>
        </w:rPr>
        <w:t xml:space="preserve"> </w:t>
      </w:r>
      <w:r w:rsidRPr="00AE667B">
        <w:rPr>
          <w:rFonts w:ascii="Arial" w:eastAsia="Arial Unicode MS" w:hAnsi="Arial" w:cs="Arial"/>
          <w:bCs/>
          <w:szCs w:val="22"/>
        </w:rPr>
        <w:t>(</w:t>
      </w:r>
      <w:r w:rsidR="00854AB5" w:rsidRPr="00AE667B">
        <w:rPr>
          <w:rFonts w:ascii="Arial" w:eastAsia="Arial Unicode MS" w:hAnsi="Arial" w:cs="Arial"/>
          <w:bCs/>
          <w:szCs w:val="22"/>
        </w:rPr>
        <w:t>1</w:t>
      </w:r>
      <w:r w:rsidR="00B81B4F" w:rsidRPr="00AE667B">
        <w:rPr>
          <w:rFonts w:ascii="Arial" w:eastAsia="Arial Unicode MS" w:hAnsi="Arial" w:cs="Arial"/>
          <w:bCs/>
          <w:szCs w:val="22"/>
        </w:rPr>
        <w:t>5</w:t>
      </w:r>
      <w:r w:rsidR="007906AA">
        <w:rPr>
          <w:rFonts w:ascii="Arial" w:eastAsia="Arial Unicode MS" w:hAnsi="Arial" w:cs="Arial"/>
          <w:bCs/>
          <w:szCs w:val="22"/>
        </w:rPr>
        <w:t>9</w:t>
      </w:r>
      <w:r w:rsidR="00A22B52" w:rsidRPr="00AE667B">
        <w:rPr>
          <w:rFonts w:ascii="Arial" w:eastAsia="Arial Unicode MS" w:hAnsi="Arial" w:cs="Arial"/>
          <w:bCs/>
          <w:szCs w:val="22"/>
        </w:rPr>
        <w:t xml:space="preserve"> patients)</w:t>
      </w:r>
      <w:r w:rsidR="00284149" w:rsidRPr="00AE667B">
        <w:rPr>
          <w:rFonts w:ascii="Arial" w:eastAsia="Arial Unicode MS" w:hAnsi="Arial" w:cs="Arial"/>
          <w:bCs/>
          <w:szCs w:val="22"/>
        </w:rPr>
        <w:t xml:space="preserve"> and</w:t>
      </w:r>
      <w:r w:rsidR="00C56A35" w:rsidRPr="00AE667B">
        <w:rPr>
          <w:rFonts w:ascii="Arial" w:eastAsia="Arial Unicode MS" w:hAnsi="Arial" w:cs="Arial"/>
          <w:bCs/>
          <w:szCs w:val="22"/>
        </w:rPr>
        <w:t xml:space="preserve"> </w:t>
      </w:r>
      <w:r w:rsidR="00943BB4">
        <w:rPr>
          <w:rFonts w:ascii="Arial" w:eastAsia="Arial Unicode MS" w:hAnsi="Arial" w:cs="Arial"/>
          <w:bCs/>
          <w:szCs w:val="22"/>
        </w:rPr>
        <w:t>42</w:t>
      </w:r>
      <w:r w:rsidR="000D6590" w:rsidRPr="00AE667B">
        <w:rPr>
          <w:rFonts w:ascii="Arial" w:eastAsia="Arial Unicode MS" w:hAnsi="Arial" w:cs="Arial"/>
          <w:bCs/>
          <w:szCs w:val="22"/>
        </w:rPr>
        <w:t>% (</w:t>
      </w:r>
      <w:r w:rsidR="007906AA">
        <w:rPr>
          <w:rFonts w:ascii="Arial" w:eastAsia="Arial Unicode MS" w:hAnsi="Arial" w:cs="Arial"/>
          <w:bCs/>
          <w:szCs w:val="22"/>
        </w:rPr>
        <w:t>114</w:t>
      </w:r>
      <w:r w:rsidR="00AE1423" w:rsidRPr="00AE667B">
        <w:rPr>
          <w:rFonts w:ascii="Arial" w:eastAsia="Arial Unicode MS" w:hAnsi="Arial" w:cs="Arial"/>
          <w:bCs/>
          <w:szCs w:val="22"/>
        </w:rPr>
        <w:t xml:space="preserve"> patients</w:t>
      </w:r>
      <w:r w:rsidRPr="00AE667B">
        <w:rPr>
          <w:rFonts w:ascii="Arial" w:eastAsia="Arial Unicode MS" w:hAnsi="Arial" w:cs="Arial"/>
          <w:bCs/>
          <w:szCs w:val="22"/>
        </w:rPr>
        <w:t xml:space="preserve">) </w:t>
      </w:r>
      <w:r w:rsidR="003B1E96" w:rsidRPr="00AE667B">
        <w:rPr>
          <w:rFonts w:ascii="Arial" w:eastAsia="Arial Unicode MS" w:hAnsi="Arial" w:cs="Arial"/>
          <w:bCs/>
          <w:szCs w:val="22"/>
        </w:rPr>
        <w:t>were unavailable</w:t>
      </w:r>
      <w:r w:rsidR="00284149" w:rsidRPr="00AE667B">
        <w:rPr>
          <w:rFonts w:ascii="Arial" w:eastAsia="Arial Unicode MS" w:hAnsi="Arial" w:cs="Arial"/>
          <w:bCs/>
          <w:szCs w:val="22"/>
        </w:rPr>
        <w:t>.</w:t>
      </w:r>
      <w:r w:rsidR="003B1E96" w:rsidRPr="00AE667B">
        <w:rPr>
          <w:rFonts w:ascii="Arial" w:eastAsia="Arial Unicode MS" w:hAnsi="Arial" w:cs="Arial"/>
          <w:bCs/>
          <w:szCs w:val="22"/>
        </w:rPr>
        <w:t xml:space="preserve"> </w:t>
      </w:r>
    </w:p>
    <w:p w:rsidR="00EF769C" w:rsidRPr="00AE667B" w:rsidRDefault="00EF769C" w:rsidP="00D21617">
      <w:pPr>
        <w:tabs>
          <w:tab w:val="left" w:pos="9540"/>
        </w:tabs>
        <w:ind w:right="-122"/>
        <w:rPr>
          <w:rFonts w:ascii="Arial" w:eastAsia="Arial Unicode MS" w:hAnsi="Arial" w:cs="Arial"/>
          <w:bCs/>
          <w:szCs w:val="22"/>
        </w:rPr>
      </w:pPr>
    </w:p>
    <w:p w:rsidR="00EF769C" w:rsidRPr="00AE667B" w:rsidRDefault="00050882" w:rsidP="00D21617">
      <w:pPr>
        <w:tabs>
          <w:tab w:val="left" w:pos="9540"/>
        </w:tabs>
        <w:ind w:right="254"/>
        <w:rPr>
          <w:rFonts w:ascii="Arial" w:eastAsia="Arial Unicode MS" w:hAnsi="Arial" w:cs="Arial"/>
          <w:b/>
          <w:bCs/>
          <w:szCs w:val="20"/>
        </w:rPr>
      </w:pPr>
      <w:r w:rsidRPr="00AE667B">
        <w:rPr>
          <w:rFonts w:ascii="Arial" w:eastAsia="Arial Unicode MS" w:hAnsi="Arial" w:cs="Arial"/>
          <w:szCs w:val="20"/>
        </w:rPr>
        <w:t xml:space="preserve">Figure 2: </w:t>
      </w:r>
      <w:r w:rsidR="00860FC3" w:rsidRPr="00AE667B">
        <w:rPr>
          <w:rFonts w:ascii="Arial" w:eastAsia="Arial Unicode MS" w:hAnsi="Arial" w:cs="Arial"/>
          <w:szCs w:val="20"/>
        </w:rPr>
        <w:t xml:space="preserve">As a percentage of the total waiting list, </w:t>
      </w:r>
      <w:r w:rsidR="00EF769C" w:rsidRPr="00AE667B">
        <w:rPr>
          <w:rFonts w:ascii="Arial" w:eastAsia="Arial Unicode MS" w:hAnsi="Arial" w:cs="Arial"/>
          <w:szCs w:val="20"/>
        </w:rPr>
        <w:t xml:space="preserve">the number </w:t>
      </w:r>
      <w:r w:rsidR="00615EA0" w:rsidRPr="00AE667B">
        <w:rPr>
          <w:rFonts w:ascii="Arial" w:eastAsia="Arial Unicode MS" w:hAnsi="Arial" w:cs="Arial"/>
          <w:szCs w:val="20"/>
        </w:rPr>
        <w:t xml:space="preserve">of unavailable patients </w:t>
      </w:r>
      <w:r w:rsidR="00DC770B" w:rsidRPr="00AE667B">
        <w:rPr>
          <w:rFonts w:ascii="Arial" w:eastAsia="Arial Unicode MS" w:hAnsi="Arial" w:cs="Arial"/>
          <w:szCs w:val="20"/>
        </w:rPr>
        <w:t xml:space="preserve">was </w:t>
      </w:r>
      <w:r w:rsidR="0017569B" w:rsidRPr="00AE667B">
        <w:rPr>
          <w:rFonts w:ascii="Arial" w:eastAsia="Arial Unicode MS" w:hAnsi="Arial" w:cs="Arial"/>
          <w:szCs w:val="20"/>
        </w:rPr>
        <w:t>3</w:t>
      </w:r>
      <w:r w:rsidR="00DC770B" w:rsidRPr="00AE667B">
        <w:rPr>
          <w:rFonts w:ascii="Arial" w:eastAsia="Arial Unicode MS" w:hAnsi="Arial" w:cs="Arial"/>
          <w:szCs w:val="20"/>
        </w:rPr>
        <w:t xml:space="preserve">5% </w:t>
      </w:r>
      <w:r w:rsidR="00EF769C" w:rsidRPr="00AE667B">
        <w:rPr>
          <w:rFonts w:ascii="Arial" w:eastAsia="Arial Unicode MS" w:hAnsi="Arial" w:cs="Arial"/>
          <w:szCs w:val="20"/>
        </w:rPr>
        <w:t>(</w:t>
      </w:r>
      <w:r w:rsidR="007906AA">
        <w:rPr>
          <w:rFonts w:ascii="Arial" w:eastAsia="Arial Unicode MS" w:hAnsi="Arial" w:cs="Arial"/>
          <w:szCs w:val="20"/>
        </w:rPr>
        <w:t>96</w:t>
      </w:r>
      <w:r w:rsidR="004326EA" w:rsidRPr="00AE667B">
        <w:rPr>
          <w:rFonts w:ascii="Arial" w:eastAsia="Arial Unicode MS" w:hAnsi="Arial" w:cs="Arial"/>
          <w:szCs w:val="20"/>
        </w:rPr>
        <w:t xml:space="preserve"> patients) were for </w:t>
      </w:r>
      <w:r w:rsidR="00EF769C" w:rsidRPr="00AE667B">
        <w:rPr>
          <w:rFonts w:ascii="Arial" w:eastAsia="Arial Unicode MS" w:hAnsi="Arial" w:cs="Arial"/>
          <w:szCs w:val="20"/>
        </w:rPr>
        <w:t>medical</w:t>
      </w:r>
      <w:r w:rsidR="004326EA" w:rsidRPr="00AE667B">
        <w:rPr>
          <w:rFonts w:ascii="Arial" w:eastAsia="Arial Unicode MS" w:hAnsi="Arial" w:cs="Arial"/>
          <w:szCs w:val="20"/>
        </w:rPr>
        <w:t xml:space="preserve"> reason</w:t>
      </w:r>
      <w:r w:rsidR="00EF769C" w:rsidRPr="00AE667B">
        <w:rPr>
          <w:rFonts w:ascii="Arial" w:eastAsia="Arial Unicode MS" w:hAnsi="Arial" w:cs="Arial"/>
          <w:szCs w:val="20"/>
        </w:rPr>
        <w:t xml:space="preserve"> and </w:t>
      </w:r>
      <w:r w:rsidR="00943BB4">
        <w:rPr>
          <w:rFonts w:ascii="Arial" w:eastAsia="Arial Unicode MS" w:hAnsi="Arial" w:cs="Arial"/>
          <w:szCs w:val="20"/>
        </w:rPr>
        <w:t>7</w:t>
      </w:r>
      <w:r w:rsidR="004326EA" w:rsidRPr="00AE667B">
        <w:rPr>
          <w:rFonts w:ascii="Arial" w:eastAsia="Arial Unicode MS" w:hAnsi="Arial" w:cs="Arial"/>
          <w:szCs w:val="20"/>
        </w:rPr>
        <w:t>% (</w:t>
      </w:r>
      <w:r w:rsidR="00284149" w:rsidRPr="00AE667B">
        <w:rPr>
          <w:rFonts w:ascii="Arial" w:eastAsia="Arial Unicode MS" w:hAnsi="Arial" w:cs="Arial"/>
          <w:szCs w:val="20"/>
        </w:rPr>
        <w:t>1</w:t>
      </w:r>
      <w:r w:rsidR="007906AA">
        <w:rPr>
          <w:rFonts w:ascii="Arial" w:eastAsia="Arial Unicode MS" w:hAnsi="Arial" w:cs="Arial"/>
          <w:szCs w:val="20"/>
        </w:rPr>
        <w:t>8</w:t>
      </w:r>
      <w:r w:rsidR="004326EA" w:rsidRPr="00AE667B">
        <w:rPr>
          <w:rFonts w:ascii="Arial" w:eastAsia="Arial Unicode MS" w:hAnsi="Arial" w:cs="Arial"/>
          <w:szCs w:val="20"/>
        </w:rPr>
        <w:t xml:space="preserve">) were </w:t>
      </w:r>
      <w:r w:rsidR="00EF769C" w:rsidRPr="00AE667B">
        <w:rPr>
          <w:rFonts w:ascii="Arial" w:eastAsia="Arial Unicode MS" w:hAnsi="Arial" w:cs="Arial"/>
          <w:szCs w:val="20"/>
        </w:rPr>
        <w:t>patient</w:t>
      </w:r>
      <w:r w:rsidR="004326EA" w:rsidRPr="00AE667B">
        <w:rPr>
          <w:rFonts w:ascii="Arial" w:eastAsia="Arial Unicode MS" w:hAnsi="Arial" w:cs="Arial"/>
          <w:szCs w:val="20"/>
        </w:rPr>
        <w:t>s</w:t>
      </w:r>
      <w:r w:rsidR="00EF769C" w:rsidRPr="00AE667B">
        <w:rPr>
          <w:rFonts w:ascii="Arial" w:eastAsia="Arial Unicode MS" w:hAnsi="Arial" w:cs="Arial"/>
          <w:szCs w:val="20"/>
        </w:rPr>
        <w:t xml:space="preserve"> advised</w:t>
      </w:r>
      <w:r w:rsidR="004326EA" w:rsidRPr="00AE667B">
        <w:rPr>
          <w:rFonts w:ascii="Arial" w:eastAsia="Arial Unicode MS" w:hAnsi="Arial" w:cs="Arial"/>
          <w:szCs w:val="20"/>
        </w:rPr>
        <w:t xml:space="preserve"> unavailability</w:t>
      </w:r>
      <w:r w:rsidR="00EF769C" w:rsidRPr="00AE667B">
        <w:rPr>
          <w:rFonts w:ascii="Arial" w:eastAsia="Arial Unicode MS" w:hAnsi="Arial" w:cs="Arial"/>
          <w:szCs w:val="20"/>
        </w:rPr>
        <w:t xml:space="preserve">. </w:t>
      </w:r>
    </w:p>
    <w:p w:rsidR="00811786" w:rsidRPr="00AE667B" w:rsidRDefault="00811786" w:rsidP="00D21617">
      <w:pPr>
        <w:tabs>
          <w:tab w:val="left" w:pos="9540"/>
        </w:tabs>
        <w:ind w:right="-122"/>
        <w:rPr>
          <w:rFonts w:ascii="Arial" w:eastAsia="Arial Unicode MS" w:hAnsi="Arial" w:cs="Arial"/>
          <w:bCs/>
          <w:sz w:val="22"/>
          <w:szCs w:val="22"/>
        </w:rPr>
      </w:pPr>
    </w:p>
    <w:p w:rsidR="00170410" w:rsidRPr="00AE667B" w:rsidRDefault="00170410" w:rsidP="00D21617">
      <w:pPr>
        <w:tabs>
          <w:tab w:val="left" w:pos="9540"/>
        </w:tabs>
        <w:ind w:right="-122"/>
        <w:rPr>
          <w:rFonts w:ascii="Arial" w:eastAsia="Arial Unicode MS" w:hAnsi="Arial" w:cs="Arial"/>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1"/>
        <w:gridCol w:w="6662"/>
      </w:tblGrid>
      <w:tr w:rsidR="00C80F88" w:rsidRPr="00AE667B" w:rsidTr="00A66ED6">
        <w:tc>
          <w:tcPr>
            <w:tcW w:w="6771" w:type="dxa"/>
          </w:tcPr>
          <w:p w:rsidR="00C80F88" w:rsidRPr="00AE667B" w:rsidRDefault="00C80F88" w:rsidP="00D21617">
            <w:pPr>
              <w:tabs>
                <w:tab w:val="left" w:pos="2696"/>
              </w:tabs>
              <w:ind w:left="-142" w:right="-122"/>
              <w:rPr>
                <w:rFonts w:ascii="Arial" w:eastAsia="Arial Unicode MS" w:hAnsi="Arial" w:cs="Arial"/>
                <w:noProof/>
                <w:sz w:val="20"/>
                <w:szCs w:val="20"/>
                <w:lang w:eastAsia="en-GB"/>
              </w:rPr>
            </w:pPr>
            <w:r w:rsidRPr="00AE667B">
              <w:rPr>
                <w:rFonts w:ascii="Arial" w:eastAsia="Arial Unicode MS" w:hAnsi="Arial" w:cs="Arial"/>
                <w:noProof/>
                <w:sz w:val="20"/>
                <w:szCs w:val="20"/>
                <w:lang w:eastAsia="en-GB"/>
              </w:rPr>
              <w:t>Figure 1</w:t>
            </w:r>
          </w:p>
        </w:tc>
        <w:tc>
          <w:tcPr>
            <w:tcW w:w="6662" w:type="dxa"/>
          </w:tcPr>
          <w:p w:rsidR="00C80F88" w:rsidRPr="00AE667B" w:rsidRDefault="00C80F88" w:rsidP="00D21617">
            <w:pPr>
              <w:tabs>
                <w:tab w:val="left" w:pos="9540"/>
              </w:tabs>
              <w:ind w:left="-108" w:right="-122"/>
              <w:rPr>
                <w:rFonts w:ascii="Arial" w:eastAsia="Arial Unicode MS" w:hAnsi="Arial" w:cs="Arial"/>
                <w:noProof/>
                <w:sz w:val="20"/>
                <w:szCs w:val="20"/>
                <w:lang w:eastAsia="en-GB"/>
              </w:rPr>
            </w:pPr>
            <w:r w:rsidRPr="00AE667B">
              <w:rPr>
                <w:rFonts w:ascii="Arial" w:eastAsia="Arial Unicode MS" w:hAnsi="Arial" w:cs="Arial"/>
                <w:noProof/>
                <w:sz w:val="20"/>
                <w:szCs w:val="20"/>
                <w:lang w:eastAsia="en-GB"/>
              </w:rPr>
              <w:t>Figure 2</w:t>
            </w:r>
          </w:p>
        </w:tc>
      </w:tr>
      <w:tr w:rsidR="00811786" w:rsidRPr="00723D08" w:rsidTr="00A66ED6">
        <w:tc>
          <w:tcPr>
            <w:tcW w:w="6771" w:type="dxa"/>
          </w:tcPr>
          <w:p w:rsidR="00811786" w:rsidRPr="00723D08" w:rsidRDefault="00D11F57" w:rsidP="00D21617">
            <w:pPr>
              <w:tabs>
                <w:tab w:val="left" w:pos="2696"/>
              </w:tabs>
              <w:ind w:left="-142" w:right="-122"/>
              <w:rPr>
                <w:rFonts w:ascii="Arial" w:eastAsia="Arial Unicode MS" w:hAnsi="Arial" w:cs="Arial"/>
                <w:bCs/>
                <w:sz w:val="22"/>
                <w:szCs w:val="22"/>
                <w:highlight w:val="yellow"/>
              </w:rPr>
            </w:pPr>
            <w:r>
              <w:rPr>
                <w:rFonts w:ascii="Arial" w:eastAsia="Arial Unicode MS" w:hAnsi="Arial" w:cs="Arial"/>
                <w:noProof/>
                <w:sz w:val="20"/>
                <w:szCs w:val="20"/>
                <w:lang w:eastAsia="en-GB"/>
              </w:rPr>
              <w:drawing>
                <wp:inline distT="0" distB="0" distL="0" distR="0">
                  <wp:extent cx="4304665" cy="3640455"/>
                  <wp:effectExtent l="19050" t="0" r="635" b="0"/>
                  <wp:docPr id="8" name="Picture 1" descr="11i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iT0"/>
                          <pic:cNvPicPr>
                            <a:picLocks noChangeAspect="1" noChangeArrowheads="1"/>
                          </pic:cNvPicPr>
                        </pic:nvPicPr>
                        <pic:blipFill>
                          <a:blip r:embed="rId14" cstate="print"/>
                          <a:srcRect/>
                          <a:stretch>
                            <a:fillRect/>
                          </a:stretch>
                        </pic:blipFill>
                        <pic:spPr bwMode="auto">
                          <a:xfrm>
                            <a:off x="0" y="0"/>
                            <a:ext cx="4304665" cy="3640455"/>
                          </a:xfrm>
                          <a:prstGeom prst="rect">
                            <a:avLst/>
                          </a:prstGeom>
                          <a:noFill/>
                          <a:ln w="9525">
                            <a:noFill/>
                            <a:miter lim="800000"/>
                            <a:headEnd/>
                            <a:tailEnd/>
                          </a:ln>
                        </pic:spPr>
                      </pic:pic>
                    </a:graphicData>
                  </a:graphic>
                </wp:inline>
              </w:drawing>
            </w:r>
          </w:p>
        </w:tc>
        <w:tc>
          <w:tcPr>
            <w:tcW w:w="6662" w:type="dxa"/>
          </w:tcPr>
          <w:p w:rsidR="00811786" w:rsidRPr="00723D08" w:rsidRDefault="00D11F57" w:rsidP="00D21617">
            <w:pPr>
              <w:tabs>
                <w:tab w:val="left" w:pos="9540"/>
              </w:tabs>
              <w:ind w:left="-108" w:right="-122"/>
              <w:rPr>
                <w:rFonts w:ascii="Arial" w:eastAsia="Arial Unicode MS" w:hAnsi="Arial" w:cs="Arial"/>
                <w:bCs/>
                <w:sz w:val="22"/>
                <w:szCs w:val="22"/>
                <w:highlight w:val="yellow"/>
              </w:rPr>
            </w:pPr>
            <w:r>
              <w:rPr>
                <w:rFonts w:ascii="Arial" w:eastAsia="Arial Unicode MS" w:hAnsi="Arial" w:cs="Arial"/>
                <w:noProof/>
                <w:sz w:val="20"/>
                <w:szCs w:val="20"/>
                <w:lang w:eastAsia="en-GB"/>
              </w:rPr>
              <w:drawing>
                <wp:inline distT="0" distB="0" distL="0" distR="0">
                  <wp:extent cx="4295775" cy="3640455"/>
                  <wp:effectExtent l="19050" t="0" r="9525" b="0"/>
                  <wp:docPr id="7" name="Picture 3" descr="9i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9iT0"/>
                          <pic:cNvPicPr>
                            <a:picLocks noChangeAspect="1" noChangeArrowheads="1"/>
                          </pic:cNvPicPr>
                        </pic:nvPicPr>
                        <pic:blipFill>
                          <a:blip r:embed="rId15" cstate="print"/>
                          <a:srcRect/>
                          <a:stretch>
                            <a:fillRect/>
                          </a:stretch>
                        </pic:blipFill>
                        <pic:spPr bwMode="auto">
                          <a:xfrm>
                            <a:off x="0" y="0"/>
                            <a:ext cx="4295775" cy="3640455"/>
                          </a:xfrm>
                          <a:prstGeom prst="rect">
                            <a:avLst/>
                          </a:prstGeom>
                          <a:noFill/>
                          <a:ln w="9525">
                            <a:noFill/>
                            <a:miter lim="800000"/>
                            <a:headEnd/>
                            <a:tailEnd/>
                          </a:ln>
                        </pic:spPr>
                      </pic:pic>
                    </a:graphicData>
                  </a:graphic>
                </wp:inline>
              </w:drawing>
            </w:r>
          </w:p>
        </w:tc>
      </w:tr>
    </w:tbl>
    <w:p w:rsidR="000D2AD0" w:rsidRPr="00245DA0" w:rsidRDefault="00811786" w:rsidP="00D21617">
      <w:pPr>
        <w:tabs>
          <w:tab w:val="left" w:pos="9540"/>
        </w:tabs>
        <w:ind w:right="-122"/>
        <w:rPr>
          <w:rFonts w:ascii="Arial" w:eastAsia="Arial Unicode MS" w:hAnsi="Arial" w:cs="Arial"/>
          <w:b/>
        </w:rPr>
      </w:pPr>
      <w:r w:rsidRPr="00245DA0">
        <w:rPr>
          <w:rFonts w:ascii="Arial" w:eastAsia="Arial Unicode MS" w:hAnsi="Arial" w:cs="Arial"/>
          <w:bCs/>
          <w:vanish/>
        </w:rPr>
        <w:lastRenderedPageBreak/>
        <w:cr/>
        <w:t>26h a total of 2 imentation.kforce plan tiated with the preffered model will be confirmede any barriers to the implimentation</w:t>
      </w:r>
      <w:r w:rsidR="00E56440" w:rsidRPr="00245DA0">
        <w:rPr>
          <w:rFonts w:ascii="Arial" w:eastAsia="Arial Unicode MS" w:hAnsi="Arial" w:cs="Arial"/>
          <w:b/>
          <w:bCs/>
        </w:rPr>
        <w:t>Thoracic Surgery Inpatient Waiting List</w:t>
      </w:r>
      <w:r w:rsidR="00E56440" w:rsidRPr="00245DA0">
        <w:rPr>
          <w:rFonts w:ascii="Arial" w:eastAsia="Arial Unicode MS" w:hAnsi="Arial" w:cs="Arial"/>
          <w:b/>
        </w:rPr>
        <w:t xml:space="preserve"> </w:t>
      </w:r>
    </w:p>
    <w:p w:rsidR="00235F92" w:rsidRPr="00245DA0" w:rsidRDefault="00235F92" w:rsidP="00D21617">
      <w:pPr>
        <w:tabs>
          <w:tab w:val="left" w:pos="9540"/>
        </w:tabs>
        <w:ind w:right="-122"/>
        <w:rPr>
          <w:rFonts w:ascii="Arial" w:eastAsia="Arial Unicode MS" w:hAnsi="Arial" w:cs="Arial"/>
          <w:b/>
        </w:rPr>
      </w:pPr>
    </w:p>
    <w:p w:rsidR="005F443E" w:rsidRPr="00245DA0" w:rsidRDefault="005F443E" w:rsidP="00D21617">
      <w:pPr>
        <w:pStyle w:val="ListParagraph"/>
        <w:tabs>
          <w:tab w:val="left" w:pos="9540"/>
        </w:tabs>
        <w:spacing w:after="0" w:line="240" w:lineRule="auto"/>
        <w:ind w:left="0" w:right="-122"/>
        <w:rPr>
          <w:rFonts w:ascii="Arial" w:eastAsia="Arial Unicode MS" w:hAnsi="Arial" w:cs="Arial"/>
          <w:bCs/>
          <w:sz w:val="24"/>
          <w:szCs w:val="24"/>
        </w:rPr>
      </w:pPr>
      <w:r w:rsidRPr="00245DA0">
        <w:rPr>
          <w:rFonts w:ascii="Arial" w:eastAsia="Arial Unicode MS" w:hAnsi="Arial" w:cs="Arial"/>
          <w:bCs/>
          <w:sz w:val="24"/>
          <w:szCs w:val="24"/>
        </w:rPr>
        <w:t xml:space="preserve">As of </w:t>
      </w:r>
      <w:r w:rsidR="00A53536" w:rsidRPr="00245DA0">
        <w:rPr>
          <w:rFonts w:ascii="Arial" w:eastAsia="Arial Unicode MS" w:hAnsi="Arial" w:cs="Arial"/>
          <w:bCs/>
          <w:sz w:val="24"/>
          <w:szCs w:val="24"/>
        </w:rPr>
        <w:t>1</w:t>
      </w:r>
      <w:r w:rsidR="00245DA0">
        <w:rPr>
          <w:rFonts w:ascii="Arial" w:eastAsia="Arial Unicode MS" w:hAnsi="Arial" w:cs="Arial"/>
          <w:bCs/>
          <w:sz w:val="24"/>
          <w:szCs w:val="24"/>
        </w:rPr>
        <w:t xml:space="preserve"> November</w:t>
      </w:r>
      <w:r w:rsidR="00A13A86" w:rsidRPr="00245DA0">
        <w:rPr>
          <w:rFonts w:ascii="Arial" w:eastAsia="Arial Unicode MS" w:hAnsi="Arial" w:cs="Arial"/>
          <w:bCs/>
          <w:sz w:val="24"/>
          <w:szCs w:val="24"/>
        </w:rPr>
        <w:t xml:space="preserve"> </w:t>
      </w:r>
      <w:r w:rsidR="009B0F38" w:rsidRPr="00245DA0">
        <w:rPr>
          <w:rFonts w:ascii="Arial" w:eastAsia="Arial Unicode MS" w:hAnsi="Arial" w:cs="Arial"/>
          <w:bCs/>
          <w:sz w:val="24"/>
          <w:szCs w:val="24"/>
        </w:rPr>
        <w:t>2018</w:t>
      </w:r>
      <w:r w:rsidR="00884929">
        <w:rPr>
          <w:rFonts w:ascii="Arial" w:eastAsia="Arial Unicode MS" w:hAnsi="Arial" w:cs="Arial"/>
          <w:bCs/>
          <w:sz w:val="24"/>
          <w:szCs w:val="24"/>
        </w:rPr>
        <w:t>,</w:t>
      </w:r>
      <w:r w:rsidRPr="00245DA0">
        <w:rPr>
          <w:rFonts w:ascii="Arial" w:eastAsia="Arial Unicode MS" w:hAnsi="Arial" w:cs="Arial"/>
          <w:bCs/>
          <w:sz w:val="24"/>
          <w:szCs w:val="24"/>
        </w:rPr>
        <w:t xml:space="preserve"> there were </w:t>
      </w:r>
      <w:r w:rsidR="00245DA0">
        <w:rPr>
          <w:rFonts w:ascii="Arial" w:eastAsia="Arial Unicode MS" w:hAnsi="Arial" w:cs="Arial"/>
          <w:bCs/>
          <w:sz w:val="24"/>
          <w:szCs w:val="24"/>
        </w:rPr>
        <w:t>52</w:t>
      </w:r>
      <w:r w:rsidRPr="00245DA0">
        <w:rPr>
          <w:rFonts w:ascii="Arial" w:eastAsia="Arial Unicode MS" w:hAnsi="Arial" w:cs="Arial"/>
          <w:bCs/>
          <w:sz w:val="24"/>
          <w:szCs w:val="24"/>
        </w:rPr>
        <w:t xml:space="preserve"> patients </w:t>
      </w:r>
      <w:r w:rsidR="00170410" w:rsidRPr="00245DA0">
        <w:rPr>
          <w:rFonts w:ascii="Arial" w:eastAsia="Arial Unicode MS" w:hAnsi="Arial" w:cs="Arial"/>
          <w:bCs/>
          <w:sz w:val="24"/>
          <w:szCs w:val="24"/>
        </w:rPr>
        <w:t>(Figure</w:t>
      </w:r>
      <w:r w:rsidR="00B838B1" w:rsidRPr="00245DA0">
        <w:rPr>
          <w:rFonts w:ascii="Arial" w:eastAsia="Arial Unicode MS" w:hAnsi="Arial" w:cs="Arial"/>
          <w:bCs/>
          <w:sz w:val="24"/>
          <w:szCs w:val="24"/>
        </w:rPr>
        <w:t xml:space="preserve"> 4) </w:t>
      </w:r>
      <w:r w:rsidRPr="00245DA0">
        <w:rPr>
          <w:rFonts w:ascii="Arial" w:eastAsia="Arial Unicode MS" w:hAnsi="Arial" w:cs="Arial"/>
          <w:bCs/>
          <w:sz w:val="24"/>
          <w:szCs w:val="24"/>
        </w:rPr>
        <w:t>on the Thoracic Surgery Inpatient waiting list</w:t>
      </w:r>
      <w:r w:rsidR="00170410" w:rsidRPr="00245DA0">
        <w:rPr>
          <w:rFonts w:ascii="Arial" w:eastAsia="Arial Unicode MS" w:hAnsi="Arial" w:cs="Arial"/>
          <w:bCs/>
          <w:sz w:val="24"/>
          <w:szCs w:val="24"/>
        </w:rPr>
        <w:t>.</w:t>
      </w:r>
    </w:p>
    <w:p w:rsidR="005F443E" w:rsidRPr="00245DA0" w:rsidRDefault="005F443E" w:rsidP="00D21617">
      <w:pPr>
        <w:pStyle w:val="ListParagraph"/>
        <w:tabs>
          <w:tab w:val="left" w:pos="9540"/>
        </w:tabs>
        <w:spacing w:after="0" w:line="240" w:lineRule="auto"/>
        <w:ind w:left="0" w:right="-122"/>
        <w:rPr>
          <w:rFonts w:ascii="Arial" w:eastAsia="Arial Unicode MS" w:hAnsi="Arial" w:cs="Arial"/>
          <w:bCs/>
          <w:sz w:val="24"/>
          <w:szCs w:val="24"/>
        </w:rPr>
      </w:pPr>
    </w:p>
    <w:p w:rsidR="005F443E" w:rsidRPr="00245DA0" w:rsidRDefault="005F443E" w:rsidP="00D21617">
      <w:pPr>
        <w:pStyle w:val="ListParagraph"/>
        <w:tabs>
          <w:tab w:val="left" w:pos="9540"/>
        </w:tabs>
        <w:spacing w:after="0" w:line="240" w:lineRule="auto"/>
        <w:ind w:left="0" w:right="-122"/>
        <w:rPr>
          <w:rFonts w:ascii="Arial" w:eastAsia="Arial Unicode MS" w:hAnsi="Arial" w:cs="Arial"/>
          <w:bCs/>
          <w:sz w:val="24"/>
          <w:szCs w:val="24"/>
        </w:rPr>
      </w:pPr>
      <w:r w:rsidRPr="00245DA0">
        <w:rPr>
          <w:rFonts w:ascii="Arial" w:eastAsia="Arial Unicode MS" w:hAnsi="Arial" w:cs="Arial"/>
          <w:bCs/>
          <w:sz w:val="24"/>
          <w:szCs w:val="24"/>
        </w:rPr>
        <w:t xml:space="preserve">The distribution of patients is </w:t>
      </w:r>
      <w:r w:rsidR="00DB3B06">
        <w:rPr>
          <w:rFonts w:ascii="Arial" w:eastAsia="Arial Unicode MS" w:hAnsi="Arial" w:cs="Arial"/>
          <w:bCs/>
          <w:sz w:val="24"/>
          <w:szCs w:val="24"/>
        </w:rPr>
        <w:t>73</w:t>
      </w:r>
      <w:r w:rsidRPr="00245DA0">
        <w:rPr>
          <w:rFonts w:ascii="Arial" w:eastAsia="Arial Unicode MS" w:hAnsi="Arial" w:cs="Arial"/>
          <w:bCs/>
          <w:sz w:val="24"/>
          <w:szCs w:val="24"/>
        </w:rPr>
        <w:t>% (</w:t>
      </w:r>
      <w:r w:rsidR="00245DA0">
        <w:rPr>
          <w:rFonts w:ascii="Arial" w:eastAsia="Arial Unicode MS" w:hAnsi="Arial" w:cs="Arial"/>
          <w:bCs/>
          <w:sz w:val="24"/>
          <w:szCs w:val="24"/>
        </w:rPr>
        <w:t>38</w:t>
      </w:r>
      <w:r w:rsidR="00A13A86" w:rsidRPr="00245DA0">
        <w:rPr>
          <w:rFonts w:ascii="Arial" w:eastAsia="Arial Unicode MS" w:hAnsi="Arial" w:cs="Arial"/>
          <w:bCs/>
          <w:sz w:val="24"/>
          <w:szCs w:val="24"/>
        </w:rPr>
        <w:t xml:space="preserve"> patients</w:t>
      </w:r>
      <w:r w:rsidRPr="00245DA0">
        <w:rPr>
          <w:rFonts w:ascii="Arial" w:eastAsia="Arial Unicode MS" w:hAnsi="Arial" w:cs="Arial"/>
          <w:bCs/>
          <w:sz w:val="24"/>
          <w:szCs w:val="24"/>
        </w:rPr>
        <w:t>) on the available waiting list</w:t>
      </w:r>
      <w:r w:rsidR="00C56A35" w:rsidRPr="00245DA0">
        <w:rPr>
          <w:rFonts w:ascii="Arial" w:eastAsia="Arial Unicode MS" w:hAnsi="Arial" w:cs="Arial"/>
          <w:bCs/>
          <w:sz w:val="24"/>
          <w:szCs w:val="24"/>
        </w:rPr>
        <w:t xml:space="preserve"> and</w:t>
      </w:r>
      <w:r w:rsidR="00A13A86" w:rsidRPr="00245DA0">
        <w:rPr>
          <w:rFonts w:ascii="Arial" w:eastAsia="Arial Unicode MS" w:hAnsi="Arial" w:cs="Arial"/>
          <w:bCs/>
          <w:sz w:val="24"/>
          <w:szCs w:val="24"/>
        </w:rPr>
        <w:t xml:space="preserve"> </w:t>
      </w:r>
      <w:r w:rsidR="00DB3B06">
        <w:rPr>
          <w:rFonts w:ascii="Arial" w:eastAsia="Arial Unicode MS" w:hAnsi="Arial" w:cs="Arial"/>
          <w:bCs/>
          <w:sz w:val="24"/>
          <w:szCs w:val="24"/>
        </w:rPr>
        <w:t>27</w:t>
      </w:r>
      <w:r w:rsidRPr="00245DA0">
        <w:rPr>
          <w:rFonts w:ascii="Arial" w:eastAsia="Arial Unicode MS" w:hAnsi="Arial" w:cs="Arial"/>
          <w:bCs/>
          <w:sz w:val="24"/>
          <w:szCs w:val="24"/>
        </w:rPr>
        <w:t>% (</w:t>
      </w:r>
      <w:r w:rsidR="00140E1D" w:rsidRPr="00245DA0">
        <w:rPr>
          <w:rFonts w:ascii="Arial" w:eastAsia="Arial Unicode MS" w:hAnsi="Arial" w:cs="Arial"/>
          <w:bCs/>
          <w:sz w:val="24"/>
          <w:szCs w:val="24"/>
        </w:rPr>
        <w:t>1</w:t>
      </w:r>
      <w:r w:rsidR="00245DA0">
        <w:rPr>
          <w:rFonts w:ascii="Arial" w:eastAsia="Arial Unicode MS" w:hAnsi="Arial" w:cs="Arial"/>
          <w:bCs/>
          <w:sz w:val="24"/>
          <w:szCs w:val="24"/>
        </w:rPr>
        <w:t>4</w:t>
      </w:r>
      <w:r w:rsidR="00A13A86" w:rsidRPr="00245DA0">
        <w:rPr>
          <w:rFonts w:ascii="Arial" w:eastAsia="Arial Unicode MS" w:hAnsi="Arial" w:cs="Arial"/>
          <w:bCs/>
          <w:sz w:val="24"/>
          <w:szCs w:val="24"/>
        </w:rPr>
        <w:t xml:space="preserve"> patients</w:t>
      </w:r>
      <w:r w:rsidRPr="00245DA0">
        <w:rPr>
          <w:rFonts w:ascii="Arial" w:eastAsia="Arial Unicode MS" w:hAnsi="Arial" w:cs="Arial"/>
          <w:bCs/>
          <w:sz w:val="24"/>
          <w:szCs w:val="24"/>
        </w:rPr>
        <w:t>)</w:t>
      </w:r>
      <w:r w:rsidR="00C56A35" w:rsidRPr="00245DA0">
        <w:rPr>
          <w:rFonts w:ascii="Arial" w:eastAsia="Arial Unicode MS" w:hAnsi="Arial" w:cs="Arial"/>
          <w:bCs/>
          <w:sz w:val="24"/>
          <w:szCs w:val="24"/>
        </w:rPr>
        <w:t xml:space="preserve"> were</w:t>
      </w:r>
      <w:r w:rsidRPr="00245DA0">
        <w:rPr>
          <w:rFonts w:ascii="Arial" w:eastAsia="Arial Unicode MS" w:hAnsi="Arial" w:cs="Arial"/>
          <w:bCs/>
          <w:sz w:val="24"/>
          <w:szCs w:val="24"/>
        </w:rPr>
        <w:t xml:space="preserve"> on the unavailable list</w:t>
      </w:r>
      <w:r w:rsidR="00170410" w:rsidRPr="00245DA0">
        <w:rPr>
          <w:rFonts w:ascii="Arial" w:eastAsia="Arial Unicode MS" w:hAnsi="Arial" w:cs="Arial"/>
          <w:bCs/>
          <w:sz w:val="24"/>
          <w:szCs w:val="24"/>
        </w:rPr>
        <w:t>.</w:t>
      </w:r>
      <w:r w:rsidR="00B838B1" w:rsidRPr="00245DA0">
        <w:rPr>
          <w:rFonts w:ascii="Arial" w:eastAsia="Arial Unicode MS" w:hAnsi="Arial" w:cs="Arial"/>
          <w:bCs/>
          <w:sz w:val="24"/>
          <w:szCs w:val="24"/>
        </w:rPr>
        <w:t xml:space="preserve"> </w:t>
      </w:r>
    </w:p>
    <w:p w:rsidR="00E56440" w:rsidRPr="00245DA0" w:rsidRDefault="00E56440" w:rsidP="00D21617">
      <w:pPr>
        <w:pStyle w:val="ListParagraph"/>
        <w:tabs>
          <w:tab w:val="left" w:pos="9540"/>
        </w:tabs>
        <w:spacing w:after="0" w:line="240" w:lineRule="auto"/>
        <w:ind w:left="0" w:right="-122"/>
        <w:rPr>
          <w:rFonts w:ascii="Arial" w:eastAsia="Arial Unicode MS" w:hAnsi="Arial" w:cs="Arial"/>
          <w:bCs/>
          <w:sz w:val="24"/>
          <w:szCs w:val="24"/>
        </w:rPr>
      </w:pPr>
    </w:p>
    <w:p w:rsidR="00235F92" w:rsidRDefault="00050882" w:rsidP="00D21617">
      <w:pPr>
        <w:pStyle w:val="ListParagraph"/>
        <w:tabs>
          <w:tab w:val="left" w:pos="9540"/>
        </w:tabs>
        <w:spacing w:after="0" w:line="240" w:lineRule="auto"/>
        <w:ind w:left="0" w:right="-122"/>
        <w:rPr>
          <w:rFonts w:ascii="Arial" w:eastAsia="Arial Unicode MS" w:hAnsi="Arial" w:cs="Arial"/>
          <w:bCs/>
          <w:sz w:val="24"/>
          <w:szCs w:val="24"/>
        </w:rPr>
      </w:pPr>
      <w:r w:rsidRPr="00245DA0">
        <w:rPr>
          <w:rFonts w:ascii="Arial" w:eastAsia="Arial Unicode MS" w:hAnsi="Arial" w:cs="Arial"/>
          <w:bCs/>
          <w:sz w:val="24"/>
          <w:szCs w:val="24"/>
        </w:rPr>
        <w:t xml:space="preserve">Figure 5: </w:t>
      </w:r>
      <w:r w:rsidR="00E56440" w:rsidRPr="00245DA0">
        <w:rPr>
          <w:rFonts w:ascii="Arial" w:eastAsia="Arial Unicode MS" w:hAnsi="Arial" w:cs="Arial"/>
          <w:bCs/>
          <w:sz w:val="24"/>
          <w:szCs w:val="24"/>
        </w:rPr>
        <w:t xml:space="preserve">As a percentage of the total waiting list </w:t>
      </w:r>
      <w:r w:rsidR="00D367E0" w:rsidRPr="00245DA0">
        <w:rPr>
          <w:rFonts w:ascii="Arial" w:eastAsia="Arial Unicode MS" w:hAnsi="Arial" w:cs="Arial"/>
          <w:bCs/>
          <w:sz w:val="24"/>
          <w:szCs w:val="24"/>
        </w:rPr>
        <w:t xml:space="preserve">there </w:t>
      </w:r>
      <w:r w:rsidR="00ED24A1" w:rsidRPr="00245DA0">
        <w:rPr>
          <w:rFonts w:ascii="Arial" w:eastAsia="Arial Unicode MS" w:hAnsi="Arial" w:cs="Arial"/>
          <w:bCs/>
          <w:sz w:val="24"/>
          <w:szCs w:val="24"/>
        </w:rPr>
        <w:t xml:space="preserve">were </w:t>
      </w:r>
      <w:r w:rsidR="00AA763B">
        <w:rPr>
          <w:rFonts w:ascii="Arial" w:eastAsia="Arial Unicode MS" w:hAnsi="Arial" w:cs="Arial"/>
          <w:bCs/>
          <w:sz w:val="24"/>
          <w:szCs w:val="24"/>
        </w:rPr>
        <w:t>6</w:t>
      </w:r>
      <w:r w:rsidR="00140E1D" w:rsidRPr="00245DA0">
        <w:rPr>
          <w:rFonts w:ascii="Arial" w:eastAsia="Arial Unicode MS" w:hAnsi="Arial" w:cs="Arial"/>
          <w:bCs/>
          <w:sz w:val="24"/>
          <w:szCs w:val="24"/>
        </w:rPr>
        <w:t xml:space="preserve"> patients (</w:t>
      </w:r>
      <w:r w:rsidR="009133C7" w:rsidRPr="00245DA0">
        <w:rPr>
          <w:rFonts w:ascii="Arial" w:eastAsia="Arial Unicode MS" w:hAnsi="Arial" w:cs="Arial"/>
          <w:bCs/>
          <w:sz w:val="24"/>
          <w:szCs w:val="24"/>
        </w:rPr>
        <w:t>6</w:t>
      </w:r>
      <w:r w:rsidR="00140E1D" w:rsidRPr="00245DA0">
        <w:rPr>
          <w:rFonts w:ascii="Arial" w:eastAsia="Arial Unicode MS" w:hAnsi="Arial" w:cs="Arial"/>
          <w:bCs/>
          <w:sz w:val="24"/>
          <w:szCs w:val="24"/>
        </w:rPr>
        <w:t>%)</w:t>
      </w:r>
      <w:r w:rsidR="00170410" w:rsidRPr="00245DA0">
        <w:rPr>
          <w:rFonts w:ascii="Arial" w:eastAsia="Arial Unicode MS" w:hAnsi="Arial" w:cs="Arial"/>
          <w:bCs/>
          <w:sz w:val="24"/>
          <w:szCs w:val="24"/>
        </w:rPr>
        <w:t xml:space="preserve"> </w:t>
      </w:r>
      <w:r w:rsidR="00E56440" w:rsidRPr="00245DA0">
        <w:rPr>
          <w:rFonts w:ascii="Arial" w:eastAsia="Arial Unicode MS" w:hAnsi="Arial" w:cs="Arial"/>
          <w:bCs/>
          <w:sz w:val="24"/>
          <w:szCs w:val="24"/>
        </w:rPr>
        <w:t xml:space="preserve">medically unavailable </w:t>
      </w:r>
      <w:r w:rsidR="00D367E0" w:rsidRPr="00245DA0">
        <w:rPr>
          <w:rFonts w:ascii="Arial" w:eastAsia="Arial Unicode MS" w:hAnsi="Arial" w:cs="Arial"/>
          <w:bCs/>
          <w:sz w:val="24"/>
          <w:szCs w:val="24"/>
        </w:rPr>
        <w:t xml:space="preserve">patients </w:t>
      </w:r>
      <w:r w:rsidR="00E56440" w:rsidRPr="00245DA0">
        <w:rPr>
          <w:rFonts w:ascii="Arial" w:eastAsia="Arial Unicode MS" w:hAnsi="Arial" w:cs="Arial"/>
          <w:bCs/>
          <w:sz w:val="24"/>
          <w:szCs w:val="24"/>
        </w:rPr>
        <w:t xml:space="preserve">and </w:t>
      </w:r>
      <w:r w:rsidR="00830755" w:rsidRPr="00245DA0">
        <w:rPr>
          <w:rFonts w:ascii="Arial" w:eastAsia="Arial Unicode MS" w:hAnsi="Arial" w:cs="Arial"/>
          <w:bCs/>
          <w:sz w:val="24"/>
          <w:szCs w:val="24"/>
        </w:rPr>
        <w:t>8</w:t>
      </w:r>
      <w:r w:rsidR="00E56440" w:rsidRPr="00245DA0">
        <w:rPr>
          <w:rFonts w:ascii="Arial" w:eastAsia="Arial Unicode MS" w:hAnsi="Arial" w:cs="Arial"/>
          <w:bCs/>
          <w:sz w:val="24"/>
          <w:szCs w:val="24"/>
        </w:rPr>
        <w:t xml:space="preserve"> patient</w:t>
      </w:r>
      <w:r w:rsidR="00C54207" w:rsidRPr="00245DA0">
        <w:rPr>
          <w:rFonts w:ascii="Arial" w:eastAsia="Arial Unicode MS" w:hAnsi="Arial" w:cs="Arial"/>
          <w:bCs/>
          <w:sz w:val="24"/>
          <w:szCs w:val="24"/>
        </w:rPr>
        <w:t>s</w:t>
      </w:r>
      <w:r w:rsidR="00ED24A1" w:rsidRPr="00245DA0">
        <w:rPr>
          <w:rFonts w:ascii="Arial" w:eastAsia="Arial Unicode MS" w:hAnsi="Arial" w:cs="Arial"/>
          <w:bCs/>
          <w:sz w:val="24"/>
          <w:szCs w:val="24"/>
        </w:rPr>
        <w:t xml:space="preserve"> (</w:t>
      </w:r>
      <w:r w:rsidR="00140E1D" w:rsidRPr="00245DA0">
        <w:rPr>
          <w:rFonts w:ascii="Arial" w:eastAsia="Arial Unicode MS" w:hAnsi="Arial" w:cs="Arial"/>
          <w:bCs/>
          <w:sz w:val="24"/>
          <w:szCs w:val="24"/>
        </w:rPr>
        <w:t>1</w:t>
      </w:r>
      <w:r w:rsidR="009133C7" w:rsidRPr="00245DA0">
        <w:rPr>
          <w:rFonts w:ascii="Arial" w:eastAsia="Arial Unicode MS" w:hAnsi="Arial" w:cs="Arial"/>
          <w:bCs/>
          <w:sz w:val="24"/>
          <w:szCs w:val="24"/>
        </w:rPr>
        <w:t>2</w:t>
      </w:r>
      <w:r w:rsidR="00ED24A1" w:rsidRPr="00245DA0">
        <w:rPr>
          <w:rFonts w:ascii="Arial" w:eastAsia="Arial Unicode MS" w:hAnsi="Arial" w:cs="Arial"/>
          <w:bCs/>
          <w:sz w:val="24"/>
          <w:szCs w:val="24"/>
        </w:rPr>
        <w:t>%)</w:t>
      </w:r>
      <w:r w:rsidR="00E56440" w:rsidRPr="00245DA0">
        <w:rPr>
          <w:rFonts w:ascii="Arial" w:eastAsia="Arial Unicode MS" w:hAnsi="Arial" w:cs="Arial"/>
          <w:bCs/>
          <w:sz w:val="24"/>
          <w:szCs w:val="24"/>
        </w:rPr>
        <w:t xml:space="preserve"> advised </w:t>
      </w:r>
      <w:r w:rsidR="00ED24A1" w:rsidRPr="00245DA0">
        <w:rPr>
          <w:rFonts w:ascii="Arial" w:eastAsia="Arial Unicode MS" w:hAnsi="Arial" w:cs="Arial"/>
          <w:bCs/>
          <w:sz w:val="24"/>
          <w:szCs w:val="24"/>
        </w:rPr>
        <w:t xml:space="preserve">that they were </w:t>
      </w:r>
      <w:r w:rsidR="00E56440" w:rsidRPr="00245DA0">
        <w:rPr>
          <w:rFonts w:ascii="Arial" w:eastAsia="Arial Unicode MS" w:hAnsi="Arial" w:cs="Arial"/>
          <w:bCs/>
          <w:sz w:val="24"/>
          <w:szCs w:val="24"/>
        </w:rPr>
        <w:t>unavailab</w:t>
      </w:r>
      <w:r w:rsidR="002F6F39" w:rsidRPr="00245DA0">
        <w:rPr>
          <w:rFonts w:ascii="Arial" w:eastAsia="Arial Unicode MS" w:hAnsi="Arial" w:cs="Arial"/>
          <w:bCs/>
          <w:sz w:val="24"/>
          <w:szCs w:val="24"/>
        </w:rPr>
        <w:t>l</w:t>
      </w:r>
      <w:r w:rsidR="00ED24A1" w:rsidRPr="00245DA0">
        <w:rPr>
          <w:rFonts w:ascii="Arial" w:eastAsia="Arial Unicode MS" w:hAnsi="Arial" w:cs="Arial"/>
          <w:bCs/>
          <w:sz w:val="24"/>
          <w:szCs w:val="24"/>
        </w:rPr>
        <w:t>e</w:t>
      </w:r>
      <w:r w:rsidR="00E56440" w:rsidRPr="00245DA0">
        <w:rPr>
          <w:rFonts w:ascii="Arial" w:eastAsia="Arial Unicode MS" w:hAnsi="Arial" w:cs="Arial"/>
          <w:bCs/>
          <w:sz w:val="24"/>
          <w:szCs w:val="24"/>
        </w:rPr>
        <w:t>.</w:t>
      </w:r>
      <w:r w:rsidR="0067239F" w:rsidRPr="00245DA0">
        <w:rPr>
          <w:rFonts w:ascii="Arial" w:eastAsia="Arial Unicode MS" w:hAnsi="Arial" w:cs="Arial"/>
          <w:bCs/>
          <w:sz w:val="24"/>
          <w:szCs w:val="24"/>
        </w:rPr>
        <w:t xml:space="preserve">  </w:t>
      </w:r>
    </w:p>
    <w:p w:rsidR="00AA763B" w:rsidRPr="00245DA0" w:rsidRDefault="00AA763B" w:rsidP="00D21617">
      <w:pPr>
        <w:pStyle w:val="ListParagraph"/>
        <w:tabs>
          <w:tab w:val="left" w:pos="9540"/>
        </w:tabs>
        <w:spacing w:after="0" w:line="240" w:lineRule="auto"/>
        <w:ind w:left="0" w:right="-122"/>
        <w:rPr>
          <w:rFonts w:ascii="Arial" w:eastAsia="Arial Unicode MS" w:hAnsi="Arial" w:cs="Arial"/>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1"/>
        <w:gridCol w:w="6804"/>
      </w:tblGrid>
      <w:tr w:rsidR="00C80F88" w:rsidRPr="00245DA0" w:rsidTr="00055427">
        <w:tc>
          <w:tcPr>
            <w:tcW w:w="6771" w:type="dxa"/>
          </w:tcPr>
          <w:p w:rsidR="00C80F88" w:rsidRPr="00245DA0" w:rsidRDefault="00C80F88" w:rsidP="00D21617">
            <w:pPr>
              <w:pStyle w:val="ListParagraph"/>
              <w:tabs>
                <w:tab w:val="left" w:pos="9540"/>
              </w:tabs>
              <w:spacing w:after="0" w:line="240" w:lineRule="auto"/>
              <w:ind w:left="-142" w:right="-122"/>
              <w:rPr>
                <w:rFonts w:ascii="Arial" w:eastAsia="Arial Unicode MS" w:hAnsi="Arial" w:cs="Arial"/>
                <w:noProof/>
                <w:sz w:val="20"/>
                <w:szCs w:val="20"/>
                <w:lang w:eastAsia="en-GB"/>
              </w:rPr>
            </w:pPr>
            <w:r w:rsidRPr="00245DA0">
              <w:rPr>
                <w:rFonts w:ascii="Arial" w:eastAsia="Arial Unicode MS" w:hAnsi="Arial" w:cs="Arial"/>
                <w:noProof/>
                <w:sz w:val="20"/>
                <w:szCs w:val="20"/>
                <w:lang w:eastAsia="en-GB"/>
              </w:rPr>
              <w:t xml:space="preserve">Figure </w:t>
            </w:r>
            <w:r w:rsidR="00A13A86" w:rsidRPr="00245DA0">
              <w:rPr>
                <w:rFonts w:ascii="Arial" w:eastAsia="Arial Unicode MS" w:hAnsi="Arial" w:cs="Arial"/>
                <w:noProof/>
                <w:sz w:val="20"/>
                <w:szCs w:val="20"/>
                <w:lang w:eastAsia="en-GB"/>
              </w:rPr>
              <w:t>4</w:t>
            </w:r>
          </w:p>
        </w:tc>
        <w:tc>
          <w:tcPr>
            <w:tcW w:w="6804" w:type="dxa"/>
          </w:tcPr>
          <w:p w:rsidR="00C80F88" w:rsidRPr="00245DA0" w:rsidRDefault="00C80F88" w:rsidP="00D21617">
            <w:pPr>
              <w:pStyle w:val="ListParagraph"/>
              <w:tabs>
                <w:tab w:val="left" w:pos="9540"/>
              </w:tabs>
              <w:spacing w:after="0" w:line="240" w:lineRule="auto"/>
              <w:ind w:left="-108" w:right="-122"/>
              <w:rPr>
                <w:rFonts w:ascii="Arial" w:eastAsia="Arial Unicode MS" w:hAnsi="Arial" w:cs="Arial"/>
                <w:noProof/>
                <w:sz w:val="20"/>
                <w:szCs w:val="20"/>
                <w:lang w:eastAsia="en-GB"/>
              </w:rPr>
            </w:pPr>
            <w:r w:rsidRPr="00245DA0">
              <w:rPr>
                <w:rFonts w:ascii="Arial" w:eastAsia="Arial Unicode MS" w:hAnsi="Arial" w:cs="Arial"/>
                <w:noProof/>
                <w:sz w:val="20"/>
                <w:szCs w:val="20"/>
                <w:lang w:eastAsia="en-GB"/>
              </w:rPr>
              <w:t xml:space="preserve">Figure </w:t>
            </w:r>
            <w:r w:rsidR="00A13A86" w:rsidRPr="00245DA0">
              <w:rPr>
                <w:rFonts w:ascii="Arial" w:eastAsia="Arial Unicode MS" w:hAnsi="Arial" w:cs="Arial"/>
                <w:noProof/>
                <w:sz w:val="20"/>
                <w:szCs w:val="20"/>
                <w:lang w:eastAsia="en-GB"/>
              </w:rPr>
              <w:t>5</w:t>
            </w:r>
          </w:p>
        </w:tc>
      </w:tr>
      <w:tr w:rsidR="00235F92" w:rsidRPr="00723D08" w:rsidTr="004E6380">
        <w:trPr>
          <w:trHeight w:val="5550"/>
        </w:trPr>
        <w:tc>
          <w:tcPr>
            <w:tcW w:w="6771" w:type="dxa"/>
          </w:tcPr>
          <w:p w:rsidR="00235F92" w:rsidRPr="00723D08" w:rsidRDefault="00D11F57" w:rsidP="00D21617">
            <w:pPr>
              <w:pStyle w:val="ListParagraph"/>
              <w:tabs>
                <w:tab w:val="left" w:pos="9540"/>
              </w:tabs>
              <w:spacing w:after="0" w:line="240" w:lineRule="auto"/>
              <w:ind w:left="-142" w:right="-122"/>
              <w:rPr>
                <w:rFonts w:ascii="Arial" w:eastAsia="Arial Unicode MS" w:hAnsi="Arial" w:cs="Arial"/>
                <w:bCs/>
                <w:highlight w:val="yellow"/>
              </w:rPr>
            </w:pPr>
            <w:r>
              <w:rPr>
                <w:rFonts w:ascii="Arial" w:eastAsia="Arial Unicode MS" w:hAnsi="Arial" w:cs="Arial"/>
                <w:b/>
                <w:noProof/>
                <w:sz w:val="20"/>
                <w:szCs w:val="20"/>
                <w:lang w:eastAsia="en-GB"/>
              </w:rPr>
              <w:drawing>
                <wp:inline distT="0" distB="0" distL="0" distR="0">
                  <wp:extent cx="4209415" cy="3502025"/>
                  <wp:effectExtent l="19050" t="0" r="635" b="0"/>
                  <wp:docPr id="4" name="Picture 4" descr="11i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1iT0"/>
                          <pic:cNvPicPr>
                            <a:picLocks noChangeAspect="1" noChangeArrowheads="1"/>
                          </pic:cNvPicPr>
                        </pic:nvPicPr>
                        <pic:blipFill>
                          <a:blip r:embed="rId16" cstate="print"/>
                          <a:srcRect/>
                          <a:stretch>
                            <a:fillRect/>
                          </a:stretch>
                        </pic:blipFill>
                        <pic:spPr bwMode="auto">
                          <a:xfrm>
                            <a:off x="0" y="0"/>
                            <a:ext cx="4209415" cy="3502025"/>
                          </a:xfrm>
                          <a:prstGeom prst="rect">
                            <a:avLst/>
                          </a:prstGeom>
                          <a:noFill/>
                          <a:ln w="9525">
                            <a:noFill/>
                            <a:miter lim="800000"/>
                            <a:headEnd/>
                            <a:tailEnd/>
                          </a:ln>
                        </pic:spPr>
                      </pic:pic>
                    </a:graphicData>
                  </a:graphic>
                </wp:inline>
              </w:drawing>
            </w:r>
          </w:p>
        </w:tc>
        <w:tc>
          <w:tcPr>
            <w:tcW w:w="6804" w:type="dxa"/>
          </w:tcPr>
          <w:p w:rsidR="00235F92" w:rsidRPr="00723D08" w:rsidRDefault="00D11F57" w:rsidP="00D21617">
            <w:pPr>
              <w:pStyle w:val="ListParagraph"/>
              <w:tabs>
                <w:tab w:val="left" w:pos="9540"/>
              </w:tabs>
              <w:spacing w:after="0" w:line="240" w:lineRule="auto"/>
              <w:ind w:left="-108" w:right="-122"/>
              <w:rPr>
                <w:rFonts w:ascii="Arial" w:eastAsia="Arial Unicode MS" w:hAnsi="Arial" w:cs="Arial"/>
                <w:bCs/>
                <w:highlight w:val="yellow"/>
              </w:rPr>
            </w:pPr>
            <w:r>
              <w:rPr>
                <w:rFonts w:ascii="Arial" w:eastAsia="Arial Unicode MS" w:hAnsi="Arial" w:cs="Arial"/>
                <w:b/>
                <w:noProof/>
                <w:sz w:val="20"/>
                <w:szCs w:val="20"/>
                <w:lang w:eastAsia="en-GB"/>
              </w:rPr>
              <w:drawing>
                <wp:inline distT="0" distB="0" distL="0" distR="0">
                  <wp:extent cx="4209415" cy="3493770"/>
                  <wp:effectExtent l="19050" t="0" r="635" b="0"/>
                  <wp:docPr id="5" name="Picture 6" descr="9i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9iT0"/>
                          <pic:cNvPicPr>
                            <a:picLocks noChangeAspect="1" noChangeArrowheads="1"/>
                          </pic:cNvPicPr>
                        </pic:nvPicPr>
                        <pic:blipFill>
                          <a:blip r:embed="rId17" cstate="print"/>
                          <a:srcRect/>
                          <a:stretch>
                            <a:fillRect/>
                          </a:stretch>
                        </pic:blipFill>
                        <pic:spPr bwMode="auto">
                          <a:xfrm>
                            <a:off x="0" y="0"/>
                            <a:ext cx="4209415" cy="3493770"/>
                          </a:xfrm>
                          <a:prstGeom prst="rect">
                            <a:avLst/>
                          </a:prstGeom>
                          <a:noFill/>
                          <a:ln w="9525">
                            <a:noFill/>
                            <a:miter lim="800000"/>
                            <a:headEnd/>
                            <a:tailEnd/>
                          </a:ln>
                        </pic:spPr>
                      </pic:pic>
                    </a:graphicData>
                  </a:graphic>
                </wp:inline>
              </w:drawing>
            </w:r>
          </w:p>
        </w:tc>
      </w:tr>
    </w:tbl>
    <w:p w:rsidR="00E56440" w:rsidRPr="003442DD" w:rsidRDefault="00E56440" w:rsidP="00D21617">
      <w:pPr>
        <w:tabs>
          <w:tab w:val="left" w:pos="7560"/>
        </w:tabs>
        <w:spacing w:after="120"/>
        <w:ind w:right="-122"/>
        <w:rPr>
          <w:rFonts w:ascii="Arial" w:eastAsia="Arial Unicode MS" w:hAnsi="Arial" w:cs="Arial"/>
          <w:b/>
          <w:szCs w:val="22"/>
        </w:rPr>
      </w:pPr>
      <w:r w:rsidRPr="003442DD">
        <w:rPr>
          <w:rFonts w:ascii="Arial" w:eastAsia="Arial Unicode MS" w:hAnsi="Arial" w:cs="Arial"/>
          <w:b/>
          <w:szCs w:val="22"/>
        </w:rPr>
        <w:lastRenderedPageBreak/>
        <w:t>Cardiology</w:t>
      </w:r>
      <w:r w:rsidRPr="003442DD">
        <w:rPr>
          <w:rFonts w:ascii="Arial" w:eastAsia="Arial Unicode MS" w:hAnsi="Arial" w:cs="Arial"/>
          <w:b/>
          <w:bCs/>
          <w:szCs w:val="22"/>
        </w:rPr>
        <w:t xml:space="preserve"> </w:t>
      </w:r>
      <w:r w:rsidRPr="003442DD">
        <w:rPr>
          <w:rFonts w:ascii="Arial" w:eastAsia="Arial Unicode MS" w:hAnsi="Arial" w:cs="Arial"/>
          <w:b/>
          <w:szCs w:val="22"/>
        </w:rPr>
        <w:t xml:space="preserve">Inpatient Waiting List </w:t>
      </w:r>
    </w:p>
    <w:p w:rsidR="00A13A86" w:rsidRPr="003442DD" w:rsidRDefault="00050882" w:rsidP="00D21617">
      <w:pPr>
        <w:tabs>
          <w:tab w:val="left" w:pos="0"/>
        </w:tabs>
        <w:rPr>
          <w:rFonts w:ascii="Arial" w:eastAsia="Arial Unicode MS" w:hAnsi="Arial" w:cs="Arial"/>
          <w:szCs w:val="22"/>
        </w:rPr>
      </w:pPr>
      <w:r w:rsidRPr="003442DD">
        <w:rPr>
          <w:rFonts w:ascii="Arial" w:eastAsia="Arial Unicode MS" w:hAnsi="Arial" w:cs="Arial"/>
          <w:szCs w:val="22"/>
        </w:rPr>
        <w:t>Figure 6</w:t>
      </w:r>
      <w:r w:rsidR="00E56440" w:rsidRPr="003442DD">
        <w:rPr>
          <w:rFonts w:ascii="Arial" w:eastAsia="Arial Unicode MS" w:hAnsi="Arial" w:cs="Arial"/>
          <w:szCs w:val="22"/>
        </w:rPr>
        <w:t xml:space="preserve"> illustrates the number of cardiology patients on the waiting list </w:t>
      </w:r>
      <w:r w:rsidR="00D75895" w:rsidRPr="003442DD">
        <w:rPr>
          <w:rFonts w:ascii="Arial" w:eastAsia="Arial Unicode MS" w:hAnsi="Arial" w:cs="Arial"/>
          <w:szCs w:val="22"/>
        </w:rPr>
        <w:t>during</w:t>
      </w:r>
      <w:r w:rsidR="006138D0" w:rsidRPr="003442DD">
        <w:rPr>
          <w:rFonts w:ascii="Arial" w:eastAsia="Arial Unicode MS" w:hAnsi="Arial" w:cs="Arial"/>
          <w:szCs w:val="22"/>
        </w:rPr>
        <w:t xml:space="preserve"> </w:t>
      </w:r>
      <w:r w:rsidR="004F0CD6" w:rsidRPr="003442DD">
        <w:rPr>
          <w:rFonts w:ascii="Arial" w:eastAsia="Arial Unicode MS" w:hAnsi="Arial" w:cs="Arial"/>
          <w:szCs w:val="22"/>
        </w:rPr>
        <w:t>the last 26 weeks.</w:t>
      </w:r>
      <w:r w:rsidR="009621F6" w:rsidRPr="003442DD">
        <w:rPr>
          <w:rFonts w:ascii="Arial" w:eastAsia="Arial Unicode MS" w:hAnsi="Arial" w:cs="Arial"/>
          <w:szCs w:val="22"/>
        </w:rPr>
        <w:t xml:space="preserve"> </w:t>
      </w:r>
      <w:r w:rsidR="001A7CEC" w:rsidRPr="003442DD">
        <w:rPr>
          <w:rFonts w:ascii="Arial" w:eastAsia="Arial Unicode MS" w:hAnsi="Arial" w:cs="Arial"/>
          <w:szCs w:val="22"/>
        </w:rPr>
        <w:t>O</w:t>
      </w:r>
      <w:r w:rsidR="00E56440" w:rsidRPr="003442DD">
        <w:rPr>
          <w:rFonts w:ascii="Arial" w:eastAsia="Arial Unicode MS" w:hAnsi="Arial" w:cs="Arial"/>
          <w:szCs w:val="22"/>
        </w:rPr>
        <w:t>n</w:t>
      </w:r>
      <w:r w:rsidR="00EF769C" w:rsidRPr="003442DD">
        <w:rPr>
          <w:rFonts w:ascii="Arial" w:eastAsia="Arial Unicode MS" w:hAnsi="Arial" w:cs="Arial"/>
          <w:szCs w:val="22"/>
        </w:rPr>
        <w:t xml:space="preserve"> </w:t>
      </w:r>
      <w:r w:rsidR="00F3145F" w:rsidRPr="003442DD">
        <w:rPr>
          <w:rFonts w:ascii="Arial" w:eastAsia="Arial Unicode MS" w:hAnsi="Arial" w:cs="Arial"/>
          <w:szCs w:val="22"/>
        </w:rPr>
        <w:t>1</w:t>
      </w:r>
      <w:r w:rsidR="003442DD">
        <w:rPr>
          <w:rFonts w:ascii="Arial" w:eastAsia="Arial Unicode MS" w:hAnsi="Arial" w:cs="Arial"/>
          <w:szCs w:val="22"/>
        </w:rPr>
        <w:t xml:space="preserve"> November</w:t>
      </w:r>
      <w:r w:rsidR="009B0F38" w:rsidRPr="003442DD">
        <w:rPr>
          <w:rFonts w:ascii="Arial" w:eastAsia="Arial Unicode MS" w:hAnsi="Arial" w:cs="Arial"/>
          <w:szCs w:val="22"/>
        </w:rPr>
        <w:t xml:space="preserve"> 2018</w:t>
      </w:r>
      <w:r w:rsidR="00884929">
        <w:rPr>
          <w:rFonts w:ascii="Arial" w:eastAsia="Arial Unicode MS" w:hAnsi="Arial" w:cs="Arial"/>
          <w:szCs w:val="22"/>
        </w:rPr>
        <w:t>,</w:t>
      </w:r>
      <w:r w:rsidR="009B0F38" w:rsidRPr="003442DD">
        <w:rPr>
          <w:rFonts w:ascii="Arial" w:eastAsia="Arial Unicode MS" w:hAnsi="Arial" w:cs="Arial"/>
          <w:szCs w:val="22"/>
        </w:rPr>
        <w:t xml:space="preserve"> </w:t>
      </w:r>
      <w:r w:rsidR="00E56440" w:rsidRPr="003442DD">
        <w:rPr>
          <w:rFonts w:ascii="Arial" w:eastAsia="Arial Unicode MS" w:hAnsi="Arial" w:cs="Arial"/>
          <w:szCs w:val="22"/>
        </w:rPr>
        <w:t xml:space="preserve">a total of </w:t>
      </w:r>
      <w:r w:rsidR="00C85B2C" w:rsidRPr="003442DD">
        <w:rPr>
          <w:rFonts w:ascii="Arial" w:eastAsia="Arial Unicode MS" w:hAnsi="Arial" w:cs="Arial"/>
          <w:szCs w:val="22"/>
        </w:rPr>
        <w:t>1</w:t>
      </w:r>
      <w:r w:rsidR="00884929">
        <w:rPr>
          <w:rFonts w:ascii="Arial" w:eastAsia="Arial Unicode MS" w:hAnsi="Arial" w:cs="Arial"/>
          <w:szCs w:val="22"/>
        </w:rPr>
        <w:t>,</w:t>
      </w:r>
      <w:r w:rsidR="00C85B2C" w:rsidRPr="003442DD">
        <w:rPr>
          <w:rFonts w:ascii="Arial" w:eastAsia="Arial Unicode MS" w:hAnsi="Arial" w:cs="Arial"/>
          <w:szCs w:val="22"/>
        </w:rPr>
        <w:t>0</w:t>
      </w:r>
      <w:r w:rsidR="003442DD">
        <w:rPr>
          <w:rFonts w:ascii="Arial" w:eastAsia="Arial Unicode MS" w:hAnsi="Arial" w:cs="Arial"/>
          <w:szCs w:val="22"/>
        </w:rPr>
        <w:t xml:space="preserve">51 </w:t>
      </w:r>
      <w:r w:rsidR="00A91CDC" w:rsidRPr="003442DD">
        <w:rPr>
          <w:rFonts w:ascii="Arial" w:eastAsia="Arial Unicode MS" w:hAnsi="Arial" w:cs="Arial"/>
          <w:szCs w:val="22"/>
        </w:rPr>
        <w:t>p</w:t>
      </w:r>
      <w:r w:rsidR="00E56440" w:rsidRPr="003442DD">
        <w:rPr>
          <w:rFonts w:ascii="Arial" w:eastAsia="Arial Unicode MS" w:hAnsi="Arial" w:cs="Arial"/>
          <w:szCs w:val="22"/>
        </w:rPr>
        <w:t xml:space="preserve">atients were on the cardiology waiting list with around </w:t>
      </w:r>
      <w:r w:rsidR="00605799" w:rsidRPr="003442DD">
        <w:rPr>
          <w:rFonts w:ascii="Arial" w:eastAsia="Arial Unicode MS" w:hAnsi="Arial" w:cs="Arial"/>
          <w:szCs w:val="22"/>
        </w:rPr>
        <w:t>9</w:t>
      </w:r>
      <w:r w:rsidR="005D6106" w:rsidRPr="003442DD">
        <w:rPr>
          <w:rFonts w:ascii="Arial" w:eastAsia="Arial Unicode MS" w:hAnsi="Arial" w:cs="Arial"/>
          <w:szCs w:val="22"/>
        </w:rPr>
        <w:t>6</w:t>
      </w:r>
      <w:r w:rsidR="00501B8E" w:rsidRPr="003442DD">
        <w:rPr>
          <w:rFonts w:ascii="Arial" w:eastAsia="Arial Unicode MS" w:hAnsi="Arial" w:cs="Arial"/>
          <w:szCs w:val="22"/>
        </w:rPr>
        <w:t>%</w:t>
      </w:r>
      <w:r w:rsidR="00E56440" w:rsidRPr="003442DD">
        <w:rPr>
          <w:rFonts w:ascii="Arial" w:eastAsia="Arial Unicode MS" w:hAnsi="Arial" w:cs="Arial"/>
          <w:szCs w:val="22"/>
        </w:rPr>
        <w:t xml:space="preserve"> (</w:t>
      </w:r>
      <w:r w:rsidR="003442DD">
        <w:rPr>
          <w:rFonts w:ascii="Arial" w:eastAsia="Arial Unicode MS" w:hAnsi="Arial" w:cs="Arial"/>
          <w:szCs w:val="22"/>
        </w:rPr>
        <w:t>1</w:t>
      </w:r>
      <w:r w:rsidR="00884929">
        <w:rPr>
          <w:rFonts w:ascii="Arial" w:eastAsia="Arial Unicode MS" w:hAnsi="Arial" w:cs="Arial"/>
          <w:szCs w:val="22"/>
        </w:rPr>
        <w:t>,</w:t>
      </w:r>
      <w:r w:rsidR="003442DD">
        <w:rPr>
          <w:rFonts w:ascii="Arial" w:eastAsia="Arial Unicode MS" w:hAnsi="Arial" w:cs="Arial"/>
          <w:szCs w:val="22"/>
        </w:rPr>
        <w:t>026</w:t>
      </w:r>
      <w:r w:rsidR="00884929" w:rsidRPr="00884929">
        <w:rPr>
          <w:rFonts w:ascii="Arial" w:eastAsia="Arial Unicode MS" w:hAnsi="Arial" w:cs="Arial"/>
          <w:szCs w:val="22"/>
        </w:rPr>
        <w:t xml:space="preserve"> </w:t>
      </w:r>
      <w:r w:rsidR="00884929" w:rsidRPr="003442DD">
        <w:rPr>
          <w:rFonts w:ascii="Arial" w:eastAsia="Arial Unicode MS" w:hAnsi="Arial" w:cs="Arial"/>
          <w:szCs w:val="22"/>
        </w:rPr>
        <w:t>patients</w:t>
      </w:r>
      <w:r w:rsidR="00E56440" w:rsidRPr="003442DD">
        <w:rPr>
          <w:rFonts w:ascii="Arial" w:eastAsia="Arial Unicode MS" w:hAnsi="Arial" w:cs="Arial"/>
          <w:szCs w:val="22"/>
        </w:rPr>
        <w:t>) on the available list</w:t>
      </w:r>
      <w:r w:rsidR="00E80039" w:rsidRPr="003442DD">
        <w:rPr>
          <w:rFonts w:ascii="Arial" w:eastAsia="Arial Unicode MS" w:hAnsi="Arial" w:cs="Arial"/>
          <w:szCs w:val="22"/>
        </w:rPr>
        <w:t>.</w:t>
      </w:r>
      <w:r w:rsidR="001A7CEC" w:rsidRPr="003442DD">
        <w:rPr>
          <w:rFonts w:ascii="Arial" w:eastAsia="Arial Unicode MS" w:hAnsi="Arial" w:cs="Arial"/>
          <w:szCs w:val="22"/>
        </w:rPr>
        <w:t xml:space="preserve"> In addition to this,</w:t>
      </w:r>
      <w:r w:rsidR="00E56440" w:rsidRPr="003442DD">
        <w:rPr>
          <w:rFonts w:ascii="Arial" w:eastAsia="Arial Unicode MS" w:hAnsi="Arial" w:cs="Arial"/>
          <w:szCs w:val="22"/>
        </w:rPr>
        <w:t xml:space="preserve"> </w:t>
      </w:r>
      <w:r w:rsidR="005D6106" w:rsidRPr="003442DD">
        <w:rPr>
          <w:rFonts w:ascii="Arial" w:eastAsia="Arial Unicode MS" w:hAnsi="Arial" w:cs="Arial"/>
          <w:szCs w:val="22"/>
        </w:rPr>
        <w:t>4</w:t>
      </w:r>
      <w:r w:rsidR="00E56440" w:rsidRPr="003442DD">
        <w:rPr>
          <w:rFonts w:ascii="Arial" w:eastAsia="Arial Unicode MS" w:hAnsi="Arial" w:cs="Arial"/>
          <w:szCs w:val="22"/>
        </w:rPr>
        <w:t>% (</w:t>
      </w:r>
      <w:r w:rsidR="003442DD">
        <w:rPr>
          <w:rFonts w:ascii="Arial" w:eastAsia="Arial Unicode MS" w:hAnsi="Arial" w:cs="Arial"/>
          <w:szCs w:val="22"/>
        </w:rPr>
        <w:t>25</w:t>
      </w:r>
      <w:r w:rsidR="00E56440" w:rsidRPr="003442DD">
        <w:rPr>
          <w:rFonts w:ascii="Arial" w:eastAsia="Arial Unicode MS" w:hAnsi="Arial" w:cs="Arial"/>
          <w:szCs w:val="22"/>
        </w:rPr>
        <w:t>)</w:t>
      </w:r>
      <w:r w:rsidR="00E80039" w:rsidRPr="003442DD">
        <w:rPr>
          <w:rFonts w:ascii="Arial" w:eastAsia="Arial Unicode MS" w:hAnsi="Arial" w:cs="Arial"/>
          <w:szCs w:val="22"/>
        </w:rPr>
        <w:t xml:space="preserve"> of patients were</w:t>
      </w:r>
      <w:r w:rsidR="00E56440" w:rsidRPr="003442DD">
        <w:rPr>
          <w:rFonts w:ascii="Arial" w:eastAsia="Arial Unicode MS" w:hAnsi="Arial" w:cs="Arial"/>
          <w:szCs w:val="22"/>
        </w:rPr>
        <w:t xml:space="preserve"> unavailable.</w:t>
      </w:r>
      <w:r w:rsidR="00E80039" w:rsidRPr="003442DD">
        <w:rPr>
          <w:rFonts w:ascii="Arial" w:eastAsia="Arial Unicode MS" w:hAnsi="Arial" w:cs="Arial"/>
          <w:szCs w:val="22"/>
        </w:rPr>
        <w:t xml:space="preserve"> </w:t>
      </w:r>
      <w:r w:rsidR="00C85B2C" w:rsidRPr="003442DD">
        <w:rPr>
          <w:rFonts w:ascii="Arial" w:eastAsia="Arial Unicode MS" w:hAnsi="Arial" w:cs="Arial"/>
          <w:szCs w:val="22"/>
        </w:rPr>
        <w:t xml:space="preserve">The </w:t>
      </w:r>
      <w:r w:rsidR="00E80039" w:rsidRPr="003442DD">
        <w:rPr>
          <w:rFonts w:ascii="Arial" w:eastAsia="Arial Unicode MS" w:hAnsi="Arial" w:cs="Arial"/>
          <w:szCs w:val="22"/>
        </w:rPr>
        <w:t>number of people on</w:t>
      </w:r>
      <w:r w:rsidR="00E56440" w:rsidRPr="003442DD">
        <w:rPr>
          <w:rFonts w:ascii="Arial" w:eastAsia="Arial Unicode MS" w:hAnsi="Arial" w:cs="Arial"/>
          <w:szCs w:val="22"/>
        </w:rPr>
        <w:t xml:space="preserve"> </w:t>
      </w:r>
      <w:r w:rsidR="001A7CEC" w:rsidRPr="003442DD">
        <w:rPr>
          <w:rFonts w:ascii="Arial" w:eastAsia="Arial Unicode MS" w:hAnsi="Arial" w:cs="Arial"/>
          <w:szCs w:val="22"/>
        </w:rPr>
        <w:t xml:space="preserve">the cardiology inpatient waiting list has </w:t>
      </w:r>
      <w:r w:rsidR="003442DD">
        <w:rPr>
          <w:rFonts w:ascii="Arial" w:eastAsia="Arial Unicode MS" w:hAnsi="Arial" w:cs="Arial"/>
          <w:szCs w:val="22"/>
        </w:rPr>
        <w:t>increased</w:t>
      </w:r>
      <w:r w:rsidR="001A7CEC" w:rsidRPr="003442DD">
        <w:rPr>
          <w:rFonts w:ascii="Arial" w:eastAsia="Arial Unicode MS" w:hAnsi="Arial" w:cs="Arial"/>
          <w:szCs w:val="22"/>
        </w:rPr>
        <w:t xml:space="preserve"> by </w:t>
      </w:r>
      <w:r w:rsidR="003442DD">
        <w:rPr>
          <w:rFonts w:ascii="Arial" w:eastAsia="Arial Unicode MS" w:hAnsi="Arial" w:cs="Arial"/>
          <w:szCs w:val="22"/>
        </w:rPr>
        <w:t>3</w:t>
      </w:r>
      <w:r w:rsidR="001A7CEC" w:rsidRPr="003442DD">
        <w:rPr>
          <w:rFonts w:ascii="Arial" w:eastAsia="Arial Unicode MS" w:hAnsi="Arial" w:cs="Arial"/>
          <w:szCs w:val="22"/>
        </w:rPr>
        <w:t>% on the previous reporting period</w:t>
      </w:r>
      <w:r w:rsidR="00C057D8" w:rsidRPr="003442DD">
        <w:rPr>
          <w:rFonts w:ascii="Arial" w:eastAsia="Arial Unicode MS" w:hAnsi="Arial" w:cs="Arial"/>
          <w:szCs w:val="22"/>
        </w:rPr>
        <w:t xml:space="preserve"> (</w:t>
      </w:r>
      <w:r w:rsidR="003442DD">
        <w:rPr>
          <w:rFonts w:ascii="Arial" w:eastAsia="Arial Unicode MS" w:hAnsi="Arial" w:cs="Arial"/>
          <w:szCs w:val="22"/>
        </w:rPr>
        <w:t xml:space="preserve">up </w:t>
      </w:r>
      <w:r w:rsidR="00F3145F" w:rsidRPr="003442DD">
        <w:rPr>
          <w:rFonts w:ascii="Arial" w:eastAsia="Arial Unicode MS" w:hAnsi="Arial" w:cs="Arial"/>
          <w:szCs w:val="22"/>
        </w:rPr>
        <w:t>from</w:t>
      </w:r>
      <w:r w:rsidR="00C057D8" w:rsidRPr="003442DD">
        <w:rPr>
          <w:rFonts w:ascii="Arial" w:eastAsia="Arial Unicode MS" w:hAnsi="Arial" w:cs="Arial"/>
          <w:szCs w:val="22"/>
        </w:rPr>
        <w:t xml:space="preserve"> </w:t>
      </w:r>
      <w:r w:rsidR="007B3C54" w:rsidRPr="003442DD">
        <w:rPr>
          <w:rFonts w:ascii="Arial" w:eastAsia="Arial Unicode MS" w:hAnsi="Arial" w:cs="Arial"/>
          <w:szCs w:val="22"/>
        </w:rPr>
        <w:t>1</w:t>
      </w:r>
      <w:r w:rsidR="00884929">
        <w:rPr>
          <w:rFonts w:ascii="Arial" w:eastAsia="Arial Unicode MS" w:hAnsi="Arial" w:cs="Arial"/>
          <w:szCs w:val="22"/>
        </w:rPr>
        <w:t>,</w:t>
      </w:r>
      <w:r w:rsidR="007B3C54" w:rsidRPr="003442DD">
        <w:rPr>
          <w:rFonts w:ascii="Arial" w:eastAsia="Arial Unicode MS" w:hAnsi="Arial" w:cs="Arial"/>
          <w:szCs w:val="22"/>
        </w:rPr>
        <w:t>0</w:t>
      </w:r>
      <w:r w:rsidR="003442DD">
        <w:rPr>
          <w:rFonts w:ascii="Arial" w:eastAsia="Arial Unicode MS" w:hAnsi="Arial" w:cs="Arial"/>
          <w:szCs w:val="22"/>
        </w:rPr>
        <w:t>18</w:t>
      </w:r>
      <w:r w:rsidR="00C057D8" w:rsidRPr="003442DD">
        <w:rPr>
          <w:rFonts w:ascii="Arial" w:eastAsia="Arial Unicode MS" w:hAnsi="Arial" w:cs="Arial"/>
          <w:szCs w:val="22"/>
        </w:rPr>
        <w:t xml:space="preserve"> patients)</w:t>
      </w:r>
      <w:r w:rsidR="001A7CEC" w:rsidRPr="003442DD">
        <w:rPr>
          <w:rFonts w:ascii="Arial" w:eastAsia="Arial Unicode MS" w:hAnsi="Arial" w:cs="Arial"/>
          <w:szCs w:val="22"/>
        </w:rPr>
        <w:t>.</w:t>
      </w:r>
    </w:p>
    <w:p w:rsidR="001A7CEC" w:rsidRPr="003442DD" w:rsidRDefault="001A7CEC" w:rsidP="00D21617">
      <w:pPr>
        <w:tabs>
          <w:tab w:val="left" w:pos="10440"/>
        </w:tabs>
        <w:ind w:right="-122"/>
        <w:rPr>
          <w:rFonts w:ascii="Arial" w:eastAsia="Arial Unicode MS" w:hAnsi="Arial" w:cs="Arial"/>
          <w:sz w:val="22"/>
          <w:szCs w:val="22"/>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65"/>
      </w:tblGrid>
      <w:tr w:rsidR="00A13A86" w:rsidRPr="003442DD" w:rsidTr="00055427">
        <w:tc>
          <w:tcPr>
            <w:tcW w:w="10065" w:type="dxa"/>
          </w:tcPr>
          <w:p w:rsidR="00A13A86" w:rsidRPr="003442DD" w:rsidRDefault="00A13A86" w:rsidP="00D21617">
            <w:pPr>
              <w:tabs>
                <w:tab w:val="left" w:pos="10440"/>
              </w:tabs>
              <w:ind w:right="-122"/>
              <w:rPr>
                <w:rFonts w:ascii="Arial" w:hAnsi="Arial" w:cs="Arial"/>
                <w:noProof/>
                <w:sz w:val="22"/>
                <w:szCs w:val="22"/>
                <w:lang w:eastAsia="en-GB"/>
              </w:rPr>
            </w:pPr>
            <w:r w:rsidRPr="003442DD">
              <w:rPr>
                <w:rFonts w:ascii="Arial" w:hAnsi="Arial" w:cs="Arial"/>
                <w:noProof/>
                <w:sz w:val="22"/>
                <w:szCs w:val="22"/>
                <w:lang w:eastAsia="en-GB"/>
              </w:rPr>
              <w:t xml:space="preserve">Figure </w:t>
            </w:r>
            <w:r w:rsidR="00272179" w:rsidRPr="003442DD">
              <w:rPr>
                <w:rFonts w:ascii="Arial" w:hAnsi="Arial" w:cs="Arial"/>
                <w:noProof/>
                <w:sz w:val="22"/>
                <w:szCs w:val="22"/>
                <w:lang w:eastAsia="en-GB"/>
              </w:rPr>
              <w:t>6</w:t>
            </w:r>
          </w:p>
        </w:tc>
      </w:tr>
      <w:tr w:rsidR="00A13A86" w:rsidRPr="00723D08" w:rsidTr="00055427">
        <w:tc>
          <w:tcPr>
            <w:tcW w:w="10065" w:type="dxa"/>
          </w:tcPr>
          <w:p w:rsidR="00A13A86" w:rsidRPr="00723D08" w:rsidRDefault="00D11F57" w:rsidP="00D21617">
            <w:pPr>
              <w:tabs>
                <w:tab w:val="left" w:pos="10440"/>
              </w:tabs>
              <w:ind w:left="-108" w:right="-122"/>
              <w:rPr>
                <w:rFonts w:ascii="Arial" w:hAnsi="Arial" w:cs="Arial"/>
                <w:color w:val="FF0000"/>
                <w:sz w:val="22"/>
                <w:szCs w:val="22"/>
                <w:highlight w:val="yellow"/>
              </w:rPr>
            </w:pPr>
            <w:r>
              <w:rPr>
                <w:rFonts w:ascii="Arial" w:hAnsi="Arial" w:cs="Arial"/>
                <w:noProof/>
                <w:color w:val="FF0000"/>
                <w:sz w:val="22"/>
                <w:szCs w:val="22"/>
                <w:lang w:eastAsia="en-GB"/>
              </w:rPr>
              <w:drawing>
                <wp:inline distT="0" distB="0" distL="0" distR="0">
                  <wp:extent cx="5374005" cy="3795395"/>
                  <wp:effectExtent l="19050" t="0" r="0" b="0"/>
                  <wp:docPr id="6" name="Picture 1" descr="11i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iT0"/>
                          <pic:cNvPicPr>
                            <a:picLocks noChangeAspect="1" noChangeArrowheads="1"/>
                          </pic:cNvPicPr>
                        </pic:nvPicPr>
                        <pic:blipFill>
                          <a:blip r:embed="rId18" cstate="print"/>
                          <a:srcRect/>
                          <a:stretch>
                            <a:fillRect/>
                          </a:stretch>
                        </pic:blipFill>
                        <pic:spPr bwMode="auto">
                          <a:xfrm>
                            <a:off x="0" y="0"/>
                            <a:ext cx="5374005" cy="3795395"/>
                          </a:xfrm>
                          <a:prstGeom prst="rect">
                            <a:avLst/>
                          </a:prstGeom>
                          <a:noFill/>
                          <a:ln w="9525">
                            <a:noFill/>
                            <a:miter lim="800000"/>
                            <a:headEnd/>
                            <a:tailEnd/>
                          </a:ln>
                        </pic:spPr>
                      </pic:pic>
                    </a:graphicData>
                  </a:graphic>
                </wp:inline>
              </w:drawing>
            </w:r>
          </w:p>
        </w:tc>
      </w:tr>
    </w:tbl>
    <w:p w:rsidR="00742320" w:rsidRPr="00723D08" w:rsidRDefault="00742320" w:rsidP="00D21617">
      <w:pPr>
        <w:spacing w:after="120"/>
        <w:rPr>
          <w:rFonts w:ascii="Arial" w:eastAsia="Arial Unicode MS" w:hAnsi="Arial" w:cs="Arial"/>
          <w:b/>
          <w:sz w:val="22"/>
          <w:szCs w:val="22"/>
          <w:highlight w:val="yellow"/>
        </w:rPr>
      </w:pPr>
    </w:p>
    <w:sectPr w:rsidR="00742320" w:rsidRPr="00723D08" w:rsidSect="00956539">
      <w:footerReference w:type="default" r:id="rId19"/>
      <w:pgSz w:w="16838" w:h="11906" w:orient="landscape"/>
      <w:pgMar w:top="1440" w:right="1440" w:bottom="1440" w:left="1440" w:header="709" w:footer="4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EC5" w:rsidRDefault="00295EC5">
      <w:r>
        <w:separator/>
      </w:r>
    </w:p>
  </w:endnote>
  <w:endnote w:type="continuationSeparator" w:id="0">
    <w:p w:rsidR="00295EC5" w:rsidRDefault="00295E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82D" w:rsidRDefault="00FE482C" w:rsidP="006475A5">
    <w:pPr>
      <w:pStyle w:val="Footer"/>
      <w:framePr w:wrap="around" w:vAnchor="text" w:hAnchor="margin" w:xAlign="right" w:y="1"/>
      <w:rPr>
        <w:rStyle w:val="PageNumber"/>
      </w:rPr>
    </w:pPr>
    <w:r>
      <w:rPr>
        <w:rStyle w:val="PageNumber"/>
      </w:rPr>
      <w:fldChar w:fldCharType="begin"/>
    </w:r>
    <w:r w:rsidR="0014682D">
      <w:rPr>
        <w:rStyle w:val="PageNumber"/>
      </w:rPr>
      <w:instrText xml:space="preserve">PAGE  </w:instrText>
    </w:r>
    <w:r>
      <w:rPr>
        <w:rStyle w:val="PageNumber"/>
      </w:rPr>
      <w:fldChar w:fldCharType="end"/>
    </w:r>
  </w:p>
  <w:p w:rsidR="0014682D" w:rsidRDefault="0014682D" w:rsidP="006475A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82D" w:rsidRPr="00D21617" w:rsidRDefault="0014682D" w:rsidP="006475A5">
    <w:pPr>
      <w:pStyle w:val="Footer"/>
      <w:pBdr>
        <w:top w:val="single" w:sz="4" w:space="1" w:color="000000"/>
      </w:pBdr>
      <w:tabs>
        <w:tab w:val="left" w:pos="180"/>
        <w:tab w:val="center" w:pos="6810"/>
        <w:tab w:val="right" w:pos="13620"/>
      </w:tabs>
      <w:ind w:right="360"/>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82D" w:rsidRPr="00513DB0" w:rsidRDefault="0014682D" w:rsidP="00D21617">
    <w:pPr>
      <w:jc w:val="center"/>
      <w:rPr>
        <w:rFonts w:ascii="Arial" w:hAnsi="Arial" w:cs="Arial"/>
        <w:sz w:val="20"/>
        <w:szCs w:val="20"/>
      </w:rPr>
    </w:pPr>
    <w:r>
      <w:rPr>
        <w:rStyle w:val="PageNumber"/>
        <w:rFonts w:ascii="Arial" w:hAnsi="Arial" w:cs="Arial"/>
      </w:rPr>
      <w:t>_______________________________________________________________________</w:t>
    </w:r>
    <w:r>
      <w:rPr>
        <w:rStyle w:val="PageNumber"/>
        <w:rFonts w:ascii="Arial" w:hAnsi="Arial" w:cs="Arial"/>
      </w:rPr>
      <w:br/>
    </w:r>
    <w:r>
      <w:rPr>
        <w:rStyle w:val="PageNumber"/>
        <w:rFonts w:ascii="Arial" w:hAnsi="Arial" w:cs="Arial"/>
      </w:rPr>
      <w:br/>
    </w:r>
    <w:r w:rsidR="00FE482C" w:rsidRPr="00513DB0">
      <w:rPr>
        <w:rStyle w:val="PageNumber"/>
        <w:rFonts w:ascii="Arial" w:hAnsi="Arial" w:cs="Arial"/>
      </w:rPr>
      <w:fldChar w:fldCharType="begin"/>
    </w:r>
    <w:r w:rsidRPr="00513DB0">
      <w:rPr>
        <w:rStyle w:val="PageNumber"/>
        <w:rFonts w:ascii="Arial" w:hAnsi="Arial" w:cs="Arial"/>
      </w:rPr>
      <w:instrText xml:space="preserve"> PAGE </w:instrText>
    </w:r>
    <w:r w:rsidR="00FE482C" w:rsidRPr="00513DB0">
      <w:rPr>
        <w:rStyle w:val="PageNumber"/>
        <w:rFonts w:ascii="Arial" w:hAnsi="Arial" w:cs="Arial"/>
      </w:rPr>
      <w:fldChar w:fldCharType="separate"/>
    </w:r>
    <w:r w:rsidR="00520F76">
      <w:rPr>
        <w:rStyle w:val="PageNumber"/>
        <w:rFonts w:ascii="Arial" w:hAnsi="Arial" w:cs="Arial"/>
        <w:noProof/>
      </w:rPr>
      <w:t>1</w:t>
    </w:r>
    <w:r w:rsidR="00FE482C" w:rsidRPr="00513DB0">
      <w:rPr>
        <w:rStyle w:val="PageNumber"/>
        <w:rFonts w:ascii="Arial" w:hAnsi="Arial" w:cs="Arial"/>
      </w:rPr>
      <w:fldChar w:fldCharType="end"/>
    </w:r>
  </w:p>
  <w:p w:rsidR="0014682D" w:rsidRDefault="0014682D" w:rsidP="00D21617">
    <w:pPr>
      <w:ind w:right="184"/>
      <w:jc w:val="center"/>
      <w:rPr>
        <w:rFonts w:ascii="Arial" w:hAnsi="Arial" w:cs="Arial"/>
        <w:sz w:val="20"/>
        <w:szCs w:val="20"/>
      </w:rPr>
    </w:pPr>
  </w:p>
  <w:p w:rsidR="0014682D" w:rsidRPr="00D21617" w:rsidRDefault="00D11F57" w:rsidP="00D21617">
    <w:pPr>
      <w:pStyle w:val="Title"/>
      <w:ind w:right="184"/>
      <w:jc w:val="left"/>
      <w:outlineLvl w:val="0"/>
      <w:rPr>
        <w:rFonts w:ascii="Arial" w:hAnsi="Arial" w:cs="Arial"/>
        <w:sz w:val="18"/>
        <w:szCs w:val="18"/>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5709920</wp:posOffset>
          </wp:positionH>
          <wp:positionV relativeFrom="paragraph">
            <wp:posOffset>48895</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r>
      <w:rPr>
        <w:rFonts w:ascii="Arial" w:hAnsi="Arial" w:cs="Arial"/>
        <w:noProof/>
        <w:sz w:val="18"/>
        <w:szCs w:val="18"/>
        <w:lang w:eastAsia="en-GB"/>
      </w:rPr>
      <w:drawing>
        <wp:anchor distT="0" distB="0" distL="114300" distR="114300" simplePos="0" relativeHeight="251656704" behindDoc="0" locked="0" layoutInCell="1" allowOverlap="1">
          <wp:simplePos x="0" y="0"/>
          <wp:positionH relativeFrom="column">
            <wp:posOffset>8416290</wp:posOffset>
          </wp:positionH>
          <wp:positionV relativeFrom="paragraph">
            <wp:posOffset>-27305</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r w:rsidR="0014682D">
      <w:rPr>
        <w:rFonts w:ascii="Arial" w:hAnsi="Arial" w:cs="Arial"/>
        <w:sz w:val="18"/>
        <w:szCs w:val="18"/>
      </w:rPr>
      <w:t>T</w:t>
    </w:r>
    <w:r w:rsidR="0014682D" w:rsidRPr="008F5DB5">
      <w:rPr>
        <w:rFonts w:ascii="Arial" w:hAnsi="Arial" w:cs="Arial"/>
        <w:sz w:val="18"/>
        <w:szCs w:val="18"/>
      </w:rPr>
      <w:t xml:space="preserve">he Golden Jubilee Foundation is the </w:t>
    </w:r>
    <w:r w:rsidR="0014682D">
      <w:rPr>
        <w:rFonts w:ascii="Arial" w:hAnsi="Arial" w:cs="Arial"/>
        <w:sz w:val="18"/>
        <w:szCs w:val="18"/>
      </w:rPr>
      <w:t>new brand</w:t>
    </w:r>
    <w:r w:rsidR="0014682D" w:rsidRPr="008F5DB5">
      <w:rPr>
        <w:rFonts w:ascii="Arial" w:hAnsi="Arial" w:cs="Arial"/>
        <w:sz w:val="18"/>
        <w:szCs w:val="18"/>
      </w:rPr>
      <w:t xml:space="preserve"> name for the NHS National Waiting Times Centre</w:t>
    </w:r>
    <w:r w:rsidR="0014682D">
      <w:rPr>
        <w:rFonts w:ascii="Arial" w:hAnsi="Arial" w:cs="Arial"/>
        <w:sz w:val="18"/>
        <w:szCs w:val="18"/>
      </w:rPr>
      <w:t xml:space="preserve">. </w:t>
    </w:r>
  </w:p>
  <w:p w:rsidR="0014682D" w:rsidRPr="00D21617" w:rsidRDefault="0014682D" w:rsidP="00D21617">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82D" w:rsidRPr="00513DB0" w:rsidRDefault="0014682D" w:rsidP="00C24B4E">
    <w:pPr>
      <w:jc w:val="center"/>
      <w:rPr>
        <w:rFonts w:ascii="Arial" w:hAnsi="Arial" w:cs="Arial"/>
        <w:sz w:val="20"/>
        <w:szCs w:val="20"/>
      </w:rPr>
    </w:pPr>
    <w:r>
      <w:rPr>
        <w:rStyle w:val="PageNumber"/>
        <w:rFonts w:ascii="Arial" w:hAnsi="Arial" w:cs="Arial"/>
      </w:rPr>
      <w:t>________________________________________________________________________________________________________</w:t>
    </w:r>
    <w:r>
      <w:rPr>
        <w:rStyle w:val="PageNumber"/>
        <w:rFonts w:ascii="Arial" w:hAnsi="Arial" w:cs="Arial"/>
      </w:rPr>
      <w:br/>
    </w:r>
    <w:r>
      <w:rPr>
        <w:rStyle w:val="PageNumber"/>
        <w:rFonts w:ascii="Arial" w:hAnsi="Arial" w:cs="Arial"/>
      </w:rPr>
      <w:br/>
    </w:r>
    <w:r w:rsidR="00FE482C" w:rsidRPr="00513DB0">
      <w:rPr>
        <w:rStyle w:val="PageNumber"/>
        <w:rFonts w:ascii="Arial" w:hAnsi="Arial" w:cs="Arial"/>
      </w:rPr>
      <w:fldChar w:fldCharType="begin"/>
    </w:r>
    <w:r w:rsidRPr="00513DB0">
      <w:rPr>
        <w:rStyle w:val="PageNumber"/>
        <w:rFonts w:ascii="Arial" w:hAnsi="Arial" w:cs="Arial"/>
      </w:rPr>
      <w:instrText xml:space="preserve"> PAGE </w:instrText>
    </w:r>
    <w:r w:rsidR="00FE482C" w:rsidRPr="00513DB0">
      <w:rPr>
        <w:rStyle w:val="PageNumber"/>
        <w:rFonts w:ascii="Arial" w:hAnsi="Arial" w:cs="Arial"/>
      </w:rPr>
      <w:fldChar w:fldCharType="separate"/>
    </w:r>
    <w:r w:rsidR="00520F76">
      <w:rPr>
        <w:rStyle w:val="PageNumber"/>
        <w:rFonts w:ascii="Arial" w:hAnsi="Arial" w:cs="Arial"/>
        <w:noProof/>
      </w:rPr>
      <w:t>19</w:t>
    </w:r>
    <w:r w:rsidR="00FE482C" w:rsidRPr="00513DB0">
      <w:rPr>
        <w:rStyle w:val="PageNumber"/>
        <w:rFonts w:ascii="Arial" w:hAnsi="Arial" w:cs="Arial"/>
      </w:rPr>
      <w:fldChar w:fldCharType="end"/>
    </w:r>
  </w:p>
  <w:p w:rsidR="0014682D" w:rsidRDefault="0014682D" w:rsidP="00C24B4E">
    <w:pPr>
      <w:ind w:right="184"/>
      <w:jc w:val="center"/>
      <w:rPr>
        <w:rFonts w:ascii="Arial" w:hAnsi="Arial" w:cs="Arial"/>
        <w:sz w:val="20"/>
        <w:szCs w:val="20"/>
      </w:rPr>
    </w:pPr>
  </w:p>
  <w:p w:rsidR="0014682D" w:rsidRPr="008F5DB5" w:rsidRDefault="00D11F57" w:rsidP="00C24B4E">
    <w:pPr>
      <w:pStyle w:val="Title"/>
      <w:ind w:right="184"/>
      <w:jc w:val="left"/>
      <w:outlineLvl w:val="0"/>
      <w:rPr>
        <w:rFonts w:ascii="Arial" w:hAnsi="Arial" w:cs="Arial"/>
        <w:sz w:val="18"/>
        <w:szCs w:val="18"/>
      </w:rPr>
    </w:pPr>
    <w:r>
      <w:rPr>
        <w:rFonts w:ascii="Arial" w:hAnsi="Arial" w:cs="Arial"/>
        <w:noProof/>
        <w:sz w:val="18"/>
        <w:szCs w:val="18"/>
        <w:lang w:eastAsia="en-GB"/>
      </w:rPr>
      <w:drawing>
        <wp:anchor distT="0" distB="0" distL="114300" distR="114300" simplePos="0" relativeHeight="251658752" behindDoc="0" locked="0" layoutInCell="1" allowOverlap="1">
          <wp:simplePos x="0" y="0"/>
          <wp:positionH relativeFrom="column">
            <wp:posOffset>8416290</wp:posOffset>
          </wp:positionH>
          <wp:positionV relativeFrom="paragraph">
            <wp:posOffset>-27305</wp:posOffset>
          </wp:positionV>
          <wp:extent cx="518160" cy="340995"/>
          <wp:effectExtent l="19050" t="0" r="0" b="0"/>
          <wp:wrapNone/>
          <wp:docPr id="3" name="Picture 3"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r w:rsidR="0014682D">
      <w:rPr>
        <w:rFonts w:ascii="Arial" w:hAnsi="Arial" w:cs="Arial"/>
        <w:sz w:val="18"/>
        <w:szCs w:val="18"/>
      </w:rPr>
      <w:t>T</w:t>
    </w:r>
    <w:r w:rsidR="0014682D" w:rsidRPr="008F5DB5">
      <w:rPr>
        <w:rFonts w:ascii="Arial" w:hAnsi="Arial" w:cs="Arial"/>
        <w:sz w:val="18"/>
        <w:szCs w:val="18"/>
      </w:rPr>
      <w:t xml:space="preserve">he Golden Jubilee Foundation is the </w:t>
    </w:r>
    <w:r w:rsidR="0014682D">
      <w:rPr>
        <w:rFonts w:ascii="Arial" w:hAnsi="Arial" w:cs="Arial"/>
        <w:sz w:val="18"/>
        <w:szCs w:val="18"/>
      </w:rPr>
      <w:t>new brand</w:t>
    </w:r>
    <w:r w:rsidR="0014682D" w:rsidRPr="008F5DB5">
      <w:rPr>
        <w:rFonts w:ascii="Arial" w:hAnsi="Arial" w:cs="Arial"/>
        <w:sz w:val="18"/>
        <w:szCs w:val="18"/>
      </w:rPr>
      <w:t xml:space="preserve"> name for the NHS National Waiting Times Centre</w:t>
    </w:r>
    <w:r w:rsidR="0014682D">
      <w:rPr>
        <w:rFonts w:ascii="Arial" w:hAnsi="Arial" w:cs="Arial"/>
        <w:sz w:val="18"/>
        <w:szCs w:val="18"/>
      </w:rPr>
      <w:t>.</w:t>
    </w:r>
  </w:p>
  <w:p w:rsidR="0014682D" w:rsidRPr="00EA4869" w:rsidRDefault="0014682D" w:rsidP="00C24B4E">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EC5" w:rsidRDefault="00295EC5">
      <w:r>
        <w:separator/>
      </w:r>
    </w:p>
  </w:footnote>
  <w:footnote w:type="continuationSeparator" w:id="0">
    <w:p w:rsidR="00295EC5" w:rsidRDefault="00295E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82D" w:rsidRPr="00D21617" w:rsidRDefault="0014682D" w:rsidP="00D21617">
    <w:pPr>
      <w:pStyle w:val="Header"/>
      <w:jc w:val="right"/>
      <w:rPr>
        <w:rFonts w:ascii="Arial" w:hAnsi="Arial" w:cs="Arial"/>
        <w:b/>
        <w:color w:val="002060"/>
      </w:rPr>
    </w:pPr>
    <w:r w:rsidRPr="00D21617">
      <w:rPr>
        <w:rFonts w:ascii="Arial" w:hAnsi="Arial" w:cs="Arial"/>
        <w:b/>
        <w:color w:val="002060"/>
      </w:rPr>
      <w:t>Item 7.1</w:t>
    </w:r>
  </w:p>
  <w:p w:rsidR="0014682D" w:rsidRDefault="001468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82D" w:rsidRPr="00D21617" w:rsidRDefault="0014682D" w:rsidP="00D21617">
    <w:pPr>
      <w:pStyle w:val="Header"/>
      <w:jc w:val="right"/>
      <w:rPr>
        <w:rFonts w:ascii="Arial" w:hAnsi="Arial" w:cs="Arial"/>
        <w:b/>
        <w:color w:val="002060"/>
      </w:rPr>
    </w:pPr>
    <w:r w:rsidRPr="00D21617">
      <w:rPr>
        <w:rFonts w:ascii="Arial" w:hAnsi="Arial" w:cs="Arial"/>
        <w:b/>
        <w:color w:val="002060"/>
      </w:rPr>
      <w:t>Item 7.1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56B9B"/>
    <w:multiLevelType w:val="hybridMultilevel"/>
    <w:tmpl w:val="9A1ED71A"/>
    <w:lvl w:ilvl="0" w:tplc="F0022788">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1">
    <w:nsid w:val="61B4035F"/>
    <w:multiLevelType w:val="hybridMultilevel"/>
    <w:tmpl w:val="20B41944"/>
    <w:lvl w:ilvl="0" w:tplc="D5C207B0">
      <w:start w:val="1"/>
      <w:numFmt w:val="decimal"/>
      <w:lvlText w:val="%1"/>
      <w:lvlJc w:val="left"/>
      <w:pPr>
        <w:tabs>
          <w:tab w:val="num" w:pos="1080"/>
        </w:tabs>
        <w:ind w:left="1080" w:hanging="720"/>
      </w:pPr>
      <w:rPr>
        <w:rFonts w:hint="default"/>
      </w:rPr>
    </w:lvl>
    <w:lvl w:ilvl="1" w:tplc="7EB44FFC">
      <w:start w:val="1"/>
      <w:numFmt w:val="bullet"/>
      <w:lvlText w:val=""/>
      <w:lvlJc w:val="left"/>
      <w:pPr>
        <w:tabs>
          <w:tab w:val="num" w:pos="796"/>
        </w:tabs>
        <w:ind w:left="1080" w:firstLine="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6D1632D0"/>
    <w:multiLevelType w:val="hybridMultilevel"/>
    <w:tmpl w:val="17EE44E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num w:numId="1">
    <w:abstractNumId w:val="1"/>
  </w:num>
  <w:num w:numId="2">
    <w:abstractNumId w:val="0"/>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02FBB"/>
    <w:rsid w:val="00006824"/>
    <w:rsid w:val="000071F6"/>
    <w:rsid w:val="0001031A"/>
    <w:rsid w:val="000111E0"/>
    <w:rsid w:val="0001238C"/>
    <w:rsid w:val="0001429D"/>
    <w:rsid w:val="0001688B"/>
    <w:rsid w:val="00017AFC"/>
    <w:rsid w:val="00020844"/>
    <w:rsid w:val="00021B44"/>
    <w:rsid w:val="0002289D"/>
    <w:rsid w:val="00023F82"/>
    <w:rsid w:val="00030BA6"/>
    <w:rsid w:val="000319BB"/>
    <w:rsid w:val="00031FAD"/>
    <w:rsid w:val="00032FF9"/>
    <w:rsid w:val="000360D7"/>
    <w:rsid w:val="000378C2"/>
    <w:rsid w:val="00037AB7"/>
    <w:rsid w:val="000400C9"/>
    <w:rsid w:val="000407AF"/>
    <w:rsid w:val="000409B9"/>
    <w:rsid w:val="00040EF1"/>
    <w:rsid w:val="000417B9"/>
    <w:rsid w:val="00042075"/>
    <w:rsid w:val="0004224A"/>
    <w:rsid w:val="00042F52"/>
    <w:rsid w:val="00044CE1"/>
    <w:rsid w:val="00050882"/>
    <w:rsid w:val="00051402"/>
    <w:rsid w:val="00051812"/>
    <w:rsid w:val="00055237"/>
    <w:rsid w:val="00055427"/>
    <w:rsid w:val="000601F3"/>
    <w:rsid w:val="00060633"/>
    <w:rsid w:val="00061FF1"/>
    <w:rsid w:val="00065239"/>
    <w:rsid w:val="00066480"/>
    <w:rsid w:val="00070DE1"/>
    <w:rsid w:val="000715F8"/>
    <w:rsid w:val="0007286B"/>
    <w:rsid w:val="00072EC5"/>
    <w:rsid w:val="00073824"/>
    <w:rsid w:val="00073A26"/>
    <w:rsid w:val="00075041"/>
    <w:rsid w:val="00075AAA"/>
    <w:rsid w:val="00076410"/>
    <w:rsid w:val="0008388A"/>
    <w:rsid w:val="00084044"/>
    <w:rsid w:val="00084952"/>
    <w:rsid w:val="000874ED"/>
    <w:rsid w:val="00087E81"/>
    <w:rsid w:val="00087F97"/>
    <w:rsid w:val="000902FA"/>
    <w:rsid w:val="000915A3"/>
    <w:rsid w:val="00091F48"/>
    <w:rsid w:val="00092EA9"/>
    <w:rsid w:val="00093532"/>
    <w:rsid w:val="0009482C"/>
    <w:rsid w:val="0009609E"/>
    <w:rsid w:val="000963F1"/>
    <w:rsid w:val="000975F3"/>
    <w:rsid w:val="00097EAE"/>
    <w:rsid w:val="000A4C75"/>
    <w:rsid w:val="000A5803"/>
    <w:rsid w:val="000A7198"/>
    <w:rsid w:val="000B0A8F"/>
    <w:rsid w:val="000B1397"/>
    <w:rsid w:val="000B2771"/>
    <w:rsid w:val="000B2F35"/>
    <w:rsid w:val="000B46B2"/>
    <w:rsid w:val="000B4973"/>
    <w:rsid w:val="000B5779"/>
    <w:rsid w:val="000B5923"/>
    <w:rsid w:val="000B5D41"/>
    <w:rsid w:val="000B5E05"/>
    <w:rsid w:val="000B5ECE"/>
    <w:rsid w:val="000B6161"/>
    <w:rsid w:val="000B63E5"/>
    <w:rsid w:val="000B7014"/>
    <w:rsid w:val="000B7F9C"/>
    <w:rsid w:val="000C0231"/>
    <w:rsid w:val="000C1ABD"/>
    <w:rsid w:val="000C2740"/>
    <w:rsid w:val="000C3809"/>
    <w:rsid w:val="000C4AD3"/>
    <w:rsid w:val="000C53A6"/>
    <w:rsid w:val="000C5C16"/>
    <w:rsid w:val="000C70A2"/>
    <w:rsid w:val="000C7A02"/>
    <w:rsid w:val="000D172A"/>
    <w:rsid w:val="000D2AD0"/>
    <w:rsid w:val="000D2BAC"/>
    <w:rsid w:val="000D2FF0"/>
    <w:rsid w:val="000D3A8F"/>
    <w:rsid w:val="000D5A30"/>
    <w:rsid w:val="000D6590"/>
    <w:rsid w:val="000D6D7C"/>
    <w:rsid w:val="000D73D9"/>
    <w:rsid w:val="000E097D"/>
    <w:rsid w:val="000E0DFE"/>
    <w:rsid w:val="000E0E29"/>
    <w:rsid w:val="000E2C3D"/>
    <w:rsid w:val="000E34FA"/>
    <w:rsid w:val="000E42AF"/>
    <w:rsid w:val="000E5D15"/>
    <w:rsid w:val="000E635C"/>
    <w:rsid w:val="000E6C0E"/>
    <w:rsid w:val="000F0ADD"/>
    <w:rsid w:val="000F25C1"/>
    <w:rsid w:val="000F2A35"/>
    <w:rsid w:val="000F3261"/>
    <w:rsid w:val="000F32AE"/>
    <w:rsid w:val="000F384A"/>
    <w:rsid w:val="000F3E90"/>
    <w:rsid w:val="000F44E1"/>
    <w:rsid w:val="000F47D3"/>
    <w:rsid w:val="000F5FD1"/>
    <w:rsid w:val="00101B88"/>
    <w:rsid w:val="0010262A"/>
    <w:rsid w:val="00102A4A"/>
    <w:rsid w:val="00104367"/>
    <w:rsid w:val="00104AB5"/>
    <w:rsid w:val="001051A6"/>
    <w:rsid w:val="0010584D"/>
    <w:rsid w:val="00106FBF"/>
    <w:rsid w:val="00110CCF"/>
    <w:rsid w:val="001138B2"/>
    <w:rsid w:val="00115F6F"/>
    <w:rsid w:val="00115F97"/>
    <w:rsid w:val="001175E5"/>
    <w:rsid w:val="001213EF"/>
    <w:rsid w:val="001222A7"/>
    <w:rsid w:val="001222C2"/>
    <w:rsid w:val="001246A7"/>
    <w:rsid w:val="0013378D"/>
    <w:rsid w:val="00137780"/>
    <w:rsid w:val="00137D39"/>
    <w:rsid w:val="00140866"/>
    <w:rsid w:val="00140E1D"/>
    <w:rsid w:val="001419B8"/>
    <w:rsid w:val="001434C6"/>
    <w:rsid w:val="0014614C"/>
    <w:rsid w:val="0014682D"/>
    <w:rsid w:val="00147735"/>
    <w:rsid w:val="00147BA0"/>
    <w:rsid w:val="0015017D"/>
    <w:rsid w:val="00152103"/>
    <w:rsid w:val="00153DD2"/>
    <w:rsid w:val="001543AA"/>
    <w:rsid w:val="00154B6A"/>
    <w:rsid w:val="00155AE1"/>
    <w:rsid w:val="00155FA8"/>
    <w:rsid w:val="00156864"/>
    <w:rsid w:val="00157495"/>
    <w:rsid w:val="00157B53"/>
    <w:rsid w:val="0016010C"/>
    <w:rsid w:val="00160AD6"/>
    <w:rsid w:val="00163169"/>
    <w:rsid w:val="001632AB"/>
    <w:rsid w:val="00163B2D"/>
    <w:rsid w:val="001640B0"/>
    <w:rsid w:val="0016508B"/>
    <w:rsid w:val="001655DD"/>
    <w:rsid w:val="00165EE3"/>
    <w:rsid w:val="00167469"/>
    <w:rsid w:val="00170410"/>
    <w:rsid w:val="001707EF"/>
    <w:rsid w:val="001723C0"/>
    <w:rsid w:val="00173E00"/>
    <w:rsid w:val="00174719"/>
    <w:rsid w:val="0017569B"/>
    <w:rsid w:val="00176BEA"/>
    <w:rsid w:val="00176E07"/>
    <w:rsid w:val="001820F7"/>
    <w:rsid w:val="001823A8"/>
    <w:rsid w:val="0019484E"/>
    <w:rsid w:val="00195111"/>
    <w:rsid w:val="001964A2"/>
    <w:rsid w:val="00196504"/>
    <w:rsid w:val="00197E91"/>
    <w:rsid w:val="001A1471"/>
    <w:rsid w:val="001A2B65"/>
    <w:rsid w:val="001A3177"/>
    <w:rsid w:val="001A351B"/>
    <w:rsid w:val="001A3BD8"/>
    <w:rsid w:val="001A457C"/>
    <w:rsid w:val="001A5477"/>
    <w:rsid w:val="001A67EF"/>
    <w:rsid w:val="001A7CEC"/>
    <w:rsid w:val="001B050C"/>
    <w:rsid w:val="001B18E9"/>
    <w:rsid w:val="001B3167"/>
    <w:rsid w:val="001B32BC"/>
    <w:rsid w:val="001B3A49"/>
    <w:rsid w:val="001B3CCE"/>
    <w:rsid w:val="001B45EC"/>
    <w:rsid w:val="001B4AB4"/>
    <w:rsid w:val="001B70A8"/>
    <w:rsid w:val="001B729F"/>
    <w:rsid w:val="001C0844"/>
    <w:rsid w:val="001C211D"/>
    <w:rsid w:val="001C2208"/>
    <w:rsid w:val="001C28A9"/>
    <w:rsid w:val="001C28CB"/>
    <w:rsid w:val="001C2B46"/>
    <w:rsid w:val="001C403D"/>
    <w:rsid w:val="001C4FDA"/>
    <w:rsid w:val="001C5519"/>
    <w:rsid w:val="001C578C"/>
    <w:rsid w:val="001D119F"/>
    <w:rsid w:val="001D1C57"/>
    <w:rsid w:val="001D35F6"/>
    <w:rsid w:val="001D3969"/>
    <w:rsid w:val="001D5120"/>
    <w:rsid w:val="001D56F3"/>
    <w:rsid w:val="001D63A8"/>
    <w:rsid w:val="001D6C83"/>
    <w:rsid w:val="001D7CD0"/>
    <w:rsid w:val="001D7EE8"/>
    <w:rsid w:val="001E159D"/>
    <w:rsid w:val="001E2A5A"/>
    <w:rsid w:val="001E4377"/>
    <w:rsid w:val="001E4CC2"/>
    <w:rsid w:val="001E53AF"/>
    <w:rsid w:val="001E5587"/>
    <w:rsid w:val="001E66B9"/>
    <w:rsid w:val="001E6DB2"/>
    <w:rsid w:val="001E7C84"/>
    <w:rsid w:val="001F2498"/>
    <w:rsid w:val="001F2796"/>
    <w:rsid w:val="001F3E95"/>
    <w:rsid w:val="001F444C"/>
    <w:rsid w:val="001F4803"/>
    <w:rsid w:val="001F6260"/>
    <w:rsid w:val="001F7928"/>
    <w:rsid w:val="00200335"/>
    <w:rsid w:val="00200DFA"/>
    <w:rsid w:val="00201AEC"/>
    <w:rsid w:val="00201F0D"/>
    <w:rsid w:val="00201F6A"/>
    <w:rsid w:val="002024A7"/>
    <w:rsid w:val="00202D2D"/>
    <w:rsid w:val="00204906"/>
    <w:rsid w:val="00204FCC"/>
    <w:rsid w:val="00207605"/>
    <w:rsid w:val="00207E03"/>
    <w:rsid w:val="002101E4"/>
    <w:rsid w:val="0021095A"/>
    <w:rsid w:val="00210F5D"/>
    <w:rsid w:val="002116BE"/>
    <w:rsid w:val="002129D6"/>
    <w:rsid w:val="0021471C"/>
    <w:rsid w:val="00216798"/>
    <w:rsid w:val="00217B6D"/>
    <w:rsid w:val="00217BA4"/>
    <w:rsid w:val="00220DDF"/>
    <w:rsid w:val="00220FE8"/>
    <w:rsid w:val="00221C99"/>
    <w:rsid w:val="00221F9E"/>
    <w:rsid w:val="00222247"/>
    <w:rsid w:val="00222F06"/>
    <w:rsid w:val="00226523"/>
    <w:rsid w:val="00230ED0"/>
    <w:rsid w:val="00233154"/>
    <w:rsid w:val="00233208"/>
    <w:rsid w:val="00234167"/>
    <w:rsid w:val="00234AFD"/>
    <w:rsid w:val="00235F92"/>
    <w:rsid w:val="00236B17"/>
    <w:rsid w:val="00237269"/>
    <w:rsid w:val="0024092F"/>
    <w:rsid w:val="002428BB"/>
    <w:rsid w:val="00242C4E"/>
    <w:rsid w:val="00243AB1"/>
    <w:rsid w:val="00245A1E"/>
    <w:rsid w:val="00245DA0"/>
    <w:rsid w:val="002479BE"/>
    <w:rsid w:val="00247D5E"/>
    <w:rsid w:val="00247EC9"/>
    <w:rsid w:val="00251753"/>
    <w:rsid w:val="00252305"/>
    <w:rsid w:val="002524F5"/>
    <w:rsid w:val="00252EAF"/>
    <w:rsid w:val="00254B45"/>
    <w:rsid w:val="00255046"/>
    <w:rsid w:val="00255D0D"/>
    <w:rsid w:val="002566BA"/>
    <w:rsid w:val="002576B2"/>
    <w:rsid w:val="00261E63"/>
    <w:rsid w:val="00262DF0"/>
    <w:rsid w:val="00264FBF"/>
    <w:rsid w:val="00265892"/>
    <w:rsid w:val="00266729"/>
    <w:rsid w:val="0026703F"/>
    <w:rsid w:val="00272179"/>
    <w:rsid w:val="00274374"/>
    <w:rsid w:val="00276C1F"/>
    <w:rsid w:val="002778BF"/>
    <w:rsid w:val="00277B6A"/>
    <w:rsid w:val="00281962"/>
    <w:rsid w:val="00282063"/>
    <w:rsid w:val="00283347"/>
    <w:rsid w:val="00283BDA"/>
    <w:rsid w:val="002840F5"/>
    <w:rsid w:val="00284149"/>
    <w:rsid w:val="00284476"/>
    <w:rsid w:val="00285891"/>
    <w:rsid w:val="00285F42"/>
    <w:rsid w:val="002861A4"/>
    <w:rsid w:val="00286E53"/>
    <w:rsid w:val="00287405"/>
    <w:rsid w:val="00290182"/>
    <w:rsid w:val="00290CE3"/>
    <w:rsid w:val="00291085"/>
    <w:rsid w:val="00292679"/>
    <w:rsid w:val="002935CF"/>
    <w:rsid w:val="0029434F"/>
    <w:rsid w:val="00294823"/>
    <w:rsid w:val="00295012"/>
    <w:rsid w:val="00295184"/>
    <w:rsid w:val="00295EC5"/>
    <w:rsid w:val="00296B52"/>
    <w:rsid w:val="002A027D"/>
    <w:rsid w:val="002A1276"/>
    <w:rsid w:val="002A21CB"/>
    <w:rsid w:val="002A22D1"/>
    <w:rsid w:val="002A3613"/>
    <w:rsid w:val="002A3DE1"/>
    <w:rsid w:val="002A42DD"/>
    <w:rsid w:val="002A476D"/>
    <w:rsid w:val="002A4F22"/>
    <w:rsid w:val="002A5267"/>
    <w:rsid w:val="002A72FC"/>
    <w:rsid w:val="002A7E5B"/>
    <w:rsid w:val="002B0B5A"/>
    <w:rsid w:val="002B5C38"/>
    <w:rsid w:val="002B7B68"/>
    <w:rsid w:val="002C01A6"/>
    <w:rsid w:val="002C05AF"/>
    <w:rsid w:val="002C05D5"/>
    <w:rsid w:val="002C1917"/>
    <w:rsid w:val="002C348E"/>
    <w:rsid w:val="002C399E"/>
    <w:rsid w:val="002C3B90"/>
    <w:rsid w:val="002C40D5"/>
    <w:rsid w:val="002C438B"/>
    <w:rsid w:val="002C4EC5"/>
    <w:rsid w:val="002C51D3"/>
    <w:rsid w:val="002C73C1"/>
    <w:rsid w:val="002D0C58"/>
    <w:rsid w:val="002D0DD1"/>
    <w:rsid w:val="002D1131"/>
    <w:rsid w:val="002D2034"/>
    <w:rsid w:val="002D38C1"/>
    <w:rsid w:val="002D3AF3"/>
    <w:rsid w:val="002D49AC"/>
    <w:rsid w:val="002D5553"/>
    <w:rsid w:val="002D73BC"/>
    <w:rsid w:val="002D7FAE"/>
    <w:rsid w:val="002E3EA8"/>
    <w:rsid w:val="002E45F7"/>
    <w:rsid w:val="002E4B95"/>
    <w:rsid w:val="002E4D06"/>
    <w:rsid w:val="002E65D3"/>
    <w:rsid w:val="002E7658"/>
    <w:rsid w:val="002F0A04"/>
    <w:rsid w:val="002F19D1"/>
    <w:rsid w:val="002F27FA"/>
    <w:rsid w:val="002F28B6"/>
    <w:rsid w:val="002F311B"/>
    <w:rsid w:val="002F4907"/>
    <w:rsid w:val="002F5249"/>
    <w:rsid w:val="002F6F39"/>
    <w:rsid w:val="00300709"/>
    <w:rsid w:val="00300A60"/>
    <w:rsid w:val="0030157F"/>
    <w:rsid w:val="003020CF"/>
    <w:rsid w:val="00302500"/>
    <w:rsid w:val="00302609"/>
    <w:rsid w:val="003037A1"/>
    <w:rsid w:val="00303A3C"/>
    <w:rsid w:val="00303D42"/>
    <w:rsid w:val="00303F11"/>
    <w:rsid w:val="00304B81"/>
    <w:rsid w:val="003055D3"/>
    <w:rsid w:val="003057A7"/>
    <w:rsid w:val="003064B7"/>
    <w:rsid w:val="00307388"/>
    <w:rsid w:val="00307756"/>
    <w:rsid w:val="00307CCF"/>
    <w:rsid w:val="00310B6E"/>
    <w:rsid w:val="0031443E"/>
    <w:rsid w:val="00314A14"/>
    <w:rsid w:val="003163E2"/>
    <w:rsid w:val="00316615"/>
    <w:rsid w:val="0032012B"/>
    <w:rsid w:val="003239BC"/>
    <w:rsid w:val="00323C99"/>
    <w:rsid w:val="00324B85"/>
    <w:rsid w:val="00324DB5"/>
    <w:rsid w:val="00332AEA"/>
    <w:rsid w:val="0033360F"/>
    <w:rsid w:val="00333FA4"/>
    <w:rsid w:val="003347AA"/>
    <w:rsid w:val="00335D7F"/>
    <w:rsid w:val="0033640D"/>
    <w:rsid w:val="00337972"/>
    <w:rsid w:val="00337ED6"/>
    <w:rsid w:val="003409EC"/>
    <w:rsid w:val="003414E0"/>
    <w:rsid w:val="00341751"/>
    <w:rsid w:val="0034220D"/>
    <w:rsid w:val="00342A5D"/>
    <w:rsid w:val="00343D1B"/>
    <w:rsid w:val="00343E8E"/>
    <w:rsid w:val="003442DD"/>
    <w:rsid w:val="003450C6"/>
    <w:rsid w:val="00345214"/>
    <w:rsid w:val="00345461"/>
    <w:rsid w:val="00345549"/>
    <w:rsid w:val="00346045"/>
    <w:rsid w:val="00346380"/>
    <w:rsid w:val="00350B96"/>
    <w:rsid w:val="00352159"/>
    <w:rsid w:val="003531CD"/>
    <w:rsid w:val="003531FE"/>
    <w:rsid w:val="00354B0C"/>
    <w:rsid w:val="00354CB8"/>
    <w:rsid w:val="003551FF"/>
    <w:rsid w:val="00355220"/>
    <w:rsid w:val="0035533E"/>
    <w:rsid w:val="00355423"/>
    <w:rsid w:val="003569A6"/>
    <w:rsid w:val="00356C7F"/>
    <w:rsid w:val="00361D4F"/>
    <w:rsid w:val="003626A6"/>
    <w:rsid w:val="003655A3"/>
    <w:rsid w:val="00365D2D"/>
    <w:rsid w:val="00367A2D"/>
    <w:rsid w:val="0037155A"/>
    <w:rsid w:val="00372C6F"/>
    <w:rsid w:val="00372F46"/>
    <w:rsid w:val="00375B1F"/>
    <w:rsid w:val="00383081"/>
    <w:rsid w:val="003830F7"/>
    <w:rsid w:val="00383FA6"/>
    <w:rsid w:val="00384FC9"/>
    <w:rsid w:val="0038502F"/>
    <w:rsid w:val="0038547B"/>
    <w:rsid w:val="00385FA0"/>
    <w:rsid w:val="003878E5"/>
    <w:rsid w:val="003911B4"/>
    <w:rsid w:val="00392CE6"/>
    <w:rsid w:val="00395734"/>
    <w:rsid w:val="003957EE"/>
    <w:rsid w:val="00395DCD"/>
    <w:rsid w:val="003961C0"/>
    <w:rsid w:val="003963DB"/>
    <w:rsid w:val="003A0778"/>
    <w:rsid w:val="003A0878"/>
    <w:rsid w:val="003A08A4"/>
    <w:rsid w:val="003A0910"/>
    <w:rsid w:val="003A13F2"/>
    <w:rsid w:val="003A1FED"/>
    <w:rsid w:val="003A23A5"/>
    <w:rsid w:val="003A25A1"/>
    <w:rsid w:val="003A2DD8"/>
    <w:rsid w:val="003A3A2E"/>
    <w:rsid w:val="003A5A82"/>
    <w:rsid w:val="003A7276"/>
    <w:rsid w:val="003A7E1E"/>
    <w:rsid w:val="003A7F84"/>
    <w:rsid w:val="003B06B4"/>
    <w:rsid w:val="003B10AD"/>
    <w:rsid w:val="003B1403"/>
    <w:rsid w:val="003B1775"/>
    <w:rsid w:val="003B1E96"/>
    <w:rsid w:val="003B1F25"/>
    <w:rsid w:val="003B2D5C"/>
    <w:rsid w:val="003B2FC4"/>
    <w:rsid w:val="003B39F5"/>
    <w:rsid w:val="003B6F5D"/>
    <w:rsid w:val="003C01D1"/>
    <w:rsid w:val="003C2DF0"/>
    <w:rsid w:val="003C3BAC"/>
    <w:rsid w:val="003C3F96"/>
    <w:rsid w:val="003C4509"/>
    <w:rsid w:val="003C510F"/>
    <w:rsid w:val="003C6286"/>
    <w:rsid w:val="003D05F5"/>
    <w:rsid w:val="003D1372"/>
    <w:rsid w:val="003D1889"/>
    <w:rsid w:val="003D2E93"/>
    <w:rsid w:val="003D4575"/>
    <w:rsid w:val="003D495D"/>
    <w:rsid w:val="003D5401"/>
    <w:rsid w:val="003D6112"/>
    <w:rsid w:val="003D64D9"/>
    <w:rsid w:val="003D7CBB"/>
    <w:rsid w:val="003D7EB8"/>
    <w:rsid w:val="003E0953"/>
    <w:rsid w:val="003E0B50"/>
    <w:rsid w:val="003E0FD8"/>
    <w:rsid w:val="003E244B"/>
    <w:rsid w:val="003E24B0"/>
    <w:rsid w:val="003E31ED"/>
    <w:rsid w:val="003E423D"/>
    <w:rsid w:val="003E4BE1"/>
    <w:rsid w:val="003E5D32"/>
    <w:rsid w:val="003E637F"/>
    <w:rsid w:val="003E69FA"/>
    <w:rsid w:val="003F19CA"/>
    <w:rsid w:val="003F2C68"/>
    <w:rsid w:val="003F3D33"/>
    <w:rsid w:val="003F4696"/>
    <w:rsid w:val="003F4C89"/>
    <w:rsid w:val="003F68F5"/>
    <w:rsid w:val="003F6DD5"/>
    <w:rsid w:val="00401D04"/>
    <w:rsid w:val="00403363"/>
    <w:rsid w:val="004036BE"/>
    <w:rsid w:val="00404596"/>
    <w:rsid w:val="00406C36"/>
    <w:rsid w:val="00406FC0"/>
    <w:rsid w:val="00407B2E"/>
    <w:rsid w:val="004107ED"/>
    <w:rsid w:val="004162ED"/>
    <w:rsid w:val="00420255"/>
    <w:rsid w:val="004221F1"/>
    <w:rsid w:val="00422856"/>
    <w:rsid w:val="00423EBF"/>
    <w:rsid w:val="004240C5"/>
    <w:rsid w:val="00424359"/>
    <w:rsid w:val="00425F49"/>
    <w:rsid w:val="00426E78"/>
    <w:rsid w:val="004300F2"/>
    <w:rsid w:val="004302AB"/>
    <w:rsid w:val="0043088F"/>
    <w:rsid w:val="00432370"/>
    <w:rsid w:val="004326EA"/>
    <w:rsid w:val="0043453A"/>
    <w:rsid w:val="00434DAD"/>
    <w:rsid w:val="00434DF5"/>
    <w:rsid w:val="00441413"/>
    <w:rsid w:val="004418DE"/>
    <w:rsid w:val="00443204"/>
    <w:rsid w:val="004444E7"/>
    <w:rsid w:val="00447691"/>
    <w:rsid w:val="00451166"/>
    <w:rsid w:val="004512CE"/>
    <w:rsid w:val="00451EAE"/>
    <w:rsid w:val="0045219F"/>
    <w:rsid w:val="004575C8"/>
    <w:rsid w:val="004578D1"/>
    <w:rsid w:val="004605F9"/>
    <w:rsid w:val="00463DD4"/>
    <w:rsid w:val="00463EA8"/>
    <w:rsid w:val="00464351"/>
    <w:rsid w:val="00464ED6"/>
    <w:rsid w:val="00464FDD"/>
    <w:rsid w:val="00465C78"/>
    <w:rsid w:val="004671E8"/>
    <w:rsid w:val="0046727D"/>
    <w:rsid w:val="00467958"/>
    <w:rsid w:val="00467C2A"/>
    <w:rsid w:val="00471937"/>
    <w:rsid w:val="00472894"/>
    <w:rsid w:val="00473BFE"/>
    <w:rsid w:val="00475B2F"/>
    <w:rsid w:val="00475B84"/>
    <w:rsid w:val="004771EF"/>
    <w:rsid w:val="00480D1F"/>
    <w:rsid w:val="00481D2C"/>
    <w:rsid w:val="00482742"/>
    <w:rsid w:val="004838ED"/>
    <w:rsid w:val="0048501C"/>
    <w:rsid w:val="004910A0"/>
    <w:rsid w:val="00491B72"/>
    <w:rsid w:val="004946FA"/>
    <w:rsid w:val="004954E2"/>
    <w:rsid w:val="004965E3"/>
    <w:rsid w:val="00497245"/>
    <w:rsid w:val="00497C88"/>
    <w:rsid w:val="004A0ADC"/>
    <w:rsid w:val="004A1815"/>
    <w:rsid w:val="004A288A"/>
    <w:rsid w:val="004A3264"/>
    <w:rsid w:val="004A34F5"/>
    <w:rsid w:val="004A4108"/>
    <w:rsid w:val="004A43B8"/>
    <w:rsid w:val="004A4AB5"/>
    <w:rsid w:val="004A4E11"/>
    <w:rsid w:val="004B2706"/>
    <w:rsid w:val="004B4B36"/>
    <w:rsid w:val="004B78A2"/>
    <w:rsid w:val="004B7E5D"/>
    <w:rsid w:val="004C0A9C"/>
    <w:rsid w:val="004C2889"/>
    <w:rsid w:val="004C2DDD"/>
    <w:rsid w:val="004C380F"/>
    <w:rsid w:val="004C45C7"/>
    <w:rsid w:val="004C4D1C"/>
    <w:rsid w:val="004C6C44"/>
    <w:rsid w:val="004C6FC8"/>
    <w:rsid w:val="004D160C"/>
    <w:rsid w:val="004D1D17"/>
    <w:rsid w:val="004D2A5F"/>
    <w:rsid w:val="004D5738"/>
    <w:rsid w:val="004D5B0A"/>
    <w:rsid w:val="004D64CB"/>
    <w:rsid w:val="004D79EA"/>
    <w:rsid w:val="004E1FBA"/>
    <w:rsid w:val="004E235E"/>
    <w:rsid w:val="004E4AEB"/>
    <w:rsid w:val="004E5F66"/>
    <w:rsid w:val="004E6380"/>
    <w:rsid w:val="004F022C"/>
    <w:rsid w:val="004F0CD6"/>
    <w:rsid w:val="004F1066"/>
    <w:rsid w:val="004F1F2E"/>
    <w:rsid w:val="004F2A5F"/>
    <w:rsid w:val="004F2D3A"/>
    <w:rsid w:val="004F2F71"/>
    <w:rsid w:val="004F2FA7"/>
    <w:rsid w:val="004F5667"/>
    <w:rsid w:val="004F6675"/>
    <w:rsid w:val="004F75D2"/>
    <w:rsid w:val="004F776A"/>
    <w:rsid w:val="005000D1"/>
    <w:rsid w:val="00501B8E"/>
    <w:rsid w:val="00502125"/>
    <w:rsid w:val="005028E8"/>
    <w:rsid w:val="005045A5"/>
    <w:rsid w:val="005073DA"/>
    <w:rsid w:val="00507A4E"/>
    <w:rsid w:val="00511AA2"/>
    <w:rsid w:val="0051254C"/>
    <w:rsid w:val="00512B2C"/>
    <w:rsid w:val="00513DB0"/>
    <w:rsid w:val="00514744"/>
    <w:rsid w:val="00517C81"/>
    <w:rsid w:val="005200B9"/>
    <w:rsid w:val="00520F76"/>
    <w:rsid w:val="00521267"/>
    <w:rsid w:val="00521CC3"/>
    <w:rsid w:val="00521F7E"/>
    <w:rsid w:val="00522003"/>
    <w:rsid w:val="00522E32"/>
    <w:rsid w:val="005233EF"/>
    <w:rsid w:val="00523527"/>
    <w:rsid w:val="00524586"/>
    <w:rsid w:val="00525239"/>
    <w:rsid w:val="00526332"/>
    <w:rsid w:val="00526532"/>
    <w:rsid w:val="005269B4"/>
    <w:rsid w:val="00527F7E"/>
    <w:rsid w:val="0053022B"/>
    <w:rsid w:val="0053065B"/>
    <w:rsid w:val="00537B7E"/>
    <w:rsid w:val="00537FF1"/>
    <w:rsid w:val="00541662"/>
    <w:rsid w:val="00542597"/>
    <w:rsid w:val="005431C9"/>
    <w:rsid w:val="00543886"/>
    <w:rsid w:val="00544493"/>
    <w:rsid w:val="005471EF"/>
    <w:rsid w:val="00547649"/>
    <w:rsid w:val="0055159E"/>
    <w:rsid w:val="00551CC9"/>
    <w:rsid w:val="0055242F"/>
    <w:rsid w:val="005553D1"/>
    <w:rsid w:val="00555611"/>
    <w:rsid w:val="00555D53"/>
    <w:rsid w:val="00555F07"/>
    <w:rsid w:val="005560DC"/>
    <w:rsid w:val="005568A5"/>
    <w:rsid w:val="00557254"/>
    <w:rsid w:val="00557CE3"/>
    <w:rsid w:val="005611BD"/>
    <w:rsid w:val="00561441"/>
    <w:rsid w:val="0056260C"/>
    <w:rsid w:val="00563524"/>
    <w:rsid w:val="00564146"/>
    <w:rsid w:val="00564B0B"/>
    <w:rsid w:val="00566393"/>
    <w:rsid w:val="0056705E"/>
    <w:rsid w:val="00567211"/>
    <w:rsid w:val="00567584"/>
    <w:rsid w:val="00567D59"/>
    <w:rsid w:val="00571588"/>
    <w:rsid w:val="00572C58"/>
    <w:rsid w:val="00574B70"/>
    <w:rsid w:val="005761C1"/>
    <w:rsid w:val="005770A7"/>
    <w:rsid w:val="00577386"/>
    <w:rsid w:val="00581997"/>
    <w:rsid w:val="005828A4"/>
    <w:rsid w:val="00582F16"/>
    <w:rsid w:val="00583521"/>
    <w:rsid w:val="00584189"/>
    <w:rsid w:val="00584D47"/>
    <w:rsid w:val="00584EF5"/>
    <w:rsid w:val="00585C73"/>
    <w:rsid w:val="005865EF"/>
    <w:rsid w:val="00586B22"/>
    <w:rsid w:val="00586F63"/>
    <w:rsid w:val="005871BB"/>
    <w:rsid w:val="005907EB"/>
    <w:rsid w:val="00592258"/>
    <w:rsid w:val="00592826"/>
    <w:rsid w:val="00594432"/>
    <w:rsid w:val="0059487F"/>
    <w:rsid w:val="00594BA7"/>
    <w:rsid w:val="00596745"/>
    <w:rsid w:val="005971B1"/>
    <w:rsid w:val="00597D39"/>
    <w:rsid w:val="005A0B01"/>
    <w:rsid w:val="005A0B5F"/>
    <w:rsid w:val="005A1F84"/>
    <w:rsid w:val="005A30DC"/>
    <w:rsid w:val="005A3DFE"/>
    <w:rsid w:val="005A50F7"/>
    <w:rsid w:val="005B09A1"/>
    <w:rsid w:val="005B101E"/>
    <w:rsid w:val="005B2228"/>
    <w:rsid w:val="005B252C"/>
    <w:rsid w:val="005B3701"/>
    <w:rsid w:val="005B4B64"/>
    <w:rsid w:val="005B70F1"/>
    <w:rsid w:val="005C0CC3"/>
    <w:rsid w:val="005C2F10"/>
    <w:rsid w:val="005C4449"/>
    <w:rsid w:val="005C4A8D"/>
    <w:rsid w:val="005C4EE0"/>
    <w:rsid w:val="005C6C14"/>
    <w:rsid w:val="005D00DE"/>
    <w:rsid w:val="005D0117"/>
    <w:rsid w:val="005D1700"/>
    <w:rsid w:val="005D396C"/>
    <w:rsid w:val="005D3A9C"/>
    <w:rsid w:val="005D484B"/>
    <w:rsid w:val="005D6106"/>
    <w:rsid w:val="005D708E"/>
    <w:rsid w:val="005E34C9"/>
    <w:rsid w:val="005E4485"/>
    <w:rsid w:val="005E50A9"/>
    <w:rsid w:val="005E57E8"/>
    <w:rsid w:val="005E78BF"/>
    <w:rsid w:val="005F02B7"/>
    <w:rsid w:val="005F0A80"/>
    <w:rsid w:val="005F1D79"/>
    <w:rsid w:val="005F302B"/>
    <w:rsid w:val="005F3D38"/>
    <w:rsid w:val="005F4285"/>
    <w:rsid w:val="005F443E"/>
    <w:rsid w:val="005F4DE7"/>
    <w:rsid w:val="005F5023"/>
    <w:rsid w:val="00600216"/>
    <w:rsid w:val="00600355"/>
    <w:rsid w:val="006007D7"/>
    <w:rsid w:val="00602298"/>
    <w:rsid w:val="006022AC"/>
    <w:rsid w:val="0060393C"/>
    <w:rsid w:val="00604F40"/>
    <w:rsid w:val="00605613"/>
    <w:rsid w:val="00605799"/>
    <w:rsid w:val="0060634D"/>
    <w:rsid w:val="006063D4"/>
    <w:rsid w:val="006064D0"/>
    <w:rsid w:val="00606D34"/>
    <w:rsid w:val="006108C6"/>
    <w:rsid w:val="00611601"/>
    <w:rsid w:val="0061286B"/>
    <w:rsid w:val="00612B49"/>
    <w:rsid w:val="006135CD"/>
    <w:rsid w:val="006138D0"/>
    <w:rsid w:val="00615EA0"/>
    <w:rsid w:val="00620E54"/>
    <w:rsid w:val="0062344E"/>
    <w:rsid w:val="00624F31"/>
    <w:rsid w:val="0063055B"/>
    <w:rsid w:val="00630CCB"/>
    <w:rsid w:val="00631E96"/>
    <w:rsid w:val="0063333D"/>
    <w:rsid w:val="0063384A"/>
    <w:rsid w:val="00633B89"/>
    <w:rsid w:val="0063462B"/>
    <w:rsid w:val="00634FA8"/>
    <w:rsid w:val="00635BB6"/>
    <w:rsid w:val="00636970"/>
    <w:rsid w:val="00636FB2"/>
    <w:rsid w:val="0063712C"/>
    <w:rsid w:val="00637430"/>
    <w:rsid w:val="00640042"/>
    <w:rsid w:val="0064096A"/>
    <w:rsid w:val="0064132E"/>
    <w:rsid w:val="0064153E"/>
    <w:rsid w:val="006449BB"/>
    <w:rsid w:val="006459CF"/>
    <w:rsid w:val="00645B24"/>
    <w:rsid w:val="006475A5"/>
    <w:rsid w:val="006512A8"/>
    <w:rsid w:val="00651BEA"/>
    <w:rsid w:val="0065230C"/>
    <w:rsid w:val="006539A8"/>
    <w:rsid w:val="00653CE2"/>
    <w:rsid w:val="0065427E"/>
    <w:rsid w:val="006563A8"/>
    <w:rsid w:val="0066043B"/>
    <w:rsid w:val="0066161C"/>
    <w:rsid w:val="00661E03"/>
    <w:rsid w:val="00661EF1"/>
    <w:rsid w:val="006623B1"/>
    <w:rsid w:val="00663EA5"/>
    <w:rsid w:val="00665717"/>
    <w:rsid w:val="00665869"/>
    <w:rsid w:val="0066665D"/>
    <w:rsid w:val="006722E5"/>
    <w:rsid w:val="0067239F"/>
    <w:rsid w:val="00672642"/>
    <w:rsid w:val="006727A0"/>
    <w:rsid w:val="00674962"/>
    <w:rsid w:val="006761B1"/>
    <w:rsid w:val="00676F21"/>
    <w:rsid w:val="00677613"/>
    <w:rsid w:val="006811B9"/>
    <w:rsid w:val="00683859"/>
    <w:rsid w:val="0068478E"/>
    <w:rsid w:val="00684A6A"/>
    <w:rsid w:val="00685D8B"/>
    <w:rsid w:val="006906D2"/>
    <w:rsid w:val="00690C9E"/>
    <w:rsid w:val="0069139B"/>
    <w:rsid w:val="006918AD"/>
    <w:rsid w:val="00691D13"/>
    <w:rsid w:val="00692157"/>
    <w:rsid w:val="00692158"/>
    <w:rsid w:val="00694A77"/>
    <w:rsid w:val="00695A2A"/>
    <w:rsid w:val="00696F70"/>
    <w:rsid w:val="00697B2B"/>
    <w:rsid w:val="006A0719"/>
    <w:rsid w:val="006A096E"/>
    <w:rsid w:val="006A12EF"/>
    <w:rsid w:val="006A1357"/>
    <w:rsid w:val="006A1C19"/>
    <w:rsid w:val="006A29E6"/>
    <w:rsid w:val="006A3C49"/>
    <w:rsid w:val="006A3E58"/>
    <w:rsid w:val="006A4F3A"/>
    <w:rsid w:val="006A5930"/>
    <w:rsid w:val="006A6413"/>
    <w:rsid w:val="006A6B05"/>
    <w:rsid w:val="006A73B3"/>
    <w:rsid w:val="006B015F"/>
    <w:rsid w:val="006B09FF"/>
    <w:rsid w:val="006B22A9"/>
    <w:rsid w:val="006B5443"/>
    <w:rsid w:val="006B6D49"/>
    <w:rsid w:val="006B7316"/>
    <w:rsid w:val="006B754F"/>
    <w:rsid w:val="006C093E"/>
    <w:rsid w:val="006C2689"/>
    <w:rsid w:val="006C3272"/>
    <w:rsid w:val="006C36F6"/>
    <w:rsid w:val="006C5B67"/>
    <w:rsid w:val="006C63FD"/>
    <w:rsid w:val="006D0CB6"/>
    <w:rsid w:val="006D0E17"/>
    <w:rsid w:val="006D0F3E"/>
    <w:rsid w:val="006D11BF"/>
    <w:rsid w:val="006D137B"/>
    <w:rsid w:val="006D1DAA"/>
    <w:rsid w:val="006D263F"/>
    <w:rsid w:val="006D34E5"/>
    <w:rsid w:val="006D6D6A"/>
    <w:rsid w:val="006D6F99"/>
    <w:rsid w:val="006D76DD"/>
    <w:rsid w:val="006E7163"/>
    <w:rsid w:val="006E7190"/>
    <w:rsid w:val="006F10E1"/>
    <w:rsid w:val="006F321D"/>
    <w:rsid w:val="006F4BFF"/>
    <w:rsid w:val="006F5A1B"/>
    <w:rsid w:val="006F5B0B"/>
    <w:rsid w:val="006F5F7F"/>
    <w:rsid w:val="006F6E33"/>
    <w:rsid w:val="006F74CA"/>
    <w:rsid w:val="006F782B"/>
    <w:rsid w:val="00700302"/>
    <w:rsid w:val="0070112E"/>
    <w:rsid w:val="007020FC"/>
    <w:rsid w:val="00702A26"/>
    <w:rsid w:val="00702E00"/>
    <w:rsid w:val="007036A2"/>
    <w:rsid w:val="00703CC5"/>
    <w:rsid w:val="00706303"/>
    <w:rsid w:val="00710FE4"/>
    <w:rsid w:val="00711735"/>
    <w:rsid w:val="00711E7A"/>
    <w:rsid w:val="00712320"/>
    <w:rsid w:val="0071263A"/>
    <w:rsid w:val="00712E55"/>
    <w:rsid w:val="00714353"/>
    <w:rsid w:val="007147CD"/>
    <w:rsid w:val="00714E75"/>
    <w:rsid w:val="007206E9"/>
    <w:rsid w:val="0072165E"/>
    <w:rsid w:val="00721B06"/>
    <w:rsid w:val="00722F83"/>
    <w:rsid w:val="00723D08"/>
    <w:rsid w:val="007320E5"/>
    <w:rsid w:val="00732DC9"/>
    <w:rsid w:val="00733DE9"/>
    <w:rsid w:val="00734AC0"/>
    <w:rsid w:val="0073793F"/>
    <w:rsid w:val="00740F8B"/>
    <w:rsid w:val="00742320"/>
    <w:rsid w:val="00742D6B"/>
    <w:rsid w:val="0074349B"/>
    <w:rsid w:val="007437D9"/>
    <w:rsid w:val="00743EDA"/>
    <w:rsid w:val="00745180"/>
    <w:rsid w:val="00745C13"/>
    <w:rsid w:val="00745C42"/>
    <w:rsid w:val="00747DC3"/>
    <w:rsid w:val="00750AF7"/>
    <w:rsid w:val="00751A66"/>
    <w:rsid w:val="00752AE0"/>
    <w:rsid w:val="007560E5"/>
    <w:rsid w:val="007571EC"/>
    <w:rsid w:val="00760A51"/>
    <w:rsid w:val="00761F30"/>
    <w:rsid w:val="00762518"/>
    <w:rsid w:val="00763201"/>
    <w:rsid w:val="00763FCD"/>
    <w:rsid w:val="00764A85"/>
    <w:rsid w:val="00764ABA"/>
    <w:rsid w:val="00766D14"/>
    <w:rsid w:val="00767171"/>
    <w:rsid w:val="00767709"/>
    <w:rsid w:val="00767898"/>
    <w:rsid w:val="0077039F"/>
    <w:rsid w:val="007726F7"/>
    <w:rsid w:val="00772732"/>
    <w:rsid w:val="00773E12"/>
    <w:rsid w:val="00775F07"/>
    <w:rsid w:val="00777661"/>
    <w:rsid w:val="00777D4A"/>
    <w:rsid w:val="00780EA0"/>
    <w:rsid w:val="007810EB"/>
    <w:rsid w:val="00781536"/>
    <w:rsid w:val="007819B9"/>
    <w:rsid w:val="00783220"/>
    <w:rsid w:val="00786F2A"/>
    <w:rsid w:val="00787BA9"/>
    <w:rsid w:val="007906AA"/>
    <w:rsid w:val="007913B0"/>
    <w:rsid w:val="007919CD"/>
    <w:rsid w:val="00791EB3"/>
    <w:rsid w:val="00791FB7"/>
    <w:rsid w:val="00793096"/>
    <w:rsid w:val="00793225"/>
    <w:rsid w:val="007948CE"/>
    <w:rsid w:val="007949B6"/>
    <w:rsid w:val="00795798"/>
    <w:rsid w:val="00795DD4"/>
    <w:rsid w:val="00797076"/>
    <w:rsid w:val="007976DB"/>
    <w:rsid w:val="007A2F3E"/>
    <w:rsid w:val="007A4EC7"/>
    <w:rsid w:val="007A5305"/>
    <w:rsid w:val="007A57E0"/>
    <w:rsid w:val="007A5D51"/>
    <w:rsid w:val="007A6F14"/>
    <w:rsid w:val="007A764C"/>
    <w:rsid w:val="007B07EA"/>
    <w:rsid w:val="007B1160"/>
    <w:rsid w:val="007B125A"/>
    <w:rsid w:val="007B2066"/>
    <w:rsid w:val="007B2662"/>
    <w:rsid w:val="007B33AF"/>
    <w:rsid w:val="007B351A"/>
    <w:rsid w:val="007B3A70"/>
    <w:rsid w:val="007B3C54"/>
    <w:rsid w:val="007B5F01"/>
    <w:rsid w:val="007C02CF"/>
    <w:rsid w:val="007C1582"/>
    <w:rsid w:val="007C4296"/>
    <w:rsid w:val="007C71FA"/>
    <w:rsid w:val="007D00AC"/>
    <w:rsid w:val="007D3447"/>
    <w:rsid w:val="007D41EE"/>
    <w:rsid w:val="007D4533"/>
    <w:rsid w:val="007D4E7B"/>
    <w:rsid w:val="007E16ED"/>
    <w:rsid w:val="007E19A9"/>
    <w:rsid w:val="007E24A4"/>
    <w:rsid w:val="007E3510"/>
    <w:rsid w:val="007E5DB3"/>
    <w:rsid w:val="007E5FD4"/>
    <w:rsid w:val="007E6B99"/>
    <w:rsid w:val="007E7D99"/>
    <w:rsid w:val="007F09BB"/>
    <w:rsid w:val="007F148A"/>
    <w:rsid w:val="007F2229"/>
    <w:rsid w:val="007F227D"/>
    <w:rsid w:val="007F4B12"/>
    <w:rsid w:val="00800569"/>
    <w:rsid w:val="008022E7"/>
    <w:rsid w:val="00802751"/>
    <w:rsid w:val="00805693"/>
    <w:rsid w:val="008056E9"/>
    <w:rsid w:val="00805B64"/>
    <w:rsid w:val="008066A9"/>
    <w:rsid w:val="00807F5D"/>
    <w:rsid w:val="00811786"/>
    <w:rsid w:val="00811852"/>
    <w:rsid w:val="00811BBB"/>
    <w:rsid w:val="00811F3A"/>
    <w:rsid w:val="008124BB"/>
    <w:rsid w:val="00814953"/>
    <w:rsid w:val="00815350"/>
    <w:rsid w:val="00816816"/>
    <w:rsid w:val="0081722F"/>
    <w:rsid w:val="0082121E"/>
    <w:rsid w:val="00821253"/>
    <w:rsid w:val="00822062"/>
    <w:rsid w:val="008223F4"/>
    <w:rsid w:val="00822450"/>
    <w:rsid w:val="008224E3"/>
    <w:rsid w:val="008225A1"/>
    <w:rsid w:val="0082262D"/>
    <w:rsid w:val="008245DD"/>
    <w:rsid w:val="0082469D"/>
    <w:rsid w:val="0082476A"/>
    <w:rsid w:val="00826A62"/>
    <w:rsid w:val="00827A1F"/>
    <w:rsid w:val="00830755"/>
    <w:rsid w:val="00830813"/>
    <w:rsid w:val="00831DC4"/>
    <w:rsid w:val="00832223"/>
    <w:rsid w:val="00832BA2"/>
    <w:rsid w:val="00834BE4"/>
    <w:rsid w:val="00835CB8"/>
    <w:rsid w:val="008401A8"/>
    <w:rsid w:val="00840352"/>
    <w:rsid w:val="0084056E"/>
    <w:rsid w:val="00841AA1"/>
    <w:rsid w:val="00844E0E"/>
    <w:rsid w:val="00850C0A"/>
    <w:rsid w:val="0085267C"/>
    <w:rsid w:val="0085274D"/>
    <w:rsid w:val="0085291C"/>
    <w:rsid w:val="0085293A"/>
    <w:rsid w:val="008530BA"/>
    <w:rsid w:val="00853641"/>
    <w:rsid w:val="00854AB5"/>
    <w:rsid w:val="00856192"/>
    <w:rsid w:val="00857273"/>
    <w:rsid w:val="00860FC3"/>
    <w:rsid w:val="0086221E"/>
    <w:rsid w:val="00864872"/>
    <w:rsid w:val="00865D09"/>
    <w:rsid w:val="008666E8"/>
    <w:rsid w:val="00867939"/>
    <w:rsid w:val="00867B18"/>
    <w:rsid w:val="00867E5F"/>
    <w:rsid w:val="00867F18"/>
    <w:rsid w:val="00870749"/>
    <w:rsid w:val="008713DC"/>
    <w:rsid w:val="00871B0F"/>
    <w:rsid w:val="00872152"/>
    <w:rsid w:val="008722E1"/>
    <w:rsid w:val="00872E8C"/>
    <w:rsid w:val="00873410"/>
    <w:rsid w:val="008739CA"/>
    <w:rsid w:val="00873B9E"/>
    <w:rsid w:val="00874FFB"/>
    <w:rsid w:val="008755A2"/>
    <w:rsid w:val="008761EC"/>
    <w:rsid w:val="008769F7"/>
    <w:rsid w:val="00877B07"/>
    <w:rsid w:val="0088105C"/>
    <w:rsid w:val="00881362"/>
    <w:rsid w:val="008823C3"/>
    <w:rsid w:val="008824E8"/>
    <w:rsid w:val="00883C08"/>
    <w:rsid w:val="00883EE0"/>
    <w:rsid w:val="00884929"/>
    <w:rsid w:val="0088516B"/>
    <w:rsid w:val="0088582C"/>
    <w:rsid w:val="00885A7F"/>
    <w:rsid w:val="00885CA1"/>
    <w:rsid w:val="00885F11"/>
    <w:rsid w:val="00886A27"/>
    <w:rsid w:val="00886BB3"/>
    <w:rsid w:val="00887B61"/>
    <w:rsid w:val="008901AD"/>
    <w:rsid w:val="00890925"/>
    <w:rsid w:val="00891AC2"/>
    <w:rsid w:val="00891BFE"/>
    <w:rsid w:val="00892AB3"/>
    <w:rsid w:val="0089369E"/>
    <w:rsid w:val="00893C56"/>
    <w:rsid w:val="00893D2D"/>
    <w:rsid w:val="00894111"/>
    <w:rsid w:val="00894441"/>
    <w:rsid w:val="00894ED5"/>
    <w:rsid w:val="008969FB"/>
    <w:rsid w:val="00896AA7"/>
    <w:rsid w:val="00897453"/>
    <w:rsid w:val="008A0543"/>
    <w:rsid w:val="008A0B05"/>
    <w:rsid w:val="008A131A"/>
    <w:rsid w:val="008A27DF"/>
    <w:rsid w:val="008A3520"/>
    <w:rsid w:val="008A3A1B"/>
    <w:rsid w:val="008A3F6F"/>
    <w:rsid w:val="008A43E1"/>
    <w:rsid w:val="008A4DD1"/>
    <w:rsid w:val="008B0B2D"/>
    <w:rsid w:val="008B163A"/>
    <w:rsid w:val="008B2F13"/>
    <w:rsid w:val="008B3435"/>
    <w:rsid w:val="008B3C10"/>
    <w:rsid w:val="008B41AB"/>
    <w:rsid w:val="008B50E6"/>
    <w:rsid w:val="008B70EE"/>
    <w:rsid w:val="008B75F7"/>
    <w:rsid w:val="008C10C7"/>
    <w:rsid w:val="008C243C"/>
    <w:rsid w:val="008C26A2"/>
    <w:rsid w:val="008C2ADF"/>
    <w:rsid w:val="008C3E68"/>
    <w:rsid w:val="008C3F29"/>
    <w:rsid w:val="008C4142"/>
    <w:rsid w:val="008C651A"/>
    <w:rsid w:val="008D092B"/>
    <w:rsid w:val="008D0A46"/>
    <w:rsid w:val="008D1352"/>
    <w:rsid w:val="008D221D"/>
    <w:rsid w:val="008D32A3"/>
    <w:rsid w:val="008D3C76"/>
    <w:rsid w:val="008E1E4B"/>
    <w:rsid w:val="008E2A35"/>
    <w:rsid w:val="008E4A10"/>
    <w:rsid w:val="008E4F7A"/>
    <w:rsid w:val="008E5055"/>
    <w:rsid w:val="008E50DE"/>
    <w:rsid w:val="008E67EB"/>
    <w:rsid w:val="008E724A"/>
    <w:rsid w:val="008F0161"/>
    <w:rsid w:val="008F0BFE"/>
    <w:rsid w:val="008F348B"/>
    <w:rsid w:val="008F44AB"/>
    <w:rsid w:val="008F50BE"/>
    <w:rsid w:val="008F5509"/>
    <w:rsid w:val="008F7119"/>
    <w:rsid w:val="008F79D0"/>
    <w:rsid w:val="00900B1C"/>
    <w:rsid w:val="00902BBB"/>
    <w:rsid w:val="00902C05"/>
    <w:rsid w:val="009045EF"/>
    <w:rsid w:val="009104B9"/>
    <w:rsid w:val="009133C7"/>
    <w:rsid w:val="00913A6E"/>
    <w:rsid w:val="00914EF7"/>
    <w:rsid w:val="00915FAB"/>
    <w:rsid w:val="00916A39"/>
    <w:rsid w:val="009201DB"/>
    <w:rsid w:val="00920C20"/>
    <w:rsid w:val="00921F73"/>
    <w:rsid w:val="00922DDF"/>
    <w:rsid w:val="00924D0A"/>
    <w:rsid w:val="009250F2"/>
    <w:rsid w:val="00925F3D"/>
    <w:rsid w:val="00926370"/>
    <w:rsid w:val="00927435"/>
    <w:rsid w:val="00927C9A"/>
    <w:rsid w:val="00930022"/>
    <w:rsid w:val="0093036F"/>
    <w:rsid w:val="009316CE"/>
    <w:rsid w:val="00933352"/>
    <w:rsid w:val="0093486D"/>
    <w:rsid w:val="00934F23"/>
    <w:rsid w:val="0093580E"/>
    <w:rsid w:val="009365BB"/>
    <w:rsid w:val="00936D60"/>
    <w:rsid w:val="0093700B"/>
    <w:rsid w:val="009378E6"/>
    <w:rsid w:val="0094094C"/>
    <w:rsid w:val="00941C6C"/>
    <w:rsid w:val="00941CA9"/>
    <w:rsid w:val="009422E6"/>
    <w:rsid w:val="00943BB4"/>
    <w:rsid w:val="009455C4"/>
    <w:rsid w:val="0094572B"/>
    <w:rsid w:val="00947D23"/>
    <w:rsid w:val="009509FA"/>
    <w:rsid w:val="0095109B"/>
    <w:rsid w:val="00951915"/>
    <w:rsid w:val="00951B9B"/>
    <w:rsid w:val="009529BD"/>
    <w:rsid w:val="00954EF3"/>
    <w:rsid w:val="00955014"/>
    <w:rsid w:val="00956539"/>
    <w:rsid w:val="00957BF9"/>
    <w:rsid w:val="009613F4"/>
    <w:rsid w:val="009621F6"/>
    <w:rsid w:val="0096267E"/>
    <w:rsid w:val="0096299E"/>
    <w:rsid w:val="0096449E"/>
    <w:rsid w:val="0096485A"/>
    <w:rsid w:val="00964D34"/>
    <w:rsid w:val="00970D45"/>
    <w:rsid w:val="009732AA"/>
    <w:rsid w:val="0097517E"/>
    <w:rsid w:val="00976307"/>
    <w:rsid w:val="009766E9"/>
    <w:rsid w:val="00976BFA"/>
    <w:rsid w:val="00977F0C"/>
    <w:rsid w:val="0098033F"/>
    <w:rsid w:val="009814E1"/>
    <w:rsid w:val="00983DE5"/>
    <w:rsid w:val="00984428"/>
    <w:rsid w:val="00985856"/>
    <w:rsid w:val="00986FA4"/>
    <w:rsid w:val="00987186"/>
    <w:rsid w:val="009875EA"/>
    <w:rsid w:val="009902FD"/>
    <w:rsid w:val="00990BB1"/>
    <w:rsid w:val="009918D0"/>
    <w:rsid w:val="0099278E"/>
    <w:rsid w:val="0099281F"/>
    <w:rsid w:val="00997166"/>
    <w:rsid w:val="00997D82"/>
    <w:rsid w:val="009A16E8"/>
    <w:rsid w:val="009A1D94"/>
    <w:rsid w:val="009A2073"/>
    <w:rsid w:val="009A331A"/>
    <w:rsid w:val="009A559A"/>
    <w:rsid w:val="009A5805"/>
    <w:rsid w:val="009A5A8D"/>
    <w:rsid w:val="009B0F38"/>
    <w:rsid w:val="009B0F49"/>
    <w:rsid w:val="009B1133"/>
    <w:rsid w:val="009B1223"/>
    <w:rsid w:val="009B481D"/>
    <w:rsid w:val="009B7353"/>
    <w:rsid w:val="009B7F29"/>
    <w:rsid w:val="009C1898"/>
    <w:rsid w:val="009C2054"/>
    <w:rsid w:val="009C23D8"/>
    <w:rsid w:val="009C77E2"/>
    <w:rsid w:val="009D12FC"/>
    <w:rsid w:val="009D3972"/>
    <w:rsid w:val="009D4C9A"/>
    <w:rsid w:val="009D543E"/>
    <w:rsid w:val="009E0459"/>
    <w:rsid w:val="009E045D"/>
    <w:rsid w:val="009E0BF4"/>
    <w:rsid w:val="009E0C11"/>
    <w:rsid w:val="009E2D6A"/>
    <w:rsid w:val="009E4129"/>
    <w:rsid w:val="009E4449"/>
    <w:rsid w:val="009E5414"/>
    <w:rsid w:val="009E5CF3"/>
    <w:rsid w:val="009E6A39"/>
    <w:rsid w:val="009E6EC5"/>
    <w:rsid w:val="009E6FD1"/>
    <w:rsid w:val="009E7DAA"/>
    <w:rsid w:val="009F03B0"/>
    <w:rsid w:val="009F055F"/>
    <w:rsid w:val="009F11BA"/>
    <w:rsid w:val="009F2170"/>
    <w:rsid w:val="009F22D6"/>
    <w:rsid w:val="009F4435"/>
    <w:rsid w:val="009F7343"/>
    <w:rsid w:val="00A0180E"/>
    <w:rsid w:val="00A02325"/>
    <w:rsid w:val="00A0250E"/>
    <w:rsid w:val="00A054C9"/>
    <w:rsid w:val="00A05750"/>
    <w:rsid w:val="00A05E51"/>
    <w:rsid w:val="00A1005F"/>
    <w:rsid w:val="00A10078"/>
    <w:rsid w:val="00A12F7A"/>
    <w:rsid w:val="00A13A86"/>
    <w:rsid w:val="00A13B97"/>
    <w:rsid w:val="00A21A97"/>
    <w:rsid w:val="00A22066"/>
    <w:rsid w:val="00A220F9"/>
    <w:rsid w:val="00A22B52"/>
    <w:rsid w:val="00A23803"/>
    <w:rsid w:val="00A239F4"/>
    <w:rsid w:val="00A2577B"/>
    <w:rsid w:val="00A27AE6"/>
    <w:rsid w:val="00A30E39"/>
    <w:rsid w:val="00A3124D"/>
    <w:rsid w:val="00A36F5D"/>
    <w:rsid w:val="00A40A9B"/>
    <w:rsid w:val="00A40ECD"/>
    <w:rsid w:val="00A444A2"/>
    <w:rsid w:val="00A45CC9"/>
    <w:rsid w:val="00A462FF"/>
    <w:rsid w:val="00A46668"/>
    <w:rsid w:val="00A46F94"/>
    <w:rsid w:val="00A47DD6"/>
    <w:rsid w:val="00A503FB"/>
    <w:rsid w:val="00A51169"/>
    <w:rsid w:val="00A516AF"/>
    <w:rsid w:val="00A51AC8"/>
    <w:rsid w:val="00A53536"/>
    <w:rsid w:val="00A55033"/>
    <w:rsid w:val="00A56458"/>
    <w:rsid w:val="00A61D18"/>
    <w:rsid w:val="00A63E3B"/>
    <w:rsid w:val="00A6540F"/>
    <w:rsid w:val="00A66103"/>
    <w:rsid w:val="00A66D30"/>
    <w:rsid w:val="00A66ED6"/>
    <w:rsid w:val="00A708E5"/>
    <w:rsid w:val="00A70FFB"/>
    <w:rsid w:val="00A72F38"/>
    <w:rsid w:val="00A73120"/>
    <w:rsid w:val="00A732EE"/>
    <w:rsid w:val="00A7506B"/>
    <w:rsid w:val="00A75572"/>
    <w:rsid w:val="00A755C6"/>
    <w:rsid w:val="00A76F0F"/>
    <w:rsid w:val="00A8020D"/>
    <w:rsid w:val="00A8163B"/>
    <w:rsid w:val="00A816EF"/>
    <w:rsid w:val="00A81B83"/>
    <w:rsid w:val="00A82474"/>
    <w:rsid w:val="00A82899"/>
    <w:rsid w:val="00A83F18"/>
    <w:rsid w:val="00A84889"/>
    <w:rsid w:val="00A84A8A"/>
    <w:rsid w:val="00A8609D"/>
    <w:rsid w:val="00A90AAB"/>
    <w:rsid w:val="00A911F2"/>
    <w:rsid w:val="00A91CDC"/>
    <w:rsid w:val="00A95114"/>
    <w:rsid w:val="00A96341"/>
    <w:rsid w:val="00A96679"/>
    <w:rsid w:val="00AA0868"/>
    <w:rsid w:val="00AA225C"/>
    <w:rsid w:val="00AA2824"/>
    <w:rsid w:val="00AA3DBE"/>
    <w:rsid w:val="00AA49A6"/>
    <w:rsid w:val="00AA5101"/>
    <w:rsid w:val="00AA545B"/>
    <w:rsid w:val="00AA763B"/>
    <w:rsid w:val="00AB1918"/>
    <w:rsid w:val="00AB2452"/>
    <w:rsid w:val="00AB2AF8"/>
    <w:rsid w:val="00AB2B06"/>
    <w:rsid w:val="00AB32CE"/>
    <w:rsid w:val="00AB3656"/>
    <w:rsid w:val="00AB505A"/>
    <w:rsid w:val="00AB59D2"/>
    <w:rsid w:val="00AB6229"/>
    <w:rsid w:val="00AB7814"/>
    <w:rsid w:val="00AC02C2"/>
    <w:rsid w:val="00AC10CD"/>
    <w:rsid w:val="00AC10E0"/>
    <w:rsid w:val="00AC1BC2"/>
    <w:rsid w:val="00AC2820"/>
    <w:rsid w:val="00AC6427"/>
    <w:rsid w:val="00AC65C1"/>
    <w:rsid w:val="00AC6CC0"/>
    <w:rsid w:val="00AC6F72"/>
    <w:rsid w:val="00AC71F7"/>
    <w:rsid w:val="00AC7C98"/>
    <w:rsid w:val="00AC7D6F"/>
    <w:rsid w:val="00AD3684"/>
    <w:rsid w:val="00AD43C3"/>
    <w:rsid w:val="00AD6594"/>
    <w:rsid w:val="00AD6FE1"/>
    <w:rsid w:val="00AE04FD"/>
    <w:rsid w:val="00AE0531"/>
    <w:rsid w:val="00AE1375"/>
    <w:rsid w:val="00AE1423"/>
    <w:rsid w:val="00AE2022"/>
    <w:rsid w:val="00AE23FB"/>
    <w:rsid w:val="00AE26B6"/>
    <w:rsid w:val="00AE2903"/>
    <w:rsid w:val="00AE2D14"/>
    <w:rsid w:val="00AE2F7A"/>
    <w:rsid w:val="00AE36CC"/>
    <w:rsid w:val="00AE4310"/>
    <w:rsid w:val="00AE5657"/>
    <w:rsid w:val="00AE667B"/>
    <w:rsid w:val="00AE7242"/>
    <w:rsid w:val="00AE74EE"/>
    <w:rsid w:val="00AF0904"/>
    <w:rsid w:val="00AF15C4"/>
    <w:rsid w:val="00AF1E8D"/>
    <w:rsid w:val="00AF51AE"/>
    <w:rsid w:val="00AF51B7"/>
    <w:rsid w:val="00AF56BB"/>
    <w:rsid w:val="00AF598E"/>
    <w:rsid w:val="00AF69AC"/>
    <w:rsid w:val="00AF6CB6"/>
    <w:rsid w:val="00AF6F03"/>
    <w:rsid w:val="00AF7953"/>
    <w:rsid w:val="00B019F1"/>
    <w:rsid w:val="00B02486"/>
    <w:rsid w:val="00B0330C"/>
    <w:rsid w:val="00B0363B"/>
    <w:rsid w:val="00B03865"/>
    <w:rsid w:val="00B0592F"/>
    <w:rsid w:val="00B0604B"/>
    <w:rsid w:val="00B06186"/>
    <w:rsid w:val="00B06AC0"/>
    <w:rsid w:val="00B13C73"/>
    <w:rsid w:val="00B157B6"/>
    <w:rsid w:val="00B2085D"/>
    <w:rsid w:val="00B2174F"/>
    <w:rsid w:val="00B229F5"/>
    <w:rsid w:val="00B22B4C"/>
    <w:rsid w:val="00B22DBB"/>
    <w:rsid w:val="00B239A0"/>
    <w:rsid w:val="00B23E22"/>
    <w:rsid w:val="00B24928"/>
    <w:rsid w:val="00B27701"/>
    <w:rsid w:val="00B27749"/>
    <w:rsid w:val="00B31142"/>
    <w:rsid w:val="00B3115C"/>
    <w:rsid w:val="00B3206F"/>
    <w:rsid w:val="00B32601"/>
    <w:rsid w:val="00B33308"/>
    <w:rsid w:val="00B34E13"/>
    <w:rsid w:val="00B36410"/>
    <w:rsid w:val="00B365C5"/>
    <w:rsid w:val="00B400E8"/>
    <w:rsid w:val="00B40113"/>
    <w:rsid w:val="00B4053A"/>
    <w:rsid w:val="00B40B4A"/>
    <w:rsid w:val="00B410AE"/>
    <w:rsid w:val="00B41362"/>
    <w:rsid w:val="00B41C7D"/>
    <w:rsid w:val="00B41C99"/>
    <w:rsid w:val="00B42D99"/>
    <w:rsid w:val="00B43E3B"/>
    <w:rsid w:val="00B44644"/>
    <w:rsid w:val="00B4530A"/>
    <w:rsid w:val="00B4541D"/>
    <w:rsid w:val="00B46853"/>
    <w:rsid w:val="00B46B80"/>
    <w:rsid w:val="00B47534"/>
    <w:rsid w:val="00B52514"/>
    <w:rsid w:val="00B53E99"/>
    <w:rsid w:val="00B55E44"/>
    <w:rsid w:val="00B570B5"/>
    <w:rsid w:val="00B60E52"/>
    <w:rsid w:val="00B6178B"/>
    <w:rsid w:val="00B6213A"/>
    <w:rsid w:val="00B63210"/>
    <w:rsid w:val="00B6344E"/>
    <w:rsid w:val="00B67FFC"/>
    <w:rsid w:val="00B711BE"/>
    <w:rsid w:val="00B73198"/>
    <w:rsid w:val="00B73785"/>
    <w:rsid w:val="00B7632E"/>
    <w:rsid w:val="00B76B2B"/>
    <w:rsid w:val="00B76B76"/>
    <w:rsid w:val="00B76E8B"/>
    <w:rsid w:val="00B8003D"/>
    <w:rsid w:val="00B801F0"/>
    <w:rsid w:val="00B80400"/>
    <w:rsid w:val="00B81113"/>
    <w:rsid w:val="00B81B4F"/>
    <w:rsid w:val="00B81BA2"/>
    <w:rsid w:val="00B82309"/>
    <w:rsid w:val="00B82D47"/>
    <w:rsid w:val="00B83301"/>
    <w:rsid w:val="00B838B1"/>
    <w:rsid w:val="00B84401"/>
    <w:rsid w:val="00B84C55"/>
    <w:rsid w:val="00B85123"/>
    <w:rsid w:val="00B8597C"/>
    <w:rsid w:val="00B8649A"/>
    <w:rsid w:val="00B87837"/>
    <w:rsid w:val="00B87DAC"/>
    <w:rsid w:val="00B92174"/>
    <w:rsid w:val="00B9221B"/>
    <w:rsid w:val="00B954A4"/>
    <w:rsid w:val="00B95819"/>
    <w:rsid w:val="00B95A9C"/>
    <w:rsid w:val="00BA04C1"/>
    <w:rsid w:val="00BA1C33"/>
    <w:rsid w:val="00BA2264"/>
    <w:rsid w:val="00BA2D27"/>
    <w:rsid w:val="00BA32F4"/>
    <w:rsid w:val="00BA39C7"/>
    <w:rsid w:val="00BA53B2"/>
    <w:rsid w:val="00BA5D83"/>
    <w:rsid w:val="00BA5DC4"/>
    <w:rsid w:val="00BA65F9"/>
    <w:rsid w:val="00BA7352"/>
    <w:rsid w:val="00BA772D"/>
    <w:rsid w:val="00BB16DE"/>
    <w:rsid w:val="00BB303C"/>
    <w:rsid w:val="00BB3BD5"/>
    <w:rsid w:val="00BB3FF2"/>
    <w:rsid w:val="00BB4E46"/>
    <w:rsid w:val="00BB6368"/>
    <w:rsid w:val="00BB672C"/>
    <w:rsid w:val="00BC011C"/>
    <w:rsid w:val="00BC13D8"/>
    <w:rsid w:val="00BC1893"/>
    <w:rsid w:val="00BC457E"/>
    <w:rsid w:val="00BC7DFB"/>
    <w:rsid w:val="00BD00EC"/>
    <w:rsid w:val="00BD0203"/>
    <w:rsid w:val="00BD248D"/>
    <w:rsid w:val="00BD4AAF"/>
    <w:rsid w:val="00BD6A2D"/>
    <w:rsid w:val="00BD78F7"/>
    <w:rsid w:val="00BE02C7"/>
    <w:rsid w:val="00BE126C"/>
    <w:rsid w:val="00BE13E5"/>
    <w:rsid w:val="00BE279F"/>
    <w:rsid w:val="00BE4133"/>
    <w:rsid w:val="00BE4C17"/>
    <w:rsid w:val="00BE5565"/>
    <w:rsid w:val="00BE5C7F"/>
    <w:rsid w:val="00BF0BFD"/>
    <w:rsid w:val="00BF12E7"/>
    <w:rsid w:val="00BF1A20"/>
    <w:rsid w:val="00BF3884"/>
    <w:rsid w:val="00BF5C17"/>
    <w:rsid w:val="00BF5D71"/>
    <w:rsid w:val="00BF5F43"/>
    <w:rsid w:val="00BF77CD"/>
    <w:rsid w:val="00BF7CB6"/>
    <w:rsid w:val="00C0017D"/>
    <w:rsid w:val="00C01ECF"/>
    <w:rsid w:val="00C02623"/>
    <w:rsid w:val="00C0302A"/>
    <w:rsid w:val="00C03E43"/>
    <w:rsid w:val="00C03EF2"/>
    <w:rsid w:val="00C046F5"/>
    <w:rsid w:val="00C05354"/>
    <w:rsid w:val="00C057D8"/>
    <w:rsid w:val="00C065C5"/>
    <w:rsid w:val="00C06BBE"/>
    <w:rsid w:val="00C1065F"/>
    <w:rsid w:val="00C11B0E"/>
    <w:rsid w:val="00C12E66"/>
    <w:rsid w:val="00C13D9D"/>
    <w:rsid w:val="00C170C1"/>
    <w:rsid w:val="00C20266"/>
    <w:rsid w:val="00C20AE6"/>
    <w:rsid w:val="00C2147A"/>
    <w:rsid w:val="00C21990"/>
    <w:rsid w:val="00C223CE"/>
    <w:rsid w:val="00C2418C"/>
    <w:rsid w:val="00C24502"/>
    <w:rsid w:val="00C24B4E"/>
    <w:rsid w:val="00C250A5"/>
    <w:rsid w:val="00C26A9C"/>
    <w:rsid w:val="00C2712E"/>
    <w:rsid w:val="00C3187E"/>
    <w:rsid w:val="00C33314"/>
    <w:rsid w:val="00C34C57"/>
    <w:rsid w:val="00C353F9"/>
    <w:rsid w:val="00C36974"/>
    <w:rsid w:val="00C37CF9"/>
    <w:rsid w:val="00C40A66"/>
    <w:rsid w:val="00C42EEB"/>
    <w:rsid w:val="00C44E32"/>
    <w:rsid w:val="00C46E74"/>
    <w:rsid w:val="00C47077"/>
    <w:rsid w:val="00C47078"/>
    <w:rsid w:val="00C5059D"/>
    <w:rsid w:val="00C50BEF"/>
    <w:rsid w:val="00C521CA"/>
    <w:rsid w:val="00C53C07"/>
    <w:rsid w:val="00C54207"/>
    <w:rsid w:val="00C54512"/>
    <w:rsid w:val="00C56A35"/>
    <w:rsid w:val="00C56EBC"/>
    <w:rsid w:val="00C57580"/>
    <w:rsid w:val="00C6095F"/>
    <w:rsid w:val="00C62667"/>
    <w:rsid w:val="00C645C9"/>
    <w:rsid w:val="00C64F3E"/>
    <w:rsid w:val="00C65AD3"/>
    <w:rsid w:val="00C6615E"/>
    <w:rsid w:val="00C6687B"/>
    <w:rsid w:val="00C71713"/>
    <w:rsid w:val="00C726CE"/>
    <w:rsid w:val="00C75CED"/>
    <w:rsid w:val="00C766AA"/>
    <w:rsid w:val="00C766E1"/>
    <w:rsid w:val="00C76BC8"/>
    <w:rsid w:val="00C77062"/>
    <w:rsid w:val="00C77EC0"/>
    <w:rsid w:val="00C80E10"/>
    <w:rsid w:val="00C80F88"/>
    <w:rsid w:val="00C829C8"/>
    <w:rsid w:val="00C8584A"/>
    <w:rsid w:val="00C85B0C"/>
    <w:rsid w:val="00C85B2C"/>
    <w:rsid w:val="00C90C5D"/>
    <w:rsid w:val="00C91008"/>
    <w:rsid w:val="00C91D45"/>
    <w:rsid w:val="00C943F1"/>
    <w:rsid w:val="00C9455B"/>
    <w:rsid w:val="00C9489C"/>
    <w:rsid w:val="00C9497B"/>
    <w:rsid w:val="00C94B55"/>
    <w:rsid w:val="00C956E2"/>
    <w:rsid w:val="00C95FD8"/>
    <w:rsid w:val="00C97DB0"/>
    <w:rsid w:val="00CA090C"/>
    <w:rsid w:val="00CA10AD"/>
    <w:rsid w:val="00CA1320"/>
    <w:rsid w:val="00CA1650"/>
    <w:rsid w:val="00CA1735"/>
    <w:rsid w:val="00CA1F87"/>
    <w:rsid w:val="00CA36A8"/>
    <w:rsid w:val="00CA393E"/>
    <w:rsid w:val="00CA3987"/>
    <w:rsid w:val="00CA3FAE"/>
    <w:rsid w:val="00CA6376"/>
    <w:rsid w:val="00CA6F98"/>
    <w:rsid w:val="00CB0002"/>
    <w:rsid w:val="00CB17FD"/>
    <w:rsid w:val="00CB1A90"/>
    <w:rsid w:val="00CB2CA2"/>
    <w:rsid w:val="00CB2F64"/>
    <w:rsid w:val="00CB592D"/>
    <w:rsid w:val="00CB5D1A"/>
    <w:rsid w:val="00CB70AA"/>
    <w:rsid w:val="00CB7B1D"/>
    <w:rsid w:val="00CC0B4D"/>
    <w:rsid w:val="00CC10D2"/>
    <w:rsid w:val="00CC1DF1"/>
    <w:rsid w:val="00CC29F7"/>
    <w:rsid w:val="00CC2F76"/>
    <w:rsid w:val="00CC38A5"/>
    <w:rsid w:val="00CC68FB"/>
    <w:rsid w:val="00CC6F06"/>
    <w:rsid w:val="00CD0BB7"/>
    <w:rsid w:val="00CD2189"/>
    <w:rsid w:val="00CD3E4F"/>
    <w:rsid w:val="00CD3F11"/>
    <w:rsid w:val="00CD4448"/>
    <w:rsid w:val="00CE2F25"/>
    <w:rsid w:val="00CE4B72"/>
    <w:rsid w:val="00CE52BE"/>
    <w:rsid w:val="00CE5497"/>
    <w:rsid w:val="00CE782D"/>
    <w:rsid w:val="00CF0332"/>
    <w:rsid w:val="00CF2846"/>
    <w:rsid w:val="00CF2B2D"/>
    <w:rsid w:val="00CF2D74"/>
    <w:rsid w:val="00CF3F8F"/>
    <w:rsid w:val="00CF5608"/>
    <w:rsid w:val="00CF6786"/>
    <w:rsid w:val="00CF7108"/>
    <w:rsid w:val="00D01277"/>
    <w:rsid w:val="00D03AE3"/>
    <w:rsid w:val="00D051B4"/>
    <w:rsid w:val="00D06627"/>
    <w:rsid w:val="00D06B52"/>
    <w:rsid w:val="00D11F57"/>
    <w:rsid w:val="00D13916"/>
    <w:rsid w:val="00D156D4"/>
    <w:rsid w:val="00D161E8"/>
    <w:rsid w:val="00D1646D"/>
    <w:rsid w:val="00D171F0"/>
    <w:rsid w:val="00D212B2"/>
    <w:rsid w:val="00D21617"/>
    <w:rsid w:val="00D21E86"/>
    <w:rsid w:val="00D21F72"/>
    <w:rsid w:val="00D22538"/>
    <w:rsid w:val="00D229DC"/>
    <w:rsid w:val="00D2347F"/>
    <w:rsid w:val="00D24519"/>
    <w:rsid w:val="00D24544"/>
    <w:rsid w:val="00D25A90"/>
    <w:rsid w:val="00D2647A"/>
    <w:rsid w:val="00D27475"/>
    <w:rsid w:val="00D2760F"/>
    <w:rsid w:val="00D31D4A"/>
    <w:rsid w:val="00D325F8"/>
    <w:rsid w:val="00D35CD7"/>
    <w:rsid w:val="00D367E0"/>
    <w:rsid w:val="00D40ADD"/>
    <w:rsid w:val="00D42E93"/>
    <w:rsid w:val="00D4444A"/>
    <w:rsid w:val="00D471F3"/>
    <w:rsid w:val="00D509C7"/>
    <w:rsid w:val="00D50CFB"/>
    <w:rsid w:val="00D52C69"/>
    <w:rsid w:val="00D53B8C"/>
    <w:rsid w:val="00D54A16"/>
    <w:rsid w:val="00D554D6"/>
    <w:rsid w:val="00D55C7F"/>
    <w:rsid w:val="00D56F11"/>
    <w:rsid w:val="00D57950"/>
    <w:rsid w:val="00D63796"/>
    <w:rsid w:val="00D63C8C"/>
    <w:rsid w:val="00D6676F"/>
    <w:rsid w:val="00D712B4"/>
    <w:rsid w:val="00D71473"/>
    <w:rsid w:val="00D71522"/>
    <w:rsid w:val="00D73117"/>
    <w:rsid w:val="00D7355F"/>
    <w:rsid w:val="00D75895"/>
    <w:rsid w:val="00D75972"/>
    <w:rsid w:val="00D760AA"/>
    <w:rsid w:val="00D802CD"/>
    <w:rsid w:val="00D80ADB"/>
    <w:rsid w:val="00D84C16"/>
    <w:rsid w:val="00D85090"/>
    <w:rsid w:val="00D879D4"/>
    <w:rsid w:val="00D9114C"/>
    <w:rsid w:val="00D92AA6"/>
    <w:rsid w:val="00D92AF6"/>
    <w:rsid w:val="00D955F3"/>
    <w:rsid w:val="00D96FEA"/>
    <w:rsid w:val="00D97632"/>
    <w:rsid w:val="00DA0B1E"/>
    <w:rsid w:val="00DA0EF1"/>
    <w:rsid w:val="00DA0FC9"/>
    <w:rsid w:val="00DA32C3"/>
    <w:rsid w:val="00DA3B56"/>
    <w:rsid w:val="00DA6080"/>
    <w:rsid w:val="00DA7440"/>
    <w:rsid w:val="00DB02B3"/>
    <w:rsid w:val="00DB12CE"/>
    <w:rsid w:val="00DB2A98"/>
    <w:rsid w:val="00DB3B06"/>
    <w:rsid w:val="00DB41D2"/>
    <w:rsid w:val="00DB53A5"/>
    <w:rsid w:val="00DB7E61"/>
    <w:rsid w:val="00DC16B6"/>
    <w:rsid w:val="00DC19B0"/>
    <w:rsid w:val="00DC1B9E"/>
    <w:rsid w:val="00DC286E"/>
    <w:rsid w:val="00DC3543"/>
    <w:rsid w:val="00DC52CC"/>
    <w:rsid w:val="00DC52EC"/>
    <w:rsid w:val="00DC60FF"/>
    <w:rsid w:val="00DC6588"/>
    <w:rsid w:val="00DC7326"/>
    <w:rsid w:val="00DC770B"/>
    <w:rsid w:val="00DC7765"/>
    <w:rsid w:val="00DD0C3D"/>
    <w:rsid w:val="00DD1367"/>
    <w:rsid w:val="00DD1D6C"/>
    <w:rsid w:val="00DD21F6"/>
    <w:rsid w:val="00DD24C2"/>
    <w:rsid w:val="00DD2B59"/>
    <w:rsid w:val="00DD3794"/>
    <w:rsid w:val="00DD70A0"/>
    <w:rsid w:val="00DE0214"/>
    <w:rsid w:val="00DE164E"/>
    <w:rsid w:val="00DE1C5C"/>
    <w:rsid w:val="00DE1CAA"/>
    <w:rsid w:val="00DE4AF9"/>
    <w:rsid w:val="00DE5902"/>
    <w:rsid w:val="00DE6663"/>
    <w:rsid w:val="00DE6859"/>
    <w:rsid w:val="00DE6D3A"/>
    <w:rsid w:val="00DE7548"/>
    <w:rsid w:val="00DF07CB"/>
    <w:rsid w:val="00DF27B8"/>
    <w:rsid w:val="00DF3263"/>
    <w:rsid w:val="00DF440E"/>
    <w:rsid w:val="00DF5AC2"/>
    <w:rsid w:val="00DF5CCD"/>
    <w:rsid w:val="00DF5F79"/>
    <w:rsid w:val="00E026F0"/>
    <w:rsid w:val="00E033FC"/>
    <w:rsid w:val="00E03805"/>
    <w:rsid w:val="00E07D2E"/>
    <w:rsid w:val="00E1174D"/>
    <w:rsid w:val="00E11A37"/>
    <w:rsid w:val="00E153A4"/>
    <w:rsid w:val="00E15AB8"/>
    <w:rsid w:val="00E20925"/>
    <w:rsid w:val="00E21D3C"/>
    <w:rsid w:val="00E22632"/>
    <w:rsid w:val="00E226CE"/>
    <w:rsid w:val="00E2303F"/>
    <w:rsid w:val="00E237D8"/>
    <w:rsid w:val="00E24BFC"/>
    <w:rsid w:val="00E24DEB"/>
    <w:rsid w:val="00E262ED"/>
    <w:rsid w:val="00E27DB0"/>
    <w:rsid w:val="00E30C90"/>
    <w:rsid w:val="00E33E79"/>
    <w:rsid w:val="00E354DA"/>
    <w:rsid w:val="00E35522"/>
    <w:rsid w:val="00E35E4B"/>
    <w:rsid w:val="00E36C13"/>
    <w:rsid w:val="00E370CF"/>
    <w:rsid w:val="00E370DF"/>
    <w:rsid w:val="00E375CA"/>
    <w:rsid w:val="00E413F7"/>
    <w:rsid w:val="00E41658"/>
    <w:rsid w:val="00E417EC"/>
    <w:rsid w:val="00E4188E"/>
    <w:rsid w:val="00E41B0C"/>
    <w:rsid w:val="00E42170"/>
    <w:rsid w:val="00E433E6"/>
    <w:rsid w:val="00E43C71"/>
    <w:rsid w:val="00E45D29"/>
    <w:rsid w:val="00E465CC"/>
    <w:rsid w:val="00E47FCB"/>
    <w:rsid w:val="00E508FF"/>
    <w:rsid w:val="00E50F6D"/>
    <w:rsid w:val="00E52938"/>
    <w:rsid w:val="00E559CD"/>
    <w:rsid w:val="00E56440"/>
    <w:rsid w:val="00E5702B"/>
    <w:rsid w:val="00E61F9F"/>
    <w:rsid w:val="00E62EBA"/>
    <w:rsid w:val="00E6334F"/>
    <w:rsid w:val="00E641FB"/>
    <w:rsid w:val="00E6537B"/>
    <w:rsid w:val="00E6725A"/>
    <w:rsid w:val="00E67AAF"/>
    <w:rsid w:val="00E70F38"/>
    <w:rsid w:val="00E715DB"/>
    <w:rsid w:val="00E715DE"/>
    <w:rsid w:val="00E715F3"/>
    <w:rsid w:val="00E71F36"/>
    <w:rsid w:val="00E72729"/>
    <w:rsid w:val="00E7341D"/>
    <w:rsid w:val="00E73850"/>
    <w:rsid w:val="00E73DDF"/>
    <w:rsid w:val="00E73FB0"/>
    <w:rsid w:val="00E7495E"/>
    <w:rsid w:val="00E75959"/>
    <w:rsid w:val="00E76CB9"/>
    <w:rsid w:val="00E76E54"/>
    <w:rsid w:val="00E77C35"/>
    <w:rsid w:val="00E80039"/>
    <w:rsid w:val="00E81CB6"/>
    <w:rsid w:val="00E838DF"/>
    <w:rsid w:val="00E83930"/>
    <w:rsid w:val="00E83B52"/>
    <w:rsid w:val="00E8540E"/>
    <w:rsid w:val="00E857A5"/>
    <w:rsid w:val="00E91A34"/>
    <w:rsid w:val="00E92057"/>
    <w:rsid w:val="00E94ADA"/>
    <w:rsid w:val="00E95856"/>
    <w:rsid w:val="00E97FC5"/>
    <w:rsid w:val="00EA0AA6"/>
    <w:rsid w:val="00EA12C2"/>
    <w:rsid w:val="00EA1922"/>
    <w:rsid w:val="00EA2A88"/>
    <w:rsid w:val="00EA4869"/>
    <w:rsid w:val="00EA623A"/>
    <w:rsid w:val="00EA630D"/>
    <w:rsid w:val="00EA6543"/>
    <w:rsid w:val="00EA7D3A"/>
    <w:rsid w:val="00EB0565"/>
    <w:rsid w:val="00EB127A"/>
    <w:rsid w:val="00EB16BB"/>
    <w:rsid w:val="00EB39FA"/>
    <w:rsid w:val="00EB409B"/>
    <w:rsid w:val="00EB40FF"/>
    <w:rsid w:val="00EB470F"/>
    <w:rsid w:val="00EB49F5"/>
    <w:rsid w:val="00EB7C07"/>
    <w:rsid w:val="00EC0ECB"/>
    <w:rsid w:val="00EC1613"/>
    <w:rsid w:val="00EC1D1C"/>
    <w:rsid w:val="00EC4798"/>
    <w:rsid w:val="00EC518E"/>
    <w:rsid w:val="00EC57AB"/>
    <w:rsid w:val="00EC67FE"/>
    <w:rsid w:val="00EC7EA2"/>
    <w:rsid w:val="00ED0FF9"/>
    <w:rsid w:val="00ED24A1"/>
    <w:rsid w:val="00ED24B1"/>
    <w:rsid w:val="00ED26A3"/>
    <w:rsid w:val="00ED5E5D"/>
    <w:rsid w:val="00ED68E2"/>
    <w:rsid w:val="00ED70B1"/>
    <w:rsid w:val="00EE21E7"/>
    <w:rsid w:val="00EE2F15"/>
    <w:rsid w:val="00EE3182"/>
    <w:rsid w:val="00EE6186"/>
    <w:rsid w:val="00EF1B76"/>
    <w:rsid w:val="00EF20A6"/>
    <w:rsid w:val="00EF5693"/>
    <w:rsid w:val="00EF577A"/>
    <w:rsid w:val="00EF5DB2"/>
    <w:rsid w:val="00EF69B7"/>
    <w:rsid w:val="00EF769C"/>
    <w:rsid w:val="00F0117C"/>
    <w:rsid w:val="00F019E6"/>
    <w:rsid w:val="00F01F59"/>
    <w:rsid w:val="00F067CE"/>
    <w:rsid w:val="00F10218"/>
    <w:rsid w:val="00F105B6"/>
    <w:rsid w:val="00F12826"/>
    <w:rsid w:val="00F15583"/>
    <w:rsid w:val="00F15974"/>
    <w:rsid w:val="00F16876"/>
    <w:rsid w:val="00F16D39"/>
    <w:rsid w:val="00F17142"/>
    <w:rsid w:val="00F17641"/>
    <w:rsid w:val="00F2238A"/>
    <w:rsid w:val="00F23565"/>
    <w:rsid w:val="00F2553D"/>
    <w:rsid w:val="00F2666A"/>
    <w:rsid w:val="00F26CAF"/>
    <w:rsid w:val="00F3145F"/>
    <w:rsid w:val="00F315BC"/>
    <w:rsid w:val="00F3480F"/>
    <w:rsid w:val="00F34E4F"/>
    <w:rsid w:val="00F34FEA"/>
    <w:rsid w:val="00F35136"/>
    <w:rsid w:val="00F36121"/>
    <w:rsid w:val="00F40110"/>
    <w:rsid w:val="00F41C9F"/>
    <w:rsid w:val="00F41FA5"/>
    <w:rsid w:val="00F42938"/>
    <w:rsid w:val="00F46762"/>
    <w:rsid w:val="00F47528"/>
    <w:rsid w:val="00F4790A"/>
    <w:rsid w:val="00F50605"/>
    <w:rsid w:val="00F50CCF"/>
    <w:rsid w:val="00F50D1C"/>
    <w:rsid w:val="00F52354"/>
    <w:rsid w:val="00F527C4"/>
    <w:rsid w:val="00F52FF7"/>
    <w:rsid w:val="00F557CE"/>
    <w:rsid w:val="00F614CC"/>
    <w:rsid w:val="00F61C1D"/>
    <w:rsid w:val="00F62089"/>
    <w:rsid w:val="00F6253C"/>
    <w:rsid w:val="00F638AF"/>
    <w:rsid w:val="00F63CDE"/>
    <w:rsid w:val="00F63F63"/>
    <w:rsid w:val="00F645D2"/>
    <w:rsid w:val="00F64696"/>
    <w:rsid w:val="00F6569A"/>
    <w:rsid w:val="00F65917"/>
    <w:rsid w:val="00F65A75"/>
    <w:rsid w:val="00F65B9C"/>
    <w:rsid w:val="00F65FDC"/>
    <w:rsid w:val="00F66642"/>
    <w:rsid w:val="00F66A4B"/>
    <w:rsid w:val="00F677AF"/>
    <w:rsid w:val="00F67C7C"/>
    <w:rsid w:val="00F67E81"/>
    <w:rsid w:val="00F67F2C"/>
    <w:rsid w:val="00F71510"/>
    <w:rsid w:val="00F71D26"/>
    <w:rsid w:val="00F71EDE"/>
    <w:rsid w:val="00F71EF9"/>
    <w:rsid w:val="00F73924"/>
    <w:rsid w:val="00F739AA"/>
    <w:rsid w:val="00F73AFC"/>
    <w:rsid w:val="00F76860"/>
    <w:rsid w:val="00F769E8"/>
    <w:rsid w:val="00F76B2B"/>
    <w:rsid w:val="00F77FB2"/>
    <w:rsid w:val="00F80F03"/>
    <w:rsid w:val="00F816FB"/>
    <w:rsid w:val="00F82932"/>
    <w:rsid w:val="00F8638A"/>
    <w:rsid w:val="00F874D1"/>
    <w:rsid w:val="00F87E21"/>
    <w:rsid w:val="00F90931"/>
    <w:rsid w:val="00F925EA"/>
    <w:rsid w:val="00F9314F"/>
    <w:rsid w:val="00F9485B"/>
    <w:rsid w:val="00F94A1A"/>
    <w:rsid w:val="00F94A3A"/>
    <w:rsid w:val="00F950F6"/>
    <w:rsid w:val="00F96732"/>
    <w:rsid w:val="00FA0450"/>
    <w:rsid w:val="00FA13AD"/>
    <w:rsid w:val="00FA145A"/>
    <w:rsid w:val="00FA2EAC"/>
    <w:rsid w:val="00FA339C"/>
    <w:rsid w:val="00FA4B59"/>
    <w:rsid w:val="00FA586A"/>
    <w:rsid w:val="00FA6548"/>
    <w:rsid w:val="00FB0C0D"/>
    <w:rsid w:val="00FB0CD1"/>
    <w:rsid w:val="00FB1067"/>
    <w:rsid w:val="00FB55F7"/>
    <w:rsid w:val="00FB5888"/>
    <w:rsid w:val="00FB5E97"/>
    <w:rsid w:val="00FB6C0A"/>
    <w:rsid w:val="00FB6DEA"/>
    <w:rsid w:val="00FB6ED8"/>
    <w:rsid w:val="00FB7B5E"/>
    <w:rsid w:val="00FB7B99"/>
    <w:rsid w:val="00FC1693"/>
    <w:rsid w:val="00FC240C"/>
    <w:rsid w:val="00FC41F1"/>
    <w:rsid w:val="00FC6736"/>
    <w:rsid w:val="00FC79F0"/>
    <w:rsid w:val="00FD059A"/>
    <w:rsid w:val="00FD0EC4"/>
    <w:rsid w:val="00FD1338"/>
    <w:rsid w:val="00FD22F9"/>
    <w:rsid w:val="00FD3300"/>
    <w:rsid w:val="00FD3A5A"/>
    <w:rsid w:val="00FD52E9"/>
    <w:rsid w:val="00FD5828"/>
    <w:rsid w:val="00FD5E76"/>
    <w:rsid w:val="00FD6992"/>
    <w:rsid w:val="00FD7AEA"/>
    <w:rsid w:val="00FE1F3D"/>
    <w:rsid w:val="00FE354F"/>
    <w:rsid w:val="00FE3BC6"/>
    <w:rsid w:val="00FE482C"/>
    <w:rsid w:val="00FE4E0A"/>
    <w:rsid w:val="00FE5BB8"/>
    <w:rsid w:val="00FE6B91"/>
    <w:rsid w:val="00FE74CB"/>
    <w:rsid w:val="00FF0881"/>
    <w:rsid w:val="00FF08C5"/>
    <w:rsid w:val="00FF16F9"/>
    <w:rsid w:val="00FF3E49"/>
    <w:rsid w:val="00FF4C43"/>
    <w:rsid w:val="00FF4FAE"/>
    <w:rsid w:val="00FF631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link w:val="Title"/>
    <w:rsid w:val="00526532"/>
    <w:rPr>
      <w:b/>
      <w:sz w:val="22"/>
      <w:lang w:eastAsia="en-US"/>
    </w:rPr>
  </w:style>
  <w:style w:type="character" w:customStyle="1" w:styleId="FooterChar">
    <w:name w:val="Footer Char"/>
    <w:link w:val="Footer"/>
    <w:uiPriority w:val="99"/>
    <w:locked/>
    <w:rsid w:val="00E56440"/>
    <w:rPr>
      <w:sz w:val="24"/>
      <w:szCs w:val="24"/>
      <w:lang w:eastAsia="en-US"/>
    </w:rPr>
  </w:style>
  <w:style w:type="paragraph" w:styleId="ListParagraph">
    <w:name w:val="List Paragraph"/>
    <w:basedOn w:val="Normal"/>
    <w:uiPriority w:val="99"/>
    <w:qFormat/>
    <w:rsid w:val="00E56440"/>
    <w:pPr>
      <w:spacing w:after="200" w:line="276" w:lineRule="auto"/>
      <w:ind w:left="720"/>
      <w:contextualSpacing/>
    </w:pPr>
    <w:rPr>
      <w:rFonts w:ascii="Calibri" w:hAnsi="Calibri"/>
      <w:sz w:val="22"/>
      <w:szCs w:val="22"/>
    </w:rPr>
  </w:style>
  <w:style w:type="character" w:styleId="CommentReference">
    <w:name w:val="annotation reference"/>
    <w:rsid w:val="0097517E"/>
    <w:rPr>
      <w:sz w:val="16"/>
      <w:szCs w:val="16"/>
    </w:rPr>
  </w:style>
  <w:style w:type="paragraph" w:styleId="CommentText">
    <w:name w:val="annotation text"/>
    <w:basedOn w:val="Normal"/>
    <w:link w:val="CommentTextChar"/>
    <w:rsid w:val="0097517E"/>
    <w:rPr>
      <w:sz w:val="20"/>
      <w:szCs w:val="20"/>
    </w:rPr>
  </w:style>
  <w:style w:type="character" w:customStyle="1" w:styleId="CommentTextChar">
    <w:name w:val="Comment Text Char"/>
    <w:link w:val="CommentText"/>
    <w:rsid w:val="0097517E"/>
    <w:rPr>
      <w:lang w:eastAsia="en-US"/>
    </w:rPr>
  </w:style>
  <w:style w:type="paragraph" w:styleId="CommentSubject">
    <w:name w:val="annotation subject"/>
    <w:basedOn w:val="CommentText"/>
    <w:next w:val="CommentText"/>
    <w:link w:val="CommentSubjectChar"/>
    <w:rsid w:val="0097517E"/>
    <w:rPr>
      <w:b/>
      <w:bCs/>
    </w:rPr>
  </w:style>
  <w:style w:type="character" w:customStyle="1" w:styleId="CommentSubjectChar">
    <w:name w:val="Comment Subject Char"/>
    <w:link w:val="CommentSubject"/>
    <w:rsid w:val="0097517E"/>
    <w:rPr>
      <w:b/>
      <w:bCs/>
      <w:lang w:eastAsia="en-US"/>
    </w:rPr>
  </w:style>
  <w:style w:type="paragraph" w:styleId="BalloonText">
    <w:name w:val="Balloon Text"/>
    <w:basedOn w:val="Normal"/>
    <w:link w:val="BalloonTextChar"/>
    <w:rsid w:val="0097517E"/>
    <w:rPr>
      <w:rFonts w:ascii="Tahoma" w:hAnsi="Tahoma"/>
      <w:sz w:val="16"/>
      <w:szCs w:val="16"/>
    </w:rPr>
  </w:style>
  <w:style w:type="character" w:customStyle="1" w:styleId="BalloonTextChar">
    <w:name w:val="Balloon Text Char"/>
    <w:link w:val="BalloonText"/>
    <w:rsid w:val="0097517E"/>
    <w:rPr>
      <w:rFonts w:ascii="Tahoma" w:hAnsi="Tahoma" w:cs="Tahoma"/>
      <w:sz w:val="16"/>
      <w:szCs w:val="16"/>
      <w:lang w:eastAsia="en-US"/>
    </w:rPr>
  </w:style>
  <w:style w:type="table" w:styleId="TableGrid">
    <w:name w:val="Table Grid"/>
    <w:basedOn w:val="TableNormal"/>
    <w:uiPriority w:val="59"/>
    <w:rsid w:val="006E71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597D39"/>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st1">
    <w:name w:val="st1"/>
    <w:basedOn w:val="DefaultParagraphFont"/>
    <w:rsid w:val="00A27AE6"/>
  </w:style>
  <w:style w:type="character" w:styleId="Emphasis">
    <w:name w:val="Emphasis"/>
    <w:uiPriority w:val="20"/>
    <w:qFormat/>
    <w:rsid w:val="00702E00"/>
    <w:rPr>
      <w:i/>
      <w:iCs/>
    </w:rPr>
  </w:style>
  <w:style w:type="character" w:customStyle="1" w:styleId="apple-converted-space">
    <w:name w:val="apple-converted-space"/>
    <w:basedOn w:val="DefaultParagraphFont"/>
    <w:rsid w:val="00920C20"/>
  </w:style>
  <w:style w:type="character" w:styleId="Hyperlink">
    <w:name w:val="Hyperlink"/>
    <w:uiPriority w:val="99"/>
    <w:unhideWhenUsed/>
    <w:rsid w:val="00AC02C2"/>
    <w:rPr>
      <w:color w:val="0000FF"/>
      <w:u w:val="single"/>
    </w:rPr>
  </w:style>
  <w:style w:type="character" w:customStyle="1" w:styleId="Heading1Char">
    <w:name w:val="Heading 1 Char"/>
    <w:basedOn w:val="DefaultParagraphFont"/>
    <w:link w:val="Heading1"/>
    <w:locked/>
    <w:rsid w:val="00594BA7"/>
    <w:rPr>
      <w:b/>
      <w:bCs/>
      <w:sz w:val="32"/>
      <w:szCs w:val="32"/>
      <w:lang w:eastAsia="en-US"/>
    </w:rPr>
  </w:style>
  <w:style w:type="character" w:customStyle="1" w:styleId="y0nh2b">
    <w:name w:val="y0nh2b"/>
    <w:basedOn w:val="DefaultParagraphFont"/>
    <w:rsid w:val="00F41FA5"/>
  </w:style>
</w:styles>
</file>

<file path=word/webSettings.xml><?xml version="1.0" encoding="utf-8"?>
<w:webSettings xmlns:r="http://schemas.openxmlformats.org/officeDocument/2006/relationships" xmlns:w="http://schemas.openxmlformats.org/wordprocessingml/2006/main">
  <w:divs>
    <w:div w:id="6949215">
      <w:bodyDiv w:val="1"/>
      <w:marLeft w:val="0"/>
      <w:marRight w:val="0"/>
      <w:marTop w:val="0"/>
      <w:marBottom w:val="0"/>
      <w:divBdr>
        <w:top w:val="none" w:sz="0" w:space="0" w:color="auto"/>
        <w:left w:val="none" w:sz="0" w:space="0" w:color="auto"/>
        <w:bottom w:val="none" w:sz="0" w:space="0" w:color="auto"/>
        <w:right w:val="none" w:sz="0" w:space="0" w:color="auto"/>
      </w:divBdr>
    </w:div>
    <w:div w:id="199585723">
      <w:bodyDiv w:val="1"/>
      <w:marLeft w:val="0"/>
      <w:marRight w:val="0"/>
      <w:marTop w:val="0"/>
      <w:marBottom w:val="0"/>
      <w:divBdr>
        <w:top w:val="none" w:sz="0" w:space="0" w:color="auto"/>
        <w:left w:val="none" w:sz="0" w:space="0" w:color="auto"/>
        <w:bottom w:val="none" w:sz="0" w:space="0" w:color="auto"/>
        <w:right w:val="none" w:sz="0" w:space="0" w:color="auto"/>
      </w:divBdr>
    </w:div>
    <w:div w:id="261841130">
      <w:bodyDiv w:val="1"/>
      <w:marLeft w:val="0"/>
      <w:marRight w:val="0"/>
      <w:marTop w:val="0"/>
      <w:marBottom w:val="0"/>
      <w:divBdr>
        <w:top w:val="none" w:sz="0" w:space="0" w:color="auto"/>
        <w:left w:val="none" w:sz="0" w:space="0" w:color="auto"/>
        <w:bottom w:val="none" w:sz="0" w:space="0" w:color="auto"/>
        <w:right w:val="none" w:sz="0" w:space="0" w:color="auto"/>
      </w:divBdr>
    </w:div>
    <w:div w:id="280766245">
      <w:bodyDiv w:val="1"/>
      <w:marLeft w:val="0"/>
      <w:marRight w:val="0"/>
      <w:marTop w:val="0"/>
      <w:marBottom w:val="0"/>
      <w:divBdr>
        <w:top w:val="none" w:sz="0" w:space="0" w:color="auto"/>
        <w:left w:val="none" w:sz="0" w:space="0" w:color="auto"/>
        <w:bottom w:val="none" w:sz="0" w:space="0" w:color="auto"/>
        <w:right w:val="none" w:sz="0" w:space="0" w:color="auto"/>
      </w:divBdr>
    </w:div>
    <w:div w:id="353774076">
      <w:bodyDiv w:val="1"/>
      <w:marLeft w:val="0"/>
      <w:marRight w:val="0"/>
      <w:marTop w:val="0"/>
      <w:marBottom w:val="0"/>
      <w:divBdr>
        <w:top w:val="none" w:sz="0" w:space="0" w:color="auto"/>
        <w:left w:val="none" w:sz="0" w:space="0" w:color="auto"/>
        <w:bottom w:val="none" w:sz="0" w:space="0" w:color="auto"/>
        <w:right w:val="none" w:sz="0" w:space="0" w:color="auto"/>
      </w:divBdr>
    </w:div>
    <w:div w:id="498152359">
      <w:bodyDiv w:val="1"/>
      <w:marLeft w:val="0"/>
      <w:marRight w:val="0"/>
      <w:marTop w:val="0"/>
      <w:marBottom w:val="0"/>
      <w:divBdr>
        <w:top w:val="none" w:sz="0" w:space="0" w:color="auto"/>
        <w:left w:val="none" w:sz="0" w:space="0" w:color="auto"/>
        <w:bottom w:val="none" w:sz="0" w:space="0" w:color="auto"/>
        <w:right w:val="none" w:sz="0" w:space="0" w:color="auto"/>
      </w:divBdr>
    </w:div>
    <w:div w:id="581912606">
      <w:bodyDiv w:val="1"/>
      <w:marLeft w:val="0"/>
      <w:marRight w:val="0"/>
      <w:marTop w:val="0"/>
      <w:marBottom w:val="0"/>
      <w:divBdr>
        <w:top w:val="none" w:sz="0" w:space="0" w:color="auto"/>
        <w:left w:val="none" w:sz="0" w:space="0" w:color="auto"/>
        <w:bottom w:val="none" w:sz="0" w:space="0" w:color="auto"/>
        <w:right w:val="none" w:sz="0" w:space="0" w:color="auto"/>
      </w:divBdr>
    </w:div>
    <w:div w:id="598028307">
      <w:bodyDiv w:val="1"/>
      <w:marLeft w:val="0"/>
      <w:marRight w:val="0"/>
      <w:marTop w:val="0"/>
      <w:marBottom w:val="0"/>
      <w:divBdr>
        <w:top w:val="none" w:sz="0" w:space="0" w:color="auto"/>
        <w:left w:val="none" w:sz="0" w:space="0" w:color="auto"/>
        <w:bottom w:val="none" w:sz="0" w:space="0" w:color="auto"/>
        <w:right w:val="none" w:sz="0" w:space="0" w:color="auto"/>
      </w:divBdr>
    </w:div>
    <w:div w:id="901524519">
      <w:bodyDiv w:val="1"/>
      <w:marLeft w:val="0"/>
      <w:marRight w:val="0"/>
      <w:marTop w:val="0"/>
      <w:marBottom w:val="0"/>
      <w:divBdr>
        <w:top w:val="none" w:sz="0" w:space="0" w:color="auto"/>
        <w:left w:val="none" w:sz="0" w:space="0" w:color="auto"/>
        <w:bottom w:val="none" w:sz="0" w:space="0" w:color="auto"/>
        <w:right w:val="none" w:sz="0" w:space="0" w:color="auto"/>
      </w:divBdr>
    </w:div>
    <w:div w:id="1057821975">
      <w:bodyDiv w:val="1"/>
      <w:marLeft w:val="0"/>
      <w:marRight w:val="0"/>
      <w:marTop w:val="0"/>
      <w:marBottom w:val="0"/>
      <w:divBdr>
        <w:top w:val="none" w:sz="0" w:space="0" w:color="auto"/>
        <w:left w:val="none" w:sz="0" w:space="0" w:color="auto"/>
        <w:bottom w:val="none" w:sz="0" w:space="0" w:color="auto"/>
        <w:right w:val="none" w:sz="0" w:space="0" w:color="auto"/>
      </w:divBdr>
    </w:div>
    <w:div w:id="1098674413">
      <w:bodyDiv w:val="1"/>
      <w:marLeft w:val="0"/>
      <w:marRight w:val="0"/>
      <w:marTop w:val="0"/>
      <w:marBottom w:val="0"/>
      <w:divBdr>
        <w:top w:val="none" w:sz="0" w:space="0" w:color="auto"/>
        <w:left w:val="none" w:sz="0" w:space="0" w:color="auto"/>
        <w:bottom w:val="none" w:sz="0" w:space="0" w:color="auto"/>
        <w:right w:val="none" w:sz="0" w:space="0" w:color="auto"/>
      </w:divBdr>
    </w:div>
    <w:div w:id="1332294070">
      <w:bodyDiv w:val="1"/>
      <w:marLeft w:val="0"/>
      <w:marRight w:val="0"/>
      <w:marTop w:val="0"/>
      <w:marBottom w:val="0"/>
      <w:divBdr>
        <w:top w:val="none" w:sz="0" w:space="0" w:color="auto"/>
        <w:left w:val="none" w:sz="0" w:space="0" w:color="auto"/>
        <w:bottom w:val="none" w:sz="0" w:space="0" w:color="auto"/>
        <w:right w:val="none" w:sz="0" w:space="0" w:color="auto"/>
      </w:divBdr>
    </w:div>
    <w:div w:id="1426926858">
      <w:bodyDiv w:val="1"/>
      <w:marLeft w:val="0"/>
      <w:marRight w:val="0"/>
      <w:marTop w:val="0"/>
      <w:marBottom w:val="0"/>
      <w:divBdr>
        <w:top w:val="none" w:sz="0" w:space="0" w:color="auto"/>
        <w:left w:val="none" w:sz="0" w:space="0" w:color="auto"/>
        <w:bottom w:val="none" w:sz="0" w:space="0" w:color="auto"/>
        <w:right w:val="none" w:sz="0" w:space="0" w:color="auto"/>
      </w:divBdr>
    </w:div>
    <w:div w:id="1428695937">
      <w:bodyDiv w:val="1"/>
      <w:marLeft w:val="0"/>
      <w:marRight w:val="0"/>
      <w:marTop w:val="0"/>
      <w:marBottom w:val="0"/>
      <w:divBdr>
        <w:top w:val="none" w:sz="0" w:space="0" w:color="auto"/>
        <w:left w:val="none" w:sz="0" w:space="0" w:color="auto"/>
        <w:bottom w:val="none" w:sz="0" w:space="0" w:color="auto"/>
        <w:right w:val="none" w:sz="0" w:space="0" w:color="auto"/>
      </w:divBdr>
    </w:div>
    <w:div w:id="1502890382">
      <w:bodyDiv w:val="1"/>
      <w:marLeft w:val="0"/>
      <w:marRight w:val="0"/>
      <w:marTop w:val="0"/>
      <w:marBottom w:val="0"/>
      <w:divBdr>
        <w:top w:val="none" w:sz="0" w:space="0" w:color="auto"/>
        <w:left w:val="none" w:sz="0" w:space="0" w:color="auto"/>
        <w:bottom w:val="none" w:sz="0" w:space="0" w:color="auto"/>
        <w:right w:val="none" w:sz="0" w:space="0" w:color="auto"/>
      </w:divBdr>
    </w:div>
    <w:div w:id="1574702787">
      <w:bodyDiv w:val="1"/>
      <w:marLeft w:val="0"/>
      <w:marRight w:val="0"/>
      <w:marTop w:val="0"/>
      <w:marBottom w:val="0"/>
      <w:divBdr>
        <w:top w:val="none" w:sz="0" w:space="0" w:color="auto"/>
        <w:left w:val="none" w:sz="0" w:space="0" w:color="auto"/>
        <w:bottom w:val="none" w:sz="0" w:space="0" w:color="auto"/>
        <w:right w:val="none" w:sz="0" w:space="0" w:color="auto"/>
      </w:divBdr>
    </w:div>
    <w:div w:id="1717200381">
      <w:bodyDiv w:val="1"/>
      <w:marLeft w:val="0"/>
      <w:marRight w:val="0"/>
      <w:marTop w:val="0"/>
      <w:marBottom w:val="0"/>
      <w:divBdr>
        <w:top w:val="none" w:sz="0" w:space="0" w:color="auto"/>
        <w:left w:val="none" w:sz="0" w:space="0" w:color="auto"/>
        <w:bottom w:val="none" w:sz="0" w:space="0" w:color="auto"/>
        <w:right w:val="none" w:sz="0" w:space="0" w:color="auto"/>
      </w:divBdr>
    </w:div>
    <w:div w:id="1862930510">
      <w:bodyDiv w:val="1"/>
      <w:marLeft w:val="0"/>
      <w:marRight w:val="0"/>
      <w:marTop w:val="0"/>
      <w:marBottom w:val="0"/>
      <w:divBdr>
        <w:top w:val="none" w:sz="0" w:space="0" w:color="auto"/>
        <w:left w:val="none" w:sz="0" w:space="0" w:color="auto"/>
        <w:bottom w:val="none" w:sz="0" w:space="0" w:color="auto"/>
        <w:right w:val="none" w:sz="0" w:space="0" w:color="auto"/>
      </w:divBdr>
    </w:div>
    <w:div w:id="2015567651">
      <w:bodyDiv w:val="1"/>
      <w:marLeft w:val="0"/>
      <w:marRight w:val="0"/>
      <w:marTop w:val="0"/>
      <w:marBottom w:val="0"/>
      <w:divBdr>
        <w:top w:val="none" w:sz="0" w:space="0" w:color="auto"/>
        <w:left w:val="none" w:sz="0" w:space="0" w:color="auto"/>
        <w:bottom w:val="none" w:sz="0" w:space="0" w:color="auto"/>
        <w:right w:val="none" w:sz="0" w:space="0" w:color="auto"/>
      </w:divBdr>
    </w:div>
    <w:div w:id="2133815649">
      <w:bodyDiv w:val="1"/>
      <w:marLeft w:val="0"/>
      <w:marRight w:val="0"/>
      <w:marTop w:val="0"/>
      <w:marBottom w:val="0"/>
      <w:divBdr>
        <w:top w:val="none" w:sz="0" w:space="0" w:color="auto"/>
        <w:left w:val="none" w:sz="0" w:space="0" w:color="auto"/>
        <w:bottom w:val="none" w:sz="0" w:space="0" w:color="auto"/>
        <w:right w:val="none" w:sz="0" w:space="0" w:color="auto"/>
      </w:divBdr>
    </w:div>
    <w:div w:id="213706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73EA50-8787-4C78-8D53-7935C2B9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Pages>
  <Words>3571</Words>
  <Characters>19919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cp:lastPrinted>2018-10-11T12:08:00Z</cp:lastPrinted>
  <dcterms:created xsi:type="dcterms:W3CDTF">2018-11-27T11:28:00Z</dcterms:created>
  <dcterms:modified xsi:type="dcterms:W3CDTF">2018-11-29T14:34:00Z</dcterms:modified>
</cp:coreProperties>
</file>