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77B" w:rsidRPr="006421AD" w:rsidRDefault="00C212B1" w:rsidP="00506517">
      <w:pPr>
        <w:pStyle w:val="Heading1"/>
        <w:ind w:left="-426" w:right="183"/>
        <w:rPr>
          <w:rFonts w:ascii="Arial" w:hAnsi="Arial" w:cs="Arial"/>
          <w:b w:val="0"/>
          <w:sz w:val="24"/>
          <w:szCs w:val="24"/>
        </w:rPr>
      </w:pPr>
      <w:r>
        <w:rPr>
          <w:rFonts w:ascii="Arial" w:hAnsi="Arial" w:cs="Arial"/>
          <w:noProof/>
          <w:color w:val="000000"/>
          <w:lang w:eastAsia="en-GB"/>
        </w:rPr>
        <w:drawing>
          <wp:anchor distT="0" distB="0" distL="114300" distR="114300" simplePos="0" relativeHeight="251657728" behindDoc="0" locked="0" layoutInCell="1" allowOverlap="1">
            <wp:simplePos x="0" y="0"/>
            <wp:positionH relativeFrom="column">
              <wp:posOffset>4838700</wp:posOffset>
            </wp:positionH>
            <wp:positionV relativeFrom="paragraph">
              <wp:posOffset>-88900</wp:posOffset>
            </wp:positionV>
            <wp:extent cx="1132840" cy="1132840"/>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132840" cy="1132840"/>
                    </a:xfrm>
                    <a:prstGeom prst="rect">
                      <a:avLst/>
                    </a:prstGeom>
                    <a:noFill/>
                    <a:ln w="9525">
                      <a:noFill/>
                      <a:miter lim="800000"/>
                      <a:headEnd/>
                      <a:tailEnd/>
                    </a:ln>
                  </pic:spPr>
                </pic:pic>
              </a:graphicData>
            </a:graphic>
          </wp:anchor>
        </w:drawing>
      </w:r>
      <w:r w:rsidR="00882F92" w:rsidRPr="006421AD">
        <w:rPr>
          <w:rFonts w:ascii="Arial" w:hAnsi="Arial" w:cs="Arial"/>
          <w:sz w:val="24"/>
          <w:szCs w:val="24"/>
        </w:rPr>
        <w:t xml:space="preserve">Board </w:t>
      </w:r>
      <w:r w:rsidR="00513DB0" w:rsidRPr="006421AD">
        <w:rPr>
          <w:rFonts w:ascii="Arial" w:hAnsi="Arial" w:cs="Arial"/>
          <w:sz w:val="24"/>
          <w:szCs w:val="24"/>
        </w:rPr>
        <w:t>M</w:t>
      </w:r>
      <w:r w:rsidR="00A2577B" w:rsidRPr="006421AD">
        <w:rPr>
          <w:rFonts w:ascii="Arial" w:hAnsi="Arial" w:cs="Arial"/>
          <w:sz w:val="24"/>
          <w:szCs w:val="24"/>
        </w:rPr>
        <w:t>eeting</w:t>
      </w:r>
      <w:r w:rsidR="00A2577B" w:rsidRPr="006421AD">
        <w:rPr>
          <w:rFonts w:ascii="Arial" w:hAnsi="Arial" w:cs="Arial"/>
          <w:b w:val="0"/>
          <w:sz w:val="24"/>
          <w:szCs w:val="24"/>
        </w:rPr>
        <w:t>:</w:t>
      </w:r>
      <w:r w:rsidR="00A2577B" w:rsidRPr="006421AD">
        <w:rPr>
          <w:rFonts w:ascii="Arial" w:hAnsi="Arial" w:cs="Arial"/>
          <w:b w:val="0"/>
          <w:sz w:val="24"/>
          <w:szCs w:val="24"/>
        </w:rPr>
        <w:tab/>
      </w:r>
      <w:r w:rsidR="00882F92" w:rsidRPr="006421AD">
        <w:rPr>
          <w:rFonts w:ascii="Arial" w:hAnsi="Arial" w:cs="Arial"/>
          <w:b w:val="0"/>
          <w:sz w:val="24"/>
          <w:szCs w:val="24"/>
        </w:rPr>
        <w:tab/>
      </w:r>
      <w:r w:rsidR="006421AD" w:rsidRPr="006421AD">
        <w:rPr>
          <w:rFonts w:ascii="Arial" w:hAnsi="Arial" w:cs="Arial"/>
          <w:b w:val="0"/>
          <w:sz w:val="24"/>
          <w:szCs w:val="24"/>
        </w:rPr>
        <w:t>2 August 2018</w:t>
      </w:r>
    </w:p>
    <w:p w:rsidR="001175E5" w:rsidRPr="006421AD" w:rsidRDefault="001175E5" w:rsidP="00506517">
      <w:pPr>
        <w:ind w:left="-426" w:right="183"/>
        <w:rPr>
          <w:rFonts w:ascii="Arial" w:hAnsi="Arial" w:cs="Arial"/>
        </w:rPr>
      </w:pPr>
    </w:p>
    <w:p w:rsidR="00A2577B" w:rsidRPr="006421AD" w:rsidRDefault="00A2577B" w:rsidP="006421AD">
      <w:pPr>
        <w:ind w:left="2160" w:hanging="2586"/>
        <w:rPr>
          <w:rFonts w:ascii="Arial" w:hAnsi="Arial" w:cs="Arial"/>
        </w:rPr>
      </w:pPr>
      <w:r w:rsidRPr="006421AD">
        <w:rPr>
          <w:rFonts w:ascii="Arial" w:hAnsi="Arial" w:cs="Arial"/>
          <w:b/>
          <w:bCs/>
        </w:rPr>
        <w:t xml:space="preserve">Subject: </w:t>
      </w:r>
      <w:r w:rsidRPr="006421AD">
        <w:rPr>
          <w:rFonts w:ascii="Arial" w:hAnsi="Arial" w:cs="Arial"/>
          <w:b/>
          <w:bCs/>
        </w:rPr>
        <w:tab/>
      </w:r>
      <w:r w:rsidR="006421AD" w:rsidRPr="006421AD">
        <w:rPr>
          <w:rFonts w:ascii="Arial" w:hAnsi="Arial" w:cs="Arial"/>
          <w:bCs/>
        </w:rPr>
        <w:t>Person Centred Committee update</w:t>
      </w:r>
    </w:p>
    <w:p w:rsidR="006421AD" w:rsidRPr="006421AD" w:rsidRDefault="006421AD" w:rsidP="00506517">
      <w:pPr>
        <w:ind w:left="-426" w:right="183"/>
        <w:rPr>
          <w:rFonts w:ascii="Arial" w:hAnsi="Arial" w:cs="Arial"/>
          <w:b/>
          <w:bCs/>
        </w:rPr>
      </w:pPr>
    </w:p>
    <w:p w:rsidR="00506517" w:rsidRPr="006421AD" w:rsidRDefault="00A2577B" w:rsidP="006421AD">
      <w:pPr>
        <w:ind w:left="2154" w:right="183" w:hanging="2580"/>
        <w:rPr>
          <w:rFonts w:ascii="Arial" w:hAnsi="Arial" w:cs="Arial"/>
          <w:sz w:val="18"/>
          <w:szCs w:val="18"/>
        </w:rPr>
      </w:pPr>
      <w:r w:rsidRPr="006421AD">
        <w:rPr>
          <w:rFonts w:ascii="Arial" w:hAnsi="Arial" w:cs="Arial"/>
          <w:b/>
          <w:bCs/>
        </w:rPr>
        <w:t>Recommendation:</w:t>
      </w:r>
      <w:r w:rsidRPr="006421AD">
        <w:rPr>
          <w:rFonts w:ascii="Arial" w:hAnsi="Arial" w:cs="Arial"/>
          <w:b/>
          <w:bCs/>
        </w:rPr>
        <w:tab/>
      </w:r>
      <w:r w:rsidR="006421AD" w:rsidRPr="006421AD">
        <w:rPr>
          <w:rFonts w:ascii="Arial" w:hAnsi="Arial" w:cs="Arial"/>
        </w:rPr>
        <w:t>Board members are asked to note the discussions at the Person Centred Committee meeting held on 24 July 2018</w:t>
      </w:r>
    </w:p>
    <w:p w:rsidR="00506517" w:rsidRPr="006421AD" w:rsidRDefault="00506517" w:rsidP="00506517">
      <w:pPr>
        <w:ind w:left="-426" w:right="183"/>
        <w:rPr>
          <w:rFonts w:ascii="Arial" w:hAnsi="Arial" w:cs="Arial"/>
          <w:b/>
          <w:bCs/>
          <w:sz w:val="18"/>
          <w:szCs w:val="18"/>
        </w:rPr>
      </w:pPr>
    </w:p>
    <w:p w:rsidR="00A2577B" w:rsidRPr="006421AD" w:rsidRDefault="00513DB0" w:rsidP="00506517">
      <w:pPr>
        <w:ind w:left="-426" w:right="183"/>
        <w:rPr>
          <w:rFonts w:ascii="Arial" w:hAnsi="Arial" w:cs="Arial"/>
          <w:b/>
          <w:bCs/>
        </w:rPr>
      </w:pPr>
      <w:r w:rsidRPr="006421AD">
        <w:rPr>
          <w:rFonts w:ascii="Arial" w:hAnsi="Arial" w:cs="Arial"/>
          <w:b/>
          <w:bCs/>
        </w:rPr>
        <w:t>________________________________________</w:t>
      </w:r>
      <w:r w:rsidR="00506517" w:rsidRPr="006421AD">
        <w:rPr>
          <w:rFonts w:ascii="Arial" w:hAnsi="Arial" w:cs="Arial"/>
          <w:b/>
          <w:bCs/>
        </w:rPr>
        <w:t>_____________________________</w:t>
      </w:r>
      <w:r w:rsidR="006421AD">
        <w:rPr>
          <w:rFonts w:ascii="Arial" w:hAnsi="Arial" w:cs="Arial"/>
          <w:b/>
          <w:bCs/>
        </w:rPr>
        <w:t>___</w:t>
      </w:r>
    </w:p>
    <w:p w:rsidR="001175E5" w:rsidRPr="006421AD" w:rsidRDefault="001175E5" w:rsidP="00506517">
      <w:pPr>
        <w:pStyle w:val="Heading2"/>
        <w:ind w:left="-426" w:right="183"/>
        <w:rPr>
          <w:i w:val="0"/>
          <w:sz w:val="24"/>
          <w:szCs w:val="24"/>
        </w:rPr>
      </w:pPr>
      <w:r w:rsidRPr="006421AD">
        <w:rPr>
          <w:i w:val="0"/>
          <w:sz w:val="24"/>
          <w:szCs w:val="24"/>
        </w:rPr>
        <w:t>1</w:t>
      </w:r>
      <w:r w:rsidRPr="006421AD">
        <w:rPr>
          <w:i w:val="0"/>
          <w:sz w:val="24"/>
          <w:szCs w:val="24"/>
        </w:rPr>
        <w:tab/>
        <w:t>Background</w:t>
      </w:r>
    </w:p>
    <w:p w:rsidR="006D232B" w:rsidRPr="006421AD" w:rsidRDefault="001175E5" w:rsidP="00506517">
      <w:pPr>
        <w:ind w:left="-426" w:right="183"/>
        <w:rPr>
          <w:rFonts w:ascii="Arial" w:hAnsi="Arial" w:cs="Arial"/>
          <w:b/>
          <w:bCs/>
        </w:rPr>
      </w:pPr>
      <w:r w:rsidRPr="006421AD">
        <w:rPr>
          <w:rFonts w:ascii="Arial" w:hAnsi="Arial" w:cs="Arial"/>
          <w:b/>
          <w:bCs/>
        </w:rPr>
        <w:tab/>
      </w:r>
    </w:p>
    <w:p w:rsidR="006D232B" w:rsidRPr="006421AD" w:rsidRDefault="006D232B" w:rsidP="00506517">
      <w:pPr>
        <w:rPr>
          <w:rFonts w:ascii="Arial" w:hAnsi="Arial" w:cs="Arial"/>
        </w:rPr>
      </w:pPr>
      <w:r w:rsidRPr="006421AD">
        <w:rPr>
          <w:rFonts w:ascii="Arial" w:hAnsi="Arial" w:cs="Arial"/>
        </w:rPr>
        <w:t>The following key points were agreed at the meeting and have been split into the three high level quality ambitions of person centred, safe, and effective.</w:t>
      </w:r>
    </w:p>
    <w:p w:rsidR="006D232B" w:rsidRPr="006421AD"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6421AD" w:rsidTr="006421AD">
        <w:trPr>
          <w:trHeight w:val="388"/>
        </w:trPr>
        <w:tc>
          <w:tcPr>
            <w:tcW w:w="1251" w:type="dxa"/>
            <w:shd w:val="clear" w:color="auto" w:fill="0000FF"/>
          </w:tcPr>
          <w:p w:rsidR="006D232B" w:rsidRPr="006421AD" w:rsidRDefault="006D232B" w:rsidP="006421AD">
            <w:pPr>
              <w:spacing w:before="120" w:after="120"/>
              <w:ind w:left="34"/>
              <w:rPr>
                <w:rFonts w:ascii="Arial" w:hAnsi="Arial" w:cs="Arial"/>
                <w:b/>
                <w:bCs/>
                <w:color w:val="FFFFFF"/>
                <w:lang w:val="en-US"/>
              </w:rPr>
            </w:pPr>
            <w:r w:rsidRPr="006421AD">
              <w:rPr>
                <w:rFonts w:ascii="Arial" w:hAnsi="Arial" w:cs="Arial"/>
                <w:b/>
                <w:bCs/>
                <w:color w:val="FFFFFF"/>
                <w:lang w:val="en-US"/>
              </w:rPr>
              <w:t>Item</w:t>
            </w:r>
          </w:p>
        </w:tc>
        <w:tc>
          <w:tcPr>
            <w:tcW w:w="7929" w:type="dxa"/>
            <w:shd w:val="clear" w:color="auto" w:fill="0000FF"/>
          </w:tcPr>
          <w:p w:rsidR="006D232B" w:rsidRPr="006421AD" w:rsidRDefault="006D232B" w:rsidP="006421AD">
            <w:pPr>
              <w:spacing w:before="120" w:after="120"/>
              <w:rPr>
                <w:rFonts w:ascii="Arial" w:hAnsi="Arial" w:cs="Arial"/>
                <w:b/>
                <w:bCs/>
                <w:color w:val="FFFFFF"/>
                <w:lang w:val="en-US"/>
              </w:rPr>
            </w:pPr>
            <w:r w:rsidRPr="006421AD">
              <w:rPr>
                <w:rFonts w:ascii="Arial" w:hAnsi="Arial" w:cs="Arial"/>
                <w:b/>
                <w:bCs/>
                <w:color w:val="FFFFFF"/>
                <w:lang w:val="en-US"/>
              </w:rPr>
              <w:t>Details</w:t>
            </w:r>
          </w:p>
        </w:tc>
      </w:tr>
      <w:tr w:rsidR="006D232B" w:rsidRPr="006421AD" w:rsidTr="006421AD">
        <w:tc>
          <w:tcPr>
            <w:tcW w:w="1251" w:type="dxa"/>
          </w:tcPr>
          <w:p w:rsidR="006D232B" w:rsidRPr="006421AD" w:rsidRDefault="006D232B" w:rsidP="006421AD">
            <w:pPr>
              <w:spacing w:before="120" w:after="120"/>
              <w:ind w:left="34"/>
              <w:rPr>
                <w:rFonts w:ascii="Arial" w:hAnsi="Arial" w:cs="Arial"/>
                <w:b/>
                <w:bCs/>
                <w:lang w:val="en-US"/>
              </w:rPr>
            </w:pPr>
            <w:r w:rsidRPr="006421AD">
              <w:rPr>
                <w:rFonts w:ascii="Arial" w:hAnsi="Arial" w:cs="Arial"/>
                <w:b/>
                <w:bCs/>
                <w:lang w:val="en-US"/>
              </w:rPr>
              <w:t xml:space="preserve">Person </w:t>
            </w:r>
            <w:proofErr w:type="spellStart"/>
            <w:r w:rsidRPr="006421AD">
              <w:rPr>
                <w:rFonts w:ascii="Arial" w:hAnsi="Arial" w:cs="Arial"/>
                <w:b/>
                <w:bCs/>
                <w:lang w:val="en-US"/>
              </w:rPr>
              <w:t>Centred</w:t>
            </w:r>
            <w:proofErr w:type="spellEnd"/>
          </w:p>
          <w:p w:rsidR="006D232B" w:rsidRPr="006421AD" w:rsidRDefault="006D232B" w:rsidP="006421AD">
            <w:pPr>
              <w:spacing w:before="120" w:after="120"/>
              <w:ind w:left="34"/>
              <w:rPr>
                <w:rFonts w:ascii="Arial" w:hAnsi="Arial" w:cs="Arial"/>
                <w:bCs/>
                <w:lang w:val="en-US"/>
              </w:rPr>
            </w:pPr>
          </w:p>
          <w:p w:rsidR="006D232B" w:rsidRPr="006421AD" w:rsidRDefault="006D232B" w:rsidP="006421AD">
            <w:pPr>
              <w:spacing w:before="120" w:after="120"/>
              <w:ind w:left="34"/>
              <w:rPr>
                <w:rFonts w:ascii="Arial" w:hAnsi="Arial" w:cs="Arial"/>
                <w:bCs/>
                <w:lang w:val="en-US"/>
              </w:rPr>
            </w:pPr>
          </w:p>
          <w:p w:rsidR="006D232B" w:rsidRPr="006421AD" w:rsidRDefault="006D232B" w:rsidP="006421AD">
            <w:pPr>
              <w:spacing w:before="120" w:after="120"/>
              <w:ind w:left="34"/>
              <w:rPr>
                <w:rFonts w:ascii="Arial" w:hAnsi="Arial" w:cs="Arial"/>
                <w:bCs/>
                <w:lang w:val="en-US"/>
              </w:rPr>
            </w:pPr>
          </w:p>
        </w:tc>
        <w:tc>
          <w:tcPr>
            <w:tcW w:w="7929" w:type="dxa"/>
          </w:tcPr>
          <w:p w:rsidR="006D232B" w:rsidRPr="006421AD" w:rsidRDefault="006D232B" w:rsidP="006421AD">
            <w:pPr>
              <w:spacing w:before="120" w:after="120"/>
              <w:rPr>
                <w:rFonts w:ascii="Arial" w:hAnsi="Arial" w:cs="Arial"/>
                <w:b/>
                <w:color w:val="000000"/>
              </w:rPr>
            </w:pPr>
            <w:r w:rsidRPr="006421AD">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6421AD" w:rsidRPr="006421AD" w:rsidRDefault="006421AD" w:rsidP="006421AD">
            <w:pPr>
              <w:spacing w:before="120" w:after="120"/>
              <w:rPr>
                <w:rFonts w:ascii="Arial" w:hAnsi="Arial" w:cs="Arial"/>
                <w:bCs/>
                <w:lang w:val="en-US"/>
              </w:rPr>
            </w:pPr>
            <w:r w:rsidRPr="006421AD">
              <w:rPr>
                <w:rFonts w:ascii="Arial" w:hAnsi="Arial" w:cs="Arial"/>
                <w:bCs/>
                <w:lang w:val="en-US"/>
              </w:rPr>
              <w:t xml:space="preserve">The </w:t>
            </w:r>
            <w:r>
              <w:rPr>
                <w:rFonts w:ascii="Arial" w:hAnsi="Arial" w:cs="Arial"/>
                <w:bCs/>
                <w:lang w:val="en-US"/>
              </w:rPr>
              <w:t>Committee</w:t>
            </w:r>
            <w:r w:rsidRPr="006421AD">
              <w:rPr>
                <w:rFonts w:ascii="Arial" w:hAnsi="Arial" w:cs="Arial"/>
                <w:bCs/>
                <w:lang w:val="en-US"/>
              </w:rPr>
              <w:t xml:space="preserve"> considered the Learning </w:t>
            </w:r>
            <w:r>
              <w:rPr>
                <w:rFonts w:ascii="Arial" w:hAnsi="Arial" w:cs="Arial"/>
                <w:bCs/>
                <w:lang w:val="en-US"/>
              </w:rPr>
              <w:t xml:space="preserve">and </w:t>
            </w:r>
            <w:proofErr w:type="spellStart"/>
            <w:r w:rsidRPr="006421AD">
              <w:rPr>
                <w:rFonts w:ascii="Arial" w:hAnsi="Arial" w:cs="Arial"/>
                <w:bCs/>
                <w:lang w:val="en-US"/>
              </w:rPr>
              <w:t>Organisational</w:t>
            </w:r>
            <w:proofErr w:type="spellEnd"/>
            <w:r w:rsidRPr="006421AD">
              <w:rPr>
                <w:rFonts w:ascii="Arial" w:hAnsi="Arial" w:cs="Arial"/>
                <w:bCs/>
                <w:lang w:val="en-US"/>
              </w:rPr>
              <w:t xml:space="preserve"> Development </w:t>
            </w:r>
            <w:r w:rsidR="00571F83">
              <w:rPr>
                <w:rFonts w:ascii="Arial" w:hAnsi="Arial" w:cs="Arial"/>
                <w:bCs/>
                <w:lang w:val="en-US"/>
              </w:rPr>
              <w:t xml:space="preserve">Plan and </w:t>
            </w:r>
            <w:r w:rsidRPr="006421AD">
              <w:rPr>
                <w:rFonts w:ascii="Arial" w:hAnsi="Arial" w:cs="Arial"/>
                <w:bCs/>
                <w:lang w:val="en-US"/>
              </w:rPr>
              <w:t xml:space="preserve">Annual </w:t>
            </w:r>
            <w:r>
              <w:rPr>
                <w:rFonts w:ascii="Arial" w:hAnsi="Arial" w:cs="Arial"/>
                <w:bCs/>
                <w:lang w:val="en-US"/>
              </w:rPr>
              <w:t>R</w:t>
            </w:r>
            <w:r w:rsidRPr="006421AD">
              <w:rPr>
                <w:rFonts w:ascii="Arial" w:hAnsi="Arial" w:cs="Arial"/>
                <w:bCs/>
                <w:lang w:val="en-US"/>
              </w:rPr>
              <w:t>eport and commend</w:t>
            </w:r>
            <w:r w:rsidR="00571F83">
              <w:rPr>
                <w:rFonts w:ascii="Arial" w:hAnsi="Arial" w:cs="Arial"/>
                <w:bCs/>
                <w:lang w:val="en-US"/>
              </w:rPr>
              <w:t>ed</w:t>
            </w:r>
            <w:r w:rsidRPr="006421AD">
              <w:rPr>
                <w:rFonts w:ascii="Arial" w:hAnsi="Arial" w:cs="Arial"/>
                <w:bCs/>
                <w:lang w:val="en-US"/>
              </w:rPr>
              <w:t xml:space="preserve"> the design and content.  Importance was placed on the accessibility of training for all across the Board and potential for drawing together all strands of workforce training and development into an overarching corporate report and plan.</w:t>
            </w:r>
          </w:p>
          <w:p w:rsidR="006D232B" w:rsidRPr="006421AD" w:rsidRDefault="006421AD" w:rsidP="00571F83">
            <w:pPr>
              <w:spacing w:before="120" w:after="120"/>
              <w:rPr>
                <w:rFonts w:ascii="Arial" w:hAnsi="Arial" w:cs="Arial"/>
                <w:bCs/>
                <w:lang w:val="en-US"/>
              </w:rPr>
            </w:pPr>
            <w:r w:rsidRPr="006421AD">
              <w:rPr>
                <w:rFonts w:ascii="Arial" w:hAnsi="Arial" w:cs="Arial"/>
                <w:bCs/>
                <w:lang w:val="en-US"/>
              </w:rPr>
              <w:t xml:space="preserve">The Dignity at Work results </w:t>
            </w:r>
            <w:proofErr w:type="gramStart"/>
            <w:r w:rsidRPr="006421AD">
              <w:rPr>
                <w:rFonts w:ascii="Arial" w:hAnsi="Arial" w:cs="Arial"/>
                <w:bCs/>
                <w:lang w:val="en-US"/>
              </w:rPr>
              <w:t>were</w:t>
            </w:r>
            <w:proofErr w:type="gramEnd"/>
            <w:r w:rsidRPr="006421AD">
              <w:rPr>
                <w:rFonts w:ascii="Arial" w:hAnsi="Arial" w:cs="Arial"/>
                <w:bCs/>
                <w:lang w:val="en-US"/>
              </w:rPr>
              <w:t xml:space="preserve"> discussed</w:t>
            </w:r>
            <w:r>
              <w:rPr>
                <w:rFonts w:ascii="Arial" w:hAnsi="Arial" w:cs="Arial"/>
                <w:bCs/>
                <w:lang w:val="en-US"/>
              </w:rPr>
              <w:t>. The Committee</w:t>
            </w:r>
            <w:r w:rsidRPr="006421AD">
              <w:rPr>
                <w:rFonts w:ascii="Arial" w:hAnsi="Arial" w:cs="Arial"/>
                <w:bCs/>
                <w:lang w:val="en-US"/>
              </w:rPr>
              <w:t xml:space="preserve"> noted that 36% of staff completed the survey</w:t>
            </w:r>
            <w:r>
              <w:rPr>
                <w:rFonts w:ascii="Arial" w:hAnsi="Arial" w:cs="Arial"/>
                <w:bCs/>
                <w:lang w:val="en-US"/>
              </w:rPr>
              <w:t xml:space="preserve"> and that </w:t>
            </w:r>
            <w:r w:rsidRPr="006421AD">
              <w:rPr>
                <w:rFonts w:ascii="Arial" w:hAnsi="Arial" w:cs="Arial"/>
                <w:bCs/>
                <w:lang w:val="en-US"/>
              </w:rPr>
              <w:t xml:space="preserve">this is </w:t>
            </w:r>
            <w:r>
              <w:rPr>
                <w:rFonts w:ascii="Arial" w:hAnsi="Arial" w:cs="Arial"/>
                <w:bCs/>
                <w:lang w:val="en-US"/>
              </w:rPr>
              <w:t xml:space="preserve">a </w:t>
            </w:r>
            <w:r w:rsidRPr="006421AD">
              <w:rPr>
                <w:rFonts w:ascii="Arial" w:hAnsi="Arial" w:cs="Arial"/>
                <w:bCs/>
                <w:lang w:val="en-US"/>
              </w:rPr>
              <w:t xml:space="preserve">similar rate to other Boards. There were no major concerns raised from the results </w:t>
            </w:r>
            <w:r w:rsidR="00571F83">
              <w:rPr>
                <w:rFonts w:ascii="Arial" w:hAnsi="Arial" w:cs="Arial"/>
                <w:bCs/>
                <w:lang w:val="en-US"/>
              </w:rPr>
              <w:t>and</w:t>
            </w:r>
            <w:r w:rsidRPr="006421AD">
              <w:rPr>
                <w:rFonts w:ascii="Arial" w:hAnsi="Arial" w:cs="Arial"/>
                <w:bCs/>
                <w:lang w:val="en-US"/>
              </w:rPr>
              <w:t xml:space="preserve"> an action plan has been developed </w:t>
            </w:r>
            <w:r>
              <w:rPr>
                <w:rFonts w:ascii="Arial" w:hAnsi="Arial" w:cs="Arial"/>
                <w:bCs/>
                <w:lang w:val="en-US"/>
              </w:rPr>
              <w:t>as part of the overall S</w:t>
            </w:r>
            <w:r w:rsidRPr="006421AD">
              <w:rPr>
                <w:rFonts w:ascii="Arial" w:hAnsi="Arial" w:cs="Arial"/>
                <w:bCs/>
                <w:lang w:val="en-US"/>
              </w:rPr>
              <w:t xml:space="preserve">taff </w:t>
            </w:r>
            <w:r>
              <w:rPr>
                <w:rFonts w:ascii="Arial" w:hAnsi="Arial" w:cs="Arial"/>
                <w:bCs/>
                <w:lang w:val="en-US"/>
              </w:rPr>
              <w:t>G</w:t>
            </w:r>
            <w:r w:rsidRPr="006421AD">
              <w:rPr>
                <w:rFonts w:ascii="Arial" w:hAnsi="Arial" w:cs="Arial"/>
                <w:bCs/>
                <w:lang w:val="en-US"/>
              </w:rPr>
              <w:t xml:space="preserve">overnance </w:t>
            </w:r>
            <w:r>
              <w:rPr>
                <w:rFonts w:ascii="Arial" w:hAnsi="Arial" w:cs="Arial"/>
                <w:bCs/>
                <w:lang w:val="en-US"/>
              </w:rPr>
              <w:t>A</w:t>
            </w:r>
            <w:r w:rsidRPr="006421AD">
              <w:rPr>
                <w:rFonts w:ascii="Arial" w:hAnsi="Arial" w:cs="Arial"/>
                <w:bCs/>
                <w:lang w:val="en-US"/>
              </w:rPr>
              <w:t>ction</w:t>
            </w:r>
            <w:r>
              <w:rPr>
                <w:rFonts w:ascii="Arial" w:hAnsi="Arial" w:cs="Arial"/>
                <w:bCs/>
                <w:lang w:val="en-US"/>
              </w:rPr>
              <w:t xml:space="preserve"> P</w:t>
            </w:r>
            <w:r w:rsidRPr="006421AD">
              <w:rPr>
                <w:rFonts w:ascii="Arial" w:hAnsi="Arial" w:cs="Arial"/>
                <w:bCs/>
                <w:lang w:val="en-US"/>
              </w:rPr>
              <w:t>lan. The Dignity at Work survey is not being run in 2018</w:t>
            </w:r>
            <w:r>
              <w:rPr>
                <w:rFonts w:ascii="Arial" w:hAnsi="Arial" w:cs="Arial"/>
                <w:bCs/>
                <w:lang w:val="en-US"/>
              </w:rPr>
              <w:t>/</w:t>
            </w:r>
            <w:r w:rsidRPr="006421AD">
              <w:rPr>
                <w:rFonts w:ascii="Arial" w:hAnsi="Arial" w:cs="Arial"/>
                <w:bCs/>
                <w:lang w:val="en-US"/>
              </w:rPr>
              <w:t xml:space="preserve">2019 as it is under review by </w:t>
            </w:r>
            <w:r>
              <w:rPr>
                <w:rFonts w:ascii="Arial" w:hAnsi="Arial" w:cs="Arial"/>
                <w:bCs/>
                <w:lang w:val="en-US"/>
              </w:rPr>
              <w:t xml:space="preserve">the </w:t>
            </w:r>
            <w:r w:rsidRPr="006421AD">
              <w:rPr>
                <w:rFonts w:ascii="Arial" w:hAnsi="Arial" w:cs="Arial"/>
                <w:bCs/>
                <w:lang w:val="en-US"/>
              </w:rPr>
              <w:t>Scottish Government due partly to consistently low response rates across Scotland.</w:t>
            </w:r>
          </w:p>
        </w:tc>
      </w:tr>
      <w:tr w:rsidR="006D232B" w:rsidRPr="006421AD" w:rsidTr="006421AD">
        <w:tc>
          <w:tcPr>
            <w:tcW w:w="1251" w:type="dxa"/>
          </w:tcPr>
          <w:p w:rsidR="006D232B" w:rsidRPr="006421AD" w:rsidRDefault="006D232B" w:rsidP="006421AD">
            <w:pPr>
              <w:spacing w:before="120" w:after="120"/>
              <w:ind w:left="34"/>
              <w:rPr>
                <w:rFonts w:ascii="Arial" w:hAnsi="Arial" w:cs="Arial"/>
                <w:b/>
                <w:bCs/>
                <w:lang w:val="en-US"/>
              </w:rPr>
            </w:pPr>
            <w:r w:rsidRPr="006421AD">
              <w:rPr>
                <w:rFonts w:ascii="Arial" w:hAnsi="Arial" w:cs="Arial"/>
                <w:b/>
                <w:bCs/>
                <w:lang w:val="en-US"/>
              </w:rPr>
              <w:t>Safe</w:t>
            </w:r>
          </w:p>
          <w:p w:rsidR="006D232B" w:rsidRPr="006421AD" w:rsidRDefault="006D232B" w:rsidP="006421AD">
            <w:pPr>
              <w:spacing w:before="120" w:after="120"/>
              <w:ind w:left="34"/>
              <w:rPr>
                <w:rFonts w:ascii="Arial" w:hAnsi="Arial" w:cs="Arial"/>
              </w:rPr>
            </w:pPr>
          </w:p>
          <w:p w:rsidR="006D232B" w:rsidRPr="006421AD" w:rsidRDefault="006D232B" w:rsidP="006421AD">
            <w:pPr>
              <w:spacing w:before="120" w:after="120"/>
              <w:ind w:left="34"/>
              <w:rPr>
                <w:rFonts w:ascii="Arial" w:hAnsi="Arial" w:cs="Arial"/>
              </w:rPr>
            </w:pPr>
          </w:p>
          <w:p w:rsidR="006D232B" w:rsidRPr="006421AD" w:rsidRDefault="006D232B" w:rsidP="006421AD">
            <w:pPr>
              <w:spacing w:before="120" w:after="120"/>
              <w:ind w:left="34"/>
              <w:rPr>
                <w:rFonts w:ascii="Arial" w:hAnsi="Arial" w:cs="Arial"/>
              </w:rPr>
            </w:pPr>
          </w:p>
          <w:p w:rsidR="006D232B" w:rsidRPr="006421AD" w:rsidRDefault="006D232B" w:rsidP="006421AD">
            <w:pPr>
              <w:spacing w:before="120" w:after="120"/>
              <w:ind w:left="34"/>
              <w:rPr>
                <w:rFonts w:ascii="Arial" w:hAnsi="Arial" w:cs="Arial"/>
              </w:rPr>
            </w:pPr>
          </w:p>
          <w:p w:rsidR="006D232B" w:rsidRPr="006421AD" w:rsidRDefault="006D232B" w:rsidP="006421AD">
            <w:pPr>
              <w:spacing w:before="120" w:after="120"/>
              <w:rPr>
                <w:rFonts w:ascii="Arial" w:hAnsi="Arial" w:cs="Arial"/>
              </w:rPr>
            </w:pPr>
          </w:p>
          <w:p w:rsidR="006D232B" w:rsidRPr="006421AD" w:rsidRDefault="006D232B" w:rsidP="006421AD">
            <w:pPr>
              <w:spacing w:before="120" w:after="120"/>
              <w:ind w:left="34"/>
              <w:rPr>
                <w:rFonts w:ascii="Arial" w:hAnsi="Arial" w:cs="Arial"/>
              </w:rPr>
            </w:pPr>
          </w:p>
        </w:tc>
        <w:tc>
          <w:tcPr>
            <w:tcW w:w="7929" w:type="dxa"/>
          </w:tcPr>
          <w:p w:rsidR="006D232B" w:rsidRPr="006421AD" w:rsidRDefault="006D232B" w:rsidP="006421AD">
            <w:pPr>
              <w:pStyle w:val="ListParagraph"/>
              <w:spacing w:before="120" w:after="120"/>
              <w:ind w:left="0"/>
              <w:rPr>
                <w:b/>
                <w:color w:val="000000"/>
              </w:rPr>
            </w:pPr>
            <w:r w:rsidRPr="006421AD">
              <w:rPr>
                <w:b/>
                <w:color w:val="000000"/>
              </w:rPr>
              <w:t>There will be no avoidable injury or harm to people from healthcare they receive, and an appropriate, clean and safe environment will be provided for the delivery of healthcare services at all times.</w:t>
            </w:r>
          </w:p>
          <w:p w:rsidR="006421AD" w:rsidRPr="006421AD" w:rsidRDefault="006421AD" w:rsidP="006421AD">
            <w:pPr>
              <w:pStyle w:val="ListParagraph"/>
              <w:spacing w:before="120" w:after="120"/>
              <w:ind w:left="0"/>
              <w:rPr>
                <w:color w:val="000000"/>
              </w:rPr>
            </w:pPr>
            <w:r w:rsidRPr="006421AD">
              <w:rPr>
                <w:color w:val="000000"/>
              </w:rPr>
              <w:t xml:space="preserve">The </w:t>
            </w:r>
            <w:r>
              <w:rPr>
                <w:bCs/>
                <w:lang w:val="en-US"/>
              </w:rPr>
              <w:t>Committee</w:t>
            </w:r>
            <w:r w:rsidRPr="006421AD">
              <w:rPr>
                <w:bCs/>
                <w:lang w:val="en-US"/>
              </w:rPr>
              <w:t xml:space="preserve"> </w:t>
            </w:r>
            <w:r w:rsidRPr="006421AD">
              <w:rPr>
                <w:color w:val="000000"/>
              </w:rPr>
              <w:t>review</w:t>
            </w:r>
            <w:r>
              <w:rPr>
                <w:color w:val="000000"/>
              </w:rPr>
              <w:t>ed</w:t>
            </w:r>
            <w:r w:rsidRPr="006421AD">
              <w:rPr>
                <w:color w:val="000000"/>
              </w:rPr>
              <w:t xml:space="preserve"> the Complaints Report and selected one for a more in depth investigation.</w:t>
            </w:r>
            <w:r w:rsidR="00571F83">
              <w:rPr>
                <w:color w:val="000000"/>
              </w:rPr>
              <w:t xml:space="preserve"> It was noted that there seemed to be a high number of partially upheld and upheld complaints and this will be brought back to the Committee in October.</w:t>
            </w:r>
          </w:p>
          <w:p w:rsidR="00571F83" w:rsidRDefault="006421AD" w:rsidP="006421AD">
            <w:pPr>
              <w:pStyle w:val="ListParagraph"/>
              <w:spacing w:before="120" w:after="120"/>
              <w:ind w:left="0"/>
              <w:rPr>
                <w:color w:val="000000"/>
              </w:rPr>
            </w:pPr>
            <w:r w:rsidRPr="006421AD">
              <w:rPr>
                <w:color w:val="000000"/>
              </w:rPr>
              <w:t>The Annual Feedback</w:t>
            </w:r>
            <w:r>
              <w:rPr>
                <w:color w:val="000000"/>
              </w:rPr>
              <w:t xml:space="preserve"> R</w:t>
            </w:r>
            <w:r w:rsidRPr="006421AD">
              <w:rPr>
                <w:color w:val="000000"/>
              </w:rPr>
              <w:t xml:space="preserve">eport was </w:t>
            </w:r>
            <w:r>
              <w:rPr>
                <w:color w:val="000000"/>
              </w:rPr>
              <w:t>discussed</w:t>
            </w:r>
            <w:r w:rsidRPr="006421AD">
              <w:rPr>
                <w:color w:val="000000"/>
              </w:rPr>
              <w:t xml:space="preserve"> and the quarterly Staff Governance report</w:t>
            </w:r>
            <w:r w:rsidR="00571F83">
              <w:rPr>
                <w:color w:val="000000"/>
              </w:rPr>
              <w:t xml:space="preserve"> was noted</w:t>
            </w:r>
          </w:p>
          <w:p w:rsidR="006421AD" w:rsidRPr="006421AD" w:rsidRDefault="006421AD" w:rsidP="006421AD">
            <w:pPr>
              <w:pStyle w:val="ListParagraph"/>
              <w:spacing w:before="120" w:after="120"/>
              <w:ind w:left="0"/>
              <w:rPr>
                <w:color w:val="000000"/>
              </w:rPr>
            </w:pPr>
          </w:p>
        </w:tc>
      </w:tr>
      <w:tr w:rsidR="00571F83" w:rsidRPr="006421AD" w:rsidTr="00CB5F40">
        <w:trPr>
          <w:trHeight w:val="388"/>
        </w:trPr>
        <w:tc>
          <w:tcPr>
            <w:tcW w:w="1251" w:type="dxa"/>
            <w:shd w:val="clear" w:color="auto" w:fill="0000FF"/>
          </w:tcPr>
          <w:p w:rsidR="00571F83" w:rsidRPr="006421AD" w:rsidRDefault="00571F83" w:rsidP="00CB5F40">
            <w:pPr>
              <w:spacing w:before="120" w:after="120"/>
              <w:ind w:left="34"/>
              <w:rPr>
                <w:rFonts w:ascii="Arial" w:hAnsi="Arial" w:cs="Arial"/>
                <w:b/>
                <w:bCs/>
                <w:color w:val="FFFFFF"/>
                <w:lang w:val="en-US"/>
              </w:rPr>
            </w:pPr>
            <w:r w:rsidRPr="006421AD">
              <w:rPr>
                <w:rFonts w:ascii="Arial" w:hAnsi="Arial" w:cs="Arial"/>
                <w:b/>
                <w:bCs/>
                <w:color w:val="FFFFFF"/>
                <w:lang w:val="en-US"/>
              </w:rPr>
              <w:lastRenderedPageBreak/>
              <w:t>Item</w:t>
            </w:r>
          </w:p>
        </w:tc>
        <w:tc>
          <w:tcPr>
            <w:tcW w:w="7929" w:type="dxa"/>
            <w:shd w:val="clear" w:color="auto" w:fill="0000FF"/>
          </w:tcPr>
          <w:p w:rsidR="00571F83" w:rsidRPr="006421AD" w:rsidRDefault="00571F83" w:rsidP="00CB5F40">
            <w:pPr>
              <w:spacing w:before="120" w:after="120"/>
              <w:rPr>
                <w:rFonts w:ascii="Arial" w:hAnsi="Arial" w:cs="Arial"/>
                <w:b/>
                <w:bCs/>
                <w:color w:val="FFFFFF"/>
                <w:lang w:val="en-US"/>
              </w:rPr>
            </w:pPr>
            <w:r w:rsidRPr="006421AD">
              <w:rPr>
                <w:rFonts w:ascii="Arial" w:hAnsi="Arial" w:cs="Arial"/>
                <w:b/>
                <w:bCs/>
                <w:color w:val="FFFFFF"/>
                <w:lang w:val="en-US"/>
              </w:rPr>
              <w:t>Details</w:t>
            </w:r>
          </w:p>
        </w:tc>
      </w:tr>
      <w:tr w:rsidR="00571F83" w:rsidRPr="006421AD" w:rsidTr="006421AD">
        <w:tc>
          <w:tcPr>
            <w:tcW w:w="1251" w:type="dxa"/>
          </w:tcPr>
          <w:p w:rsidR="00571F83" w:rsidRPr="006421AD" w:rsidRDefault="00571F83" w:rsidP="00571F83">
            <w:pPr>
              <w:spacing w:before="120" w:after="120"/>
              <w:ind w:left="34"/>
              <w:rPr>
                <w:rFonts w:ascii="Arial" w:hAnsi="Arial" w:cs="Arial"/>
                <w:b/>
                <w:bCs/>
                <w:lang w:val="en-US"/>
              </w:rPr>
            </w:pPr>
            <w:r w:rsidRPr="006421AD">
              <w:rPr>
                <w:rFonts w:ascii="Arial" w:hAnsi="Arial" w:cs="Arial"/>
                <w:b/>
                <w:bCs/>
                <w:lang w:val="en-US"/>
              </w:rPr>
              <w:t>Safe</w:t>
            </w:r>
            <w:r>
              <w:rPr>
                <w:rFonts w:ascii="Arial" w:hAnsi="Arial" w:cs="Arial"/>
                <w:b/>
                <w:bCs/>
                <w:lang w:val="en-US"/>
              </w:rPr>
              <w:t xml:space="preserve"> (cont’d)</w:t>
            </w:r>
          </w:p>
          <w:p w:rsidR="00571F83" w:rsidRPr="006421AD" w:rsidRDefault="00571F83" w:rsidP="006421AD">
            <w:pPr>
              <w:spacing w:before="120" w:after="120"/>
              <w:ind w:left="34"/>
              <w:rPr>
                <w:rFonts w:ascii="Arial" w:hAnsi="Arial" w:cs="Arial"/>
                <w:b/>
                <w:lang w:val="en-US"/>
              </w:rPr>
            </w:pPr>
          </w:p>
        </w:tc>
        <w:tc>
          <w:tcPr>
            <w:tcW w:w="7929" w:type="dxa"/>
          </w:tcPr>
          <w:p w:rsidR="00571F83" w:rsidRPr="006421AD" w:rsidRDefault="00571F83" w:rsidP="00571F83">
            <w:pPr>
              <w:pStyle w:val="ListParagraph"/>
              <w:spacing w:before="120" w:after="120"/>
              <w:ind w:left="0"/>
              <w:rPr>
                <w:color w:val="000000"/>
              </w:rPr>
            </w:pPr>
            <w:r w:rsidRPr="006421AD">
              <w:rPr>
                <w:color w:val="000000"/>
              </w:rPr>
              <w:t xml:space="preserve">The </w:t>
            </w:r>
            <w:proofErr w:type="spellStart"/>
            <w:r w:rsidRPr="006421AD">
              <w:rPr>
                <w:color w:val="000000"/>
              </w:rPr>
              <w:t>iMatter</w:t>
            </w:r>
            <w:proofErr w:type="spellEnd"/>
            <w:r w:rsidRPr="006421AD">
              <w:rPr>
                <w:color w:val="000000"/>
              </w:rPr>
              <w:t xml:space="preserve"> results were discussed and it was noted that staff felt the areas for improvement were </w:t>
            </w:r>
            <w:r>
              <w:rPr>
                <w:color w:val="000000"/>
              </w:rPr>
              <w:t>S</w:t>
            </w:r>
            <w:r w:rsidRPr="006421AD">
              <w:rPr>
                <w:color w:val="000000"/>
              </w:rPr>
              <w:t xml:space="preserve">enior </w:t>
            </w:r>
            <w:r>
              <w:rPr>
                <w:color w:val="000000"/>
              </w:rPr>
              <w:t>M</w:t>
            </w:r>
            <w:r w:rsidRPr="006421AD">
              <w:rPr>
                <w:color w:val="000000"/>
              </w:rPr>
              <w:t xml:space="preserve">anagement visibility and </w:t>
            </w:r>
            <w:r>
              <w:rPr>
                <w:color w:val="000000"/>
              </w:rPr>
              <w:t>being</w:t>
            </w:r>
            <w:r w:rsidRPr="006421AD">
              <w:rPr>
                <w:color w:val="000000"/>
              </w:rPr>
              <w:t xml:space="preserve"> involved with decisions. The </w:t>
            </w:r>
            <w:r>
              <w:rPr>
                <w:color w:val="000000"/>
              </w:rPr>
              <w:t>Committee</w:t>
            </w:r>
            <w:r w:rsidRPr="006421AD">
              <w:rPr>
                <w:color w:val="000000"/>
              </w:rPr>
              <w:t xml:space="preserve"> emphasis</w:t>
            </w:r>
            <w:r>
              <w:rPr>
                <w:color w:val="000000"/>
              </w:rPr>
              <w:t>ed</w:t>
            </w:r>
            <w:r w:rsidRPr="006421AD">
              <w:rPr>
                <w:color w:val="000000"/>
              </w:rPr>
              <w:t xml:space="preserve"> the importance of completing and following up the Action Plans.</w:t>
            </w:r>
          </w:p>
          <w:p w:rsidR="00571F83" w:rsidRPr="006421AD" w:rsidRDefault="00571F83" w:rsidP="00571F83">
            <w:pPr>
              <w:pStyle w:val="ListParagraph"/>
              <w:spacing w:before="120" w:after="120"/>
              <w:ind w:left="0"/>
              <w:rPr>
                <w:b/>
                <w:color w:val="000000"/>
              </w:rPr>
            </w:pPr>
            <w:r w:rsidRPr="006421AD">
              <w:rPr>
                <w:color w:val="000000"/>
              </w:rPr>
              <w:t xml:space="preserve">The </w:t>
            </w:r>
            <w:r>
              <w:rPr>
                <w:color w:val="000000"/>
              </w:rPr>
              <w:t>Committee</w:t>
            </w:r>
            <w:r w:rsidRPr="006421AD">
              <w:rPr>
                <w:color w:val="000000"/>
              </w:rPr>
              <w:t xml:space="preserve"> also noted that long term sickness absence </w:t>
            </w:r>
            <w:r>
              <w:rPr>
                <w:color w:val="000000"/>
              </w:rPr>
              <w:t>was</w:t>
            </w:r>
            <w:r w:rsidRPr="006421AD">
              <w:rPr>
                <w:color w:val="000000"/>
              </w:rPr>
              <w:t xml:space="preserve"> increasing but the overall percentage was still under 5%. The </w:t>
            </w:r>
            <w:r>
              <w:rPr>
                <w:color w:val="000000"/>
              </w:rPr>
              <w:t>Committee</w:t>
            </w:r>
            <w:r w:rsidRPr="006421AD">
              <w:rPr>
                <w:color w:val="000000"/>
              </w:rPr>
              <w:t xml:space="preserve"> discussed approaches to improving and reducing sickness absence rates</w:t>
            </w:r>
            <w:r>
              <w:rPr>
                <w:color w:val="000000"/>
              </w:rPr>
              <w:t>. I</w:t>
            </w:r>
            <w:r w:rsidRPr="006421AD">
              <w:rPr>
                <w:color w:val="000000"/>
              </w:rPr>
              <w:t xml:space="preserve">t was noted that further work is planned to consider an overall staff health and wellbeing plan that draws together different strands of work that will help support teams to improve their working environment and health and wellbeing of their staff. This includes considering the </w:t>
            </w:r>
            <w:r>
              <w:rPr>
                <w:color w:val="000000"/>
              </w:rPr>
              <w:t>H</w:t>
            </w:r>
            <w:r w:rsidRPr="006421AD">
              <w:rPr>
                <w:color w:val="000000"/>
              </w:rPr>
              <w:t xml:space="preserve">ealth </w:t>
            </w:r>
            <w:r>
              <w:rPr>
                <w:color w:val="000000"/>
              </w:rPr>
              <w:t>P</w:t>
            </w:r>
            <w:r w:rsidRPr="006421AD">
              <w:rPr>
                <w:color w:val="000000"/>
              </w:rPr>
              <w:t xml:space="preserve">romoting </w:t>
            </w:r>
            <w:r>
              <w:rPr>
                <w:color w:val="000000"/>
              </w:rPr>
              <w:t>H</w:t>
            </w:r>
            <w:r w:rsidRPr="006421AD">
              <w:rPr>
                <w:color w:val="000000"/>
              </w:rPr>
              <w:t xml:space="preserve">ealth </w:t>
            </w:r>
            <w:r>
              <w:rPr>
                <w:color w:val="000000"/>
              </w:rPr>
              <w:t>S</w:t>
            </w:r>
            <w:r w:rsidRPr="006421AD">
              <w:rPr>
                <w:color w:val="000000"/>
              </w:rPr>
              <w:t>ervice work and the Institute for Healthcare Improvement’s ‘Joy in Work’ framework.</w:t>
            </w:r>
          </w:p>
        </w:tc>
      </w:tr>
      <w:tr w:rsidR="006D232B" w:rsidRPr="006421AD" w:rsidTr="006421AD">
        <w:tc>
          <w:tcPr>
            <w:tcW w:w="1251" w:type="dxa"/>
          </w:tcPr>
          <w:p w:rsidR="006D232B" w:rsidRPr="006421AD" w:rsidRDefault="006D232B" w:rsidP="006421AD">
            <w:pPr>
              <w:spacing w:before="120" w:after="120"/>
              <w:ind w:left="34"/>
              <w:rPr>
                <w:rFonts w:ascii="Arial" w:hAnsi="Arial" w:cs="Arial"/>
                <w:b/>
                <w:lang w:val="en-US"/>
              </w:rPr>
            </w:pPr>
            <w:r w:rsidRPr="006421AD">
              <w:rPr>
                <w:rFonts w:ascii="Arial" w:hAnsi="Arial" w:cs="Arial"/>
                <w:b/>
                <w:lang w:val="en-US"/>
              </w:rPr>
              <w:t>Effective</w:t>
            </w:r>
          </w:p>
          <w:p w:rsidR="006D232B" w:rsidRPr="006421AD" w:rsidRDefault="006D232B" w:rsidP="006421AD">
            <w:pPr>
              <w:spacing w:before="120" w:after="120"/>
              <w:ind w:left="34"/>
              <w:rPr>
                <w:rFonts w:ascii="Arial" w:hAnsi="Arial" w:cs="Arial"/>
              </w:rPr>
            </w:pPr>
          </w:p>
          <w:p w:rsidR="006D232B" w:rsidRPr="006421AD" w:rsidRDefault="006D232B" w:rsidP="006421AD">
            <w:pPr>
              <w:spacing w:before="120" w:after="120"/>
              <w:ind w:left="34"/>
              <w:rPr>
                <w:rFonts w:ascii="Arial" w:hAnsi="Arial" w:cs="Arial"/>
              </w:rPr>
            </w:pPr>
          </w:p>
          <w:p w:rsidR="006D232B" w:rsidRPr="006421AD" w:rsidRDefault="006D232B" w:rsidP="006421AD">
            <w:pPr>
              <w:spacing w:before="120" w:after="120"/>
              <w:ind w:left="34"/>
              <w:rPr>
                <w:rFonts w:ascii="Arial" w:hAnsi="Arial" w:cs="Arial"/>
              </w:rPr>
            </w:pPr>
          </w:p>
        </w:tc>
        <w:tc>
          <w:tcPr>
            <w:tcW w:w="7929" w:type="dxa"/>
          </w:tcPr>
          <w:p w:rsidR="006D232B" w:rsidRPr="006421AD" w:rsidRDefault="006D232B" w:rsidP="006421AD">
            <w:pPr>
              <w:pStyle w:val="ListParagraph"/>
              <w:spacing w:before="120" w:after="120"/>
              <w:ind w:left="0"/>
              <w:rPr>
                <w:b/>
                <w:color w:val="000000"/>
              </w:rPr>
            </w:pPr>
            <w:r w:rsidRPr="006421AD">
              <w:rPr>
                <w:b/>
                <w:color w:val="000000"/>
              </w:rPr>
              <w:t>The most appropriate treatments, interventions, support and services will be provided at the right time to everyone who will benefit, and wasteful or harmful variation will be eradicated.</w:t>
            </w:r>
          </w:p>
          <w:p w:rsidR="006421AD" w:rsidRPr="006421AD" w:rsidRDefault="006421AD" w:rsidP="006421AD">
            <w:pPr>
              <w:pStyle w:val="ListParagraph"/>
              <w:spacing w:before="120" w:after="120"/>
              <w:ind w:left="0"/>
              <w:rPr>
                <w:color w:val="000000"/>
              </w:rPr>
            </w:pPr>
            <w:r w:rsidRPr="006421AD">
              <w:rPr>
                <w:color w:val="000000"/>
              </w:rPr>
              <w:t xml:space="preserve">The </w:t>
            </w:r>
            <w:r>
              <w:rPr>
                <w:color w:val="000000"/>
              </w:rPr>
              <w:t xml:space="preserve">Executive Nurse Director presented the </w:t>
            </w:r>
            <w:r w:rsidRPr="006421AD">
              <w:rPr>
                <w:color w:val="000000"/>
              </w:rPr>
              <w:t>Clinical Education report</w:t>
            </w:r>
            <w:r w:rsidR="00571F83">
              <w:rPr>
                <w:color w:val="000000"/>
              </w:rPr>
              <w:t>. It was a thorough and detailed report. It was pleasing to note that the GJNH Theatre Ac</w:t>
            </w:r>
            <w:r w:rsidRPr="006421AD">
              <w:rPr>
                <w:color w:val="000000"/>
              </w:rPr>
              <w:t xml:space="preserve">ademy </w:t>
            </w:r>
            <w:r w:rsidR="00571F83">
              <w:rPr>
                <w:color w:val="000000"/>
              </w:rPr>
              <w:t>is working well and the hope is to expand its numbers.</w:t>
            </w:r>
          </w:p>
          <w:p w:rsidR="006D232B" w:rsidRPr="006421AD" w:rsidRDefault="006421AD" w:rsidP="006421AD">
            <w:pPr>
              <w:pStyle w:val="ListParagraph"/>
              <w:spacing w:before="120" w:after="120"/>
              <w:ind w:left="0"/>
              <w:rPr>
                <w:color w:val="000000"/>
              </w:rPr>
            </w:pPr>
            <w:r w:rsidRPr="006421AD">
              <w:rPr>
                <w:color w:val="000000"/>
              </w:rPr>
              <w:t>The Committee agreed to undertake a Self Assessment and will c</w:t>
            </w:r>
            <w:r>
              <w:rPr>
                <w:color w:val="000000"/>
              </w:rPr>
              <w:t>omplete a detailed questionnaire.</w:t>
            </w:r>
          </w:p>
        </w:tc>
      </w:tr>
    </w:tbl>
    <w:p w:rsidR="006421AD" w:rsidRPr="006421AD" w:rsidRDefault="006421AD" w:rsidP="006421AD">
      <w:pPr>
        <w:rPr>
          <w:rFonts w:ascii="Arial" w:hAnsi="Arial" w:cs="Arial"/>
        </w:rPr>
      </w:pPr>
    </w:p>
    <w:p w:rsidR="006421AD" w:rsidRPr="006421AD" w:rsidRDefault="006421AD" w:rsidP="006421AD">
      <w:pPr>
        <w:rPr>
          <w:rFonts w:ascii="Arial" w:hAnsi="Arial" w:cs="Arial"/>
          <w:bCs/>
        </w:rPr>
      </w:pPr>
      <w:r w:rsidRPr="006421AD">
        <w:rPr>
          <w:rFonts w:ascii="Arial" w:hAnsi="Arial" w:cs="Arial"/>
          <w:bCs/>
        </w:rPr>
        <w:t>The next meeting is scheduled for</w:t>
      </w:r>
      <w:r>
        <w:rPr>
          <w:rFonts w:ascii="Arial" w:hAnsi="Arial" w:cs="Arial"/>
          <w:bCs/>
        </w:rPr>
        <w:t xml:space="preserve">: </w:t>
      </w:r>
      <w:r w:rsidRPr="006421AD">
        <w:rPr>
          <w:rFonts w:ascii="Arial" w:hAnsi="Arial" w:cs="Arial"/>
          <w:bCs/>
        </w:rPr>
        <w:t>Tuesday 16 October 2018</w:t>
      </w:r>
    </w:p>
    <w:p w:rsidR="006421AD" w:rsidRPr="006421AD" w:rsidRDefault="006421AD" w:rsidP="006421AD">
      <w:pPr>
        <w:rPr>
          <w:rFonts w:ascii="Arial" w:hAnsi="Arial" w:cs="Arial"/>
        </w:rPr>
      </w:pPr>
    </w:p>
    <w:p w:rsidR="006421AD" w:rsidRPr="006421AD" w:rsidRDefault="006421AD" w:rsidP="006421AD">
      <w:pPr>
        <w:rPr>
          <w:rFonts w:ascii="Arial" w:hAnsi="Arial" w:cs="Arial"/>
          <w:b/>
          <w:bCs/>
        </w:rPr>
      </w:pPr>
      <w:r w:rsidRPr="006421AD">
        <w:rPr>
          <w:rFonts w:ascii="Arial" w:hAnsi="Arial" w:cs="Arial"/>
          <w:b/>
          <w:bCs/>
        </w:rPr>
        <w:t>Kay Harriman</w:t>
      </w:r>
    </w:p>
    <w:p w:rsidR="006421AD" w:rsidRPr="006421AD" w:rsidRDefault="006421AD" w:rsidP="006421AD">
      <w:pPr>
        <w:rPr>
          <w:rFonts w:ascii="Arial" w:hAnsi="Arial" w:cs="Arial"/>
          <w:b/>
          <w:bCs/>
        </w:rPr>
      </w:pPr>
      <w:r w:rsidRPr="006421AD">
        <w:rPr>
          <w:rFonts w:ascii="Arial" w:hAnsi="Arial" w:cs="Arial"/>
          <w:b/>
          <w:bCs/>
        </w:rPr>
        <w:t>Chair, Person Centred Committee</w:t>
      </w:r>
    </w:p>
    <w:p w:rsidR="006421AD" w:rsidRPr="006421AD" w:rsidRDefault="006421AD" w:rsidP="006421AD">
      <w:pPr>
        <w:rPr>
          <w:rFonts w:ascii="Arial" w:hAnsi="Arial" w:cs="Arial"/>
          <w:b/>
          <w:bCs/>
        </w:rPr>
      </w:pPr>
    </w:p>
    <w:p w:rsidR="006421AD" w:rsidRPr="006421AD" w:rsidRDefault="006421AD" w:rsidP="006421AD">
      <w:pPr>
        <w:rPr>
          <w:rFonts w:ascii="Arial" w:hAnsi="Arial" w:cs="Arial"/>
          <w:b/>
          <w:bCs/>
        </w:rPr>
      </w:pPr>
    </w:p>
    <w:p w:rsidR="00EB7C07" w:rsidRPr="006421AD" w:rsidRDefault="00EB7C07" w:rsidP="00506517">
      <w:pPr>
        <w:ind w:right="183"/>
        <w:rPr>
          <w:rFonts w:ascii="Arial" w:hAnsi="Arial" w:cs="Arial"/>
        </w:rPr>
      </w:pPr>
    </w:p>
    <w:sectPr w:rsidR="00EB7C07" w:rsidRPr="006421AD" w:rsidSect="006421AD">
      <w:headerReference w:type="default" r:id="rId8"/>
      <w:footerReference w:type="default" r:id="rId9"/>
      <w:headerReference w:type="first" r:id="rId10"/>
      <w:footerReference w:type="first" r:id="rId11"/>
      <w:pgSz w:w="11906" w:h="16838"/>
      <w:pgMar w:top="1440" w:right="991"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E6E" w:rsidRDefault="00233E6E">
      <w:r>
        <w:separator/>
      </w:r>
    </w:p>
  </w:endnote>
  <w:endnote w:type="continuationSeparator" w:id="0">
    <w:p w:rsidR="00233E6E" w:rsidRDefault="00233E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DB0" w:rsidRDefault="006421AD" w:rsidP="006421AD">
    <w:pPr>
      <w:ind w:left="-540"/>
      <w:jc w:val="center"/>
      <w:rPr>
        <w:rFonts w:ascii="Arial" w:hAnsi="Arial" w:cs="Arial"/>
        <w:sz w:val="20"/>
        <w:szCs w:val="20"/>
      </w:rPr>
    </w:pPr>
    <w:r>
      <w:rPr>
        <w:rStyle w:val="PageNumber"/>
        <w:rFonts w:ascii="Arial" w:hAnsi="Arial" w:cs="Arial"/>
      </w:rPr>
      <w:t>__________________________________________________________________________</w:t>
    </w:r>
    <w:r>
      <w:rPr>
        <w:rStyle w:val="PageNumber"/>
        <w:rFonts w:ascii="Arial" w:hAnsi="Arial" w:cs="Arial"/>
      </w:rPr>
      <w:br/>
    </w:r>
    <w:r>
      <w:rPr>
        <w:rStyle w:val="PageNumber"/>
        <w:rFonts w:ascii="Arial" w:hAnsi="Arial" w:cs="Arial"/>
      </w:rPr>
      <w:br/>
    </w:r>
    <w:r w:rsidR="00F0796E" w:rsidRPr="00513DB0">
      <w:rPr>
        <w:rStyle w:val="PageNumber"/>
        <w:rFonts w:ascii="Arial" w:hAnsi="Arial" w:cs="Arial"/>
      </w:rPr>
      <w:fldChar w:fldCharType="begin"/>
    </w:r>
    <w:r w:rsidR="00513DB0" w:rsidRPr="00513DB0">
      <w:rPr>
        <w:rStyle w:val="PageNumber"/>
        <w:rFonts w:ascii="Arial" w:hAnsi="Arial" w:cs="Arial"/>
      </w:rPr>
      <w:instrText xml:space="preserve"> PAGE </w:instrText>
    </w:r>
    <w:r w:rsidR="00F0796E" w:rsidRPr="00513DB0">
      <w:rPr>
        <w:rStyle w:val="PageNumber"/>
        <w:rFonts w:ascii="Arial" w:hAnsi="Arial" w:cs="Arial"/>
      </w:rPr>
      <w:fldChar w:fldCharType="separate"/>
    </w:r>
    <w:r w:rsidR="00571F83">
      <w:rPr>
        <w:rStyle w:val="PageNumber"/>
        <w:rFonts w:ascii="Arial" w:hAnsi="Arial" w:cs="Arial"/>
        <w:noProof/>
      </w:rPr>
      <w:t>2</w:t>
    </w:r>
    <w:r w:rsidR="00F0796E" w:rsidRPr="00513DB0">
      <w:rPr>
        <w:rStyle w:val="PageNumber"/>
        <w:rFonts w:ascii="Arial" w:hAnsi="Arial" w:cs="Arial"/>
      </w:rPr>
      <w:fldChar w:fldCharType="end"/>
    </w:r>
  </w:p>
  <w:p w:rsidR="00075AAA" w:rsidRPr="001A624A" w:rsidRDefault="00075AAA" w:rsidP="00463DB0">
    <w:pPr>
      <w:pStyle w:val="Title"/>
      <w:ind w:left="-540" w:right="184"/>
      <w:jc w:val="left"/>
      <w:outlineLvl w:val="0"/>
      <w:rPr>
        <w:rFonts w:ascii="Arial" w:hAnsi="Arial" w:cs="Arial"/>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1AD" w:rsidRPr="00513DB0" w:rsidRDefault="006421AD" w:rsidP="006421AD">
    <w:pPr>
      <w:ind w:left="-540"/>
      <w:jc w:val="center"/>
      <w:rPr>
        <w:rFonts w:ascii="Arial" w:hAnsi="Arial" w:cs="Arial"/>
        <w:sz w:val="20"/>
        <w:szCs w:val="20"/>
      </w:rPr>
    </w:pPr>
    <w:r>
      <w:rPr>
        <w:rStyle w:val="PageNumber"/>
        <w:rFonts w:ascii="Arial" w:hAnsi="Arial" w:cs="Arial"/>
      </w:rPr>
      <w:t>__________________________________________________________________________</w:t>
    </w:r>
    <w:r>
      <w:rPr>
        <w:rStyle w:val="PageNumber"/>
        <w:rFonts w:ascii="Arial" w:hAnsi="Arial" w:cs="Arial"/>
      </w:rPr>
      <w:br/>
    </w:r>
    <w:r w:rsidR="00F0796E" w:rsidRPr="00513DB0">
      <w:rPr>
        <w:rStyle w:val="PageNumber"/>
        <w:rFonts w:ascii="Arial" w:hAnsi="Arial" w:cs="Arial"/>
      </w:rPr>
      <w:fldChar w:fldCharType="begin"/>
    </w:r>
    <w:r w:rsidRPr="00513DB0">
      <w:rPr>
        <w:rStyle w:val="PageNumber"/>
        <w:rFonts w:ascii="Arial" w:hAnsi="Arial" w:cs="Arial"/>
      </w:rPr>
      <w:instrText xml:space="preserve"> PAGE </w:instrText>
    </w:r>
    <w:r w:rsidR="00F0796E" w:rsidRPr="00513DB0">
      <w:rPr>
        <w:rStyle w:val="PageNumber"/>
        <w:rFonts w:ascii="Arial" w:hAnsi="Arial" w:cs="Arial"/>
      </w:rPr>
      <w:fldChar w:fldCharType="separate"/>
    </w:r>
    <w:r w:rsidR="00571F83">
      <w:rPr>
        <w:rStyle w:val="PageNumber"/>
        <w:rFonts w:ascii="Arial" w:hAnsi="Arial" w:cs="Arial"/>
        <w:noProof/>
      </w:rPr>
      <w:t>1</w:t>
    </w:r>
    <w:r w:rsidR="00F0796E" w:rsidRPr="00513DB0">
      <w:rPr>
        <w:rStyle w:val="PageNumber"/>
        <w:rFonts w:ascii="Arial" w:hAnsi="Arial" w:cs="Arial"/>
      </w:rPr>
      <w:fldChar w:fldCharType="end"/>
    </w:r>
  </w:p>
  <w:p w:rsidR="006421AD" w:rsidRDefault="00C212B1" w:rsidP="006421AD">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028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6421AD" w:rsidRPr="008F5DB5" w:rsidRDefault="006421AD" w:rsidP="006421AD">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6421AD" w:rsidRPr="006421AD" w:rsidRDefault="006421AD" w:rsidP="006421AD">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E6E" w:rsidRDefault="00233E6E">
      <w:r>
        <w:separator/>
      </w:r>
    </w:p>
  </w:footnote>
  <w:footnote w:type="continuationSeparator" w:id="0">
    <w:p w:rsidR="00233E6E" w:rsidRDefault="00233E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1AD" w:rsidRPr="006421AD" w:rsidRDefault="006421AD" w:rsidP="006421AD">
    <w:pPr>
      <w:pStyle w:val="Header"/>
      <w:jc w:val="right"/>
      <w:rPr>
        <w:rFonts w:ascii="Arial" w:hAnsi="Arial" w:cs="Arial"/>
        <w:b/>
        <w:color w:val="0070C0"/>
        <w:sz w:val="28"/>
        <w:szCs w:val="28"/>
      </w:rPr>
    </w:pPr>
    <w:r w:rsidRPr="006421AD">
      <w:rPr>
        <w:rFonts w:ascii="Arial" w:hAnsi="Arial" w:cs="Arial"/>
        <w:b/>
        <w:color w:val="0070C0"/>
        <w:sz w:val="28"/>
        <w:szCs w:val="28"/>
      </w:rPr>
      <w:t>Item 5.3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1AD" w:rsidRPr="006421AD" w:rsidRDefault="006421AD" w:rsidP="006421AD">
    <w:pPr>
      <w:pStyle w:val="Header"/>
      <w:jc w:val="right"/>
      <w:rPr>
        <w:rFonts w:ascii="Arial" w:hAnsi="Arial" w:cs="Arial"/>
        <w:b/>
        <w:color w:val="0070C0"/>
        <w:sz w:val="28"/>
        <w:szCs w:val="28"/>
      </w:rPr>
    </w:pPr>
    <w:r w:rsidRPr="006421AD">
      <w:rPr>
        <w:rFonts w:ascii="Arial" w:hAnsi="Arial" w:cs="Arial"/>
        <w:b/>
        <w:color w:val="0070C0"/>
        <w:sz w:val="28"/>
        <w:szCs w:val="28"/>
      </w:rPr>
      <w:t>Item 5.3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5"/>
  </w:num>
  <w:num w:numId="2">
    <w:abstractNumId w:val="9"/>
  </w:num>
  <w:num w:numId="3">
    <w:abstractNumId w:val="3"/>
  </w:num>
  <w:num w:numId="4">
    <w:abstractNumId w:val="0"/>
  </w:num>
  <w:num w:numId="5">
    <w:abstractNumId w:val="2"/>
  </w:num>
  <w:num w:numId="6">
    <w:abstractNumId w:val="7"/>
  </w:num>
  <w:num w:numId="7">
    <w:abstractNumId w:val="10"/>
  </w:num>
  <w:num w:numId="8">
    <w:abstractNumId w:val="1"/>
  </w:num>
  <w:num w:numId="9">
    <w:abstractNumId w:val="8"/>
  </w:num>
  <w:num w:numId="10">
    <w:abstractNumId w:val="4"/>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75AAA"/>
    <w:rsid w:val="000A0F2E"/>
    <w:rsid w:val="000B5923"/>
    <w:rsid w:val="001175E5"/>
    <w:rsid w:val="0014213C"/>
    <w:rsid w:val="00162874"/>
    <w:rsid w:val="001849E6"/>
    <w:rsid w:val="001A624A"/>
    <w:rsid w:val="001B3FD3"/>
    <w:rsid w:val="00200176"/>
    <w:rsid w:val="00233E6E"/>
    <w:rsid w:val="00362A4C"/>
    <w:rsid w:val="003E423D"/>
    <w:rsid w:val="003F19CA"/>
    <w:rsid w:val="004512CE"/>
    <w:rsid w:val="00463DB0"/>
    <w:rsid w:val="00506517"/>
    <w:rsid w:val="00513DB0"/>
    <w:rsid w:val="00571F83"/>
    <w:rsid w:val="00590B0A"/>
    <w:rsid w:val="006421AD"/>
    <w:rsid w:val="006A1357"/>
    <w:rsid w:val="006D232B"/>
    <w:rsid w:val="00745A4B"/>
    <w:rsid w:val="00815350"/>
    <w:rsid w:val="008553E2"/>
    <w:rsid w:val="00867E1A"/>
    <w:rsid w:val="00882F92"/>
    <w:rsid w:val="008C26A2"/>
    <w:rsid w:val="00952AC2"/>
    <w:rsid w:val="00992558"/>
    <w:rsid w:val="00A2577B"/>
    <w:rsid w:val="00C212B1"/>
    <w:rsid w:val="00C956E2"/>
    <w:rsid w:val="00D346C3"/>
    <w:rsid w:val="00D92AA6"/>
    <w:rsid w:val="00E95856"/>
    <w:rsid w:val="00EB7C07"/>
    <w:rsid w:val="00F0796E"/>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541</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dcterms:created xsi:type="dcterms:W3CDTF">2018-07-26T14:19:00Z</dcterms:created>
  <dcterms:modified xsi:type="dcterms:W3CDTF">2018-07-26T16:07:00Z</dcterms:modified>
</cp:coreProperties>
</file>