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222752464"/>
        <w:docPartObj>
          <w:docPartGallery w:val="Cover Pages"/>
          <w:docPartUnique/>
        </w:docPartObj>
      </w:sdtPr>
      <w:sdtContent>
        <w:p w:rsidR="00CF181C" w:rsidRPr="007B5A1E" w:rsidRDefault="00CF181C"/>
        <w:p w:rsidR="00575943" w:rsidRPr="007B5A1E" w:rsidRDefault="00575943" w:rsidP="00575943">
          <w:pPr>
            <w:spacing w:before="80" w:after="0" w:line="240" w:lineRule="auto"/>
            <w:rPr>
              <w:rFonts w:ascii="Arial" w:eastAsia="+mj-ea" w:hAnsi="Arial"/>
              <w:b/>
              <w:bCs/>
              <w:color w:val="000000"/>
              <w:kern w:val="24"/>
              <w:sz w:val="28"/>
              <w:szCs w:val="28"/>
              <w:lang w:eastAsia="en-GB"/>
            </w:rPr>
          </w:pPr>
        </w:p>
        <w:p w:rsidR="00575943" w:rsidRPr="007B5A1E" w:rsidRDefault="00575943" w:rsidP="00575943">
          <w:pPr>
            <w:spacing w:before="80" w:after="0" w:line="240" w:lineRule="auto"/>
            <w:rPr>
              <w:rFonts w:ascii="Arial" w:eastAsia="+mj-ea" w:hAnsi="Arial"/>
              <w:b/>
              <w:bCs/>
              <w:color w:val="000000"/>
              <w:kern w:val="24"/>
              <w:sz w:val="28"/>
              <w:szCs w:val="28"/>
              <w:lang w:eastAsia="en-GB"/>
            </w:rPr>
          </w:pPr>
        </w:p>
        <w:p w:rsidR="00575943" w:rsidRPr="007B5A1E" w:rsidRDefault="00575943" w:rsidP="00575943">
          <w:pPr>
            <w:spacing w:before="80" w:after="0" w:line="240" w:lineRule="auto"/>
            <w:rPr>
              <w:rFonts w:ascii="Arial" w:eastAsia="+mj-ea" w:hAnsi="Arial"/>
              <w:b/>
              <w:bCs/>
              <w:color w:val="000000"/>
              <w:kern w:val="24"/>
              <w:sz w:val="28"/>
              <w:szCs w:val="28"/>
              <w:lang w:eastAsia="en-GB"/>
            </w:rPr>
          </w:pPr>
        </w:p>
        <w:p w:rsidR="00575943" w:rsidRPr="007B5A1E" w:rsidRDefault="00575943" w:rsidP="00575943">
          <w:pPr>
            <w:spacing w:before="80" w:after="0" w:line="240" w:lineRule="auto"/>
            <w:rPr>
              <w:rFonts w:ascii="Arial" w:eastAsia="+mj-ea" w:hAnsi="Arial"/>
              <w:b/>
              <w:bCs/>
              <w:color w:val="000000"/>
              <w:kern w:val="24"/>
              <w:sz w:val="28"/>
              <w:szCs w:val="28"/>
              <w:lang w:eastAsia="en-GB"/>
            </w:rPr>
          </w:pPr>
        </w:p>
        <w:p w:rsidR="00575943" w:rsidRPr="007B5A1E" w:rsidRDefault="00575943" w:rsidP="00575943">
          <w:pPr>
            <w:spacing w:before="80" w:after="0" w:line="240" w:lineRule="auto"/>
            <w:rPr>
              <w:rFonts w:ascii="Arial" w:eastAsia="+mj-ea" w:hAnsi="Arial"/>
              <w:b/>
              <w:bCs/>
              <w:color w:val="000000"/>
              <w:kern w:val="24"/>
              <w:sz w:val="28"/>
              <w:szCs w:val="28"/>
              <w:lang w:eastAsia="en-GB"/>
            </w:rPr>
          </w:pPr>
        </w:p>
        <w:p w:rsidR="00575943" w:rsidRPr="007B5A1E" w:rsidRDefault="00575943" w:rsidP="00575943">
          <w:pPr>
            <w:spacing w:before="80" w:after="0" w:line="240" w:lineRule="auto"/>
            <w:rPr>
              <w:rFonts w:ascii="Arial" w:eastAsia="+mj-ea" w:hAnsi="Arial"/>
              <w:b/>
              <w:bCs/>
              <w:color w:val="000000"/>
              <w:kern w:val="24"/>
              <w:sz w:val="28"/>
              <w:szCs w:val="28"/>
              <w:lang w:eastAsia="en-GB"/>
            </w:rPr>
          </w:pPr>
        </w:p>
        <w:p w:rsidR="00575943" w:rsidRPr="007B5A1E" w:rsidRDefault="00575943" w:rsidP="00575943">
          <w:pPr>
            <w:spacing w:before="80" w:after="0" w:line="240" w:lineRule="auto"/>
            <w:rPr>
              <w:rFonts w:ascii="Arial" w:eastAsia="+mj-ea" w:hAnsi="Arial"/>
              <w:b/>
              <w:bCs/>
              <w:color w:val="000000"/>
              <w:kern w:val="24"/>
              <w:sz w:val="28"/>
              <w:szCs w:val="28"/>
              <w:lang w:eastAsia="en-GB"/>
            </w:rPr>
          </w:pPr>
        </w:p>
        <w:p w:rsidR="00575943" w:rsidRPr="007B5A1E" w:rsidRDefault="00575943" w:rsidP="00575943">
          <w:pPr>
            <w:spacing w:before="80" w:after="0" w:line="240" w:lineRule="auto"/>
            <w:rPr>
              <w:rFonts w:ascii="Arial" w:eastAsia="+mj-ea" w:hAnsi="Arial"/>
              <w:b/>
              <w:bCs/>
              <w:color w:val="000000"/>
              <w:kern w:val="24"/>
              <w:sz w:val="28"/>
              <w:szCs w:val="28"/>
              <w:lang w:eastAsia="en-GB"/>
            </w:rPr>
          </w:pPr>
        </w:p>
        <w:p w:rsidR="00575943" w:rsidRPr="007B5A1E" w:rsidRDefault="00575943" w:rsidP="00575943">
          <w:pPr>
            <w:spacing w:before="80" w:after="0" w:line="240" w:lineRule="auto"/>
            <w:rPr>
              <w:rFonts w:ascii="Arial" w:eastAsia="+mj-ea" w:hAnsi="Arial"/>
              <w:b/>
              <w:bCs/>
              <w:color w:val="000000"/>
              <w:kern w:val="24"/>
              <w:sz w:val="28"/>
              <w:szCs w:val="28"/>
              <w:lang w:eastAsia="en-GB"/>
            </w:rPr>
          </w:pPr>
        </w:p>
        <w:p w:rsidR="00575943" w:rsidRPr="007B5A1E" w:rsidRDefault="00575943" w:rsidP="00575943">
          <w:pPr>
            <w:spacing w:before="80" w:after="0" w:line="240" w:lineRule="auto"/>
            <w:rPr>
              <w:rFonts w:ascii="Arial" w:eastAsia="+mj-ea" w:hAnsi="Arial"/>
              <w:b/>
              <w:bCs/>
              <w:color w:val="000000"/>
              <w:kern w:val="24"/>
              <w:sz w:val="28"/>
              <w:szCs w:val="28"/>
              <w:lang w:eastAsia="en-GB"/>
            </w:rPr>
          </w:pPr>
        </w:p>
        <w:p w:rsidR="00575943" w:rsidRPr="007B5A1E" w:rsidRDefault="00575943" w:rsidP="00575943">
          <w:pPr>
            <w:spacing w:before="80" w:after="0" w:line="240" w:lineRule="auto"/>
            <w:rPr>
              <w:rFonts w:ascii="Arial" w:eastAsia="+mj-ea" w:hAnsi="Arial"/>
              <w:b/>
              <w:bCs/>
              <w:color w:val="000000"/>
              <w:kern w:val="24"/>
              <w:sz w:val="28"/>
              <w:szCs w:val="28"/>
              <w:lang w:eastAsia="en-GB"/>
            </w:rPr>
          </w:pPr>
        </w:p>
        <w:p w:rsidR="00575943" w:rsidRPr="007B5A1E" w:rsidRDefault="00575943" w:rsidP="00575943">
          <w:pPr>
            <w:spacing w:before="80" w:after="0" w:line="240" w:lineRule="auto"/>
            <w:rPr>
              <w:rFonts w:ascii="Arial" w:eastAsia="+mj-ea" w:hAnsi="Arial"/>
              <w:b/>
              <w:bCs/>
              <w:color w:val="000000"/>
              <w:kern w:val="24"/>
              <w:sz w:val="28"/>
              <w:szCs w:val="28"/>
              <w:lang w:eastAsia="en-GB"/>
            </w:rPr>
          </w:pPr>
        </w:p>
        <w:p w:rsidR="00575943" w:rsidRPr="007B5A1E" w:rsidRDefault="00575943" w:rsidP="00575943">
          <w:pPr>
            <w:spacing w:before="80" w:after="0" w:line="240" w:lineRule="auto"/>
            <w:rPr>
              <w:rFonts w:ascii="Times New Roman" w:hAnsi="Times New Roman" w:cs="Times New Roman"/>
              <w:sz w:val="24"/>
              <w:szCs w:val="24"/>
              <w:lang w:eastAsia="en-GB"/>
            </w:rPr>
          </w:pPr>
          <w:r w:rsidRPr="007B5A1E">
            <w:rPr>
              <w:rFonts w:ascii="Arial" w:eastAsia="+mj-ea" w:hAnsi="Arial"/>
              <w:b/>
              <w:bCs/>
              <w:color w:val="000000"/>
              <w:kern w:val="24"/>
              <w:sz w:val="28"/>
              <w:szCs w:val="28"/>
              <w:lang w:eastAsia="en-GB"/>
            </w:rPr>
            <w:t xml:space="preserve">An independent review by Grant Thornton UK LLP on </w:t>
          </w:r>
          <w:r w:rsidR="00FF4CD0">
            <w:rPr>
              <w:rFonts w:ascii="Arial" w:eastAsia="+mj-ea" w:hAnsi="Arial"/>
              <w:b/>
              <w:bCs/>
              <w:color w:val="000000"/>
              <w:kern w:val="24"/>
              <w:sz w:val="28"/>
              <w:szCs w:val="28"/>
              <w:lang w:eastAsia="en-GB"/>
            </w:rPr>
            <w:t>agreed areas</w:t>
          </w:r>
          <w:r w:rsidR="00A90C84" w:rsidRPr="007B5A1E">
            <w:rPr>
              <w:rFonts w:ascii="Arial" w:eastAsia="+mj-ea" w:hAnsi="Arial"/>
              <w:b/>
              <w:bCs/>
              <w:color w:val="000000"/>
              <w:kern w:val="24"/>
              <w:sz w:val="28"/>
              <w:szCs w:val="28"/>
              <w:lang w:eastAsia="en-GB"/>
            </w:rPr>
            <w:t xml:space="preserve"> of </w:t>
          </w:r>
          <w:r w:rsidR="00426CA3" w:rsidRPr="007B5A1E">
            <w:rPr>
              <w:rFonts w:ascii="Arial" w:eastAsia="+mj-ea" w:hAnsi="Arial"/>
              <w:b/>
              <w:bCs/>
              <w:color w:val="000000"/>
              <w:kern w:val="24"/>
              <w:sz w:val="28"/>
              <w:szCs w:val="28"/>
              <w:lang w:eastAsia="en-GB"/>
            </w:rPr>
            <w:t>NHS Tayside financial governance arrangements</w:t>
          </w:r>
          <w:r w:rsidR="00A90C84" w:rsidRPr="007B5A1E">
            <w:rPr>
              <w:rFonts w:ascii="Arial" w:eastAsia="+mj-ea" w:hAnsi="Arial"/>
              <w:b/>
              <w:bCs/>
              <w:color w:val="000000"/>
              <w:kern w:val="24"/>
              <w:sz w:val="28"/>
              <w:szCs w:val="28"/>
              <w:lang w:eastAsia="en-GB"/>
            </w:rPr>
            <w:t xml:space="preserve"> between the financial years</w:t>
          </w:r>
          <w:r w:rsidR="00426CA3" w:rsidRPr="007B5A1E">
            <w:rPr>
              <w:rFonts w:ascii="Arial" w:eastAsia="+mj-ea" w:hAnsi="Arial"/>
              <w:b/>
              <w:bCs/>
              <w:color w:val="000000"/>
              <w:kern w:val="24"/>
              <w:sz w:val="28"/>
              <w:szCs w:val="28"/>
              <w:lang w:eastAsia="en-GB"/>
            </w:rPr>
            <w:t xml:space="preserve"> 2012</w:t>
          </w:r>
          <w:r w:rsidR="00A90C84" w:rsidRPr="007B5A1E">
            <w:rPr>
              <w:rFonts w:ascii="Arial" w:eastAsia="+mj-ea" w:hAnsi="Arial"/>
              <w:b/>
              <w:bCs/>
              <w:color w:val="000000"/>
              <w:kern w:val="24"/>
              <w:sz w:val="28"/>
              <w:szCs w:val="28"/>
              <w:lang w:eastAsia="en-GB"/>
            </w:rPr>
            <w:t>/13</w:t>
          </w:r>
          <w:r w:rsidR="00426CA3" w:rsidRPr="007B5A1E">
            <w:rPr>
              <w:rFonts w:ascii="Arial" w:eastAsia="+mj-ea" w:hAnsi="Arial"/>
              <w:b/>
              <w:bCs/>
              <w:color w:val="000000"/>
              <w:kern w:val="24"/>
              <w:sz w:val="28"/>
              <w:szCs w:val="28"/>
              <w:lang w:eastAsia="en-GB"/>
            </w:rPr>
            <w:t xml:space="preserve"> </w:t>
          </w:r>
          <w:r w:rsidR="00A90C84" w:rsidRPr="007B5A1E">
            <w:rPr>
              <w:rFonts w:ascii="Arial" w:eastAsia="+mj-ea" w:hAnsi="Arial"/>
              <w:b/>
              <w:bCs/>
              <w:color w:val="000000"/>
              <w:kern w:val="24"/>
              <w:sz w:val="28"/>
              <w:szCs w:val="28"/>
              <w:lang w:eastAsia="en-GB"/>
            </w:rPr>
            <w:t>–</w:t>
          </w:r>
          <w:r w:rsidR="00426CA3" w:rsidRPr="007B5A1E">
            <w:rPr>
              <w:rFonts w:ascii="Arial" w:eastAsia="+mj-ea" w:hAnsi="Arial"/>
              <w:b/>
              <w:bCs/>
              <w:color w:val="000000"/>
              <w:kern w:val="24"/>
              <w:sz w:val="28"/>
              <w:szCs w:val="28"/>
              <w:lang w:eastAsia="en-GB"/>
            </w:rPr>
            <w:t xml:space="preserve"> 20</w:t>
          </w:r>
          <w:r w:rsidR="00A90C84" w:rsidRPr="007B5A1E">
            <w:rPr>
              <w:rFonts w:ascii="Arial" w:eastAsia="+mj-ea" w:hAnsi="Arial"/>
              <w:b/>
              <w:bCs/>
              <w:color w:val="000000"/>
              <w:kern w:val="24"/>
              <w:sz w:val="28"/>
              <w:szCs w:val="28"/>
              <w:lang w:eastAsia="en-GB"/>
            </w:rPr>
            <w:t>17/18</w:t>
          </w:r>
        </w:p>
        <w:p w:rsidR="00575943" w:rsidRPr="007B5A1E" w:rsidRDefault="00575943">
          <w:pPr>
            <w:spacing w:after="0" w:line="240" w:lineRule="auto"/>
          </w:pPr>
        </w:p>
        <w:p w:rsidR="00575943" w:rsidRPr="007B5A1E" w:rsidRDefault="00575943">
          <w:pPr>
            <w:spacing w:after="0" w:line="240" w:lineRule="auto"/>
          </w:pPr>
        </w:p>
        <w:p w:rsidR="00575943" w:rsidRPr="007B5A1E" w:rsidRDefault="000516A5">
          <w:pPr>
            <w:spacing w:after="0" w:line="240" w:lineRule="auto"/>
          </w:pPr>
          <w:r w:rsidRPr="000516A5">
            <w:rPr>
              <w:rFonts w:ascii="Arial" w:eastAsia="+mj-ea" w:hAnsi="Arial"/>
              <w:b/>
              <w:bCs/>
              <w:color w:val="000000"/>
              <w:kern w:val="24"/>
              <w:sz w:val="28"/>
              <w:szCs w:val="28"/>
              <w:lang w:eastAsia="en-GB"/>
            </w:rPr>
            <w:t>Final Report 21 May 2018</w:t>
          </w:r>
          <w:r>
            <w:t xml:space="preserve"> </w:t>
          </w: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bookmarkStart w:id="0" w:name="_GoBack"/>
          <w:bookmarkEnd w:id="0"/>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r w:rsidRPr="007B5A1E">
            <w:tab/>
          </w:r>
          <w:r w:rsidRPr="007B5A1E">
            <w:tab/>
          </w:r>
        </w:p>
        <w:p w:rsidR="00575943" w:rsidRPr="007B5A1E" w:rsidRDefault="00575943" w:rsidP="00575943">
          <w:pPr>
            <w:spacing w:after="0" w:line="240" w:lineRule="auto"/>
            <w:ind w:left="5760" w:firstLine="720"/>
          </w:pPr>
          <w:r w:rsidRPr="007B5A1E">
            <w:rPr>
              <w:noProof/>
              <w:lang w:eastAsia="en-GB"/>
            </w:rPr>
            <w:drawing>
              <wp:inline distT="0" distB="0" distL="0" distR="0">
                <wp:extent cx="2407556" cy="542099"/>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8" cstate="print"/>
                        <a:stretch>
                          <a:fillRect/>
                        </a:stretch>
                      </pic:blipFill>
                      <pic:spPr>
                        <a:xfrm>
                          <a:off x="0" y="0"/>
                          <a:ext cx="2407556" cy="542099"/>
                        </a:xfrm>
                        <a:prstGeom prst="rect">
                          <a:avLst/>
                        </a:prstGeom>
                      </pic:spPr>
                    </pic:pic>
                  </a:graphicData>
                </a:graphic>
              </wp:inline>
            </w:drawing>
          </w:r>
        </w:p>
        <w:p w:rsidR="00575943" w:rsidRPr="007B5A1E" w:rsidRDefault="00575943">
          <w:pPr>
            <w:spacing w:after="0" w:line="240" w:lineRule="auto"/>
          </w:pPr>
        </w:p>
        <w:p w:rsidR="00575943" w:rsidRPr="007B5A1E" w:rsidRDefault="00575943">
          <w:pPr>
            <w:spacing w:after="0" w:line="240" w:lineRule="auto"/>
            <w:rPr>
              <w:rFonts w:asciiTheme="majorHAnsi" w:hAnsiTheme="majorHAnsi" w:cstheme="majorHAnsi"/>
              <w:color w:val="4F2D7F" w:themeColor="accent1"/>
              <w:sz w:val="48"/>
              <w:szCs w:val="48"/>
            </w:rPr>
          </w:pPr>
          <w:r w:rsidRPr="007B5A1E">
            <w:rPr>
              <w:rFonts w:asciiTheme="majorHAnsi" w:hAnsiTheme="majorHAnsi" w:cstheme="majorHAnsi"/>
              <w:color w:val="4F2D7F" w:themeColor="accent1"/>
              <w:sz w:val="48"/>
              <w:szCs w:val="48"/>
            </w:rPr>
            <w:t>Contents</w:t>
          </w:r>
        </w:p>
        <w:p w:rsidR="00575943" w:rsidRPr="007B5A1E" w:rsidRDefault="00575943">
          <w:pPr>
            <w:spacing w:after="0" w:line="240" w:lineRule="auto"/>
          </w:pPr>
        </w:p>
        <w:p w:rsidR="00575943" w:rsidRPr="007B5A1E" w:rsidRDefault="00575943">
          <w:pPr>
            <w:spacing w:after="0" w:line="240" w:lineRule="auto"/>
          </w:pPr>
        </w:p>
        <w:p w:rsidR="00575943" w:rsidRPr="007B5A1E" w:rsidRDefault="00575943">
          <w:pPr>
            <w:spacing w:after="0" w:line="240" w:lineRule="auto"/>
          </w:pPr>
        </w:p>
        <w:p w:rsidR="00E61D8B" w:rsidRPr="007B5A1E" w:rsidRDefault="00E61D8B">
          <w:pPr>
            <w:spacing w:after="0" w:line="240" w:lineRule="auto"/>
          </w:pPr>
        </w:p>
        <w:p w:rsidR="00AE2A3C" w:rsidRPr="007B5A1E" w:rsidRDefault="00AE2A3C">
          <w:pPr>
            <w:spacing w:after="0" w:line="240" w:lineRule="auto"/>
          </w:pPr>
        </w:p>
        <w:p w:rsidR="00AE2A3C" w:rsidRPr="007B5A1E" w:rsidRDefault="00AE2A3C">
          <w:pPr>
            <w:spacing w:after="0" w:line="240" w:lineRule="auto"/>
          </w:pPr>
        </w:p>
        <w:p w:rsidR="00E61D8B" w:rsidRPr="007B5A1E" w:rsidRDefault="00E61D8B">
          <w:pPr>
            <w:spacing w:after="0" w:line="240" w:lineRule="auto"/>
          </w:pPr>
        </w:p>
        <w:p w:rsidR="00575943" w:rsidRPr="007B5A1E" w:rsidRDefault="00575943">
          <w:pPr>
            <w:spacing w:after="0" w:line="240" w:lineRule="auto"/>
          </w:pPr>
        </w:p>
        <w:p w:rsidR="00575943" w:rsidRPr="007B5A1E" w:rsidRDefault="00026CEF" w:rsidP="00575943">
          <w:pPr>
            <w:spacing w:after="0" w:line="240" w:lineRule="auto"/>
          </w:pPr>
        </w:p>
      </w:sdtContent>
    </w:sdt>
    <w:sdt>
      <w:sdtPr>
        <w:id w:val="738900848"/>
        <w:docPartObj>
          <w:docPartGallery w:val="Table of Contents"/>
          <w:docPartUnique/>
        </w:docPartObj>
      </w:sdtPr>
      <w:sdtEndPr>
        <w:rPr>
          <w:b/>
          <w:bCs/>
          <w:noProof/>
          <w:szCs w:val="18"/>
          <w:highlight w:val="yellow"/>
        </w:rPr>
      </w:sdtEndPr>
      <w:sdtContent>
        <w:p w:rsidR="00CF181C" w:rsidRPr="007B5A1E" w:rsidRDefault="00575943" w:rsidP="00575943">
          <w:pPr>
            <w:spacing w:after="0" w:line="240" w:lineRule="auto"/>
            <w:rPr>
              <w:sz w:val="24"/>
              <w:szCs w:val="24"/>
            </w:rPr>
          </w:pPr>
          <w:r w:rsidRPr="007B5A1E">
            <w:rPr>
              <w:b/>
              <w:color w:val="4F2D7F" w:themeColor="accent1"/>
              <w:sz w:val="24"/>
              <w:szCs w:val="24"/>
            </w:rPr>
            <w:t>Section</w:t>
          </w:r>
          <w:r w:rsidRPr="007B5A1E">
            <w:rPr>
              <w:sz w:val="24"/>
              <w:szCs w:val="24"/>
            </w:rPr>
            <w:tab/>
          </w:r>
          <w:r w:rsidRPr="007B5A1E">
            <w:rPr>
              <w:sz w:val="24"/>
              <w:szCs w:val="24"/>
            </w:rPr>
            <w:tab/>
          </w:r>
          <w:r w:rsidRPr="007B5A1E">
            <w:rPr>
              <w:sz w:val="24"/>
              <w:szCs w:val="24"/>
            </w:rPr>
            <w:tab/>
          </w:r>
          <w:r w:rsidRPr="007B5A1E">
            <w:rPr>
              <w:sz w:val="24"/>
              <w:szCs w:val="24"/>
            </w:rPr>
            <w:tab/>
          </w:r>
          <w:r w:rsidRPr="007B5A1E">
            <w:rPr>
              <w:sz w:val="24"/>
              <w:szCs w:val="24"/>
            </w:rPr>
            <w:tab/>
          </w:r>
          <w:r w:rsidRPr="007B5A1E">
            <w:rPr>
              <w:sz w:val="24"/>
              <w:szCs w:val="24"/>
            </w:rPr>
            <w:tab/>
          </w:r>
          <w:r w:rsidRPr="007B5A1E">
            <w:rPr>
              <w:sz w:val="24"/>
              <w:szCs w:val="24"/>
            </w:rPr>
            <w:tab/>
            <w:t xml:space="preserve"> </w:t>
          </w:r>
          <w:r w:rsidR="0080491F" w:rsidRPr="007B5A1E">
            <w:rPr>
              <w:sz w:val="24"/>
              <w:szCs w:val="24"/>
            </w:rPr>
            <w:tab/>
          </w:r>
          <w:r w:rsidR="0080491F" w:rsidRPr="007B5A1E">
            <w:rPr>
              <w:sz w:val="24"/>
              <w:szCs w:val="24"/>
            </w:rPr>
            <w:tab/>
          </w:r>
          <w:r w:rsidR="0080491F" w:rsidRPr="007B5A1E">
            <w:rPr>
              <w:sz w:val="24"/>
              <w:szCs w:val="24"/>
            </w:rPr>
            <w:tab/>
          </w:r>
          <w:r w:rsidRPr="007B5A1E">
            <w:rPr>
              <w:b/>
              <w:color w:val="4F2D7F" w:themeColor="accent1"/>
              <w:sz w:val="24"/>
              <w:szCs w:val="24"/>
            </w:rPr>
            <w:t>Page</w:t>
          </w:r>
        </w:p>
        <w:p w:rsidR="0008511A" w:rsidRPr="00D53756" w:rsidRDefault="00026CEF">
          <w:pPr>
            <w:pStyle w:val="TOC1"/>
            <w:rPr>
              <w:rStyle w:val="Hyperlink"/>
              <w:noProof/>
              <w:szCs w:val="18"/>
            </w:rPr>
          </w:pPr>
          <w:r w:rsidRPr="00026CEF">
            <w:rPr>
              <w:szCs w:val="18"/>
              <w:highlight w:val="yellow"/>
            </w:rPr>
            <w:fldChar w:fldCharType="begin"/>
          </w:r>
          <w:r w:rsidR="00CF181C" w:rsidRPr="00D53756">
            <w:rPr>
              <w:szCs w:val="18"/>
              <w:highlight w:val="yellow"/>
            </w:rPr>
            <w:instrText xml:space="preserve"> TOC \o "1-3" \h \z \u </w:instrText>
          </w:r>
          <w:r w:rsidRPr="00026CEF">
            <w:rPr>
              <w:szCs w:val="18"/>
              <w:highlight w:val="yellow"/>
            </w:rPr>
            <w:fldChar w:fldCharType="separate"/>
          </w:r>
          <w:hyperlink w:anchor="_Toc514414957" w:history="1">
            <w:r w:rsidR="0008511A" w:rsidRPr="00D53756">
              <w:rPr>
                <w:rStyle w:val="Hyperlink"/>
                <w:noProof/>
                <w:szCs w:val="18"/>
              </w:rPr>
              <w:t>Introduction</w:t>
            </w:r>
            <w:r w:rsidR="0008511A" w:rsidRPr="00D53756">
              <w:rPr>
                <w:noProof/>
                <w:webHidden/>
                <w:szCs w:val="18"/>
              </w:rPr>
              <w:tab/>
            </w:r>
            <w:r w:rsidRPr="00D53756">
              <w:rPr>
                <w:noProof/>
                <w:webHidden/>
                <w:szCs w:val="18"/>
              </w:rPr>
              <w:fldChar w:fldCharType="begin"/>
            </w:r>
            <w:r w:rsidR="0008511A" w:rsidRPr="00D53756">
              <w:rPr>
                <w:noProof/>
                <w:webHidden/>
                <w:szCs w:val="18"/>
              </w:rPr>
              <w:instrText xml:space="preserve"> PAGEREF _Toc514414957 \h </w:instrText>
            </w:r>
            <w:r w:rsidRPr="00D53756">
              <w:rPr>
                <w:noProof/>
                <w:webHidden/>
                <w:szCs w:val="18"/>
              </w:rPr>
            </w:r>
            <w:r w:rsidRPr="00D53756">
              <w:rPr>
                <w:noProof/>
                <w:webHidden/>
                <w:szCs w:val="18"/>
              </w:rPr>
              <w:fldChar w:fldCharType="separate"/>
            </w:r>
            <w:r w:rsidR="0008511A" w:rsidRPr="00D53756">
              <w:rPr>
                <w:noProof/>
                <w:webHidden/>
                <w:szCs w:val="18"/>
              </w:rPr>
              <w:t>3</w:t>
            </w:r>
            <w:r w:rsidRPr="00D53756">
              <w:rPr>
                <w:noProof/>
                <w:webHidden/>
                <w:szCs w:val="18"/>
              </w:rPr>
              <w:fldChar w:fldCharType="end"/>
            </w:r>
          </w:hyperlink>
        </w:p>
        <w:p w:rsidR="0008511A" w:rsidRPr="00D53756" w:rsidRDefault="0008511A" w:rsidP="0008511A">
          <w:pPr>
            <w:rPr>
              <w:rFonts w:eastAsiaTheme="minorEastAsia"/>
              <w:szCs w:val="18"/>
            </w:rPr>
          </w:pPr>
          <w:r w:rsidRPr="00D53756">
            <w:rPr>
              <w:rFonts w:eastAsiaTheme="minorEastAsia"/>
              <w:szCs w:val="18"/>
            </w:rPr>
            <w:t>Overall commentary</w:t>
          </w:r>
          <w:r w:rsidRPr="00D53756">
            <w:rPr>
              <w:rFonts w:eastAsiaTheme="minorEastAsia"/>
              <w:szCs w:val="18"/>
            </w:rPr>
            <w:tab/>
          </w:r>
          <w:r w:rsidRPr="00D53756">
            <w:rPr>
              <w:rFonts w:eastAsiaTheme="minorEastAsia"/>
              <w:szCs w:val="18"/>
            </w:rPr>
            <w:tab/>
          </w:r>
          <w:r w:rsidRPr="00D53756">
            <w:rPr>
              <w:rFonts w:eastAsiaTheme="minorEastAsia"/>
              <w:szCs w:val="18"/>
            </w:rPr>
            <w:tab/>
          </w:r>
          <w:r w:rsidRPr="00D53756">
            <w:rPr>
              <w:rFonts w:eastAsiaTheme="minorEastAsia"/>
              <w:szCs w:val="18"/>
            </w:rPr>
            <w:tab/>
          </w:r>
          <w:r w:rsidRPr="00D53756">
            <w:rPr>
              <w:rFonts w:eastAsiaTheme="minorEastAsia"/>
              <w:szCs w:val="18"/>
            </w:rPr>
            <w:tab/>
          </w:r>
          <w:r w:rsidRPr="00D53756">
            <w:rPr>
              <w:rFonts w:eastAsiaTheme="minorEastAsia"/>
              <w:szCs w:val="18"/>
            </w:rPr>
            <w:tab/>
          </w:r>
          <w:r w:rsidRPr="00D53756">
            <w:rPr>
              <w:rFonts w:eastAsiaTheme="minorEastAsia"/>
              <w:szCs w:val="18"/>
            </w:rPr>
            <w:tab/>
          </w:r>
          <w:r w:rsidRPr="00D53756">
            <w:rPr>
              <w:rFonts w:eastAsiaTheme="minorEastAsia"/>
              <w:szCs w:val="18"/>
            </w:rPr>
            <w:tab/>
          </w:r>
          <w:r w:rsidRPr="00D53756">
            <w:rPr>
              <w:rFonts w:eastAsiaTheme="minorEastAsia"/>
              <w:szCs w:val="18"/>
            </w:rPr>
            <w:tab/>
            <w:t xml:space="preserve">          5</w:t>
          </w:r>
        </w:p>
        <w:p w:rsidR="0008511A" w:rsidRPr="00D53756" w:rsidRDefault="0008511A" w:rsidP="0008511A">
          <w:pPr>
            <w:rPr>
              <w:rFonts w:eastAsiaTheme="minorEastAsia"/>
              <w:szCs w:val="18"/>
            </w:rPr>
          </w:pPr>
          <w:r w:rsidRPr="00D53756">
            <w:rPr>
              <w:rFonts w:eastAsiaTheme="minorEastAsia"/>
              <w:szCs w:val="18"/>
            </w:rPr>
            <w:t>Use of endowment money to achieve the 2013/14 break-even financial position of NHS Tayside</w:t>
          </w:r>
          <w:r w:rsidRPr="00D53756">
            <w:rPr>
              <w:rFonts w:eastAsiaTheme="minorEastAsia"/>
              <w:szCs w:val="18"/>
            </w:rPr>
            <w:tab/>
            <w:t xml:space="preserve">          7</w:t>
          </w:r>
        </w:p>
        <w:p w:rsidR="0008511A" w:rsidRPr="00D53756" w:rsidRDefault="0008511A" w:rsidP="0008511A">
          <w:pPr>
            <w:rPr>
              <w:rFonts w:eastAsiaTheme="minorEastAsia"/>
              <w:szCs w:val="18"/>
            </w:rPr>
          </w:pPr>
          <w:r w:rsidRPr="00D53756">
            <w:rPr>
              <w:rFonts w:eastAsiaTheme="minorEastAsia"/>
              <w:szCs w:val="18"/>
            </w:rPr>
            <w:t>NHS Tayside's financial reporting and governance arrangements</w:t>
          </w:r>
          <w:r w:rsidRPr="00D53756">
            <w:rPr>
              <w:rFonts w:eastAsiaTheme="minorEastAsia"/>
              <w:szCs w:val="18"/>
            </w:rPr>
            <w:tab/>
          </w:r>
          <w:r w:rsidRPr="00D53756">
            <w:rPr>
              <w:rFonts w:eastAsiaTheme="minorEastAsia"/>
              <w:szCs w:val="18"/>
            </w:rPr>
            <w:tab/>
          </w:r>
          <w:r w:rsidRPr="00D53756">
            <w:rPr>
              <w:rFonts w:eastAsiaTheme="minorEastAsia"/>
              <w:szCs w:val="18"/>
            </w:rPr>
            <w:tab/>
          </w:r>
          <w:r w:rsidRPr="00D53756">
            <w:rPr>
              <w:rFonts w:eastAsiaTheme="minorEastAsia"/>
              <w:szCs w:val="18"/>
            </w:rPr>
            <w:tab/>
            <w:t xml:space="preserve">         20</w:t>
          </w:r>
        </w:p>
        <w:p w:rsidR="0008511A" w:rsidRPr="00D53756" w:rsidRDefault="0008511A" w:rsidP="0008511A">
          <w:pPr>
            <w:rPr>
              <w:rFonts w:eastAsiaTheme="minorEastAsia"/>
              <w:szCs w:val="18"/>
            </w:rPr>
          </w:pPr>
          <w:r w:rsidRPr="00D53756">
            <w:rPr>
              <w:rFonts w:eastAsiaTheme="minorEastAsia"/>
              <w:szCs w:val="18"/>
            </w:rPr>
            <w:t>Appendix 1: Scope of the Review</w:t>
          </w:r>
          <w:r w:rsidRPr="00D53756">
            <w:rPr>
              <w:rFonts w:eastAsiaTheme="minorEastAsia"/>
              <w:szCs w:val="18"/>
            </w:rPr>
            <w:tab/>
          </w:r>
          <w:r w:rsidRPr="00D53756">
            <w:rPr>
              <w:rFonts w:eastAsiaTheme="minorEastAsia"/>
              <w:szCs w:val="18"/>
            </w:rPr>
            <w:tab/>
          </w:r>
          <w:r w:rsidRPr="00D53756">
            <w:rPr>
              <w:rFonts w:eastAsiaTheme="minorEastAsia"/>
              <w:szCs w:val="18"/>
            </w:rPr>
            <w:tab/>
          </w:r>
          <w:r w:rsidRPr="00D53756">
            <w:rPr>
              <w:rFonts w:eastAsiaTheme="minorEastAsia"/>
              <w:szCs w:val="18"/>
            </w:rPr>
            <w:tab/>
          </w:r>
          <w:r w:rsidRPr="00D53756">
            <w:rPr>
              <w:rFonts w:eastAsiaTheme="minorEastAsia"/>
              <w:szCs w:val="18"/>
            </w:rPr>
            <w:tab/>
          </w:r>
          <w:r w:rsidRPr="00D53756">
            <w:rPr>
              <w:rFonts w:eastAsiaTheme="minorEastAsia"/>
              <w:szCs w:val="18"/>
            </w:rPr>
            <w:tab/>
          </w:r>
          <w:r w:rsidRPr="00D53756">
            <w:rPr>
              <w:rFonts w:eastAsiaTheme="minorEastAsia"/>
              <w:szCs w:val="18"/>
            </w:rPr>
            <w:tab/>
          </w:r>
          <w:r w:rsidRPr="00D53756">
            <w:rPr>
              <w:rFonts w:eastAsiaTheme="minorEastAsia"/>
              <w:szCs w:val="18"/>
            </w:rPr>
            <w:tab/>
            <w:t xml:space="preserve">         29</w:t>
          </w:r>
        </w:p>
        <w:p w:rsidR="0008511A" w:rsidRPr="00D53756" w:rsidRDefault="0008511A" w:rsidP="0008511A">
          <w:pPr>
            <w:rPr>
              <w:rFonts w:eastAsiaTheme="minorEastAsia"/>
              <w:szCs w:val="18"/>
            </w:rPr>
          </w:pPr>
          <w:r w:rsidRPr="00D53756">
            <w:rPr>
              <w:rFonts w:eastAsiaTheme="minorEastAsia"/>
              <w:szCs w:val="18"/>
            </w:rPr>
            <w:t>Appendix 2: Public sector principles and codes of conduct                                                                           30</w:t>
          </w:r>
        </w:p>
        <w:p w:rsidR="0008511A" w:rsidRPr="00D53756" w:rsidRDefault="0008511A" w:rsidP="0008511A">
          <w:pPr>
            <w:rPr>
              <w:rFonts w:eastAsiaTheme="minorEastAsia"/>
              <w:szCs w:val="18"/>
            </w:rPr>
          </w:pPr>
          <w:r w:rsidRPr="00D53756">
            <w:rPr>
              <w:rFonts w:eastAsiaTheme="minorEastAsia"/>
              <w:szCs w:val="18"/>
            </w:rPr>
            <w:t>Appendix 3: Approved minute of the Endowment Board of Trustees 24 January 2014 (for information)      33</w:t>
          </w:r>
        </w:p>
        <w:p w:rsidR="00CF181C" w:rsidRPr="00D53756" w:rsidRDefault="0008511A" w:rsidP="0008511A">
          <w:pPr>
            <w:rPr>
              <w:rFonts w:eastAsiaTheme="minorEastAsia"/>
              <w:szCs w:val="18"/>
            </w:rPr>
          </w:pPr>
          <w:r w:rsidRPr="00D53756">
            <w:rPr>
              <w:rFonts w:eastAsiaTheme="minorEastAsia"/>
              <w:szCs w:val="18"/>
            </w:rPr>
            <w:t xml:space="preserve">Appendix 4:  Roles and responsibilities   </w:t>
          </w:r>
          <w:r w:rsidRPr="00D53756">
            <w:rPr>
              <w:rFonts w:eastAsiaTheme="minorEastAsia"/>
              <w:szCs w:val="18"/>
            </w:rPr>
            <w:tab/>
          </w:r>
          <w:r w:rsidRPr="00D53756">
            <w:rPr>
              <w:rFonts w:eastAsiaTheme="minorEastAsia"/>
              <w:szCs w:val="18"/>
            </w:rPr>
            <w:tab/>
          </w:r>
          <w:r w:rsidRPr="00D53756">
            <w:rPr>
              <w:rFonts w:eastAsiaTheme="minorEastAsia"/>
              <w:szCs w:val="18"/>
            </w:rPr>
            <w:tab/>
          </w:r>
          <w:r w:rsidRPr="00D53756">
            <w:rPr>
              <w:rFonts w:eastAsiaTheme="minorEastAsia"/>
              <w:szCs w:val="18"/>
            </w:rPr>
            <w:tab/>
          </w:r>
          <w:r w:rsidRPr="00D53756">
            <w:rPr>
              <w:rFonts w:eastAsiaTheme="minorEastAsia"/>
              <w:szCs w:val="18"/>
            </w:rPr>
            <w:tab/>
          </w:r>
          <w:r w:rsidRPr="00D53756">
            <w:rPr>
              <w:rFonts w:eastAsiaTheme="minorEastAsia"/>
              <w:szCs w:val="18"/>
            </w:rPr>
            <w:tab/>
          </w:r>
          <w:r w:rsidRPr="00D53756">
            <w:rPr>
              <w:rFonts w:eastAsiaTheme="minorEastAsia"/>
              <w:szCs w:val="18"/>
            </w:rPr>
            <w:tab/>
            <w:t xml:space="preserve">         35 </w:t>
          </w:r>
          <w:r w:rsidR="00026CEF" w:rsidRPr="00D53756">
            <w:rPr>
              <w:bCs/>
              <w:noProof/>
              <w:szCs w:val="18"/>
              <w:highlight w:val="yellow"/>
            </w:rPr>
            <w:fldChar w:fldCharType="end"/>
          </w:r>
        </w:p>
      </w:sdtContent>
    </w:sdt>
    <w:p w:rsidR="00CF181C" w:rsidRPr="006C6D88" w:rsidRDefault="00CF181C" w:rsidP="00AC5C31">
      <w:pPr>
        <w:pStyle w:val="Heading1"/>
        <w:jc w:val="both"/>
        <w:rPr>
          <w:highlight w:val="yellow"/>
        </w:rPr>
      </w:pPr>
    </w:p>
    <w:p w:rsidR="00AC5C31" w:rsidRPr="00426CA3" w:rsidRDefault="00CF181C" w:rsidP="0080491F">
      <w:pPr>
        <w:pStyle w:val="Heading1"/>
        <w:rPr>
          <w:sz w:val="18"/>
          <w:szCs w:val="20"/>
        </w:rPr>
      </w:pPr>
      <w:r w:rsidRPr="006C6D88">
        <w:rPr>
          <w:highlight w:val="yellow"/>
        </w:rPr>
        <w:br w:type="page"/>
      </w:r>
      <w:bookmarkStart w:id="1" w:name="_Toc514414957"/>
      <w:r w:rsidR="00AC5C31" w:rsidRPr="00426CA3">
        <w:rPr>
          <w:b/>
          <w:sz w:val="44"/>
          <w:szCs w:val="44"/>
        </w:rPr>
        <w:lastRenderedPageBreak/>
        <w:t>Introduction</w:t>
      </w:r>
      <w:bookmarkEnd w:id="1"/>
    </w:p>
    <w:p w:rsidR="00E61D8B" w:rsidRPr="00426CA3" w:rsidRDefault="00E61D8B" w:rsidP="00AC5C31">
      <w:pPr>
        <w:pStyle w:val="BodyText"/>
        <w:jc w:val="both"/>
        <w:rPr>
          <w:b/>
          <w:bCs/>
          <w:sz w:val="24"/>
          <w:szCs w:val="24"/>
        </w:rPr>
      </w:pPr>
    </w:p>
    <w:p w:rsidR="00AC5C31" w:rsidRPr="00426CA3" w:rsidRDefault="00AC5C31" w:rsidP="00AE2A3C">
      <w:pPr>
        <w:pStyle w:val="BodyText"/>
        <w:ind w:left="284"/>
        <w:rPr>
          <w:color w:val="4F2D7F" w:themeColor="accent1"/>
          <w:sz w:val="24"/>
          <w:szCs w:val="24"/>
        </w:rPr>
      </w:pPr>
      <w:r w:rsidRPr="00426CA3">
        <w:rPr>
          <w:b/>
          <w:bCs/>
          <w:color w:val="4F2D7F" w:themeColor="accent1"/>
          <w:sz w:val="24"/>
          <w:szCs w:val="24"/>
        </w:rPr>
        <w:t>Introduction</w:t>
      </w:r>
    </w:p>
    <w:p w:rsidR="00FF4CD0" w:rsidRDefault="00426CA3" w:rsidP="00426CA3">
      <w:pPr>
        <w:pStyle w:val="BodyText"/>
        <w:ind w:left="284"/>
        <w:rPr>
          <w:sz w:val="24"/>
          <w:szCs w:val="24"/>
        </w:rPr>
      </w:pPr>
      <w:r w:rsidRPr="00426CA3">
        <w:rPr>
          <w:sz w:val="24"/>
          <w:szCs w:val="24"/>
        </w:rPr>
        <w:t>Following on from the</w:t>
      </w:r>
      <w:r w:rsidR="004B234B">
        <w:rPr>
          <w:sz w:val="24"/>
          <w:szCs w:val="24"/>
        </w:rPr>
        <w:t xml:space="preserve"> two</w:t>
      </w:r>
      <w:r w:rsidRPr="00426CA3">
        <w:rPr>
          <w:sz w:val="24"/>
          <w:szCs w:val="24"/>
        </w:rPr>
        <w:t xml:space="preserve"> </w:t>
      </w:r>
      <w:r w:rsidR="00FF4CD0">
        <w:rPr>
          <w:sz w:val="24"/>
          <w:szCs w:val="24"/>
        </w:rPr>
        <w:t>reviews</w:t>
      </w:r>
      <w:r w:rsidR="004B234B">
        <w:rPr>
          <w:sz w:val="24"/>
          <w:szCs w:val="24"/>
        </w:rPr>
        <w:t xml:space="preserve"> undertaken in March 2018</w:t>
      </w:r>
      <w:r w:rsidR="00FF4CD0">
        <w:rPr>
          <w:sz w:val="24"/>
          <w:szCs w:val="24"/>
        </w:rPr>
        <w:t>:</w:t>
      </w:r>
    </w:p>
    <w:p w:rsidR="00FF4CD0" w:rsidRDefault="00FF4CD0" w:rsidP="00DC4251">
      <w:pPr>
        <w:pStyle w:val="BodyText"/>
        <w:numPr>
          <w:ilvl w:val="0"/>
          <w:numId w:val="21"/>
        </w:numPr>
        <w:rPr>
          <w:sz w:val="24"/>
          <w:szCs w:val="24"/>
        </w:rPr>
      </w:pPr>
      <w:r w:rsidRPr="00426CA3">
        <w:rPr>
          <w:sz w:val="24"/>
          <w:szCs w:val="24"/>
        </w:rPr>
        <w:t>T</w:t>
      </w:r>
      <w:r w:rsidR="00426CA3" w:rsidRPr="00426CA3">
        <w:rPr>
          <w:sz w:val="24"/>
          <w:szCs w:val="24"/>
        </w:rPr>
        <w:t>he</w:t>
      </w:r>
      <w:r>
        <w:rPr>
          <w:sz w:val="24"/>
          <w:szCs w:val="24"/>
        </w:rPr>
        <w:t xml:space="preserve"> Grant Thornton UK LLP</w:t>
      </w:r>
      <w:r w:rsidR="00426CA3" w:rsidRPr="00426CA3">
        <w:rPr>
          <w:sz w:val="24"/>
          <w:szCs w:val="24"/>
        </w:rPr>
        <w:t xml:space="preserve"> independent review of the allocation of Scottish Government</w:t>
      </w:r>
      <w:r>
        <w:rPr>
          <w:sz w:val="24"/>
          <w:szCs w:val="24"/>
        </w:rPr>
        <w:t xml:space="preserve"> e-Health monies to NHS Tayside; </w:t>
      </w:r>
      <w:r w:rsidR="00426CA3" w:rsidRPr="00426CA3">
        <w:rPr>
          <w:sz w:val="24"/>
          <w:szCs w:val="24"/>
        </w:rPr>
        <w:t>and</w:t>
      </w:r>
    </w:p>
    <w:p w:rsidR="00FF4CD0" w:rsidRDefault="00426CA3" w:rsidP="00DC4251">
      <w:pPr>
        <w:pStyle w:val="BodyText"/>
        <w:numPr>
          <w:ilvl w:val="0"/>
          <w:numId w:val="21"/>
        </w:numPr>
        <w:rPr>
          <w:sz w:val="24"/>
          <w:szCs w:val="24"/>
        </w:rPr>
      </w:pPr>
      <w:r w:rsidRPr="00426CA3">
        <w:rPr>
          <w:sz w:val="24"/>
          <w:szCs w:val="24"/>
        </w:rPr>
        <w:t>the NHS Tayside</w:t>
      </w:r>
      <w:r w:rsidR="007D533A">
        <w:rPr>
          <w:sz w:val="24"/>
          <w:szCs w:val="24"/>
        </w:rPr>
        <w:t>’s management</w:t>
      </w:r>
      <w:r w:rsidRPr="00426CA3">
        <w:rPr>
          <w:sz w:val="24"/>
          <w:szCs w:val="24"/>
        </w:rPr>
        <w:t xml:space="preserve"> review of e-Health fundi</w:t>
      </w:r>
      <w:r w:rsidR="00FF4CD0">
        <w:rPr>
          <w:sz w:val="24"/>
          <w:szCs w:val="24"/>
        </w:rPr>
        <w:t>ng transferred to NHS Tayside</w:t>
      </w:r>
    </w:p>
    <w:p w:rsidR="00426CA3" w:rsidRPr="00FF4CD0" w:rsidRDefault="00FF4CD0" w:rsidP="00FF4CD0">
      <w:pPr>
        <w:pStyle w:val="BodyText"/>
        <w:ind w:left="284"/>
        <w:rPr>
          <w:sz w:val="24"/>
          <w:szCs w:val="24"/>
        </w:rPr>
      </w:pPr>
      <w:r>
        <w:rPr>
          <w:sz w:val="24"/>
          <w:szCs w:val="24"/>
        </w:rPr>
        <w:t>T</w:t>
      </w:r>
      <w:r w:rsidR="00426CA3" w:rsidRPr="00FF4CD0">
        <w:rPr>
          <w:sz w:val="24"/>
          <w:szCs w:val="24"/>
        </w:rPr>
        <w:t>he Scottish Government Health and Social Care Directorate</w:t>
      </w:r>
      <w:r w:rsidR="00A90C84" w:rsidRPr="00FF4CD0">
        <w:rPr>
          <w:sz w:val="24"/>
          <w:szCs w:val="24"/>
        </w:rPr>
        <w:t xml:space="preserve"> (“SGHSCD”)</w:t>
      </w:r>
      <w:r w:rsidR="00426CA3" w:rsidRPr="00FF4CD0">
        <w:rPr>
          <w:sz w:val="24"/>
          <w:szCs w:val="24"/>
        </w:rPr>
        <w:t xml:space="preserve"> asked Grant Thornton UK LLP to undertake a</w:t>
      </w:r>
      <w:r w:rsidR="00A90C84" w:rsidRPr="00FF4CD0">
        <w:rPr>
          <w:sz w:val="24"/>
          <w:szCs w:val="24"/>
        </w:rPr>
        <w:t xml:space="preserve"> follow up</w:t>
      </w:r>
      <w:r w:rsidR="00426CA3" w:rsidRPr="00FF4CD0">
        <w:rPr>
          <w:sz w:val="24"/>
          <w:szCs w:val="24"/>
        </w:rPr>
        <w:t xml:space="preserve"> review of certain NHS Tayside arrangements</w:t>
      </w:r>
      <w:r>
        <w:rPr>
          <w:sz w:val="24"/>
          <w:szCs w:val="24"/>
        </w:rPr>
        <w:t xml:space="preserve">, </w:t>
      </w:r>
      <w:r w:rsidR="00426CA3" w:rsidRPr="00FF4CD0">
        <w:rPr>
          <w:sz w:val="24"/>
          <w:szCs w:val="24"/>
        </w:rPr>
        <w:t>specifically</w:t>
      </w:r>
      <w:r>
        <w:rPr>
          <w:sz w:val="24"/>
          <w:szCs w:val="24"/>
        </w:rPr>
        <w:t xml:space="preserve"> as they relate</w:t>
      </w:r>
      <w:r w:rsidR="00426CA3" w:rsidRPr="00FF4CD0">
        <w:rPr>
          <w:sz w:val="24"/>
          <w:szCs w:val="24"/>
        </w:rPr>
        <w:t xml:space="preserve"> to</w:t>
      </w:r>
      <w:r>
        <w:rPr>
          <w:sz w:val="24"/>
          <w:szCs w:val="24"/>
        </w:rPr>
        <w:t>:</w:t>
      </w:r>
    </w:p>
    <w:p w:rsidR="00426CA3" w:rsidRPr="00426CA3" w:rsidRDefault="00426CA3" w:rsidP="00DC4251">
      <w:pPr>
        <w:pStyle w:val="BodyText"/>
        <w:numPr>
          <w:ilvl w:val="0"/>
          <w:numId w:val="18"/>
        </w:numPr>
        <w:rPr>
          <w:sz w:val="24"/>
          <w:szCs w:val="24"/>
        </w:rPr>
      </w:pPr>
      <w:r w:rsidRPr="00426CA3">
        <w:rPr>
          <w:sz w:val="24"/>
          <w:szCs w:val="24"/>
        </w:rPr>
        <w:t>Review</w:t>
      </w:r>
      <w:r w:rsidR="00FF4CD0">
        <w:rPr>
          <w:sz w:val="24"/>
          <w:szCs w:val="24"/>
        </w:rPr>
        <w:t xml:space="preserve"> of</w:t>
      </w:r>
      <w:r w:rsidRPr="00426CA3">
        <w:rPr>
          <w:sz w:val="24"/>
          <w:szCs w:val="24"/>
        </w:rPr>
        <w:t xml:space="preserve"> the controls that </w:t>
      </w:r>
      <w:r w:rsidR="00FF4CD0">
        <w:rPr>
          <w:sz w:val="24"/>
          <w:szCs w:val="24"/>
        </w:rPr>
        <w:t xml:space="preserve">will be implemented by NHS Tayside in response to the </w:t>
      </w:r>
      <w:r w:rsidRPr="00426CA3">
        <w:rPr>
          <w:sz w:val="24"/>
          <w:szCs w:val="24"/>
        </w:rPr>
        <w:t>review into the allocation of e-Health monies.</w:t>
      </w:r>
    </w:p>
    <w:p w:rsidR="00426CA3" w:rsidRPr="00426CA3" w:rsidRDefault="00426CA3" w:rsidP="00DC4251">
      <w:pPr>
        <w:pStyle w:val="BodyText"/>
        <w:numPr>
          <w:ilvl w:val="0"/>
          <w:numId w:val="18"/>
        </w:numPr>
        <w:rPr>
          <w:sz w:val="24"/>
          <w:szCs w:val="24"/>
        </w:rPr>
      </w:pPr>
      <w:r w:rsidRPr="00426CA3">
        <w:rPr>
          <w:sz w:val="24"/>
          <w:szCs w:val="24"/>
        </w:rPr>
        <w:t>Undertake a review of Board reserves and Deferred E</w:t>
      </w:r>
      <w:r w:rsidR="004A4CC2">
        <w:rPr>
          <w:sz w:val="24"/>
          <w:szCs w:val="24"/>
        </w:rPr>
        <w:t>xpenditure following on from NHS Tayside’s internal review of controls and reporting</w:t>
      </w:r>
    </w:p>
    <w:p w:rsidR="00426CA3" w:rsidRPr="00426CA3" w:rsidRDefault="00426CA3" w:rsidP="00DC4251">
      <w:pPr>
        <w:pStyle w:val="BodyText"/>
        <w:numPr>
          <w:ilvl w:val="0"/>
          <w:numId w:val="18"/>
        </w:numPr>
        <w:rPr>
          <w:sz w:val="24"/>
          <w:szCs w:val="24"/>
        </w:rPr>
      </w:pPr>
      <w:r w:rsidRPr="00426CA3">
        <w:rPr>
          <w:sz w:val="24"/>
          <w:szCs w:val="24"/>
        </w:rPr>
        <w:t>Form an independent view on the level of transparency and the effectiveness of financial governance at NHS Tayside</w:t>
      </w:r>
      <w:r w:rsidR="00A90C84">
        <w:rPr>
          <w:sz w:val="24"/>
          <w:szCs w:val="24"/>
        </w:rPr>
        <w:t xml:space="preserve"> between the financial years</w:t>
      </w:r>
      <w:r w:rsidRPr="00426CA3">
        <w:rPr>
          <w:sz w:val="24"/>
          <w:szCs w:val="24"/>
        </w:rPr>
        <w:t xml:space="preserve"> 2012</w:t>
      </w:r>
      <w:r w:rsidR="00A90C84">
        <w:rPr>
          <w:sz w:val="24"/>
          <w:szCs w:val="24"/>
        </w:rPr>
        <w:t>/13 and 2017/18</w:t>
      </w:r>
      <w:r w:rsidRPr="00426CA3">
        <w:rPr>
          <w:sz w:val="24"/>
          <w:szCs w:val="24"/>
        </w:rPr>
        <w:t xml:space="preserve"> with specific reference to:</w:t>
      </w:r>
    </w:p>
    <w:p w:rsidR="00426CA3" w:rsidRPr="00426CA3" w:rsidRDefault="00426CA3" w:rsidP="00DC4251">
      <w:pPr>
        <w:pStyle w:val="BodyText"/>
        <w:numPr>
          <w:ilvl w:val="0"/>
          <w:numId w:val="19"/>
        </w:numPr>
        <w:ind w:left="1560"/>
        <w:rPr>
          <w:sz w:val="24"/>
          <w:szCs w:val="24"/>
        </w:rPr>
      </w:pPr>
      <w:r w:rsidRPr="00426CA3">
        <w:rPr>
          <w:sz w:val="24"/>
          <w:szCs w:val="24"/>
        </w:rPr>
        <w:t>The scale and use of deferred expenditure by NHS Tayside</w:t>
      </w:r>
      <w:r w:rsidR="00A90C84">
        <w:rPr>
          <w:sz w:val="24"/>
          <w:szCs w:val="24"/>
        </w:rPr>
        <w:t xml:space="preserve"> between</w:t>
      </w:r>
      <w:r w:rsidRPr="00426CA3">
        <w:rPr>
          <w:sz w:val="24"/>
          <w:szCs w:val="24"/>
        </w:rPr>
        <w:t xml:space="preserve"> 2012 -2018</w:t>
      </w:r>
      <w:r w:rsidR="004A4CC2">
        <w:rPr>
          <w:sz w:val="24"/>
          <w:szCs w:val="24"/>
        </w:rPr>
        <w:t xml:space="preserve"> to manage its financial position</w:t>
      </w:r>
      <w:r w:rsidR="007D533A">
        <w:rPr>
          <w:sz w:val="24"/>
          <w:szCs w:val="24"/>
        </w:rPr>
        <w:t xml:space="preserve">; </w:t>
      </w:r>
    </w:p>
    <w:p w:rsidR="004A4CC2" w:rsidRDefault="00426CA3" w:rsidP="00DC4251">
      <w:pPr>
        <w:pStyle w:val="BodyText"/>
        <w:numPr>
          <w:ilvl w:val="0"/>
          <w:numId w:val="19"/>
        </w:numPr>
        <w:ind w:left="1560"/>
        <w:rPr>
          <w:sz w:val="24"/>
          <w:szCs w:val="24"/>
        </w:rPr>
      </w:pPr>
      <w:r w:rsidRPr="00426CA3">
        <w:rPr>
          <w:sz w:val="24"/>
          <w:szCs w:val="24"/>
        </w:rPr>
        <w:t xml:space="preserve">The extent to which the </w:t>
      </w:r>
      <w:r w:rsidR="00A90C84">
        <w:rPr>
          <w:sz w:val="24"/>
          <w:szCs w:val="24"/>
        </w:rPr>
        <w:t xml:space="preserve">NHS Tayside </w:t>
      </w:r>
      <w:r w:rsidRPr="00426CA3">
        <w:rPr>
          <w:sz w:val="24"/>
          <w:szCs w:val="24"/>
        </w:rPr>
        <w:t xml:space="preserve">Board, Finance and Resources Committee and Audit Committee were engaged in decisions regarding the </w:t>
      </w:r>
      <w:r w:rsidR="00A90C84" w:rsidRPr="00426CA3">
        <w:rPr>
          <w:sz w:val="24"/>
          <w:szCs w:val="24"/>
        </w:rPr>
        <w:t>year-end</w:t>
      </w:r>
      <w:r w:rsidRPr="00426CA3">
        <w:rPr>
          <w:sz w:val="24"/>
          <w:szCs w:val="24"/>
        </w:rPr>
        <w:t xml:space="preserve"> financial position and use of endowment fund retrospecti</w:t>
      </w:r>
      <w:r w:rsidR="00A90C84">
        <w:rPr>
          <w:sz w:val="24"/>
          <w:szCs w:val="24"/>
        </w:rPr>
        <w:t>vely</w:t>
      </w:r>
      <w:r w:rsidRPr="00426CA3">
        <w:rPr>
          <w:sz w:val="24"/>
          <w:szCs w:val="24"/>
        </w:rPr>
        <w:t xml:space="preserve"> in 2013</w:t>
      </w:r>
      <w:r w:rsidR="00A90C84">
        <w:rPr>
          <w:sz w:val="24"/>
          <w:szCs w:val="24"/>
        </w:rPr>
        <w:t>/</w:t>
      </w:r>
      <w:r w:rsidR="007D533A">
        <w:rPr>
          <w:sz w:val="24"/>
          <w:szCs w:val="24"/>
        </w:rPr>
        <w:t>14; and</w:t>
      </w:r>
      <w:r w:rsidRPr="00426CA3">
        <w:rPr>
          <w:sz w:val="24"/>
          <w:szCs w:val="24"/>
        </w:rPr>
        <w:t xml:space="preserve">  </w:t>
      </w:r>
    </w:p>
    <w:p w:rsidR="00426CA3" w:rsidRPr="00426CA3" w:rsidRDefault="00426CA3" w:rsidP="00DC4251">
      <w:pPr>
        <w:pStyle w:val="BodyText"/>
        <w:numPr>
          <w:ilvl w:val="0"/>
          <w:numId w:val="19"/>
        </w:numPr>
        <w:ind w:left="1560"/>
        <w:rPr>
          <w:sz w:val="24"/>
          <w:szCs w:val="24"/>
        </w:rPr>
      </w:pPr>
      <w:r w:rsidRPr="00426CA3">
        <w:rPr>
          <w:sz w:val="24"/>
          <w:szCs w:val="24"/>
        </w:rPr>
        <w:t>The review will also take into consideration the findings and recommendations noted in relevant internal and external audit reports</w:t>
      </w:r>
    </w:p>
    <w:p w:rsidR="00E61D8B" w:rsidRPr="006C6D88" w:rsidRDefault="004A4CC2" w:rsidP="00D0734A">
      <w:pPr>
        <w:pStyle w:val="BodyText"/>
        <w:ind w:left="284"/>
        <w:rPr>
          <w:b/>
          <w:bCs/>
          <w:sz w:val="24"/>
          <w:szCs w:val="24"/>
          <w:highlight w:val="yellow"/>
        </w:rPr>
      </w:pPr>
      <w:r>
        <w:rPr>
          <w:sz w:val="24"/>
          <w:szCs w:val="24"/>
        </w:rPr>
        <w:t>We note that the Office of the Scottish Charity Regulator (OSCR)</w:t>
      </w:r>
      <w:r w:rsidR="00426CA3" w:rsidRPr="00426CA3">
        <w:rPr>
          <w:sz w:val="24"/>
          <w:szCs w:val="24"/>
        </w:rPr>
        <w:t xml:space="preserve"> </w:t>
      </w:r>
      <w:r>
        <w:rPr>
          <w:sz w:val="24"/>
          <w:szCs w:val="24"/>
        </w:rPr>
        <w:t xml:space="preserve">are currently </w:t>
      </w:r>
      <w:r w:rsidR="00426CA3" w:rsidRPr="00426CA3">
        <w:rPr>
          <w:sz w:val="24"/>
          <w:szCs w:val="24"/>
        </w:rPr>
        <w:t>undertaking an independent review in respect of the use of endowments in 2013/14</w:t>
      </w:r>
      <w:r>
        <w:rPr>
          <w:sz w:val="24"/>
          <w:szCs w:val="24"/>
        </w:rPr>
        <w:t xml:space="preserve"> and the role of the Endowment Trustees and Endowment Fund </w:t>
      </w:r>
      <w:r w:rsidR="004B234B">
        <w:rPr>
          <w:sz w:val="24"/>
          <w:szCs w:val="24"/>
        </w:rPr>
        <w:t>External A</w:t>
      </w:r>
      <w:r>
        <w:rPr>
          <w:sz w:val="24"/>
          <w:szCs w:val="24"/>
        </w:rPr>
        <w:t>uditors</w:t>
      </w:r>
      <w:r w:rsidR="004B234B">
        <w:rPr>
          <w:sz w:val="24"/>
          <w:szCs w:val="24"/>
        </w:rPr>
        <w:t xml:space="preserve">.  </w:t>
      </w:r>
      <w:r w:rsidR="007D533A">
        <w:rPr>
          <w:sz w:val="24"/>
          <w:szCs w:val="24"/>
        </w:rPr>
        <w:t xml:space="preserve">Our </w:t>
      </w:r>
      <w:r w:rsidR="00426CA3" w:rsidRPr="00426CA3">
        <w:rPr>
          <w:sz w:val="24"/>
          <w:szCs w:val="24"/>
        </w:rPr>
        <w:t>revi</w:t>
      </w:r>
      <w:r w:rsidR="007D533A">
        <w:rPr>
          <w:sz w:val="24"/>
          <w:szCs w:val="24"/>
        </w:rPr>
        <w:t>ew will not duplicate this work although they will be</w:t>
      </w:r>
      <w:r w:rsidR="00426CA3" w:rsidRPr="00426CA3">
        <w:rPr>
          <w:sz w:val="24"/>
          <w:szCs w:val="24"/>
        </w:rPr>
        <w:t xml:space="preserve"> aligned.    </w:t>
      </w:r>
    </w:p>
    <w:p w:rsidR="00AC5C31" w:rsidRPr="005E404C" w:rsidRDefault="00AC5C31" w:rsidP="00AE2A3C">
      <w:pPr>
        <w:pStyle w:val="BodyText"/>
        <w:ind w:left="284"/>
        <w:rPr>
          <w:b/>
          <w:bCs/>
          <w:color w:val="4F2D7F" w:themeColor="accent1"/>
          <w:sz w:val="24"/>
          <w:szCs w:val="24"/>
        </w:rPr>
      </w:pPr>
      <w:r w:rsidRPr="005E404C">
        <w:rPr>
          <w:b/>
          <w:bCs/>
          <w:color w:val="4F2D7F" w:themeColor="accent1"/>
          <w:sz w:val="24"/>
          <w:szCs w:val="24"/>
        </w:rPr>
        <w:t xml:space="preserve">Scope </w:t>
      </w:r>
    </w:p>
    <w:p w:rsidR="00426CA3" w:rsidRDefault="005E404C" w:rsidP="00426CA3">
      <w:pPr>
        <w:pStyle w:val="BodyText"/>
        <w:ind w:left="284"/>
        <w:rPr>
          <w:sz w:val="24"/>
          <w:szCs w:val="24"/>
        </w:rPr>
      </w:pPr>
      <w:r w:rsidRPr="005E404C">
        <w:rPr>
          <w:sz w:val="24"/>
          <w:szCs w:val="24"/>
        </w:rPr>
        <w:t>In accordance with our engag</w:t>
      </w:r>
      <w:r w:rsidR="00711665">
        <w:rPr>
          <w:sz w:val="24"/>
          <w:szCs w:val="24"/>
        </w:rPr>
        <w:t>ement letter dated 15 April 2018</w:t>
      </w:r>
      <w:r w:rsidRPr="005E404C">
        <w:rPr>
          <w:sz w:val="24"/>
          <w:szCs w:val="24"/>
        </w:rPr>
        <w:t>, the scope of our work was</w:t>
      </w:r>
      <w:r w:rsidR="00A90C84">
        <w:rPr>
          <w:sz w:val="24"/>
          <w:szCs w:val="24"/>
        </w:rPr>
        <w:t xml:space="preserve"> set out in a scoping document which is referenced in Appendix 1 of this report for information</w:t>
      </w:r>
      <w:r w:rsidR="007D2851">
        <w:rPr>
          <w:sz w:val="24"/>
          <w:szCs w:val="24"/>
        </w:rPr>
        <w:t>.</w:t>
      </w:r>
    </w:p>
    <w:p w:rsidR="004B234B" w:rsidRDefault="004B234B" w:rsidP="004B234B">
      <w:pPr>
        <w:pStyle w:val="BodyText"/>
        <w:ind w:firstLine="284"/>
        <w:rPr>
          <w:b/>
          <w:bCs/>
          <w:color w:val="4F2D7F" w:themeColor="accent1"/>
          <w:sz w:val="24"/>
          <w:szCs w:val="24"/>
        </w:rPr>
      </w:pPr>
    </w:p>
    <w:p w:rsidR="004B234B" w:rsidRDefault="004B234B" w:rsidP="004B234B">
      <w:pPr>
        <w:pStyle w:val="BodyText"/>
        <w:ind w:firstLine="284"/>
        <w:rPr>
          <w:b/>
          <w:bCs/>
          <w:color w:val="4F2D7F" w:themeColor="accent1"/>
          <w:sz w:val="24"/>
          <w:szCs w:val="24"/>
        </w:rPr>
      </w:pPr>
    </w:p>
    <w:p w:rsidR="004B234B" w:rsidRDefault="004B234B" w:rsidP="004B234B">
      <w:pPr>
        <w:pStyle w:val="BodyText"/>
        <w:ind w:firstLine="284"/>
        <w:rPr>
          <w:b/>
          <w:bCs/>
          <w:color w:val="4F2D7F" w:themeColor="accent1"/>
          <w:sz w:val="24"/>
          <w:szCs w:val="24"/>
        </w:rPr>
      </w:pPr>
    </w:p>
    <w:p w:rsidR="004B234B" w:rsidRDefault="004B234B" w:rsidP="004B234B">
      <w:pPr>
        <w:pStyle w:val="BodyText"/>
        <w:ind w:firstLine="284"/>
        <w:rPr>
          <w:b/>
          <w:bCs/>
          <w:color w:val="4F2D7F" w:themeColor="accent1"/>
          <w:sz w:val="24"/>
          <w:szCs w:val="24"/>
        </w:rPr>
      </w:pPr>
    </w:p>
    <w:p w:rsidR="004B234B" w:rsidRDefault="004B234B" w:rsidP="004B234B">
      <w:pPr>
        <w:pStyle w:val="BodyText"/>
        <w:ind w:firstLine="284"/>
        <w:rPr>
          <w:b/>
          <w:bCs/>
          <w:color w:val="4F2D7F" w:themeColor="accent1"/>
          <w:sz w:val="24"/>
          <w:szCs w:val="24"/>
        </w:rPr>
      </w:pPr>
    </w:p>
    <w:p w:rsidR="004B234B" w:rsidRDefault="004B234B" w:rsidP="004B234B">
      <w:pPr>
        <w:pStyle w:val="BodyText"/>
        <w:ind w:firstLine="284"/>
        <w:rPr>
          <w:b/>
          <w:bCs/>
          <w:color w:val="4F2D7F" w:themeColor="accent1"/>
          <w:sz w:val="24"/>
          <w:szCs w:val="24"/>
        </w:rPr>
      </w:pPr>
    </w:p>
    <w:p w:rsidR="004B234B" w:rsidRDefault="004B234B" w:rsidP="004B234B">
      <w:pPr>
        <w:pStyle w:val="BodyText"/>
        <w:ind w:firstLine="284"/>
        <w:rPr>
          <w:b/>
          <w:bCs/>
          <w:color w:val="4F2D7F" w:themeColor="accent1"/>
          <w:sz w:val="24"/>
          <w:szCs w:val="24"/>
        </w:rPr>
      </w:pPr>
    </w:p>
    <w:p w:rsidR="004B234B" w:rsidRDefault="004B234B" w:rsidP="004B234B">
      <w:pPr>
        <w:pStyle w:val="BodyText"/>
        <w:ind w:firstLine="284"/>
        <w:rPr>
          <w:b/>
          <w:bCs/>
          <w:color w:val="4F2D7F" w:themeColor="accent1"/>
          <w:sz w:val="24"/>
          <w:szCs w:val="24"/>
        </w:rPr>
      </w:pPr>
    </w:p>
    <w:p w:rsidR="00AC5C31" w:rsidRPr="005E404C" w:rsidRDefault="004A4CC2" w:rsidP="004B234B">
      <w:pPr>
        <w:pStyle w:val="BodyText"/>
        <w:ind w:firstLine="284"/>
        <w:rPr>
          <w:b/>
          <w:bCs/>
          <w:color w:val="4F2D7F" w:themeColor="accent1"/>
          <w:sz w:val="24"/>
          <w:szCs w:val="24"/>
        </w:rPr>
      </w:pPr>
      <w:r w:rsidRPr="005E404C">
        <w:rPr>
          <w:b/>
          <w:bCs/>
          <w:color w:val="4F2D7F" w:themeColor="accent1"/>
          <w:sz w:val="24"/>
          <w:szCs w:val="24"/>
        </w:rPr>
        <w:lastRenderedPageBreak/>
        <w:t>L</w:t>
      </w:r>
      <w:r w:rsidR="00AC5C31" w:rsidRPr="005E404C">
        <w:rPr>
          <w:b/>
          <w:bCs/>
          <w:color w:val="4F2D7F" w:themeColor="accent1"/>
          <w:sz w:val="24"/>
          <w:szCs w:val="24"/>
        </w:rPr>
        <w:t>imitations</w:t>
      </w:r>
      <w:r>
        <w:rPr>
          <w:b/>
          <w:bCs/>
          <w:color w:val="4F2D7F" w:themeColor="accent1"/>
          <w:sz w:val="24"/>
          <w:szCs w:val="24"/>
        </w:rPr>
        <w:t xml:space="preserve"> of scope</w:t>
      </w:r>
    </w:p>
    <w:p w:rsidR="004A4CC2" w:rsidRDefault="00AC5C31" w:rsidP="004B234B">
      <w:pPr>
        <w:pStyle w:val="BodyText"/>
        <w:ind w:left="284"/>
        <w:rPr>
          <w:sz w:val="24"/>
          <w:szCs w:val="24"/>
        </w:rPr>
      </w:pPr>
      <w:r w:rsidRPr="005E404C">
        <w:rPr>
          <w:sz w:val="24"/>
          <w:szCs w:val="24"/>
        </w:rPr>
        <w:t xml:space="preserve">This report sets out our findings based on the work performed up to </w:t>
      </w:r>
      <w:r w:rsidR="005E404C" w:rsidRPr="005E404C">
        <w:rPr>
          <w:sz w:val="24"/>
          <w:szCs w:val="24"/>
        </w:rPr>
        <w:t>1</w:t>
      </w:r>
      <w:r w:rsidR="00D53756">
        <w:rPr>
          <w:sz w:val="24"/>
          <w:szCs w:val="24"/>
        </w:rPr>
        <w:t>8</w:t>
      </w:r>
      <w:r w:rsidR="005E404C" w:rsidRPr="005E404C">
        <w:rPr>
          <w:sz w:val="24"/>
          <w:szCs w:val="24"/>
        </w:rPr>
        <w:t xml:space="preserve"> May</w:t>
      </w:r>
      <w:r w:rsidRPr="005E404C">
        <w:rPr>
          <w:sz w:val="24"/>
          <w:szCs w:val="24"/>
        </w:rPr>
        <w:t xml:space="preserve"> 2018.  Should further information become available subsequent to the date of this report, we reserve the right to reconsider our conclusions in light of such additional information. </w:t>
      </w:r>
    </w:p>
    <w:p w:rsidR="004A4CC2" w:rsidRDefault="00AC5C31" w:rsidP="00AE2A3C">
      <w:pPr>
        <w:pStyle w:val="BodyText"/>
        <w:ind w:left="284"/>
        <w:rPr>
          <w:sz w:val="24"/>
          <w:szCs w:val="24"/>
        </w:rPr>
      </w:pPr>
      <w:r w:rsidRPr="005E404C">
        <w:rPr>
          <w:sz w:val="24"/>
          <w:szCs w:val="24"/>
        </w:rPr>
        <w:t>Our conclusions are based on documentation provided to us</w:t>
      </w:r>
      <w:r w:rsidR="004A4CC2">
        <w:rPr>
          <w:sz w:val="24"/>
          <w:szCs w:val="24"/>
        </w:rPr>
        <w:t xml:space="preserve"> by NHS Tayside, </w:t>
      </w:r>
      <w:r w:rsidRPr="005E404C">
        <w:rPr>
          <w:sz w:val="24"/>
          <w:szCs w:val="24"/>
        </w:rPr>
        <w:t xml:space="preserve">interviews with </w:t>
      </w:r>
      <w:r w:rsidR="00A90C84">
        <w:rPr>
          <w:sz w:val="24"/>
          <w:szCs w:val="24"/>
        </w:rPr>
        <w:t xml:space="preserve">members of the current NHS Tayside Finance team and the NHS Tayside Head of Internal Audit.  </w:t>
      </w:r>
    </w:p>
    <w:p w:rsidR="00AC5C31" w:rsidRPr="005E404C" w:rsidRDefault="00A90C84" w:rsidP="00AE2A3C">
      <w:pPr>
        <w:pStyle w:val="BodyText"/>
        <w:ind w:left="284"/>
        <w:rPr>
          <w:sz w:val="24"/>
          <w:szCs w:val="24"/>
        </w:rPr>
      </w:pPr>
      <w:r>
        <w:rPr>
          <w:sz w:val="24"/>
          <w:szCs w:val="24"/>
        </w:rPr>
        <w:t>Recognising the per</w:t>
      </w:r>
      <w:r w:rsidR="004A4CC2">
        <w:rPr>
          <w:sz w:val="24"/>
          <w:szCs w:val="24"/>
        </w:rPr>
        <w:t>iod of time involved certain</w:t>
      </w:r>
      <w:r>
        <w:rPr>
          <w:sz w:val="24"/>
          <w:szCs w:val="24"/>
        </w:rPr>
        <w:t xml:space="preserve"> members of the</w:t>
      </w:r>
      <w:r w:rsidR="004A4CC2">
        <w:rPr>
          <w:sz w:val="24"/>
          <w:szCs w:val="24"/>
        </w:rPr>
        <w:t xml:space="preserve"> senior leadership team and the finance team</w:t>
      </w:r>
      <w:r>
        <w:rPr>
          <w:sz w:val="24"/>
          <w:szCs w:val="24"/>
        </w:rPr>
        <w:t xml:space="preserve"> are no longer employees of NHS Tayside and therefore we could not undertake </w:t>
      </w:r>
      <w:r w:rsidR="00081745">
        <w:rPr>
          <w:sz w:val="24"/>
          <w:szCs w:val="24"/>
        </w:rPr>
        <w:t>interviews</w:t>
      </w:r>
      <w:r>
        <w:rPr>
          <w:sz w:val="24"/>
          <w:szCs w:val="24"/>
        </w:rPr>
        <w:t xml:space="preserve"> with those staff and are reliant on emails, committee papers and supporting documentation</w:t>
      </w:r>
      <w:r w:rsidR="004A4CC2">
        <w:rPr>
          <w:sz w:val="24"/>
          <w:szCs w:val="24"/>
        </w:rPr>
        <w:t xml:space="preserve"> to support our conclusions</w:t>
      </w:r>
      <w:r w:rsidR="00AC5C31" w:rsidRPr="005E404C">
        <w:rPr>
          <w:sz w:val="24"/>
          <w:szCs w:val="24"/>
        </w:rPr>
        <w:t xml:space="preserve">. </w:t>
      </w:r>
    </w:p>
    <w:p w:rsidR="00AC5C31" w:rsidRPr="007B5A1E" w:rsidRDefault="00AC5C31" w:rsidP="00AC5C31">
      <w:pPr>
        <w:pStyle w:val="BodyText"/>
        <w:jc w:val="both"/>
        <w:rPr>
          <w:sz w:val="24"/>
          <w:szCs w:val="24"/>
        </w:rPr>
      </w:pPr>
    </w:p>
    <w:p w:rsidR="004A4CC2" w:rsidRDefault="004A4CC2">
      <w:pPr>
        <w:spacing w:after="0" w:line="240" w:lineRule="auto"/>
        <w:rPr>
          <w:rFonts w:asciiTheme="majorHAnsi" w:hAnsiTheme="majorHAnsi" w:cstheme="majorHAnsi"/>
          <w:b/>
          <w:bCs/>
          <w:color w:val="4F2D7F" w:themeColor="accent1"/>
          <w:kern w:val="32"/>
          <w:sz w:val="44"/>
          <w:szCs w:val="44"/>
        </w:rPr>
      </w:pPr>
      <w:r>
        <w:rPr>
          <w:b/>
          <w:sz w:val="44"/>
          <w:szCs w:val="44"/>
        </w:rPr>
        <w:br w:type="page"/>
      </w:r>
    </w:p>
    <w:p w:rsidR="00AC5C31" w:rsidRPr="007B5A1E" w:rsidRDefault="004B234B" w:rsidP="00AC5C31">
      <w:pPr>
        <w:pStyle w:val="Heading1"/>
        <w:jc w:val="both"/>
        <w:rPr>
          <w:b/>
          <w:sz w:val="44"/>
          <w:szCs w:val="44"/>
        </w:rPr>
      </w:pPr>
      <w:bookmarkStart w:id="2" w:name="_Toc514414958"/>
      <w:r>
        <w:rPr>
          <w:b/>
          <w:sz w:val="44"/>
          <w:szCs w:val="44"/>
        </w:rPr>
        <w:lastRenderedPageBreak/>
        <w:t>O</w:t>
      </w:r>
      <w:r w:rsidR="00FF3B7C">
        <w:rPr>
          <w:b/>
          <w:sz w:val="44"/>
          <w:szCs w:val="44"/>
        </w:rPr>
        <w:t>verall commentary</w:t>
      </w:r>
      <w:bookmarkEnd w:id="2"/>
    </w:p>
    <w:p w:rsidR="00E61D8B" w:rsidRDefault="00E61D8B" w:rsidP="00E61D8B">
      <w:pPr>
        <w:pStyle w:val="BodyText"/>
        <w:jc w:val="both"/>
        <w:rPr>
          <w:sz w:val="24"/>
          <w:szCs w:val="24"/>
          <w:highlight w:val="yellow"/>
        </w:rPr>
      </w:pPr>
    </w:p>
    <w:p w:rsidR="00FF3B7C" w:rsidRDefault="007D533A" w:rsidP="004A4CC2">
      <w:pPr>
        <w:rPr>
          <w:bCs/>
          <w:sz w:val="24"/>
          <w:szCs w:val="24"/>
        </w:rPr>
      </w:pPr>
      <w:r>
        <w:rPr>
          <w:bCs/>
          <w:sz w:val="24"/>
          <w:szCs w:val="24"/>
        </w:rPr>
        <w:t>Within our review we</w:t>
      </w:r>
      <w:r w:rsidR="00D62358">
        <w:rPr>
          <w:bCs/>
          <w:sz w:val="24"/>
          <w:szCs w:val="24"/>
        </w:rPr>
        <w:t xml:space="preserve"> have identified examples </w:t>
      </w:r>
      <w:r w:rsidR="005A363A">
        <w:rPr>
          <w:bCs/>
          <w:sz w:val="24"/>
          <w:szCs w:val="24"/>
        </w:rPr>
        <w:t>where we have</w:t>
      </w:r>
      <w:r w:rsidR="00D53756">
        <w:rPr>
          <w:bCs/>
          <w:sz w:val="24"/>
          <w:szCs w:val="24"/>
        </w:rPr>
        <w:t xml:space="preserve"> evidenced poor</w:t>
      </w:r>
      <w:r w:rsidR="00D62358">
        <w:rPr>
          <w:bCs/>
          <w:sz w:val="24"/>
          <w:szCs w:val="24"/>
        </w:rPr>
        <w:t xml:space="preserve"> financial management and governance practices.  Alongside </w:t>
      </w:r>
      <w:r w:rsidR="005A363A">
        <w:rPr>
          <w:bCs/>
          <w:sz w:val="24"/>
          <w:szCs w:val="24"/>
        </w:rPr>
        <w:t>potential indicators</w:t>
      </w:r>
      <w:r w:rsidR="00D62358">
        <w:rPr>
          <w:bCs/>
          <w:sz w:val="24"/>
          <w:szCs w:val="24"/>
        </w:rPr>
        <w:t>,</w:t>
      </w:r>
      <w:r>
        <w:rPr>
          <w:bCs/>
          <w:sz w:val="24"/>
          <w:szCs w:val="24"/>
        </w:rPr>
        <w:t xml:space="preserve"> in</w:t>
      </w:r>
      <w:r w:rsidR="00D62358">
        <w:rPr>
          <w:bCs/>
          <w:sz w:val="24"/>
          <w:szCs w:val="24"/>
        </w:rPr>
        <w:t xml:space="preserve"> particular in</w:t>
      </w:r>
      <w:r>
        <w:rPr>
          <w:bCs/>
          <w:sz w:val="24"/>
          <w:szCs w:val="24"/>
        </w:rPr>
        <w:t xml:space="preserve"> 2013/14</w:t>
      </w:r>
      <w:r w:rsidR="00D62358">
        <w:rPr>
          <w:bCs/>
          <w:sz w:val="24"/>
          <w:szCs w:val="24"/>
        </w:rPr>
        <w:t>,</w:t>
      </w:r>
      <w:r w:rsidR="005A363A">
        <w:rPr>
          <w:bCs/>
          <w:sz w:val="24"/>
          <w:szCs w:val="24"/>
        </w:rPr>
        <w:t xml:space="preserve"> where the culture at NHS Tayside was not fully aligned with the behaviours, expe</w:t>
      </w:r>
      <w:r w:rsidR="0005764E">
        <w:rPr>
          <w:bCs/>
          <w:sz w:val="24"/>
          <w:szCs w:val="24"/>
        </w:rPr>
        <w:t>ctations and guidance appropriate</w:t>
      </w:r>
      <w:r w:rsidR="005A363A">
        <w:rPr>
          <w:bCs/>
          <w:sz w:val="24"/>
          <w:szCs w:val="24"/>
        </w:rPr>
        <w:t xml:space="preserve"> to those</w:t>
      </w:r>
      <w:r>
        <w:rPr>
          <w:bCs/>
          <w:sz w:val="24"/>
          <w:szCs w:val="24"/>
        </w:rPr>
        <w:t xml:space="preserve"> of a public sector organisation</w:t>
      </w:r>
      <w:r w:rsidR="005A363A">
        <w:rPr>
          <w:bCs/>
          <w:sz w:val="24"/>
          <w:szCs w:val="24"/>
        </w:rPr>
        <w:t xml:space="preserve">.  </w:t>
      </w:r>
    </w:p>
    <w:p w:rsidR="00D53756" w:rsidRPr="007D533A" w:rsidRDefault="005A363A" w:rsidP="007D533A">
      <w:pPr>
        <w:rPr>
          <w:bCs/>
          <w:sz w:val="24"/>
          <w:szCs w:val="24"/>
        </w:rPr>
      </w:pPr>
      <w:r>
        <w:rPr>
          <w:bCs/>
          <w:sz w:val="24"/>
          <w:szCs w:val="24"/>
        </w:rPr>
        <w:t>The use of endowments to bridge the NHS Tayside Board financial position in 2013/14 is clearly acknowledged in both the NHS Tays</w:t>
      </w:r>
      <w:r w:rsidR="00D62358">
        <w:rPr>
          <w:bCs/>
          <w:sz w:val="24"/>
          <w:szCs w:val="24"/>
        </w:rPr>
        <w:t xml:space="preserve">ide financial statements </w:t>
      </w:r>
      <w:r>
        <w:rPr>
          <w:bCs/>
          <w:sz w:val="24"/>
          <w:szCs w:val="24"/>
        </w:rPr>
        <w:t>and the Financial Statements of the Endowment Fund.  In both instances it is acknowledged that the decision was made to support NHS T</w:t>
      </w:r>
      <w:r w:rsidR="00D62358">
        <w:rPr>
          <w:bCs/>
          <w:sz w:val="24"/>
          <w:szCs w:val="24"/>
        </w:rPr>
        <w:t>ayside in achieving its financial target of break-even</w:t>
      </w:r>
      <w:r>
        <w:rPr>
          <w:bCs/>
          <w:sz w:val="24"/>
          <w:szCs w:val="24"/>
        </w:rPr>
        <w:t xml:space="preserve">.  However, </w:t>
      </w:r>
      <w:r w:rsidR="00D53756">
        <w:rPr>
          <w:bCs/>
          <w:sz w:val="24"/>
          <w:szCs w:val="24"/>
        </w:rPr>
        <w:t>the decision making proc</w:t>
      </w:r>
      <w:r w:rsidR="00D62358">
        <w:rPr>
          <w:bCs/>
          <w:sz w:val="24"/>
          <w:szCs w:val="24"/>
        </w:rPr>
        <w:t>ess related to</w:t>
      </w:r>
      <w:r w:rsidR="00D53756">
        <w:rPr>
          <w:bCs/>
          <w:sz w:val="24"/>
          <w:szCs w:val="24"/>
        </w:rPr>
        <w:t xml:space="preserve"> the retrospective </w:t>
      </w:r>
      <w:r w:rsidR="00D62358">
        <w:rPr>
          <w:bCs/>
          <w:sz w:val="24"/>
          <w:szCs w:val="24"/>
        </w:rPr>
        <w:t xml:space="preserve">£3.6 million </w:t>
      </w:r>
      <w:r w:rsidR="00D53756">
        <w:rPr>
          <w:bCs/>
          <w:sz w:val="24"/>
          <w:szCs w:val="24"/>
        </w:rPr>
        <w:t xml:space="preserve">use of endowment funds </w:t>
      </w:r>
      <w:r w:rsidR="0005764E">
        <w:rPr>
          <w:bCs/>
          <w:sz w:val="24"/>
          <w:szCs w:val="24"/>
        </w:rPr>
        <w:t>was not subject to fully open and transparent governance processes</w:t>
      </w:r>
      <w:r w:rsidR="00D53756">
        <w:rPr>
          <w:bCs/>
          <w:sz w:val="24"/>
          <w:szCs w:val="24"/>
        </w:rPr>
        <w:t xml:space="preserve">.  </w:t>
      </w:r>
    </w:p>
    <w:p w:rsidR="00CE7253" w:rsidRDefault="00D62358" w:rsidP="004A4CC2">
      <w:pPr>
        <w:rPr>
          <w:sz w:val="24"/>
          <w:szCs w:val="24"/>
        </w:rPr>
      </w:pPr>
      <w:r>
        <w:rPr>
          <w:sz w:val="24"/>
          <w:szCs w:val="24"/>
        </w:rPr>
        <w:t xml:space="preserve">We </w:t>
      </w:r>
      <w:r w:rsidR="007D533A">
        <w:rPr>
          <w:sz w:val="24"/>
          <w:szCs w:val="24"/>
        </w:rPr>
        <w:t>considered various documents to under</w:t>
      </w:r>
      <w:r>
        <w:rPr>
          <w:sz w:val="24"/>
          <w:szCs w:val="24"/>
        </w:rPr>
        <w:t>stand the timeline for</w:t>
      </w:r>
      <w:r w:rsidR="007D533A">
        <w:rPr>
          <w:sz w:val="24"/>
          <w:szCs w:val="24"/>
        </w:rPr>
        <w:t xml:space="preserve"> the endowments decision</w:t>
      </w:r>
      <w:r w:rsidR="009226FC">
        <w:rPr>
          <w:sz w:val="24"/>
          <w:szCs w:val="24"/>
        </w:rPr>
        <w:t xml:space="preserve"> in 2013/14</w:t>
      </w:r>
      <w:r w:rsidR="007D533A">
        <w:rPr>
          <w:sz w:val="24"/>
          <w:szCs w:val="24"/>
        </w:rPr>
        <w:t xml:space="preserve">.  We also sought to link this decision with NHS Tayside’s governance and financial reporting arrangements.  Based on our review it would appear </w:t>
      </w:r>
      <w:r>
        <w:rPr>
          <w:sz w:val="24"/>
          <w:szCs w:val="24"/>
        </w:rPr>
        <w:t xml:space="preserve">that </w:t>
      </w:r>
      <w:r w:rsidR="007D533A">
        <w:rPr>
          <w:sz w:val="24"/>
          <w:szCs w:val="24"/>
        </w:rPr>
        <w:t xml:space="preserve">the NHS Tayside Board </w:t>
      </w:r>
      <w:r w:rsidR="009226FC">
        <w:rPr>
          <w:sz w:val="24"/>
          <w:szCs w:val="24"/>
        </w:rPr>
        <w:t xml:space="preserve">historically </w:t>
      </w:r>
      <w:r w:rsidR="007D533A">
        <w:rPr>
          <w:sz w:val="24"/>
          <w:szCs w:val="24"/>
        </w:rPr>
        <w:t>did not have full visibility of the NHS Tayside financial posit</w:t>
      </w:r>
      <w:r w:rsidR="009226FC">
        <w:rPr>
          <w:sz w:val="24"/>
          <w:szCs w:val="24"/>
        </w:rPr>
        <w:t>ion, and in particular in 2013/14</w:t>
      </w:r>
      <w:r>
        <w:rPr>
          <w:sz w:val="24"/>
          <w:szCs w:val="24"/>
        </w:rPr>
        <w:t xml:space="preserve"> when the optimism of achieving in-year financial balance declined</w:t>
      </w:r>
      <w:r w:rsidR="007D533A">
        <w:rPr>
          <w:sz w:val="24"/>
          <w:szCs w:val="24"/>
        </w:rPr>
        <w:t xml:space="preserve">.  </w:t>
      </w:r>
    </w:p>
    <w:p w:rsidR="007D533A" w:rsidRPr="001B0A35" w:rsidRDefault="007D533A" w:rsidP="004A4CC2">
      <w:pPr>
        <w:rPr>
          <w:sz w:val="24"/>
          <w:szCs w:val="24"/>
        </w:rPr>
      </w:pPr>
      <w:r>
        <w:rPr>
          <w:sz w:val="24"/>
          <w:szCs w:val="24"/>
        </w:rPr>
        <w:t xml:space="preserve">Our review </w:t>
      </w:r>
      <w:r w:rsidR="00D62358">
        <w:rPr>
          <w:sz w:val="24"/>
          <w:szCs w:val="24"/>
        </w:rPr>
        <w:t>identifies</w:t>
      </w:r>
      <w:r>
        <w:rPr>
          <w:sz w:val="24"/>
          <w:szCs w:val="24"/>
        </w:rPr>
        <w:t xml:space="preserve"> a number of weaknesses in NH</w:t>
      </w:r>
      <w:r w:rsidR="00D62358">
        <w:rPr>
          <w:sz w:val="24"/>
          <w:szCs w:val="24"/>
        </w:rPr>
        <w:t>S Tayside’s financial management arrangements</w:t>
      </w:r>
      <w:r>
        <w:rPr>
          <w:sz w:val="24"/>
          <w:szCs w:val="24"/>
        </w:rPr>
        <w:t xml:space="preserve"> alongside a lack of open and transparent governance which may have evolved based on NHS Tayside’s organisational culture and historic working practices.</w:t>
      </w:r>
    </w:p>
    <w:p w:rsidR="005A363A" w:rsidRPr="005A363A" w:rsidRDefault="005A363A" w:rsidP="004A4CC2">
      <w:pPr>
        <w:rPr>
          <w:b/>
          <w:bCs/>
          <w:color w:val="4F2D7F" w:themeColor="accent1"/>
          <w:sz w:val="24"/>
          <w:szCs w:val="24"/>
        </w:rPr>
      </w:pPr>
      <w:r w:rsidRPr="005A363A">
        <w:rPr>
          <w:b/>
          <w:bCs/>
          <w:color w:val="4F2D7F" w:themeColor="accent1"/>
          <w:sz w:val="24"/>
          <w:szCs w:val="24"/>
        </w:rPr>
        <w:t xml:space="preserve">Leadership and culture </w:t>
      </w:r>
      <w:r w:rsidR="007D533A">
        <w:rPr>
          <w:b/>
          <w:bCs/>
          <w:color w:val="4F2D7F" w:themeColor="accent1"/>
          <w:sz w:val="24"/>
          <w:szCs w:val="24"/>
        </w:rPr>
        <w:t>(people)</w:t>
      </w:r>
    </w:p>
    <w:p w:rsidR="005A363A" w:rsidRDefault="00CE7253" w:rsidP="004A4CC2">
      <w:pPr>
        <w:rPr>
          <w:bCs/>
          <w:sz w:val="24"/>
          <w:szCs w:val="24"/>
        </w:rPr>
      </w:pPr>
      <w:r>
        <w:rPr>
          <w:bCs/>
          <w:sz w:val="24"/>
          <w:szCs w:val="24"/>
        </w:rPr>
        <w:t>Within the public sector and NHS Boards there is a framework of guidance which applies to management and also specific requirements that apply t</w:t>
      </w:r>
      <w:r w:rsidR="007D533A">
        <w:rPr>
          <w:bCs/>
          <w:sz w:val="24"/>
          <w:szCs w:val="24"/>
        </w:rPr>
        <w:t>o Non-Executives.  In Appendix 2</w:t>
      </w:r>
      <w:r>
        <w:rPr>
          <w:bCs/>
          <w:sz w:val="24"/>
          <w:szCs w:val="24"/>
        </w:rPr>
        <w:t xml:space="preserve"> we have outlined</w:t>
      </w:r>
      <w:r w:rsidR="007D533A">
        <w:rPr>
          <w:bCs/>
          <w:sz w:val="24"/>
          <w:szCs w:val="24"/>
        </w:rPr>
        <w:t xml:space="preserve"> certain</w:t>
      </w:r>
      <w:r>
        <w:rPr>
          <w:bCs/>
          <w:sz w:val="24"/>
          <w:szCs w:val="24"/>
        </w:rPr>
        <w:t xml:space="preserve"> relevant extracts from this gu</w:t>
      </w:r>
      <w:r w:rsidR="00D62358">
        <w:rPr>
          <w:bCs/>
          <w:sz w:val="24"/>
          <w:szCs w:val="24"/>
        </w:rPr>
        <w:t>idance.</w:t>
      </w:r>
    </w:p>
    <w:p w:rsidR="007D533A" w:rsidRPr="00CE7253" w:rsidRDefault="00D62358" w:rsidP="004A4CC2">
      <w:pPr>
        <w:rPr>
          <w:bCs/>
          <w:sz w:val="24"/>
          <w:szCs w:val="24"/>
        </w:rPr>
      </w:pPr>
      <w:r>
        <w:rPr>
          <w:bCs/>
          <w:sz w:val="24"/>
          <w:szCs w:val="24"/>
        </w:rPr>
        <w:t>The</w:t>
      </w:r>
      <w:r w:rsidR="007D533A">
        <w:rPr>
          <w:bCs/>
          <w:sz w:val="24"/>
          <w:szCs w:val="24"/>
        </w:rPr>
        <w:t xml:space="preserve"> guidelines are clear on the expected organisational and individual behaviours and </w:t>
      </w:r>
      <w:r>
        <w:rPr>
          <w:bCs/>
          <w:sz w:val="24"/>
          <w:szCs w:val="24"/>
        </w:rPr>
        <w:t>build</w:t>
      </w:r>
      <w:r w:rsidR="007D533A">
        <w:rPr>
          <w:bCs/>
          <w:sz w:val="24"/>
          <w:szCs w:val="24"/>
        </w:rPr>
        <w:t xml:space="preserve"> on core principles of honesty, openness and accountability.  We have considered these principles when reviewing the arrangements and have included comment in the relevant report section</w:t>
      </w:r>
      <w:r>
        <w:rPr>
          <w:bCs/>
          <w:sz w:val="24"/>
          <w:szCs w:val="24"/>
        </w:rPr>
        <w:t>s where relevant</w:t>
      </w:r>
      <w:r w:rsidR="007D533A">
        <w:rPr>
          <w:bCs/>
          <w:sz w:val="24"/>
          <w:szCs w:val="24"/>
        </w:rPr>
        <w:t xml:space="preserve">.  </w:t>
      </w:r>
    </w:p>
    <w:p w:rsidR="00086FE9" w:rsidRPr="00086FE9" w:rsidRDefault="005A363A" w:rsidP="004A4CC2">
      <w:pPr>
        <w:rPr>
          <w:b/>
          <w:bCs/>
          <w:color w:val="4F2D7F" w:themeColor="accent1"/>
          <w:sz w:val="24"/>
          <w:szCs w:val="24"/>
        </w:rPr>
      </w:pPr>
      <w:r>
        <w:rPr>
          <w:b/>
          <w:bCs/>
          <w:color w:val="4F2D7F" w:themeColor="accent1"/>
          <w:sz w:val="24"/>
          <w:szCs w:val="24"/>
        </w:rPr>
        <w:t>Controls f</w:t>
      </w:r>
      <w:r w:rsidR="00086FE9" w:rsidRPr="00086FE9">
        <w:rPr>
          <w:b/>
          <w:bCs/>
          <w:color w:val="4F2D7F" w:themeColor="accent1"/>
          <w:sz w:val="24"/>
          <w:szCs w:val="24"/>
        </w:rPr>
        <w:t xml:space="preserve">ramework </w:t>
      </w:r>
      <w:r w:rsidR="007D533A">
        <w:rPr>
          <w:b/>
          <w:bCs/>
          <w:color w:val="4F2D7F" w:themeColor="accent1"/>
          <w:sz w:val="24"/>
          <w:szCs w:val="24"/>
        </w:rPr>
        <w:t>(system and processes)</w:t>
      </w:r>
    </w:p>
    <w:p w:rsidR="004B234B" w:rsidRDefault="004A4CC2" w:rsidP="004A4CC2">
      <w:pPr>
        <w:rPr>
          <w:sz w:val="24"/>
          <w:szCs w:val="24"/>
        </w:rPr>
      </w:pPr>
      <w:r>
        <w:rPr>
          <w:sz w:val="24"/>
          <w:szCs w:val="24"/>
        </w:rPr>
        <w:t>NHS Boards</w:t>
      </w:r>
      <w:r w:rsidR="00D62358">
        <w:rPr>
          <w:sz w:val="24"/>
          <w:szCs w:val="24"/>
        </w:rPr>
        <w:t xml:space="preserve"> have</w:t>
      </w:r>
      <w:r w:rsidRPr="004A4CC2">
        <w:rPr>
          <w:sz w:val="24"/>
          <w:szCs w:val="24"/>
        </w:rPr>
        <w:t xml:space="preserve"> a series of internal controls and processes, set out in policies</w:t>
      </w:r>
      <w:r w:rsidR="005A363A">
        <w:rPr>
          <w:sz w:val="24"/>
          <w:szCs w:val="24"/>
        </w:rPr>
        <w:t>, financial and operating systems</w:t>
      </w:r>
      <w:r w:rsidRPr="004A4CC2">
        <w:rPr>
          <w:sz w:val="24"/>
          <w:szCs w:val="24"/>
        </w:rPr>
        <w:t xml:space="preserve"> and working practices</w:t>
      </w:r>
      <w:r>
        <w:rPr>
          <w:sz w:val="24"/>
          <w:szCs w:val="24"/>
        </w:rPr>
        <w:t>,</w:t>
      </w:r>
      <w:r w:rsidRPr="004A4CC2">
        <w:rPr>
          <w:sz w:val="24"/>
          <w:szCs w:val="24"/>
        </w:rPr>
        <w:t xml:space="preserve"> which apply in practice and are designed to ensure</w:t>
      </w:r>
      <w:r w:rsidR="005A363A">
        <w:rPr>
          <w:sz w:val="24"/>
          <w:szCs w:val="24"/>
        </w:rPr>
        <w:t xml:space="preserve"> an</w:t>
      </w:r>
      <w:r w:rsidRPr="004A4CC2">
        <w:rPr>
          <w:sz w:val="24"/>
          <w:szCs w:val="24"/>
        </w:rPr>
        <w:t xml:space="preserve"> effective </w:t>
      </w:r>
      <w:r w:rsidR="005A363A">
        <w:rPr>
          <w:sz w:val="24"/>
          <w:szCs w:val="24"/>
        </w:rPr>
        <w:t xml:space="preserve">financial </w:t>
      </w:r>
      <w:r w:rsidRPr="004A4CC2">
        <w:rPr>
          <w:sz w:val="24"/>
          <w:szCs w:val="24"/>
        </w:rPr>
        <w:t>governance and decision making</w:t>
      </w:r>
      <w:r w:rsidR="005A363A">
        <w:rPr>
          <w:sz w:val="24"/>
          <w:szCs w:val="24"/>
        </w:rPr>
        <w:t xml:space="preserve"> </w:t>
      </w:r>
      <w:r w:rsidR="00D62358">
        <w:rPr>
          <w:sz w:val="24"/>
          <w:szCs w:val="24"/>
        </w:rPr>
        <w:t>framework is established</w:t>
      </w:r>
      <w:r w:rsidRPr="004A4CC2">
        <w:rPr>
          <w:sz w:val="24"/>
          <w:szCs w:val="24"/>
        </w:rPr>
        <w:t xml:space="preserve">.  </w:t>
      </w:r>
    </w:p>
    <w:p w:rsidR="004A4CC2" w:rsidRPr="004A4CC2" w:rsidRDefault="009226FC" w:rsidP="004A4CC2">
      <w:pPr>
        <w:rPr>
          <w:sz w:val="24"/>
          <w:szCs w:val="24"/>
        </w:rPr>
      </w:pPr>
      <w:r>
        <w:rPr>
          <w:sz w:val="24"/>
          <w:szCs w:val="24"/>
        </w:rPr>
        <w:t>An effective control</w:t>
      </w:r>
      <w:r w:rsidR="005A363A">
        <w:rPr>
          <w:sz w:val="24"/>
          <w:szCs w:val="24"/>
        </w:rPr>
        <w:t xml:space="preserve"> framework</w:t>
      </w:r>
      <w:r w:rsidR="00D62358">
        <w:rPr>
          <w:sz w:val="24"/>
          <w:szCs w:val="24"/>
        </w:rPr>
        <w:t xml:space="preserve"> is based on a</w:t>
      </w:r>
      <w:r w:rsidR="004A4CC2" w:rsidRPr="004A4CC2">
        <w:rPr>
          <w:sz w:val="24"/>
          <w:szCs w:val="24"/>
        </w:rPr>
        <w:t xml:space="preserve"> culture </w:t>
      </w:r>
      <w:r w:rsidR="004B234B">
        <w:rPr>
          <w:sz w:val="24"/>
          <w:szCs w:val="24"/>
        </w:rPr>
        <w:t>of openness and transparency, with</w:t>
      </w:r>
      <w:r w:rsidR="004A4CC2" w:rsidRPr="004A4CC2">
        <w:rPr>
          <w:sz w:val="24"/>
          <w:szCs w:val="24"/>
        </w:rPr>
        <w:t xml:space="preserve"> leadersh</w:t>
      </w:r>
      <w:r w:rsidR="004B234B">
        <w:rPr>
          <w:sz w:val="24"/>
          <w:szCs w:val="24"/>
        </w:rPr>
        <w:t>ip setting the tone for the organisation</w:t>
      </w:r>
      <w:r w:rsidR="00D62358">
        <w:rPr>
          <w:sz w:val="24"/>
          <w:szCs w:val="24"/>
        </w:rPr>
        <w:t>.  This includes</w:t>
      </w:r>
      <w:r w:rsidR="004A4CC2" w:rsidRPr="004A4CC2">
        <w:rPr>
          <w:sz w:val="24"/>
          <w:szCs w:val="24"/>
        </w:rPr>
        <w:t xml:space="preserve"> </w:t>
      </w:r>
      <w:r w:rsidR="00D62358">
        <w:rPr>
          <w:sz w:val="24"/>
          <w:szCs w:val="24"/>
        </w:rPr>
        <w:t>ensuring that organisation</w:t>
      </w:r>
      <w:r w:rsidR="004B234B">
        <w:rPr>
          <w:sz w:val="24"/>
          <w:szCs w:val="24"/>
        </w:rPr>
        <w:t xml:space="preserve"> </w:t>
      </w:r>
      <w:r w:rsidR="004A4CC2" w:rsidRPr="004A4CC2">
        <w:rPr>
          <w:sz w:val="24"/>
          <w:szCs w:val="24"/>
        </w:rPr>
        <w:t>values and behaviours</w:t>
      </w:r>
      <w:r w:rsidR="00D62358">
        <w:rPr>
          <w:sz w:val="24"/>
          <w:szCs w:val="24"/>
        </w:rPr>
        <w:t xml:space="preserve"> are demonstrated throughout</w:t>
      </w:r>
      <w:r w:rsidR="004B234B">
        <w:rPr>
          <w:sz w:val="24"/>
          <w:szCs w:val="24"/>
        </w:rPr>
        <w:t xml:space="preserve"> </w:t>
      </w:r>
      <w:r w:rsidR="00D62358">
        <w:rPr>
          <w:sz w:val="24"/>
          <w:szCs w:val="24"/>
        </w:rPr>
        <w:t>the organisation and applied consistently.</w:t>
      </w:r>
    </w:p>
    <w:p w:rsidR="004A4CC2" w:rsidRPr="004A4CC2" w:rsidRDefault="004A4CC2" w:rsidP="004A4CC2">
      <w:pPr>
        <w:rPr>
          <w:sz w:val="24"/>
          <w:szCs w:val="24"/>
        </w:rPr>
      </w:pPr>
      <w:r w:rsidRPr="004A4CC2">
        <w:rPr>
          <w:sz w:val="24"/>
          <w:szCs w:val="24"/>
        </w:rPr>
        <w:t xml:space="preserve">A good </w:t>
      </w:r>
      <w:r w:rsidR="009226FC">
        <w:rPr>
          <w:sz w:val="24"/>
          <w:szCs w:val="24"/>
        </w:rPr>
        <w:t>controls</w:t>
      </w:r>
      <w:r w:rsidRPr="004A4CC2">
        <w:rPr>
          <w:sz w:val="24"/>
          <w:szCs w:val="24"/>
        </w:rPr>
        <w:t xml:space="preserve"> framework, linked to the management of risks, considers the controls and therefore ass</w:t>
      </w:r>
      <w:r>
        <w:rPr>
          <w:sz w:val="24"/>
          <w:szCs w:val="24"/>
        </w:rPr>
        <w:t>urances over</w:t>
      </w:r>
      <w:r w:rsidR="00F45A2B">
        <w:rPr>
          <w:sz w:val="24"/>
          <w:szCs w:val="24"/>
        </w:rPr>
        <w:t xml:space="preserve"> a layered</w:t>
      </w:r>
      <w:r w:rsidR="00D62358">
        <w:rPr>
          <w:sz w:val="24"/>
          <w:szCs w:val="24"/>
        </w:rPr>
        <w:t xml:space="preserve"> framework of control</w:t>
      </w:r>
      <w:r w:rsidRPr="004A4CC2">
        <w:rPr>
          <w:sz w:val="24"/>
          <w:szCs w:val="24"/>
        </w:rPr>
        <w:t>:</w:t>
      </w:r>
    </w:p>
    <w:p w:rsidR="004A4CC2" w:rsidRPr="004A4CC2" w:rsidRDefault="004A4CC2" w:rsidP="00DC4251">
      <w:pPr>
        <w:pStyle w:val="ListParagraph"/>
        <w:numPr>
          <w:ilvl w:val="0"/>
          <w:numId w:val="22"/>
        </w:numPr>
        <w:rPr>
          <w:sz w:val="24"/>
          <w:szCs w:val="24"/>
        </w:rPr>
      </w:pPr>
      <w:r w:rsidRPr="004A4CC2">
        <w:rPr>
          <w:sz w:val="24"/>
          <w:szCs w:val="24"/>
        </w:rPr>
        <w:t>Line 1: Management control for example policies and procedures being applied; management decision making and escalation and line management</w:t>
      </w:r>
    </w:p>
    <w:p w:rsidR="004A4CC2" w:rsidRPr="004A4CC2" w:rsidRDefault="004A4CC2" w:rsidP="00DC4251">
      <w:pPr>
        <w:pStyle w:val="ListParagraph"/>
        <w:numPr>
          <w:ilvl w:val="0"/>
          <w:numId w:val="22"/>
        </w:numPr>
        <w:rPr>
          <w:sz w:val="24"/>
          <w:szCs w:val="24"/>
        </w:rPr>
      </w:pPr>
      <w:r w:rsidRPr="004A4CC2">
        <w:rPr>
          <w:sz w:val="24"/>
          <w:szCs w:val="24"/>
        </w:rPr>
        <w:t xml:space="preserve">Line 2: Scrutiny and Assurance of the decisions made </w:t>
      </w:r>
    </w:p>
    <w:p w:rsidR="004A4CC2" w:rsidRPr="004A4CC2" w:rsidRDefault="004A4CC2" w:rsidP="00DC4251">
      <w:pPr>
        <w:pStyle w:val="ListParagraph"/>
        <w:numPr>
          <w:ilvl w:val="0"/>
          <w:numId w:val="22"/>
        </w:numPr>
        <w:rPr>
          <w:sz w:val="24"/>
          <w:szCs w:val="24"/>
        </w:rPr>
      </w:pPr>
      <w:r w:rsidRPr="004A4CC2">
        <w:rPr>
          <w:sz w:val="24"/>
          <w:szCs w:val="24"/>
        </w:rPr>
        <w:t>Line 3: Independent assurance</w:t>
      </w:r>
      <w:r w:rsidR="004B234B">
        <w:rPr>
          <w:sz w:val="24"/>
          <w:szCs w:val="24"/>
        </w:rPr>
        <w:t xml:space="preserve"> </w:t>
      </w:r>
    </w:p>
    <w:p w:rsidR="00D62358" w:rsidRDefault="00D62358" w:rsidP="004A4CC2">
      <w:pPr>
        <w:rPr>
          <w:sz w:val="24"/>
          <w:szCs w:val="24"/>
        </w:rPr>
      </w:pPr>
    </w:p>
    <w:p w:rsidR="004A4CC2" w:rsidRDefault="004A4CC2" w:rsidP="004A4CC2">
      <w:pPr>
        <w:rPr>
          <w:sz w:val="24"/>
          <w:szCs w:val="24"/>
        </w:rPr>
      </w:pPr>
      <w:r>
        <w:rPr>
          <w:sz w:val="24"/>
          <w:szCs w:val="24"/>
        </w:rPr>
        <w:lastRenderedPageBreak/>
        <w:t>This control framework</w:t>
      </w:r>
      <w:r w:rsidRPr="004A4CC2">
        <w:rPr>
          <w:sz w:val="24"/>
          <w:szCs w:val="24"/>
        </w:rPr>
        <w:t xml:space="preserve"> is designed to ensure decisions (aligned to risk and the failure to achieve the N</w:t>
      </w:r>
      <w:r w:rsidR="005968F6">
        <w:rPr>
          <w:sz w:val="24"/>
          <w:szCs w:val="24"/>
        </w:rPr>
        <w:t xml:space="preserve">HS Board’s strategic objectives, </w:t>
      </w:r>
      <w:r w:rsidRPr="004A4CC2">
        <w:rPr>
          <w:sz w:val="24"/>
          <w:szCs w:val="24"/>
        </w:rPr>
        <w:t>including protect</w:t>
      </w:r>
      <w:r>
        <w:rPr>
          <w:sz w:val="24"/>
          <w:szCs w:val="24"/>
        </w:rPr>
        <w:t>ing</w:t>
      </w:r>
      <w:r w:rsidRPr="004A4CC2">
        <w:rPr>
          <w:sz w:val="24"/>
          <w:szCs w:val="24"/>
        </w:rPr>
        <w:t xml:space="preserve"> against reputational damage) are considered at appropriate levels within the NHS Boa</w:t>
      </w:r>
      <w:r w:rsidR="00D53756">
        <w:rPr>
          <w:sz w:val="24"/>
          <w:szCs w:val="24"/>
        </w:rPr>
        <w:t>rd and decisions are subject to scrutiny</w:t>
      </w:r>
      <w:r w:rsidR="00F45A2B">
        <w:rPr>
          <w:sz w:val="24"/>
          <w:szCs w:val="24"/>
        </w:rPr>
        <w:t xml:space="preserve"> at various check points</w:t>
      </w:r>
      <w:r w:rsidRPr="004A4CC2">
        <w:rPr>
          <w:sz w:val="24"/>
          <w:szCs w:val="24"/>
        </w:rPr>
        <w:t xml:space="preserve"> by </w:t>
      </w:r>
      <w:r w:rsidR="00F45A2B">
        <w:rPr>
          <w:sz w:val="24"/>
          <w:szCs w:val="24"/>
        </w:rPr>
        <w:t xml:space="preserve">Management, Non-Executives and </w:t>
      </w:r>
      <w:r w:rsidRPr="004A4CC2">
        <w:rPr>
          <w:sz w:val="24"/>
          <w:szCs w:val="24"/>
        </w:rPr>
        <w:t>independent assurance providers</w:t>
      </w:r>
      <w:r w:rsidR="009226FC">
        <w:rPr>
          <w:sz w:val="24"/>
          <w:szCs w:val="24"/>
        </w:rPr>
        <w:t xml:space="preserve"> for example internal audit and external auditor</w:t>
      </w:r>
      <w:r w:rsidR="00F45A2B">
        <w:rPr>
          <w:sz w:val="24"/>
          <w:szCs w:val="24"/>
        </w:rPr>
        <w:t xml:space="preserve"> (as appropriate to their respective role)</w:t>
      </w:r>
      <w:r w:rsidRPr="004A4CC2">
        <w:rPr>
          <w:sz w:val="24"/>
          <w:szCs w:val="24"/>
        </w:rPr>
        <w:t>.</w:t>
      </w:r>
    </w:p>
    <w:p w:rsidR="00F45A2B" w:rsidRDefault="00CE7253" w:rsidP="00CE7253">
      <w:pPr>
        <w:rPr>
          <w:sz w:val="24"/>
          <w:szCs w:val="24"/>
        </w:rPr>
      </w:pPr>
      <w:r>
        <w:rPr>
          <w:sz w:val="24"/>
          <w:szCs w:val="24"/>
        </w:rPr>
        <w:t>In the case of the decision to retrospectively apply endowment money of £3.6 million we have evidenced examples within NHS Tayside where the anticipated financial cont</w:t>
      </w:r>
      <w:r w:rsidR="00D53756">
        <w:rPr>
          <w:sz w:val="24"/>
          <w:szCs w:val="24"/>
        </w:rPr>
        <w:t>rols, particula</w:t>
      </w:r>
      <w:r w:rsidR="005968F6">
        <w:rPr>
          <w:sz w:val="24"/>
          <w:szCs w:val="24"/>
        </w:rPr>
        <w:t xml:space="preserve">rly across management; scrutiny; </w:t>
      </w:r>
      <w:r w:rsidR="00D53756">
        <w:rPr>
          <w:sz w:val="24"/>
          <w:szCs w:val="24"/>
        </w:rPr>
        <w:t>and assurance</w:t>
      </w:r>
      <w:r>
        <w:rPr>
          <w:sz w:val="24"/>
          <w:szCs w:val="24"/>
        </w:rPr>
        <w:t xml:space="preserve"> were either</w:t>
      </w:r>
      <w:r w:rsidR="005968F6">
        <w:rPr>
          <w:sz w:val="24"/>
          <w:szCs w:val="24"/>
        </w:rPr>
        <w:t xml:space="preserve"> not in place</w:t>
      </w:r>
      <w:r w:rsidR="00D53756">
        <w:rPr>
          <w:sz w:val="24"/>
          <w:szCs w:val="24"/>
        </w:rPr>
        <w:t xml:space="preserve"> or did not operate as effectively as intended</w:t>
      </w:r>
      <w:r>
        <w:rPr>
          <w:sz w:val="24"/>
          <w:szCs w:val="24"/>
        </w:rPr>
        <w:t xml:space="preserve">. </w:t>
      </w:r>
    </w:p>
    <w:p w:rsidR="00F45A2B" w:rsidRDefault="005968F6" w:rsidP="00CE7253">
      <w:pPr>
        <w:rPr>
          <w:sz w:val="24"/>
          <w:szCs w:val="24"/>
        </w:rPr>
      </w:pPr>
      <w:r>
        <w:rPr>
          <w:sz w:val="24"/>
          <w:szCs w:val="24"/>
        </w:rPr>
        <w:t>Below are our overall comments which are then supported within our detailed findings in the sections of the report</w:t>
      </w:r>
      <w:r w:rsidR="00F45A2B">
        <w:rPr>
          <w:sz w:val="24"/>
          <w:szCs w:val="24"/>
        </w:rPr>
        <w:t>:</w:t>
      </w:r>
    </w:p>
    <w:p w:rsidR="00F45A2B" w:rsidRDefault="00F45A2B" w:rsidP="005968F6">
      <w:pPr>
        <w:pStyle w:val="ListParagraph"/>
        <w:numPr>
          <w:ilvl w:val="0"/>
          <w:numId w:val="35"/>
        </w:numPr>
        <w:rPr>
          <w:sz w:val="24"/>
          <w:szCs w:val="24"/>
        </w:rPr>
      </w:pPr>
      <w:r>
        <w:rPr>
          <w:sz w:val="24"/>
          <w:szCs w:val="24"/>
        </w:rPr>
        <w:t>A sense that the retrospective application of endowments was the only option available, supported by the portrayal that the consequences of NHS Tayside failing to</w:t>
      </w:r>
      <w:r w:rsidR="009226FC">
        <w:rPr>
          <w:sz w:val="24"/>
          <w:szCs w:val="24"/>
        </w:rPr>
        <w:t xml:space="preserve"> meet the financial targets would</w:t>
      </w:r>
      <w:r>
        <w:rPr>
          <w:sz w:val="24"/>
          <w:szCs w:val="24"/>
        </w:rPr>
        <w:t xml:space="preserve"> have</w:t>
      </w:r>
      <w:r w:rsidR="009226FC">
        <w:rPr>
          <w:sz w:val="24"/>
          <w:szCs w:val="24"/>
        </w:rPr>
        <w:t xml:space="preserve"> a</w:t>
      </w:r>
      <w:r>
        <w:rPr>
          <w:sz w:val="24"/>
          <w:szCs w:val="24"/>
        </w:rPr>
        <w:t xml:space="preserve"> significant impact on the NHS Board</w:t>
      </w:r>
      <w:r w:rsidR="009226FC">
        <w:rPr>
          <w:sz w:val="24"/>
          <w:szCs w:val="24"/>
        </w:rPr>
        <w:t xml:space="preserve">.  </w:t>
      </w:r>
      <w:r w:rsidR="005968F6">
        <w:rPr>
          <w:sz w:val="24"/>
          <w:szCs w:val="24"/>
        </w:rPr>
        <w:t>Although, the Board received brokerage in 2012/13 and also in 2013/14 so there is an assumption that the Board shoul</w:t>
      </w:r>
      <w:r w:rsidR="0005764E">
        <w:rPr>
          <w:sz w:val="24"/>
          <w:szCs w:val="24"/>
        </w:rPr>
        <w:t>d have been aware of requesting additional brokerage was</w:t>
      </w:r>
      <w:r w:rsidR="005968F6">
        <w:rPr>
          <w:sz w:val="24"/>
          <w:szCs w:val="24"/>
        </w:rPr>
        <w:t xml:space="preserve"> available to them</w:t>
      </w:r>
    </w:p>
    <w:p w:rsidR="005968F6" w:rsidRPr="005968F6" w:rsidRDefault="005968F6" w:rsidP="005968F6">
      <w:pPr>
        <w:pStyle w:val="ListParagraph"/>
        <w:rPr>
          <w:sz w:val="24"/>
          <w:szCs w:val="24"/>
        </w:rPr>
      </w:pPr>
    </w:p>
    <w:p w:rsidR="00F45A2B" w:rsidRDefault="00F45A2B" w:rsidP="00646C90">
      <w:pPr>
        <w:pStyle w:val="ListParagraph"/>
        <w:numPr>
          <w:ilvl w:val="0"/>
          <w:numId w:val="35"/>
        </w:numPr>
        <w:rPr>
          <w:sz w:val="24"/>
          <w:szCs w:val="24"/>
        </w:rPr>
      </w:pPr>
      <w:r>
        <w:rPr>
          <w:sz w:val="24"/>
          <w:szCs w:val="24"/>
        </w:rPr>
        <w:t>A potential sense of urgency to find an identified solution, for example the quick turnaround time requested of the Central Legal Office advice, and the initial paper going to NHS Tayside Committee Chairs and then Trustees with the projects and expenditure determined in less than one month.  This was triggered in early January when despite confidences</w:t>
      </w:r>
      <w:r w:rsidR="0005764E">
        <w:rPr>
          <w:sz w:val="24"/>
          <w:szCs w:val="24"/>
        </w:rPr>
        <w:t xml:space="preserve"> by the Director of Finance</w:t>
      </w:r>
      <w:r>
        <w:rPr>
          <w:sz w:val="24"/>
          <w:szCs w:val="24"/>
        </w:rPr>
        <w:t xml:space="preserve"> to the Finance and Resources Committee that financial break-even would be achieved it </w:t>
      </w:r>
      <w:r w:rsidR="0005764E">
        <w:rPr>
          <w:sz w:val="24"/>
          <w:szCs w:val="24"/>
        </w:rPr>
        <w:t xml:space="preserve">appeared to became clear </w:t>
      </w:r>
      <w:r>
        <w:rPr>
          <w:sz w:val="24"/>
          <w:szCs w:val="24"/>
        </w:rPr>
        <w:t xml:space="preserve">that this was not going to happen; </w:t>
      </w:r>
    </w:p>
    <w:p w:rsidR="00F45A2B" w:rsidRPr="00F45A2B" w:rsidRDefault="00F45A2B" w:rsidP="00F45A2B">
      <w:pPr>
        <w:pStyle w:val="ListParagraph"/>
        <w:rPr>
          <w:sz w:val="24"/>
          <w:szCs w:val="24"/>
        </w:rPr>
      </w:pPr>
    </w:p>
    <w:p w:rsidR="00F45A2B" w:rsidRPr="00F45A2B" w:rsidRDefault="00F45A2B" w:rsidP="00646C90">
      <w:pPr>
        <w:pStyle w:val="ListParagraph"/>
        <w:numPr>
          <w:ilvl w:val="0"/>
          <w:numId w:val="35"/>
        </w:numPr>
        <w:rPr>
          <w:sz w:val="24"/>
          <w:szCs w:val="24"/>
        </w:rPr>
      </w:pPr>
      <w:r>
        <w:rPr>
          <w:sz w:val="24"/>
          <w:szCs w:val="24"/>
        </w:rPr>
        <w:t>A lack of clarity over NHS Tayside’s overall financial position during the year due to reports which were either hard to follow</w:t>
      </w:r>
      <w:r w:rsidR="0005764E">
        <w:rPr>
          <w:sz w:val="24"/>
          <w:szCs w:val="24"/>
        </w:rPr>
        <w:t xml:space="preserve"> in our view</w:t>
      </w:r>
      <w:r>
        <w:rPr>
          <w:sz w:val="24"/>
          <w:szCs w:val="24"/>
        </w:rPr>
        <w:t xml:space="preserve"> or only verbal updates being given</w:t>
      </w:r>
      <w:r w:rsidR="0005764E">
        <w:rPr>
          <w:sz w:val="24"/>
          <w:szCs w:val="24"/>
        </w:rPr>
        <w:t xml:space="preserve"> according to the minutes</w:t>
      </w:r>
      <w:r>
        <w:rPr>
          <w:sz w:val="24"/>
          <w:szCs w:val="24"/>
        </w:rPr>
        <w:t>.</w:t>
      </w:r>
      <w:r w:rsidR="009226FC">
        <w:rPr>
          <w:sz w:val="24"/>
          <w:szCs w:val="24"/>
        </w:rPr>
        <w:t xml:space="preserve">  Based on our review of financial reports over the period this was historic, although improvements started to be made from 2015/16 onwards.</w:t>
      </w:r>
      <w:r>
        <w:rPr>
          <w:sz w:val="24"/>
          <w:szCs w:val="24"/>
        </w:rPr>
        <w:t xml:space="preserve">  </w:t>
      </w:r>
      <w:r w:rsidR="009226FC">
        <w:rPr>
          <w:sz w:val="24"/>
          <w:szCs w:val="24"/>
        </w:rPr>
        <w:t>In 2013/14 the</w:t>
      </w:r>
      <w:r>
        <w:rPr>
          <w:sz w:val="24"/>
          <w:szCs w:val="24"/>
        </w:rPr>
        <w:t xml:space="preserve"> financial information being rep</w:t>
      </w:r>
      <w:r w:rsidR="009226FC">
        <w:rPr>
          <w:sz w:val="24"/>
          <w:szCs w:val="24"/>
        </w:rPr>
        <w:t>orted up to the Board was typically three months out of date</w:t>
      </w:r>
      <w:r w:rsidR="0005764E">
        <w:rPr>
          <w:sz w:val="24"/>
          <w:szCs w:val="24"/>
        </w:rPr>
        <w:t xml:space="preserve"> based on our review</w:t>
      </w:r>
      <w:r w:rsidR="005968F6">
        <w:rPr>
          <w:sz w:val="24"/>
          <w:szCs w:val="24"/>
        </w:rPr>
        <w:t>, although more updated finance information was available as this was submitted to the Scottish Government</w:t>
      </w:r>
      <w:r w:rsidR="009226FC">
        <w:rPr>
          <w:sz w:val="24"/>
          <w:szCs w:val="24"/>
        </w:rPr>
        <w:t>.  In addition the practice of verbal updates to the Fina</w:t>
      </w:r>
      <w:r w:rsidR="005968F6">
        <w:rPr>
          <w:sz w:val="24"/>
          <w:szCs w:val="24"/>
        </w:rPr>
        <w:t>nce and Resources Committee would</w:t>
      </w:r>
      <w:r w:rsidR="009226FC">
        <w:rPr>
          <w:sz w:val="24"/>
          <w:szCs w:val="24"/>
        </w:rPr>
        <w:t xml:space="preserve"> not</w:t>
      </w:r>
      <w:r w:rsidR="005968F6">
        <w:rPr>
          <w:sz w:val="24"/>
          <w:szCs w:val="24"/>
        </w:rPr>
        <w:t xml:space="preserve"> have</w:t>
      </w:r>
      <w:r w:rsidR="009226FC">
        <w:rPr>
          <w:sz w:val="24"/>
          <w:szCs w:val="24"/>
        </w:rPr>
        <w:t xml:space="preserve"> allow</w:t>
      </w:r>
      <w:r w:rsidR="005968F6">
        <w:rPr>
          <w:sz w:val="24"/>
          <w:szCs w:val="24"/>
        </w:rPr>
        <w:t>ed</w:t>
      </w:r>
      <w:r w:rsidR="009226FC">
        <w:rPr>
          <w:sz w:val="24"/>
          <w:szCs w:val="24"/>
        </w:rPr>
        <w:t xml:space="preserve"> Non-Executive Members</w:t>
      </w:r>
      <w:r>
        <w:rPr>
          <w:sz w:val="24"/>
          <w:szCs w:val="24"/>
        </w:rPr>
        <w:t xml:space="preserve"> to effectively scrutinise the position</w:t>
      </w:r>
      <w:r w:rsidR="0005764E">
        <w:rPr>
          <w:sz w:val="24"/>
          <w:szCs w:val="24"/>
        </w:rPr>
        <w:t xml:space="preserve"> in our view</w:t>
      </w:r>
      <w:r>
        <w:rPr>
          <w:sz w:val="24"/>
          <w:szCs w:val="24"/>
        </w:rPr>
        <w:t xml:space="preserve"> and could lead to i</w:t>
      </w:r>
      <w:r w:rsidR="00806032">
        <w:rPr>
          <w:sz w:val="24"/>
          <w:szCs w:val="24"/>
        </w:rPr>
        <w:t>nconsistencies and misunderstanding</w:t>
      </w:r>
      <w:r>
        <w:rPr>
          <w:sz w:val="24"/>
          <w:szCs w:val="24"/>
        </w:rPr>
        <w:t xml:space="preserve"> of the actual position at a point in time.  </w:t>
      </w:r>
    </w:p>
    <w:p w:rsidR="00FF3B7C" w:rsidRDefault="00FF3B7C" w:rsidP="004A4CC2">
      <w:pPr>
        <w:rPr>
          <w:b/>
          <w:bCs/>
          <w:color w:val="4F2D7F" w:themeColor="accent1"/>
          <w:sz w:val="24"/>
          <w:szCs w:val="24"/>
        </w:rPr>
      </w:pPr>
    </w:p>
    <w:p w:rsidR="004A4CC2" w:rsidRPr="00086FE9" w:rsidRDefault="00FF3B7C" w:rsidP="004A4CC2">
      <w:pPr>
        <w:rPr>
          <w:b/>
          <w:bCs/>
          <w:color w:val="4F2D7F" w:themeColor="accent1"/>
          <w:sz w:val="24"/>
          <w:szCs w:val="24"/>
        </w:rPr>
      </w:pPr>
      <w:r>
        <w:rPr>
          <w:b/>
          <w:bCs/>
          <w:color w:val="4F2D7F" w:themeColor="accent1"/>
          <w:sz w:val="24"/>
          <w:szCs w:val="24"/>
        </w:rPr>
        <w:t xml:space="preserve">Findings and recommendations </w:t>
      </w:r>
      <w:r w:rsidR="00086FE9" w:rsidRPr="00086FE9">
        <w:rPr>
          <w:b/>
          <w:bCs/>
          <w:color w:val="4F2D7F" w:themeColor="accent1"/>
          <w:sz w:val="24"/>
          <w:szCs w:val="24"/>
        </w:rPr>
        <w:t xml:space="preserve"> </w:t>
      </w:r>
    </w:p>
    <w:p w:rsidR="00086FE9" w:rsidRDefault="00FF3B7C" w:rsidP="00FF3B7C">
      <w:pPr>
        <w:pStyle w:val="BodyText"/>
        <w:jc w:val="both"/>
        <w:rPr>
          <w:sz w:val="24"/>
          <w:szCs w:val="24"/>
        </w:rPr>
      </w:pPr>
      <w:r>
        <w:rPr>
          <w:sz w:val="24"/>
          <w:szCs w:val="24"/>
        </w:rPr>
        <w:t>In each section of this report we have summarised the:</w:t>
      </w:r>
    </w:p>
    <w:p w:rsidR="00FF3B7C" w:rsidRDefault="00FF3B7C" w:rsidP="00646C90">
      <w:pPr>
        <w:pStyle w:val="BodyText"/>
        <w:numPr>
          <w:ilvl w:val="0"/>
          <w:numId w:val="33"/>
        </w:numPr>
        <w:jc w:val="both"/>
        <w:rPr>
          <w:sz w:val="24"/>
          <w:szCs w:val="24"/>
        </w:rPr>
      </w:pPr>
      <w:r>
        <w:rPr>
          <w:sz w:val="24"/>
          <w:szCs w:val="24"/>
        </w:rPr>
        <w:t>Scope of</w:t>
      </w:r>
      <w:r w:rsidR="00F45A2B">
        <w:rPr>
          <w:sz w:val="24"/>
          <w:szCs w:val="24"/>
        </w:rPr>
        <w:t xml:space="preserve"> our work</w:t>
      </w:r>
    </w:p>
    <w:p w:rsidR="00FF3B7C" w:rsidRDefault="00FF3B7C" w:rsidP="00646C90">
      <w:pPr>
        <w:pStyle w:val="BodyText"/>
        <w:numPr>
          <w:ilvl w:val="0"/>
          <w:numId w:val="33"/>
        </w:numPr>
        <w:jc w:val="both"/>
        <w:rPr>
          <w:sz w:val="24"/>
          <w:szCs w:val="24"/>
        </w:rPr>
      </w:pPr>
      <w:r>
        <w:rPr>
          <w:sz w:val="24"/>
          <w:szCs w:val="24"/>
        </w:rPr>
        <w:t xml:space="preserve">Our </w:t>
      </w:r>
      <w:r w:rsidR="00F45A2B">
        <w:rPr>
          <w:sz w:val="24"/>
          <w:szCs w:val="24"/>
        </w:rPr>
        <w:t>key observations</w:t>
      </w:r>
      <w:r w:rsidR="00E26978">
        <w:rPr>
          <w:sz w:val="24"/>
          <w:szCs w:val="24"/>
        </w:rPr>
        <w:t xml:space="preserve"> and </w:t>
      </w:r>
      <w:r>
        <w:rPr>
          <w:sz w:val="24"/>
          <w:szCs w:val="24"/>
        </w:rPr>
        <w:t xml:space="preserve">findings </w:t>
      </w:r>
    </w:p>
    <w:p w:rsidR="00FF3B7C" w:rsidRDefault="00F45A2B" w:rsidP="00646C90">
      <w:pPr>
        <w:pStyle w:val="BodyText"/>
        <w:numPr>
          <w:ilvl w:val="0"/>
          <w:numId w:val="33"/>
        </w:numPr>
        <w:jc w:val="both"/>
        <w:rPr>
          <w:sz w:val="24"/>
          <w:szCs w:val="24"/>
        </w:rPr>
      </w:pPr>
      <w:r>
        <w:rPr>
          <w:sz w:val="24"/>
          <w:szCs w:val="24"/>
        </w:rPr>
        <w:t>Where relevant r</w:t>
      </w:r>
      <w:r w:rsidR="00E26978">
        <w:rPr>
          <w:sz w:val="24"/>
          <w:szCs w:val="24"/>
        </w:rPr>
        <w:t>ecommendations for further consideration</w:t>
      </w:r>
    </w:p>
    <w:p w:rsidR="00E26978" w:rsidRPr="00E26978" w:rsidRDefault="00E26978" w:rsidP="007B5A1E">
      <w:pPr>
        <w:pStyle w:val="BodyText"/>
        <w:rPr>
          <w:sz w:val="24"/>
          <w:szCs w:val="24"/>
        </w:rPr>
      </w:pPr>
      <w:r>
        <w:rPr>
          <w:sz w:val="24"/>
          <w:szCs w:val="24"/>
        </w:rPr>
        <w:t xml:space="preserve">Our work has been based on the evidence available and we draw conclusions on this basis.  </w:t>
      </w:r>
    </w:p>
    <w:p w:rsidR="00583B04" w:rsidRDefault="00583B04" w:rsidP="00891613">
      <w:pPr>
        <w:pStyle w:val="BodyText"/>
        <w:ind w:left="284"/>
        <w:rPr>
          <w:b/>
          <w:bCs/>
          <w:color w:val="4F2D7F" w:themeColor="accent1"/>
          <w:sz w:val="24"/>
          <w:szCs w:val="24"/>
        </w:rPr>
      </w:pPr>
    </w:p>
    <w:p w:rsidR="00F74FFC" w:rsidRDefault="00F74FFC">
      <w:pPr>
        <w:spacing w:after="0" w:line="240" w:lineRule="auto"/>
        <w:rPr>
          <w:rFonts w:asciiTheme="majorHAnsi" w:hAnsiTheme="majorHAnsi" w:cstheme="majorHAnsi"/>
          <w:b/>
          <w:bCs/>
          <w:color w:val="4F2D7F" w:themeColor="accent1"/>
          <w:kern w:val="32"/>
          <w:sz w:val="44"/>
          <w:szCs w:val="44"/>
        </w:rPr>
      </w:pPr>
    </w:p>
    <w:p w:rsidR="00583B04" w:rsidRPr="00EB3072" w:rsidRDefault="00EB3072" w:rsidP="00EB3072">
      <w:pPr>
        <w:pStyle w:val="BodyText"/>
        <w:rPr>
          <w:rFonts w:asciiTheme="majorHAnsi" w:hAnsiTheme="majorHAnsi" w:cstheme="majorHAnsi"/>
          <w:b/>
          <w:bCs/>
          <w:color w:val="4F2D7F" w:themeColor="accent1"/>
          <w:kern w:val="32"/>
          <w:sz w:val="44"/>
          <w:szCs w:val="44"/>
        </w:rPr>
      </w:pPr>
      <w:r w:rsidRPr="00EB3072">
        <w:rPr>
          <w:rFonts w:asciiTheme="majorHAnsi" w:hAnsiTheme="majorHAnsi" w:cstheme="majorHAnsi"/>
          <w:b/>
          <w:bCs/>
          <w:color w:val="4F2D7F" w:themeColor="accent1"/>
          <w:kern w:val="32"/>
          <w:sz w:val="44"/>
          <w:szCs w:val="44"/>
        </w:rPr>
        <w:t xml:space="preserve">Use of endowment money to achieve the 2013/14 </w:t>
      </w:r>
      <w:r w:rsidR="00AF175E">
        <w:rPr>
          <w:rFonts w:asciiTheme="majorHAnsi" w:hAnsiTheme="majorHAnsi" w:cstheme="majorHAnsi"/>
          <w:b/>
          <w:bCs/>
          <w:color w:val="4F2D7F" w:themeColor="accent1"/>
          <w:kern w:val="32"/>
          <w:sz w:val="44"/>
          <w:szCs w:val="44"/>
        </w:rPr>
        <w:t xml:space="preserve">break-even </w:t>
      </w:r>
      <w:r w:rsidRPr="00EB3072">
        <w:rPr>
          <w:rFonts w:asciiTheme="majorHAnsi" w:hAnsiTheme="majorHAnsi" w:cstheme="majorHAnsi"/>
          <w:b/>
          <w:bCs/>
          <w:color w:val="4F2D7F" w:themeColor="accent1"/>
          <w:kern w:val="32"/>
          <w:sz w:val="44"/>
          <w:szCs w:val="44"/>
        </w:rPr>
        <w:t>financial position of NHS Tayside</w:t>
      </w:r>
    </w:p>
    <w:p w:rsidR="00D0734A" w:rsidRDefault="00D0734A" w:rsidP="007B5A1E">
      <w:pPr>
        <w:pStyle w:val="BodyText"/>
        <w:rPr>
          <w:sz w:val="24"/>
          <w:szCs w:val="24"/>
        </w:rPr>
      </w:pPr>
    </w:p>
    <w:tbl>
      <w:tblPr>
        <w:tblStyle w:val="GTITableStyle1"/>
        <w:tblW w:w="0" w:type="auto"/>
        <w:tblBorders>
          <w:top w:val="single" w:sz="4" w:space="0" w:color="auto"/>
          <w:left w:val="single" w:sz="4" w:space="0" w:color="auto"/>
          <w:bottom w:val="single" w:sz="4" w:space="0" w:color="auto"/>
          <w:right w:val="single" w:sz="4" w:space="0" w:color="auto"/>
          <w:insideH w:val="none" w:sz="0" w:space="0" w:color="auto"/>
        </w:tblBorders>
        <w:tblLook w:val="04A0"/>
      </w:tblPr>
      <w:tblGrid>
        <w:gridCol w:w="9293"/>
      </w:tblGrid>
      <w:tr w:rsidR="00625D8D" w:rsidTr="00625D8D">
        <w:trPr>
          <w:cnfStyle w:val="100000000000"/>
        </w:trPr>
        <w:tc>
          <w:tcPr>
            <w:tcW w:w="929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9718D" w:rsidRDefault="0089718D" w:rsidP="0089718D">
            <w:pPr>
              <w:spacing w:after="0" w:line="240" w:lineRule="auto"/>
              <w:rPr>
                <w:color w:val="auto"/>
                <w:sz w:val="24"/>
                <w:szCs w:val="24"/>
              </w:rPr>
            </w:pPr>
            <w:r>
              <w:rPr>
                <w:sz w:val="24"/>
                <w:szCs w:val="24"/>
              </w:rPr>
              <w:t>Scope of our work</w:t>
            </w:r>
            <w:r w:rsidR="00625D8D">
              <w:rPr>
                <w:sz w:val="24"/>
                <w:szCs w:val="24"/>
              </w:rPr>
              <w:t xml:space="preserve">:  </w:t>
            </w:r>
            <w:r w:rsidR="00F45A2B">
              <w:rPr>
                <w:color w:val="auto"/>
                <w:sz w:val="24"/>
                <w:szCs w:val="24"/>
              </w:rPr>
              <w:t>Our work considered</w:t>
            </w:r>
            <w:r w:rsidR="00746CFF">
              <w:rPr>
                <w:color w:val="auto"/>
                <w:sz w:val="24"/>
                <w:szCs w:val="24"/>
              </w:rPr>
              <w:t xml:space="preserve"> the openness and transparency of the decision taken by the NHS Board in respect of using endowment money to meet NHS Board expenditure and support NHS Tayside in achieving its 2013/14 financial position.  We considered the evidence available, including the timeline, to support the decisions made and what information was made available to the NHS Tayside Non-Executives to inform the decision.  Internal Audit in 2013/14 produced an internal audit report on endowment arrangements and we considered this report and how internal audits work was reported.  </w:t>
            </w:r>
          </w:p>
          <w:p w:rsidR="00746CFF" w:rsidRDefault="00746CFF" w:rsidP="0089718D">
            <w:pPr>
              <w:spacing w:after="0" w:line="240" w:lineRule="auto"/>
              <w:rPr>
                <w:color w:val="auto"/>
                <w:sz w:val="24"/>
                <w:szCs w:val="24"/>
              </w:rPr>
            </w:pPr>
          </w:p>
          <w:p w:rsidR="00746CFF" w:rsidRDefault="00746CFF" w:rsidP="0089718D">
            <w:pPr>
              <w:spacing w:after="0" w:line="240" w:lineRule="auto"/>
              <w:rPr>
                <w:color w:val="auto"/>
                <w:sz w:val="24"/>
                <w:szCs w:val="24"/>
              </w:rPr>
            </w:pPr>
            <w:r>
              <w:rPr>
                <w:color w:val="auto"/>
                <w:sz w:val="24"/>
                <w:szCs w:val="24"/>
              </w:rPr>
              <w:t>As part of our work we reviewed the Endowment Fund Board of Trustee minutes, as they informed our understanding of the timeline and the decision making taken by the NHS Board.</w:t>
            </w:r>
          </w:p>
          <w:p w:rsidR="00746CFF" w:rsidRDefault="00746CFF" w:rsidP="0089718D">
            <w:pPr>
              <w:spacing w:after="0" w:line="240" w:lineRule="auto"/>
              <w:rPr>
                <w:color w:val="auto"/>
                <w:sz w:val="24"/>
                <w:szCs w:val="24"/>
              </w:rPr>
            </w:pPr>
          </w:p>
          <w:p w:rsidR="00746CFF" w:rsidRDefault="00746CFF" w:rsidP="0089718D">
            <w:pPr>
              <w:spacing w:after="0" w:line="240" w:lineRule="auto"/>
              <w:rPr>
                <w:sz w:val="24"/>
                <w:szCs w:val="24"/>
              </w:rPr>
            </w:pPr>
            <w:r>
              <w:rPr>
                <w:color w:val="auto"/>
                <w:sz w:val="24"/>
                <w:szCs w:val="24"/>
              </w:rPr>
              <w:t>We have not considered, as agreed in the scope, the nature of the £3.6million respectively endowment fund transaction and whether the funds spent met the charitable purposes of the Endowment Fund as this is</w:t>
            </w:r>
            <w:r w:rsidR="005C7DEE">
              <w:rPr>
                <w:color w:val="auto"/>
                <w:sz w:val="24"/>
                <w:szCs w:val="24"/>
              </w:rPr>
              <w:t xml:space="preserve"> one of the areas</w:t>
            </w:r>
            <w:r>
              <w:rPr>
                <w:color w:val="auto"/>
                <w:sz w:val="24"/>
                <w:szCs w:val="24"/>
              </w:rPr>
              <w:t xml:space="preserve"> being considered by OSCR</w:t>
            </w:r>
            <w:r w:rsidR="005C7DEE">
              <w:rPr>
                <w:color w:val="auto"/>
                <w:sz w:val="24"/>
                <w:szCs w:val="24"/>
              </w:rPr>
              <w:t xml:space="preserve"> as part of their inquiry</w:t>
            </w:r>
            <w:r>
              <w:rPr>
                <w:color w:val="auto"/>
                <w:sz w:val="24"/>
                <w:szCs w:val="24"/>
              </w:rPr>
              <w:t xml:space="preserve">.  </w:t>
            </w:r>
          </w:p>
          <w:p w:rsidR="00625D8D" w:rsidRDefault="00625D8D" w:rsidP="00625D8D">
            <w:pPr>
              <w:spacing w:after="0" w:line="240" w:lineRule="auto"/>
              <w:rPr>
                <w:sz w:val="24"/>
                <w:szCs w:val="24"/>
              </w:rPr>
            </w:pPr>
          </w:p>
        </w:tc>
      </w:tr>
    </w:tbl>
    <w:p w:rsidR="00625D8D" w:rsidRDefault="00625D8D">
      <w:pPr>
        <w:spacing w:after="0" w:line="240" w:lineRule="auto"/>
        <w:rPr>
          <w:sz w:val="24"/>
          <w:szCs w:val="24"/>
        </w:rPr>
      </w:pPr>
    </w:p>
    <w:p w:rsidR="000D3DA7" w:rsidRDefault="000D3DA7">
      <w:pPr>
        <w:spacing w:after="0" w:line="240" w:lineRule="auto"/>
        <w:rPr>
          <w:sz w:val="24"/>
          <w:szCs w:val="24"/>
        </w:rPr>
      </w:pPr>
      <w:r>
        <w:rPr>
          <w:sz w:val="24"/>
          <w:szCs w:val="24"/>
        </w:rPr>
        <w:t>In January and February 2014 a decision was taken</w:t>
      </w:r>
      <w:r w:rsidR="0005764E">
        <w:rPr>
          <w:sz w:val="24"/>
          <w:szCs w:val="24"/>
        </w:rPr>
        <w:t xml:space="preserve"> by the NHS Endowment Fund Trustees, on advice of the NHS Tayside Board</w:t>
      </w:r>
      <w:r>
        <w:rPr>
          <w:sz w:val="24"/>
          <w:szCs w:val="24"/>
        </w:rPr>
        <w:t xml:space="preserve"> to retrospectively use endowment monies to support NHS Tayside achieve its year-end financial position.  The breakdown of the £3.6 million has been agreed as follows:</w:t>
      </w:r>
    </w:p>
    <w:p w:rsidR="000D3DA7" w:rsidRDefault="000D3DA7">
      <w:pPr>
        <w:spacing w:after="0" w:line="240" w:lineRule="auto"/>
        <w:rPr>
          <w:sz w:val="24"/>
          <w:szCs w:val="24"/>
        </w:rPr>
      </w:pPr>
    </w:p>
    <w:tbl>
      <w:tblPr>
        <w:tblStyle w:val="GTITableStyle1"/>
        <w:tblW w:w="0" w:type="auto"/>
        <w:tblLook w:val="04A0"/>
      </w:tblPr>
      <w:tblGrid>
        <w:gridCol w:w="1858"/>
        <w:gridCol w:w="1858"/>
        <w:gridCol w:w="1859"/>
        <w:gridCol w:w="1859"/>
        <w:gridCol w:w="1859"/>
      </w:tblGrid>
      <w:tr w:rsidR="000D3DA7" w:rsidTr="000D3DA7">
        <w:trPr>
          <w:cnfStyle w:val="100000000000"/>
        </w:trPr>
        <w:tc>
          <w:tcPr>
            <w:tcW w:w="1858" w:type="dxa"/>
          </w:tcPr>
          <w:p w:rsidR="000D3DA7" w:rsidRPr="000D3DA7" w:rsidRDefault="000D3DA7">
            <w:pPr>
              <w:spacing w:after="0" w:line="240" w:lineRule="auto"/>
              <w:rPr>
                <w:sz w:val="20"/>
              </w:rPr>
            </w:pPr>
            <w:r w:rsidRPr="000D3DA7">
              <w:rPr>
                <w:sz w:val="20"/>
              </w:rPr>
              <w:t>Title</w:t>
            </w:r>
          </w:p>
        </w:tc>
        <w:tc>
          <w:tcPr>
            <w:tcW w:w="1858" w:type="dxa"/>
          </w:tcPr>
          <w:p w:rsidR="000D3DA7" w:rsidRPr="000D3DA7" w:rsidRDefault="000D3DA7">
            <w:pPr>
              <w:spacing w:after="0" w:line="240" w:lineRule="auto"/>
              <w:rPr>
                <w:sz w:val="20"/>
              </w:rPr>
            </w:pPr>
            <w:r w:rsidRPr="000D3DA7">
              <w:rPr>
                <w:sz w:val="20"/>
              </w:rPr>
              <w:t>Objective</w:t>
            </w:r>
          </w:p>
        </w:tc>
        <w:tc>
          <w:tcPr>
            <w:tcW w:w="1859" w:type="dxa"/>
          </w:tcPr>
          <w:p w:rsidR="000D3DA7" w:rsidRPr="000D3DA7" w:rsidRDefault="000D3DA7">
            <w:pPr>
              <w:spacing w:after="0" w:line="240" w:lineRule="auto"/>
              <w:rPr>
                <w:sz w:val="20"/>
              </w:rPr>
            </w:pPr>
            <w:r w:rsidRPr="000D3DA7">
              <w:rPr>
                <w:sz w:val="20"/>
              </w:rPr>
              <w:t>Bid amount*</w:t>
            </w:r>
          </w:p>
          <w:p w:rsidR="000D3DA7" w:rsidRPr="000D3DA7" w:rsidRDefault="000D3DA7">
            <w:pPr>
              <w:spacing w:after="0" w:line="240" w:lineRule="auto"/>
              <w:rPr>
                <w:sz w:val="20"/>
              </w:rPr>
            </w:pPr>
          </w:p>
          <w:p w:rsidR="000D3DA7" w:rsidRPr="000D3DA7" w:rsidRDefault="000D3DA7">
            <w:pPr>
              <w:spacing w:after="0" w:line="240" w:lineRule="auto"/>
              <w:rPr>
                <w:sz w:val="20"/>
              </w:rPr>
            </w:pPr>
            <w:r w:rsidRPr="000D3DA7">
              <w:rPr>
                <w:sz w:val="20"/>
              </w:rPr>
              <w:t>£000s</w:t>
            </w:r>
          </w:p>
        </w:tc>
        <w:tc>
          <w:tcPr>
            <w:tcW w:w="1859" w:type="dxa"/>
          </w:tcPr>
          <w:p w:rsidR="000D3DA7" w:rsidRPr="000D3DA7" w:rsidRDefault="000D3DA7">
            <w:pPr>
              <w:spacing w:after="0" w:line="240" w:lineRule="auto"/>
              <w:rPr>
                <w:sz w:val="20"/>
              </w:rPr>
            </w:pPr>
            <w:r w:rsidRPr="000D3DA7">
              <w:rPr>
                <w:sz w:val="20"/>
              </w:rPr>
              <w:t>Approved amount**</w:t>
            </w:r>
          </w:p>
          <w:p w:rsidR="000D3DA7" w:rsidRPr="000D3DA7" w:rsidRDefault="000D3DA7">
            <w:pPr>
              <w:spacing w:after="0" w:line="240" w:lineRule="auto"/>
              <w:rPr>
                <w:sz w:val="20"/>
              </w:rPr>
            </w:pPr>
            <w:r w:rsidRPr="000D3DA7">
              <w:rPr>
                <w:sz w:val="20"/>
              </w:rPr>
              <w:t>£000s</w:t>
            </w:r>
          </w:p>
        </w:tc>
        <w:tc>
          <w:tcPr>
            <w:tcW w:w="1859" w:type="dxa"/>
          </w:tcPr>
          <w:p w:rsidR="000D3DA7" w:rsidRPr="000D3DA7" w:rsidRDefault="000D3DA7">
            <w:pPr>
              <w:spacing w:after="0" w:line="240" w:lineRule="auto"/>
              <w:rPr>
                <w:sz w:val="20"/>
              </w:rPr>
            </w:pPr>
            <w:r w:rsidRPr="000D3DA7">
              <w:rPr>
                <w:sz w:val="20"/>
              </w:rPr>
              <w:t>Final charge</w:t>
            </w:r>
          </w:p>
          <w:p w:rsidR="000D3DA7" w:rsidRPr="000D3DA7" w:rsidRDefault="000D3DA7">
            <w:pPr>
              <w:spacing w:after="0" w:line="240" w:lineRule="auto"/>
              <w:rPr>
                <w:sz w:val="20"/>
              </w:rPr>
            </w:pPr>
          </w:p>
          <w:p w:rsidR="000D3DA7" w:rsidRPr="000D3DA7" w:rsidRDefault="000D3DA7">
            <w:pPr>
              <w:spacing w:after="0" w:line="240" w:lineRule="auto"/>
              <w:rPr>
                <w:sz w:val="20"/>
              </w:rPr>
            </w:pPr>
            <w:r w:rsidRPr="000D3DA7">
              <w:rPr>
                <w:sz w:val="20"/>
              </w:rPr>
              <w:t>£000s</w:t>
            </w:r>
          </w:p>
        </w:tc>
      </w:tr>
      <w:tr w:rsidR="000D3DA7" w:rsidTr="000D3DA7">
        <w:tc>
          <w:tcPr>
            <w:tcW w:w="1858" w:type="dxa"/>
          </w:tcPr>
          <w:p w:rsidR="000D3DA7" w:rsidRPr="000D3DA7" w:rsidRDefault="000D3DA7" w:rsidP="000D3DA7">
            <w:pPr>
              <w:spacing w:after="0" w:line="240" w:lineRule="auto"/>
              <w:rPr>
                <w:sz w:val="20"/>
              </w:rPr>
            </w:pPr>
            <w:r w:rsidRPr="000D3DA7">
              <w:rPr>
                <w:sz w:val="20"/>
              </w:rPr>
              <w:t xml:space="preserve">MH Improvement programme </w:t>
            </w:r>
          </w:p>
        </w:tc>
        <w:tc>
          <w:tcPr>
            <w:tcW w:w="1858" w:type="dxa"/>
          </w:tcPr>
          <w:p w:rsidR="000D3DA7" w:rsidRPr="000D3DA7" w:rsidRDefault="000D3DA7" w:rsidP="000D3DA7">
            <w:pPr>
              <w:spacing w:after="0" w:line="240" w:lineRule="auto"/>
              <w:rPr>
                <w:sz w:val="20"/>
              </w:rPr>
            </w:pPr>
            <w:r>
              <w:rPr>
                <w:sz w:val="20"/>
              </w:rPr>
              <w:t>Patient benefit</w:t>
            </w:r>
          </w:p>
        </w:tc>
        <w:tc>
          <w:tcPr>
            <w:tcW w:w="1859" w:type="dxa"/>
          </w:tcPr>
          <w:p w:rsidR="000D3DA7" w:rsidRPr="000D3DA7" w:rsidRDefault="000D3DA7" w:rsidP="000D3DA7">
            <w:pPr>
              <w:spacing w:after="0" w:line="240" w:lineRule="auto"/>
              <w:jc w:val="center"/>
              <w:rPr>
                <w:sz w:val="20"/>
              </w:rPr>
            </w:pPr>
            <w:r>
              <w:rPr>
                <w:sz w:val="22"/>
                <w:szCs w:val="22"/>
              </w:rPr>
              <w:t>180</w:t>
            </w:r>
          </w:p>
        </w:tc>
        <w:tc>
          <w:tcPr>
            <w:tcW w:w="1859" w:type="dxa"/>
          </w:tcPr>
          <w:p w:rsidR="000D3DA7" w:rsidRPr="000D3DA7" w:rsidRDefault="000D3DA7" w:rsidP="000D3DA7">
            <w:pPr>
              <w:spacing w:after="0" w:line="240" w:lineRule="auto"/>
              <w:jc w:val="center"/>
              <w:rPr>
                <w:sz w:val="20"/>
              </w:rPr>
            </w:pPr>
            <w:r>
              <w:rPr>
                <w:sz w:val="22"/>
                <w:szCs w:val="22"/>
              </w:rPr>
              <w:t>180</w:t>
            </w:r>
          </w:p>
        </w:tc>
        <w:tc>
          <w:tcPr>
            <w:tcW w:w="1859" w:type="dxa"/>
          </w:tcPr>
          <w:p w:rsidR="000D3DA7" w:rsidRPr="000D3DA7" w:rsidRDefault="000D3DA7" w:rsidP="000D3DA7">
            <w:pPr>
              <w:spacing w:after="0" w:line="240" w:lineRule="auto"/>
              <w:jc w:val="center"/>
              <w:rPr>
                <w:sz w:val="20"/>
              </w:rPr>
            </w:pPr>
            <w:r>
              <w:rPr>
                <w:sz w:val="22"/>
                <w:szCs w:val="22"/>
              </w:rPr>
              <w:t>180</w:t>
            </w:r>
          </w:p>
        </w:tc>
      </w:tr>
      <w:tr w:rsidR="000D3DA7" w:rsidTr="000D3DA7">
        <w:tc>
          <w:tcPr>
            <w:tcW w:w="1858" w:type="dxa"/>
          </w:tcPr>
          <w:p w:rsidR="000D3DA7" w:rsidRPr="000D3DA7" w:rsidRDefault="000D3DA7" w:rsidP="000D3DA7">
            <w:pPr>
              <w:spacing w:after="0" w:line="240" w:lineRule="auto"/>
              <w:rPr>
                <w:sz w:val="20"/>
              </w:rPr>
            </w:pPr>
            <w:r>
              <w:rPr>
                <w:sz w:val="20"/>
              </w:rPr>
              <w:t>Theatre Training and Education</w:t>
            </w:r>
          </w:p>
        </w:tc>
        <w:tc>
          <w:tcPr>
            <w:tcW w:w="1858" w:type="dxa"/>
          </w:tcPr>
          <w:p w:rsidR="000D3DA7" w:rsidRPr="000D3DA7" w:rsidRDefault="000D3DA7" w:rsidP="000D3DA7">
            <w:pPr>
              <w:spacing w:after="0" w:line="240" w:lineRule="auto"/>
              <w:rPr>
                <w:sz w:val="20"/>
              </w:rPr>
            </w:pPr>
            <w:r>
              <w:rPr>
                <w:sz w:val="20"/>
              </w:rPr>
              <w:t xml:space="preserve">Patient and staff benefit </w:t>
            </w:r>
          </w:p>
        </w:tc>
        <w:tc>
          <w:tcPr>
            <w:tcW w:w="1859" w:type="dxa"/>
          </w:tcPr>
          <w:p w:rsidR="000D3DA7" w:rsidRPr="000D3DA7" w:rsidRDefault="000D3DA7" w:rsidP="000D3DA7">
            <w:pPr>
              <w:spacing w:after="0" w:line="240" w:lineRule="auto"/>
              <w:jc w:val="center"/>
              <w:rPr>
                <w:sz w:val="20"/>
              </w:rPr>
            </w:pPr>
            <w:r>
              <w:rPr>
                <w:sz w:val="22"/>
                <w:szCs w:val="22"/>
              </w:rPr>
              <w:t>94</w:t>
            </w:r>
          </w:p>
        </w:tc>
        <w:tc>
          <w:tcPr>
            <w:tcW w:w="1859" w:type="dxa"/>
          </w:tcPr>
          <w:p w:rsidR="000D3DA7" w:rsidRPr="000D3DA7" w:rsidRDefault="000D3DA7" w:rsidP="000D3DA7">
            <w:pPr>
              <w:spacing w:after="0" w:line="240" w:lineRule="auto"/>
              <w:jc w:val="center"/>
              <w:rPr>
                <w:sz w:val="20"/>
              </w:rPr>
            </w:pPr>
            <w:r>
              <w:rPr>
                <w:sz w:val="22"/>
                <w:szCs w:val="22"/>
              </w:rPr>
              <w:t>94</w:t>
            </w:r>
          </w:p>
        </w:tc>
        <w:tc>
          <w:tcPr>
            <w:tcW w:w="1859" w:type="dxa"/>
          </w:tcPr>
          <w:p w:rsidR="000D3DA7" w:rsidRPr="000D3DA7" w:rsidRDefault="000D3DA7" w:rsidP="000D3DA7">
            <w:pPr>
              <w:spacing w:after="0" w:line="240" w:lineRule="auto"/>
              <w:jc w:val="center"/>
              <w:rPr>
                <w:sz w:val="20"/>
              </w:rPr>
            </w:pPr>
            <w:r>
              <w:rPr>
                <w:sz w:val="22"/>
                <w:szCs w:val="22"/>
              </w:rPr>
              <w:t>94</w:t>
            </w:r>
          </w:p>
        </w:tc>
      </w:tr>
      <w:tr w:rsidR="000D3DA7" w:rsidTr="000D3DA7">
        <w:tc>
          <w:tcPr>
            <w:tcW w:w="1858" w:type="dxa"/>
          </w:tcPr>
          <w:p w:rsidR="000D3DA7" w:rsidRPr="000D3DA7" w:rsidRDefault="000D3DA7" w:rsidP="000D3DA7">
            <w:pPr>
              <w:spacing w:after="0" w:line="240" w:lineRule="auto"/>
              <w:rPr>
                <w:sz w:val="20"/>
              </w:rPr>
            </w:pPr>
            <w:r>
              <w:rPr>
                <w:sz w:val="20"/>
              </w:rPr>
              <w:t>Minor work</w:t>
            </w:r>
          </w:p>
        </w:tc>
        <w:tc>
          <w:tcPr>
            <w:tcW w:w="1858" w:type="dxa"/>
          </w:tcPr>
          <w:p w:rsidR="000D3DA7" w:rsidRPr="000D3DA7" w:rsidRDefault="000D3DA7" w:rsidP="000D3DA7">
            <w:pPr>
              <w:spacing w:after="0" w:line="240" w:lineRule="auto"/>
              <w:rPr>
                <w:sz w:val="20"/>
              </w:rPr>
            </w:pPr>
            <w:r>
              <w:rPr>
                <w:sz w:val="20"/>
              </w:rPr>
              <w:t xml:space="preserve">Patient and environment benefit </w:t>
            </w:r>
          </w:p>
        </w:tc>
        <w:tc>
          <w:tcPr>
            <w:tcW w:w="1859" w:type="dxa"/>
          </w:tcPr>
          <w:p w:rsidR="000D3DA7" w:rsidRPr="000D3DA7" w:rsidRDefault="000D3DA7" w:rsidP="000D3DA7">
            <w:pPr>
              <w:spacing w:after="0" w:line="240" w:lineRule="auto"/>
              <w:jc w:val="center"/>
              <w:rPr>
                <w:sz w:val="20"/>
              </w:rPr>
            </w:pPr>
            <w:r>
              <w:rPr>
                <w:sz w:val="22"/>
                <w:szCs w:val="22"/>
              </w:rPr>
              <w:t>11</w:t>
            </w:r>
          </w:p>
        </w:tc>
        <w:tc>
          <w:tcPr>
            <w:tcW w:w="1859" w:type="dxa"/>
          </w:tcPr>
          <w:p w:rsidR="000D3DA7" w:rsidRPr="000D3DA7" w:rsidRDefault="000D3DA7" w:rsidP="000D3DA7">
            <w:pPr>
              <w:spacing w:after="0" w:line="240" w:lineRule="auto"/>
              <w:jc w:val="center"/>
              <w:rPr>
                <w:sz w:val="20"/>
              </w:rPr>
            </w:pPr>
            <w:r>
              <w:rPr>
                <w:sz w:val="22"/>
                <w:szCs w:val="22"/>
              </w:rPr>
              <w:t>11</w:t>
            </w:r>
          </w:p>
        </w:tc>
        <w:tc>
          <w:tcPr>
            <w:tcW w:w="1859" w:type="dxa"/>
          </w:tcPr>
          <w:p w:rsidR="000D3DA7" w:rsidRPr="000D3DA7" w:rsidRDefault="000D3DA7" w:rsidP="000D3DA7">
            <w:pPr>
              <w:spacing w:after="0" w:line="240" w:lineRule="auto"/>
              <w:jc w:val="center"/>
              <w:rPr>
                <w:sz w:val="20"/>
              </w:rPr>
            </w:pPr>
            <w:r>
              <w:rPr>
                <w:sz w:val="22"/>
                <w:szCs w:val="22"/>
              </w:rPr>
              <w:t>11</w:t>
            </w:r>
          </w:p>
        </w:tc>
      </w:tr>
      <w:tr w:rsidR="000D3DA7" w:rsidTr="000D3DA7">
        <w:tc>
          <w:tcPr>
            <w:tcW w:w="1858" w:type="dxa"/>
          </w:tcPr>
          <w:p w:rsidR="000D3DA7" w:rsidRPr="000D3DA7" w:rsidRDefault="000D3DA7" w:rsidP="000D3DA7">
            <w:pPr>
              <w:spacing w:after="0" w:line="240" w:lineRule="auto"/>
              <w:rPr>
                <w:sz w:val="20"/>
              </w:rPr>
            </w:pPr>
            <w:r>
              <w:rPr>
                <w:sz w:val="20"/>
              </w:rPr>
              <w:t xml:space="preserve">Children with complex disability </w:t>
            </w:r>
          </w:p>
        </w:tc>
        <w:tc>
          <w:tcPr>
            <w:tcW w:w="1858" w:type="dxa"/>
          </w:tcPr>
          <w:p w:rsidR="000D3DA7" w:rsidRPr="000D3DA7" w:rsidRDefault="000D3DA7" w:rsidP="000D3DA7">
            <w:pPr>
              <w:spacing w:after="0" w:line="240" w:lineRule="auto"/>
              <w:rPr>
                <w:sz w:val="20"/>
              </w:rPr>
            </w:pPr>
            <w:r>
              <w:rPr>
                <w:sz w:val="20"/>
              </w:rPr>
              <w:t xml:space="preserve">Patient benefit </w:t>
            </w:r>
          </w:p>
        </w:tc>
        <w:tc>
          <w:tcPr>
            <w:tcW w:w="1859" w:type="dxa"/>
          </w:tcPr>
          <w:p w:rsidR="000D3DA7" w:rsidRPr="000D3DA7" w:rsidRDefault="000D3DA7" w:rsidP="000D3DA7">
            <w:pPr>
              <w:spacing w:after="0" w:line="240" w:lineRule="auto"/>
              <w:jc w:val="center"/>
              <w:rPr>
                <w:sz w:val="20"/>
              </w:rPr>
            </w:pPr>
            <w:r>
              <w:rPr>
                <w:sz w:val="22"/>
                <w:szCs w:val="22"/>
              </w:rPr>
              <w:t>22</w:t>
            </w:r>
          </w:p>
        </w:tc>
        <w:tc>
          <w:tcPr>
            <w:tcW w:w="1859" w:type="dxa"/>
          </w:tcPr>
          <w:p w:rsidR="000D3DA7" w:rsidRPr="000D3DA7" w:rsidRDefault="000D3DA7" w:rsidP="000D3DA7">
            <w:pPr>
              <w:spacing w:after="0" w:line="240" w:lineRule="auto"/>
              <w:jc w:val="center"/>
              <w:rPr>
                <w:sz w:val="20"/>
              </w:rPr>
            </w:pPr>
            <w:r>
              <w:rPr>
                <w:sz w:val="22"/>
                <w:szCs w:val="22"/>
              </w:rPr>
              <w:t>22</w:t>
            </w:r>
          </w:p>
        </w:tc>
        <w:tc>
          <w:tcPr>
            <w:tcW w:w="1859" w:type="dxa"/>
          </w:tcPr>
          <w:p w:rsidR="000D3DA7" w:rsidRPr="000D3DA7" w:rsidRDefault="000D3DA7" w:rsidP="000D3DA7">
            <w:pPr>
              <w:spacing w:after="0" w:line="240" w:lineRule="auto"/>
              <w:jc w:val="center"/>
              <w:rPr>
                <w:sz w:val="20"/>
              </w:rPr>
            </w:pPr>
            <w:r>
              <w:rPr>
                <w:sz w:val="22"/>
                <w:szCs w:val="22"/>
              </w:rPr>
              <w:t>22</w:t>
            </w:r>
          </w:p>
        </w:tc>
      </w:tr>
      <w:tr w:rsidR="000D3DA7" w:rsidTr="000D3DA7">
        <w:tc>
          <w:tcPr>
            <w:tcW w:w="1858" w:type="dxa"/>
          </w:tcPr>
          <w:p w:rsidR="000D3DA7" w:rsidRPr="000D3DA7" w:rsidRDefault="000D3DA7" w:rsidP="000D3DA7">
            <w:pPr>
              <w:spacing w:after="0" w:line="240" w:lineRule="auto"/>
              <w:rPr>
                <w:sz w:val="20"/>
              </w:rPr>
            </w:pPr>
            <w:r>
              <w:rPr>
                <w:sz w:val="20"/>
              </w:rPr>
              <w:t>Maternity services</w:t>
            </w:r>
          </w:p>
        </w:tc>
        <w:tc>
          <w:tcPr>
            <w:tcW w:w="1858" w:type="dxa"/>
          </w:tcPr>
          <w:p w:rsidR="000D3DA7" w:rsidRPr="000D3DA7" w:rsidRDefault="000D3DA7" w:rsidP="000D3DA7">
            <w:pPr>
              <w:spacing w:after="0" w:line="240" w:lineRule="auto"/>
              <w:rPr>
                <w:sz w:val="20"/>
              </w:rPr>
            </w:pPr>
            <w:r>
              <w:rPr>
                <w:sz w:val="20"/>
              </w:rPr>
              <w:t xml:space="preserve">Patient environment and staff benefit </w:t>
            </w:r>
          </w:p>
        </w:tc>
        <w:tc>
          <w:tcPr>
            <w:tcW w:w="1859" w:type="dxa"/>
          </w:tcPr>
          <w:p w:rsidR="000D3DA7" w:rsidRPr="000D3DA7" w:rsidRDefault="000D3DA7" w:rsidP="000D3DA7">
            <w:pPr>
              <w:spacing w:after="0" w:line="240" w:lineRule="auto"/>
              <w:jc w:val="center"/>
              <w:rPr>
                <w:sz w:val="20"/>
              </w:rPr>
            </w:pPr>
            <w:r>
              <w:rPr>
                <w:sz w:val="22"/>
                <w:szCs w:val="22"/>
              </w:rPr>
              <w:t>812</w:t>
            </w:r>
          </w:p>
        </w:tc>
        <w:tc>
          <w:tcPr>
            <w:tcW w:w="1859" w:type="dxa"/>
          </w:tcPr>
          <w:p w:rsidR="000D3DA7" w:rsidRPr="000D3DA7" w:rsidRDefault="000D3DA7" w:rsidP="000D3DA7">
            <w:pPr>
              <w:spacing w:after="0" w:line="240" w:lineRule="auto"/>
              <w:jc w:val="center"/>
              <w:rPr>
                <w:sz w:val="20"/>
              </w:rPr>
            </w:pPr>
            <w:r>
              <w:rPr>
                <w:sz w:val="22"/>
                <w:szCs w:val="22"/>
              </w:rPr>
              <w:t>776</w:t>
            </w:r>
          </w:p>
        </w:tc>
        <w:tc>
          <w:tcPr>
            <w:tcW w:w="1859" w:type="dxa"/>
          </w:tcPr>
          <w:p w:rsidR="000D3DA7" w:rsidRPr="000D3DA7" w:rsidRDefault="000D3DA7" w:rsidP="000D3DA7">
            <w:pPr>
              <w:spacing w:after="0" w:line="240" w:lineRule="auto"/>
              <w:jc w:val="center"/>
              <w:rPr>
                <w:sz w:val="20"/>
              </w:rPr>
            </w:pPr>
            <w:r>
              <w:rPr>
                <w:sz w:val="22"/>
                <w:szCs w:val="22"/>
              </w:rPr>
              <w:t>773</w:t>
            </w:r>
          </w:p>
        </w:tc>
      </w:tr>
      <w:tr w:rsidR="000D3DA7" w:rsidTr="000D3DA7">
        <w:tc>
          <w:tcPr>
            <w:tcW w:w="1858" w:type="dxa"/>
          </w:tcPr>
          <w:p w:rsidR="000D3DA7" w:rsidRPr="000D3DA7" w:rsidRDefault="000D3DA7" w:rsidP="000D3DA7">
            <w:pPr>
              <w:spacing w:after="0" w:line="240" w:lineRule="auto"/>
              <w:rPr>
                <w:sz w:val="20"/>
              </w:rPr>
            </w:pPr>
            <w:r>
              <w:rPr>
                <w:sz w:val="20"/>
              </w:rPr>
              <w:t xml:space="preserve">Ward 2 PRI Urgent Care </w:t>
            </w:r>
          </w:p>
        </w:tc>
        <w:tc>
          <w:tcPr>
            <w:tcW w:w="1858" w:type="dxa"/>
          </w:tcPr>
          <w:p w:rsidR="000D3DA7" w:rsidRPr="000D3DA7" w:rsidRDefault="000D3DA7" w:rsidP="000D3DA7">
            <w:pPr>
              <w:spacing w:after="0" w:line="240" w:lineRule="auto"/>
              <w:rPr>
                <w:sz w:val="20"/>
              </w:rPr>
            </w:pPr>
            <w:r>
              <w:rPr>
                <w:sz w:val="20"/>
              </w:rPr>
              <w:t xml:space="preserve">Patient benefit </w:t>
            </w:r>
          </w:p>
        </w:tc>
        <w:tc>
          <w:tcPr>
            <w:tcW w:w="1859" w:type="dxa"/>
          </w:tcPr>
          <w:p w:rsidR="000D3DA7" w:rsidRPr="000D3DA7" w:rsidRDefault="000D3DA7" w:rsidP="000D3DA7">
            <w:pPr>
              <w:spacing w:after="0" w:line="240" w:lineRule="auto"/>
              <w:jc w:val="center"/>
              <w:rPr>
                <w:sz w:val="20"/>
              </w:rPr>
            </w:pPr>
            <w:r>
              <w:rPr>
                <w:sz w:val="22"/>
                <w:szCs w:val="22"/>
              </w:rPr>
              <w:t>46</w:t>
            </w:r>
          </w:p>
        </w:tc>
        <w:tc>
          <w:tcPr>
            <w:tcW w:w="1859" w:type="dxa"/>
          </w:tcPr>
          <w:p w:rsidR="000D3DA7" w:rsidRPr="000D3DA7" w:rsidRDefault="000D3DA7" w:rsidP="000D3DA7">
            <w:pPr>
              <w:spacing w:after="0" w:line="240" w:lineRule="auto"/>
              <w:jc w:val="center"/>
              <w:rPr>
                <w:sz w:val="20"/>
              </w:rPr>
            </w:pPr>
            <w:r>
              <w:rPr>
                <w:sz w:val="22"/>
                <w:szCs w:val="22"/>
              </w:rPr>
              <w:t>46</w:t>
            </w:r>
          </w:p>
        </w:tc>
        <w:tc>
          <w:tcPr>
            <w:tcW w:w="1859" w:type="dxa"/>
          </w:tcPr>
          <w:p w:rsidR="000D3DA7" w:rsidRPr="000D3DA7" w:rsidRDefault="000D3DA7" w:rsidP="000D3DA7">
            <w:pPr>
              <w:spacing w:after="0" w:line="240" w:lineRule="auto"/>
              <w:jc w:val="center"/>
              <w:rPr>
                <w:sz w:val="20"/>
              </w:rPr>
            </w:pPr>
            <w:r>
              <w:rPr>
                <w:sz w:val="22"/>
                <w:szCs w:val="22"/>
              </w:rPr>
              <w:t>46</w:t>
            </w:r>
          </w:p>
        </w:tc>
      </w:tr>
      <w:tr w:rsidR="000D3DA7" w:rsidTr="000D3DA7">
        <w:tc>
          <w:tcPr>
            <w:tcW w:w="1858" w:type="dxa"/>
          </w:tcPr>
          <w:p w:rsidR="000D3DA7" w:rsidRPr="000D3DA7" w:rsidRDefault="000D3DA7" w:rsidP="000D3DA7">
            <w:pPr>
              <w:spacing w:after="0" w:line="240" w:lineRule="auto"/>
              <w:rPr>
                <w:sz w:val="20"/>
              </w:rPr>
            </w:pPr>
            <w:r>
              <w:rPr>
                <w:sz w:val="20"/>
              </w:rPr>
              <w:t xml:space="preserve">EHealth – 32 projects </w:t>
            </w:r>
          </w:p>
        </w:tc>
        <w:tc>
          <w:tcPr>
            <w:tcW w:w="1858" w:type="dxa"/>
          </w:tcPr>
          <w:p w:rsidR="000D3DA7" w:rsidRPr="000D3DA7" w:rsidRDefault="000D3DA7" w:rsidP="000D3DA7">
            <w:pPr>
              <w:spacing w:after="0" w:line="240" w:lineRule="auto"/>
              <w:rPr>
                <w:sz w:val="20"/>
              </w:rPr>
            </w:pPr>
            <w:r>
              <w:rPr>
                <w:sz w:val="20"/>
              </w:rPr>
              <w:t>Patient benefit and pioneering services</w:t>
            </w:r>
          </w:p>
        </w:tc>
        <w:tc>
          <w:tcPr>
            <w:tcW w:w="1859" w:type="dxa"/>
          </w:tcPr>
          <w:p w:rsidR="000D3DA7" w:rsidRPr="000D3DA7" w:rsidRDefault="000D3DA7" w:rsidP="000D3DA7">
            <w:pPr>
              <w:spacing w:after="0" w:line="240" w:lineRule="auto"/>
              <w:jc w:val="center"/>
              <w:rPr>
                <w:sz w:val="20"/>
              </w:rPr>
            </w:pPr>
            <w:r>
              <w:rPr>
                <w:sz w:val="22"/>
                <w:szCs w:val="22"/>
              </w:rPr>
              <w:t>2,382</w:t>
            </w:r>
          </w:p>
        </w:tc>
        <w:tc>
          <w:tcPr>
            <w:tcW w:w="1859" w:type="dxa"/>
          </w:tcPr>
          <w:p w:rsidR="000D3DA7" w:rsidRPr="000D3DA7" w:rsidRDefault="000D3DA7" w:rsidP="000D3DA7">
            <w:pPr>
              <w:spacing w:after="0" w:line="240" w:lineRule="auto"/>
              <w:jc w:val="center"/>
              <w:rPr>
                <w:sz w:val="20"/>
              </w:rPr>
            </w:pPr>
            <w:r>
              <w:rPr>
                <w:sz w:val="22"/>
                <w:szCs w:val="22"/>
              </w:rPr>
              <w:t>2,312</w:t>
            </w:r>
          </w:p>
        </w:tc>
        <w:tc>
          <w:tcPr>
            <w:tcW w:w="1859" w:type="dxa"/>
          </w:tcPr>
          <w:p w:rsidR="000D3DA7" w:rsidRPr="000D3DA7" w:rsidRDefault="000D3DA7" w:rsidP="000D3DA7">
            <w:pPr>
              <w:spacing w:after="0" w:line="240" w:lineRule="auto"/>
              <w:jc w:val="center"/>
              <w:rPr>
                <w:sz w:val="20"/>
              </w:rPr>
            </w:pPr>
            <w:r>
              <w:rPr>
                <w:sz w:val="22"/>
                <w:szCs w:val="22"/>
              </w:rPr>
              <w:t>2,382</w:t>
            </w:r>
          </w:p>
        </w:tc>
      </w:tr>
      <w:tr w:rsidR="000D3DA7" w:rsidTr="000D3DA7">
        <w:tc>
          <w:tcPr>
            <w:tcW w:w="1858" w:type="dxa"/>
          </w:tcPr>
          <w:p w:rsidR="000D3DA7" w:rsidRDefault="000D3DA7" w:rsidP="000D3DA7">
            <w:pPr>
              <w:spacing w:after="0" w:line="240" w:lineRule="auto"/>
              <w:rPr>
                <w:sz w:val="20"/>
              </w:rPr>
            </w:pPr>
            <w:r>
              <w:rPr>
                <w:sz w:val="20"/>
              </w:rPr>
              <w:t xml:space="preserve">Paediatrics </w:t>
            </w:r>
          </w:p>
        </w:tc>
        <w:tc>
          <w:tcPr>
            <w:tcW w:w="1858" w:type="dxa"/>
          </w:tcPr>
          <w:p w:rsidR="000D3DA7" w:rsidRPr="000D3DA7" w:rsidRDefault="000D3DA7" w:rsidP="000D3DA7">
            <w:pPr>
              <w:spacing w:after="0" w:line="240" w:lineRule="auto"/>
              <w:rPr>
                <w:sz w:val="20"/>
              </w:rPr>
            </w:pPr>
            <w:r>
              <w:rPr>
                <w:sz w:val="20"/>
              </w:rPr>
              <w:t>Patient and environment benefit</w:t>
            </w:r>
          </w:p>
        </w:tc>
        <w:tc>
          <w:tcPr>
            <w:tcW w:w="1859" w:type="dxa"/>
          </w:tcPr>
          <w:p w:rsidR="000D3DA7" w:rsidRPr="000D3DA7" w:rsidRDefault="000D3DA7" w:rsidP="000D3DA7">
            <w:pPr>
              <w:spacing w:after="0" w:line="240" w:lineRule="auto"/>
              <w:jc w:val="center"/>
              <w:rPr>
                <w:sz w:val="20"/>
              </w:rPr>
            </w:pPr>
            <w:r>
              <w:rPr>
                <w:sz w:val="22"/>
                <w:szCs w:val="22"/>
              </w:rPr>
              <w:t>130</w:t>
            </w:r>
          </w:p>
        </w:tc>
        <w:tc>
          <w:tcPr>
            <w:tcW w:w="1859" w:type="dxa"/>
          </w:tcPr>
          <w:p w:rsidR="000D3DA7" w:rsidRPr="000D3DA7" w:rsidRDefault="000D3DA7" w:rsidP="000D3DA7">
            <w:pPr>
              <w:spacing w:after="0" w:line="240" w:lineRule="auto"/>
              <w:jc w:val="center"/>
              <w:rPr>
                <w:sz w:val="20"/>
              </w:rPr>
            </w:pPr>
            <w:r>
              <w:rPr>
                <w:sz w:val="22"/>
                <w:szCs w:val="22"/>
              </w:rPr>
              <w:t>130</w:t>
            </w:r>
          </w:p>
        </w:tc>
        <w:tc>
          <w:tcPr>
            <w:tcW w:w="1859" w:type="dxa"/>
          </w:tcPr>
          <w:p w:rsidR="000D3DA7" w:rsidRPr="000D3DA7" w:rsidRDefault="000D3DA7" w:rsidP="000D3DA7">
            <w:pPr>
              <w:spacing w:after="0" w:line="240" w:lineRule="auto"/>
              <w:jc w:val="center"/>
              <w:rPr>
                <w:sz w:val="20"/>
              </w:rPr>
            </w:pPr>
            <w:r>
              <w:rPr>
                <w:sz w:val="22"/>
                <w:szCs w:val="22"/>
              </w:rPr>
              <w:t>130</w:t>
            </w:r>
          </w:p>
        </w:tc>
      </w:tr>
      <w:tr w:rsidR="000D3DA7" w:rsidRPr="000D3DA7" w:rsidTr="000D3DA7">
        <w:tc>
          <w:tcPr>
            <w:tcW w:w="1858" w:type="dxa"/>
          </w:tcPr>
          <w:p w:rsidR="000D3DA7" w:rsidRPr="000D3DA7" w:rsidRDefault="000D3DA7" w:rsidP="000D3DA7">
            <w:pPr>
              <w:spacing w:after="0" w:line="240" w:lineRule="auto"/>
              <w:rPr>
                <w:b/>
                <w:sz w:val="20"/>
              </w:rPr>
            </w:pPr>
            <w:r>
              <w:rPr>
                <w:b/>
                <w:sz w:val="20"/>
              </w:rPr>
              <w:t>Total</w:t>
            </w:r>
          </w:p>
        </w:tc>
        <w:tc>
          <w:tcPr>
            <w:tcW w:w="1858" w:type="dxa"/>
          </w:tcPr>
          <w:p w:rsidR="000D3DA7" w:rsidRPr="000D3DA7" w:rsidRDefault="000D3DA7" w:rsidP="000D3DA7">
            <w:pPr>
              <w:spacing w:after="0" w:line="240" w:lineRule="auto"/>
              <w:rPr>
                <w:b/>
                <w:sz w:val="20"/>
              </w:rPr>
            </w:pPr>
          </w:p>
        </w:tc>
        <w:tc>
          <w:tcPr>
            <w:tcW w:w="1859" w:type="dxa"/>
          </w:tcPr>
          <w:p w:rsidR="000D3DA7" w:rsidRPr="000D3DA7" w:rsidRDefault="000D3DA7" w:rsidP="000D3DA7">
            <w:pPr>
              <w:spacing w:after="0" w:line="240" w:lineRule="auto"/>
              <w:jc w:val="center"/>
              <w:rPr>
                <w:b/>
                <w:sz w:val="22"/>
                <w:szCs w:val="22"/>
              </w:rPr>
            </w:pPr>
            <w:r w:rsidRPr="000D3DA7">
              <w:rPr>
                <w:b/>
                <w:sz w:val="22"/>
                <w:szCs w:val="22"/>
              </w:rPr>
              <w:t>3,677</w:t>
            </w:r>
          </w:p>
        </w:tc>
        <w:tc>
          <w:tcPr>
            <w:tcW w:w="1859" w:type="dxa"/>
          </w:tcPr>
          <w:p w:rsidR="000D3DA7" w:rsidRPr="000D3DA7" w:rsidRDefault="000D3DA7" w:rsidP="000D3DA7">
            <w:pPr>
              <w:spacing w:after="0" w:line="240" w:lineRule="auto"/>
              <w:jc w:val="center"/>
              <w:rPr>
                <w:b/>
                <w:sz w:val="22"/>
                <w:szCs w:val="22"/>
              </w:rPr>
            </w:pPr>
            <w:r w:rsidRPr="000D3DA7">
              <w:rPr>
                <w:b/>
                <w:sz w:val="22"/>
                <w:szCs w:val="22"/>
              </w:rPr>
              <w:t>3,641</w:t>
            </w:r>
          </w:p>
        </w:tc>
        <w:tc>
          <w:tcPr>
            <w:tcW w:w="1859" w:type="dxa"/>
          </w:tcPr>
          <w:p w:rsidR="000D3DA7" w:rsidRPr="000D3DA7" w:rsidRDefault="000D3DA7" w:rsidP="000D3DA7">
            <w:pPr>
              <w:spacing w:after="0" w:line="240" w:lineRule="auto"/>
              <w:jc w:val="center"/>
              <w:rPr>
                <w:b/>
                <w:sz w:val="22"/>
                <w:szCs w:val="22"/>
              </w:rPr>
            </w:pPr>
            <w:r w:rsidRPr="000D3DA7">
              <w:rPr>
                <w:b/>
                <w:sz w:val="22"/>
                <w:szCs w:val="22"/>
              </w:rPr>
              <w:t>3,638</w:t>
            </w:r>
          </w:p>
        </w:tc>
      </w:tr>
    </w:tbl>
    <w:p w:rsidR="000D3DA7" w:rsidRPr="000D3DA7" w:rsidRDefault="000D3DA7">
      <w:pPr>
        <w:spacing w:after="0" w:line="240" w:lineRule="auto"/>
        <w:rPr>
          <w:b/>
          <w:sz w:val="24"/>
          <w:szCs w:val="24"/>
        </w:rPr>
      </w:pPr>
    </w:p>
    <w:p w:rsidR="000D3DA7" w:rsidRPr="00F45A2B" w:rsidRDefault="00F45A2B" w:rsidP="00F45A2B">
      <w:pPr>
        <w:spacing w:after="0" w:line="240" w:lineRule="auto"/>
        <w:rPr>
          <w:sz w:val="22"/>
          <w:szCs w:val="22"/>
        </w:rPr>
      </w:pPr>
      <w:r w:rsidRPr="00F45A2B">
        <w:rPr>
          <w:sz w:val="22"/>
          <w:szCs w:val="22"/>
        </w:rPr>
        <w:t>*The balances were agreed to the projects approved by the Endowment Fund Board of Trustees in February 2014</w:t>
      </w:r>
    </w:p>
    <w:p w:rsidR="000D3DA7" w:rsidRDefault="000D3DA7">
      <w:pPr>
        <w:spacing w:after="0" w:line="240" w:lineRule="auto"/>
        <w:rPr>
          <w:sz w:val="24"/>
          <w:szCs w:val="24"/>
        </w:rPr>
      </w:pPr>
    </w:p>
    <w:p w:rsidR="000D3DA7" w:rsidRDefault="000D3DA7">
      <w:pPr>
        <w:spacing w:after="0" w:line="240" w:lineRule="auto"/>
        <w:rPr>
          <w:sz w:val="24"/>
          <w:szCs w:val="24"/>
        </w:rPr>
      </w:pPr>
    </w:p>
    <w:p w:rsidR="000D3DA7" w:rsidRDefault="000D3DA7">
      <w:pPr>
        <w:spacing w:after="0" w:line="240" w:lineRule="auto"/>
        <w:rPr>
          <w:sz w:val="24"/>
          <w:szCs w:val="24"/>
        </w:rPr>
      </w:pPr>
    </w:p>
    <w:p w:rsidR="00625D8D" w:rsidRDefault="00625D8D">
      <w:pPr>
        <w:spacing w:after="0" w:line="240" w:lineRule="auto"/>
        <w:rPr>
          <w:sz w:val="24"/>
          <w:szCs w:val="24"/>
        </w:rPr>
      </w:pPr>
      <w:r>
        <w:rPr>
          <w:sz w:val="24"/>
          <w:szCs w:val="24"/>
        </w:rPr>
        <w:t xml:space="preserve">We have set out below the key timeline of events in relation to the use of endowment funding.  The key decision was taken in January 2014 and the Endowment Trustees approved a selection of projects in February 2014 where expenditure had been incurred by NHS Tayside of £3.6 million, and this expenditure was them met retrospectively from endowment money. </w:t>
      </w:r>
    </w:p>
    <w:p w:rsidR="00625D8D" w:rsidRDefault="00625D8D">
      <w:pPr>
        <w:spacing w:after="0" w:line="240" w:lineRule="auto"/>
        <w:rPr>
          <w:sz w:val="24"/>
          <w:szCs w:val="24"/>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tblPr>
      <w:tblGrid>
        <w:gridCol w:w="991"/>
        <w:gridCol w:w="5672"/>
        <w:gridCol w:w="3118"/>
      </w:tblGrid>
      <w:tr w:rsidR="0076405A" w:rsidRPr="001066DC" w:rsidTr="00F45A2B">
        <w:trPr>
          <w:trHeight w:val="516"/>
        </w:trPr>
        <w:tc>
          <w:tcPr>
            <w:tcW w:w="991" w:type="dxa"/>
            <w:shd w:val="clear" w:color="auto" w:fill="00A7B5"/>
            <w:tcMar>
              <w:top w:w="55" w:type="dxa"/>
              <w:left w:w="55" w:type="dxa"/>
              <w:bottom w:w="55" w:type="dxa"/>
              <w:right w:w="55" w:type="dxa"/>
            </w:tcMar>
            <w:vAlign w:val="center"/>
            <w:hideMark/>
          </w:tcPr>
          <w:p w:rsidR="0076405A" w:rsidRPr="001066DC" w:rsidRDefault="0076405A" w:rsidP="006818FB">
            <w:pPr>
              <w:jc w:val="both"/>
              <w:rPr>
                <w:color w:val="FFFFFF" w:themeColor="background1"/>
                <w:sz w:val="24"/>
                <w:szCs w:val="24"/>
              </w:rPr>
            </w:pPr>
            <w:r w:rsidRPr="001066DC">
              <w:rPr>
                <w:color w:val="FFFFFF" w:themeColor="background1"/>
                <w:sz w:val="24"/>
                <w:szCs w:val="24"/>
                <w:lang w:val="en-NZ"/>
              </w:rPr>
              <w:t>Date</w:t>
            </w:r>
          </w:p>
        </w:tc>
        <w:tc>
          <w:tcPr>
            <w:tcW w:w="5672" w:type="dxa"/>
            <w:shd w:val="clear" w:color="auto" w:fill="00A7B5"/>
            <w:tcMar>
              <w:top w:w="55" w:type="dxa"/>
              <w:left w:w="55" w:type="dxa"/>
              <w:bottom w:w="55" w:type="dxa"/>
              <w:right w:w="55" w:type="dxa"/>
            </w:tcMar>
            <w:vAlign w:val="center"/>
            <w:hideMark/>
          </w:tcPr>
          <w:p w:rsidR="0076405A" w:rsidRPr="001066DC" w:rsidRDefault="0076405A" w:rsidP="006818FB">
            <w:pPr>
              <w:jc w:val="both"/>
              <w:rPr>
                <w:color w:val="FFFFFF" w:themeColor="background1"/>
                <w:sz w:val="24"/>
                <w:szCs w:val="24"/>
              </w:rPr>
            </w:pPr>
            <w:r w:rsidRPr="001066DC">
              <w:rPr>
                <w:color w:val="FFFFFF" w:themeColor="background1"/>
                <w:sz w:val="24"/>
                <w:szCs w:val="24"/>
                <w:lang w:val="en-NZ"/>
              </w:rPr>
              <w:t xml:space="preserve">Key events </w:t>
            </w:r>
          </w:p>
        </w:tc>
        <w:tc>
          <w:tcPr>
            <w:tcW w:w="3118" w:type="dxa"/>
            <w:shd w:val="clear" w:color="auto" w:fill="00A7B5"/>
            <w:tcMar>
              <w:top w:w="55" w:type="dxa"/>
              <w:left w:w="55" w:type="dxa"/>
              <w:bottom w:w="55" w:type="dxa"/>
              <w:right w:w="55" w:type="dxa"/>
            </w:tcMar>
            <w:vAlign w:val="center"/>
            <w:hideMark/>
          </w:tcPr>
          <w:p w:rsidR="0076405A" w:rsidRPr="001066DC" w:rsidRDefault="0076405A" w:rsidP="006818FB">
            <w:pPr>
              <w:rPr>
                <w:color w:val="FFFFFF" w:themeColor="background1"/>
                <w:sz w:val="24"/>
                <w:szCs w:val="24"/>
              </w:rPr>
            </w:pPr>
            <w:r w:rsidRPr="001066DC">
              <w:rPr>
                <w:color w:val="FFFFFF" w:themeColor="background1"/>
                <w:sz w:val="24"/>
                <w:szCs w:val="24"/>
              </w:rPr>
              <w:t>Comments and observations</w:t>
            </w:r>
          </w:p>
        </w:tc>
      </w:tr>
      <w:tr w:rsidR="0076405A" w:rsidRPr="001066DC" w:rsidTr="00F45A2B">
        <w:trPr>
          <w:trHeight w:val="910"/>
        </w:trPr>
        <w:tc>
          <w:tcPr>
            <w:tcW w:w="991" w:type="dxa"/>
            <w:shd w:val="clear" w:color="auto" w:fill="auto"/>
            <w:tcMar>
              <w:top w:w="55" w:type="dxa"/>
              <w:left w:w="55" w:type="dxa"/>
              <w:bottom w:w="55" w:type="dxa"/>
              <w:right w:w="55" w:type="dxa"/>
            </w:tcMar>
            <w:hideMark/>
          </w:tcPr>
          <w:p w:rsidR="0076405A" w:rsidRPr="001066DC" w:rsidRDefault="0076405A" w:rsidP="006818FB">
            <w:pPr>
              <w:jc w:val="both"/>
            </w:pPr>
            <w:r w:rsidRPr="001066DC">
              <w:rPr>
                <w:bCs/>
              </w:rPr>
              <w:t>21 November 2013</w:t>
            </w:r>
          </w:p>
        </w:tc>
        <w:tc>
          <w:tcPr>
            <w:tcW w:w="5672" w:type="dxa"/>
            <w:shd w:val="clear" w:color="auto" w:fill="auto"/>
            <w:tcMar>
              <w:top w:w="55" w:type="dxa"/>
              <w:left w:w="55" w:type="dxa"/>
              <w:bottom w:w="55" w:type="dxa"/>
              <w:right w:w="55" w:type="dxa"/>
            </w:tcMar>
            <w:hideMark/>
          </w:tcPr>
          <w:p w:rsidR="0076405A" w:rsidRPr="001066DC" w:rsidRDefault="0076405A" w:rsidP="006818FB">
            <w:pPr>
              <w:rPr>
                <w:b/>
                <w:sz w:val="17"/>
                <w:szCs w:val="17"/>
              </w:rPr>
            </w:pPr>
            <w:r w:rsidRPr="001066DC">
              <w:rPr>
                <w:b/>
                <w:sz w:val="17"/>
                <w:szCs w:val="17"/>
              </w:rPr>
              <w:t>Finance and Resources Committee</w:t>
            </w:r>
          </w:p>
          <w:p w:rsidR="0076405A" w:rsidRPr="001066DC" w:rsidRDefault="0076405A" w:rsidP="006818FB">
            <w:pPr>
              <w:rPr>
                <w:sz w:val="17"/>
                <w:szCs w:val="17"/>
              </w:rPr>
            </w:pPr>
            <w:r w:rsidRPr="001066DC">
              <w:rPr>
                <w:sz w:val="17"/>
                <w:szCs w:val="17"/>
              </w:rPr>
              <w:t xml:space="preserve">The Committee received an update on the financial position as at 30 September 2013.  </w:t>
            </w:r>
          </w:p>
          <w:p w:rsidR="0076405A" w:rsidRPr="001066DC" w:rsidRDefault="0076405A" w:rsidP="006818FB">
            <w:pPr>
              <w:rPr>
                <w:sz w:val="17"/>
                <w:szCs w:val="17"/>
              </w:rPr>
            </w:pPr>
            <w:r w:rsidRPr="001066DC">
              <w:rPr>
                <w:sz w:val="17"/>
                <w:szCs w:val="17"/>
              </w:rPr>
              <w:t>The report presented by the Director of Finance, highlighted an operational overspend of £2.7 million which was approximately £800,000 greater than trajectory in the Strategic Financial Plan for 2013/14.  However, the Director</w:t>
            </w:r>
            <w:r w:rsidRPr="00F45A2B">
              <w:rPr>
                <w:sz w:val="17"/>
                <w:szCs w:val="17"/>
              </w:rPr>
              <w:t xml:space="preserve"> of</w:t>
            </w:r>
            <w:r w:rsidRPr="001066DC">
              <w:rPr>
                <w:sz w:val="17"/>
                <w:szCs w:val="17"/>
              </w:rPr>
              <w:t xml:space="preserve"> Finance set out that through forecast reductions in spend in the remaining five months of the year, and through targeted “slow-down” of spend by £1 million, the Board were still forecasting and reporting a year-end  breakeven position.  </w:t>
            </w:r>
          </w:p>
        </w:tc>
        <w:tc>
          <w:tcPr>
            <w:tcW w:w="3118" w:type="dxa"/>
            <w:shd w:val="clear" w:color="auto" w:fill="auto"/>
            <w:tcMar>
              <w:top w:w="55" w:type="dxa"/>
              <w:left w:w="55" w:type="dxa"/>
              <w:bottom w:w="55" w:type="dxa"/>
              <w:right w:w="55" w:type="dxa"/>
            </w:tcMar>
            <w:hideMark/>
          </w:tcPr>
          <w:p w:rsidR="0076405A" w:rsidRPr="001066DC" w:rsidRDefault="0076405A" w:rsidP="006818FB">
            <w:pPr>
              <w:rPr>
                <w:sz w:val="17"/>
                <w:szCs w:val="17"/>
              </w:rPr>
            </w:pPr>
            <w:r w:rsidRPr="001066DC">
              <w:rPr>
                <w:sz w:val="17"/>
                <w:szCs w:val="17"/>
              </w:rPr>
              <w:t>This was the first report that went to Committee to indicate the financial position was no longer on track but at this stage the Director of Finance was clear that NHS Tayside were still projecting a break-even position and there was no indication in the paper or minute of an underlying</w:t>
            </w:r>
            <w:r w:rsidR="00F45A2B">
              <w:rPr>
                <w:sz w:val="17"/>
                <w:szCs w:val="17"/>
              </w:rPr>
              <w:t xml:space="preserve"> financial</w:t>
            </w:r>
            <w:r w:rsidRPr="001066DC">
              <w:rPr>
                <w:sz w:val="17"/>
                <w:szCs w:val="17"/>
              </w:rPr>
              <w:t xml:space="preserve"> problem.</w:t>
            </w:r>
          </w:p>
          <w:p w:rsidR="0076405A" w:rsidRPr="001066DC" w:rsidRDefault="0076405A" w:rsidP="006818FB">
            <w:pPr>
              <w:rPr>
                <w:sz w:val="17"/>
                <w:szCs w:val="17"/>
              </w:rPr>
            </w:pPr>
          </w:p>
        </w:tc>
      </w:tr>
      <w:tr w:rsidR="0076405A" w:rsidRPr="001066DC" w:rsidTr="00F45A2B">
        <w:trPr>
          <w:trHeight w:val="910"/>
        </w:trPr>
        <w:tc>
          <w:tcPr>
            <w:tcW w:w="991" w:type="dxa"/>
            <w:shd w:val="clear" w:color="auto" w:fill="auto"/>
            <w:tcMar>
              <w:top w:w="55" w:type="dxa"/>
              <w:left w:w="55" w:type="dxa"/>
              <w:bottom w:w="55" w:type="dxa"/>
              <w:right w:w="55" w:type="dxa"/>
            </w:tcMar>
          </w:tcPr>
          <w:p w:rsidR="0076405A" w:rsidRPr="001066DC" w:rsidRDefault="0076405A" w:rsidP="006818FB">
            <w:pPr>
              <w:jc w:val="both"/>
              <w:rPr>
                <w:bCs/>
              </w:rPr>
            </w:pPr>
            <w:r w:rsidRPr="001066DC">
              <w:rPr>
                <w:bCs/>
              </w:rPr>
              <w:t>5 December 2013</w:t>
            </w:r>
          </w:p>
        </w:tc>
        <w:tc>
          <w:tcPr>
            <w:tcW w:w="5672" w:type="dxa"/>
            <w:shd w:val="clear" w:color="auto" w:fill="auto"/>
            <w:tcMar>
              <w:top w:w="55" w:type="dxa"/>
              <w:left w:w="55" w:type="dxa"/>
              <w:bottom w:w="55" w:type="dxa"/>
              <w:right w:w="55" w:type="dxa"/>
            </w:tcMar>
          </w:tcPr>
          <w:p w:rsidR="0076405A" w:rsidRPr="001066DC" w:rsidRDefault="0076405A" w:rsidP="006818FB">
            <w:pPr>
              <w:rPr>
                <w:b/>
                <w:sz w:val="17"/>
                <w:szCs w:val="17"/>
              </w:rPr>
            </w:pPr>
            <w:r w:rsidRPr="001066DC">
              <w:rPr>
                <w:b/>
                <w:sz w:val="17"/>
                <w:szCs w:val="17"/>
              </w:rPr>
              <w:t>Tayside NHS Board meeting</w:t>
            </w:r>
          </w:p>
          <w:p w:rsidR="0076405A" w:rsidRPr="001066DC" w:rsidRDefault="0076405A" w:rsidP="006818FB">
            <w:pPr>
              <w:rPr>
                <w:sz w:val="17"/>
                <w:szCs w:val="17"/>
              </w:rPr>
            </w:pPr>
            <w:r w:rsidRPr="001066DC">
              <w:rPr>
                <w:sz w:val="17"/>
                <w:szCs w:val="17"/>
              </w:rPr>
              <w:t>The minute of the meeting of the Finance and Resources Committee from 17 October was presented to the Board.  This covered the financial position to 31 August 2013.  The Board noted from the minutes the following key points:</w:t>
            </w:r>
          </w:p>
          <w:p w:rsidR="0076405A" w:rsidRPr="001066DC" w:rsidRDefault="0076405A" w:rsidP="006818FB">
            <w:pPr>
              <w:rPr>
                <w:i/>
                <w:sz w:val="17"/>
                <w:szCs w:val="17"/>
              </w:rPr>
            </w:pPr>
            <w:r w:rsidRPr="001066DC">
              <w:rPr>
                <w:i/>
                <w:sz w:val="17"/>
                <w:szCs w:val="17"/>
              </w:rPr>
              <w:t>“noted performance to 31 August 2013 and the slow identification of savings in 2013/14 which was c50% of the overspend to date.”</w:t>
            </w:r>
          </w:p>
          <w:p w:rsidR="0076405A" w:rsidRPr="001066DC" w:rsidRDefault="0076405A" w:rsidP="006818FB">
            <w:pPr>
              <w:rPr>
                <w:sz w:val="17"/>
                <w:szCs w:val="17"/>
              </w:rPr>
            </w:pPr>
            <w:r w:rsidRPr="001066DC">
              <w:rPr>
                <w:sz w:val="17"/>
                <w:szCs w:val="17"/>
              </w:rPr>
              <w:t>However, there was no evidence of significant risks or concern noted around ability to breakeven.</w:t>
            </w:r>
          </w:p>
        </w:tc>
        <w:tc>
          <w:tcPr>
            <w:tcW w:w="3118" w:type="dxa"/>
            <w:shd w:val="clear" w:color="auto" w:fill="auto"/>
            <w:tcMar>
              <w:top w:w="55" w:type="dxa"/>
              <w:left w:w="55" w:type="dxa"/>
              <w:bottom w:w="55" w:type="dxa"/>
              <w:right w:w="55" w:type="dxa"/>
            </w:tcMar>
          </w:tcPr>
          <w:p w:rsidR="0076405A" w:rsidRDefault="0076405A" w:rsidP="006818FB">
            <w:pPr>
              <w:rPr>
                <w:sz w:val="17"/>
                <w:szCs w:val="17"/>
              </w:rPr>
            </w:pPr>
            <w:r w:rsidRPr="001066DC">
              <w:rPr>
                <w:sz w:val="17"/>
                <w:szCs w:val="17"/>
              </w:rPr>
              <w:t>The financial information reported to the Board related to the minute of the meeting of the Finance and Resources Committee in October reporting the financial position as at 31 August 2013.  This meant</w:t>
            </w:r>
            <w:r w:rsidR="00B63557">
              <w:rPr>
                <w:sz w:val="17"/>
                <w:szCs w:val="17"/>
              </w:rPr>
              <w:t xml:space="preserve"> the information being presented to</w:t>
            </w:r>
            <w:r w:rsidRPr="001066DC">
              <w:rPr>
                <w:sz w:val="17"/>
                <w:szCs w:val="17"/>
              </w:rPr>
              <w:t xml:space="preserve"> the Board was over 3 months out of date.  </w:t>
            </w:r>
          </w:p>
          <w:p w:rsidR="00806032" w:rsidRPr="001066DC" w:rsidRDefault="00806032" w:rsidP="006818FB">
            <w:pPr>
              <w:rPr>
                <w:sz w:val="17"/>
                <w:szCs w:val="17"/>
              </w:rPr>
            </w:pPr>
            <w:r>
              <w:rPr>
                <w:sz w:val="17"/>
                <w:szCs w:val="17"/>
              </w:rPr>
              <w:t xml:space="preserve">NHS Board’s report financial position to the SGHSCD one month in arears so on this basis more up to date information, as reported to SGHSCD would have been available.  </w:t>
            </w:r>
          </w:p>
        </w:tc>
      </w:tr>
      <w:tr w:rsidR="0076405A" w:rsidRPr="001066DC" w:rsidTr="00F45A2B">
        <w:trPr>
          <w:trHeight w:val="910"/>
        </w:trPr>
        <w:tc>
          <w:tcPr>
            <w:tcW w:w="991" w:type="dxa"/>
            <w:shd w:val="clear" w:color="auto" w:fill="auto"/>
            <w:tcMar>
              <w:top w:w="55" w:type="dxa"/>
              <w:left w:w="55" w:type="dxa"/>
              <w:bottom w:w="55" w:type="dxa"/>
              <w:right w:w="55" w:type="dxa"/>
            </w:tcMar>
            <w:hideMark/>
          </w:tcPr>
          <w:p w:rsidR="0076405A" w:rsidRPr="001066DC" w:rsidRDefault="0076405A" w:rsidP="006818FB">
            <w:pPr>
              <w:jc w:val="both"/>
            </w:pPr>
            <w:r w:rsidRPr="001066DC">
              <w:rPr>
                <w:bCs/>
              </w:rPr>
              <w:t>16 January 2014</w:t>
            </w:r>
          </w:p>
        </w:tc>
        <w:tc>
          <w:tcPr>
            <w:tcW w:w="5672" w:type="dxa"/>
            <w:shd w:val="clear" w:color="auto" w:fill="auto"/>
            <w:tcMar>
              <w:top w:w="55" w:type="dxa"/>
              <w:left w:w="55" w:type="dxa"/>
              <w:bottom w:w="55" w:type="dxa"/>
              <w:right w:w="55" w:type="dxa"/>
            </w:tcMar>
            <w:hideMark/>
          </w:tcPr>
          <w:p w:rsidR="0076405A" w:rsidRPr="001066DC" w:rsidRDefault="0076405A" w:rsidP="006818FB">
            <w:pPr>
              <w:rPr>
                <w:sz w:val="17"/>
                <w:szCs w:val="17"/>
              </w:rPr>
            </w:pPr>
            <w:r w:rsidRPr="001066DC">
              <w:rPr>
                <w:b/>
                <w:sz w:val="17"/>
                <w:szCs w:val="17"/>
              </w:rPr>
              <w:t>Finance and Resources Committee</w:t>
            </w:r>
            <w:r w:rsidRPr="001066DC">
              <w:rPr>
                <w:sz w:val="17"/>
                <w:szCs w:val="17"/>
              </w:rPr>
              <w:t xml:space="preserve"> </w:t>
            </w:r>
          </w:p>
          <w:p w:rsidR="0076405A" w:rsidRPr="001066DC" w:rsidRDefault="0076405A" w:rsidP="006818FB">
            <w:pPr>
              <w:rPr>
                <w:sz w:val="17"/>
                <w:szCs w:val="17"/>
              </w:rPr>
            </w:pPr>
            <w:r w:rsidRPr="001066DC">
              <w:rPr>
                <w:sz w:val="17"/>
                <w:szCs w:val="17"/>
              </w:rPr>
              <w:t xml:space="preserve">At the meeting on 16 January 2014, the Committee received a verbal update on the financial position as at 31 December 2013.  </w:t>
            </w:r>
          </w:p>
          <w:p w:rsidR="0076405A" w:rsidRPr="001066DC" w:rsidRDefault="0076405A" w:rsidP="006818FB">
            <w:pPr>
              <w:rPr>
                <w:sz w:val="17"/>
                <w:szCs w:val="17"/>
              </w:rPr>
            </w:pPr>
            <w:r w:rsidRPr="001066DC">
              <w:rPr>
                <w:sz w:val="17"/>
                <w:szCs w:val="17"/>
              </w:rPr>
              <w:t>It was reported that financial position was £2.6 million overspent as at 31 December 2013 which was now £1 million greater than trajectory and it was noted that “</w:t>
            </w:r>
            <w:r w:rsidRPr="001066DC">
              <w:rPr>
                <w:i/>
                <w:sz w:val="17"/>
                <w:szCs w:val="17"/>
              </w:rPr>
              <w:t>progress with achievement of efficiency savings targets has continued but the planned improvements in the overall position has not materialised due to sustained pressures around both Family Health Services spend and secondary care prescribing costs</w:t>
            </w:r>
            <w:r w:rsidRPr="001066DC">
              <w:rPr>
                <w:sz w:val="17"/>
                <w:szCs w:val="17"/>
              </w:rPr>
              <w:t>”.</w:t>
            </w:r>
          </w:p>
          <w:p w:rsidR="0076405A" w:rsidRPr="001066DC" w:rsidRDefault="0076405A" w:rsidP="00B63557">
            <w:pPr>
              <w:rPr>
                <w:sz w:val="17"/>
                <w:szCs w:val="17"/>
              </w:rPr>
            </w:pPr>
            <w:r w:rsidRPr="001066DC">
              <w:rPr>
                <w:sz w:val="17"/>
                <w:szCs w:val="17"/>
              </w:rPr>
              <w:t>The Committee was informed of the forthcoming meeting with SGHSCD on 21 January 2014 “</w:t>
            </w:r>
            <w:r w:rsidRPr="001066DC">
              <w:rPr>
                <w:i/>
                <w:sz w:val="17"/>
                <w:szCs w:val="17"/>
              </w:rPr>
              <w:t>around measures to be taken in terms of local initiatives and further access support</w:t>
            </w:r>
            <w:r w:rsidR="00B63557">
              <w:rPr>
                <w:i/>
                <w:sz w:val="17"/>
                <w:szCs w:val="17"/>
              </w:rPr>
              <w:t xml:space="preserve"> to ensure a successful delivery </w:t>
            </w:r>
            <w:r w:rsidRPr="001066DC">
              <w:rPr>
                <w:i/>
                <w:sz w:val="17"/>
                <w:szCs w:val="17"/>
              </w:rPr>
              <w:t>of financial targets in 2013/14</w:t>
            </w:r>
            <w:r w:rsidRPr="001066DC">
              <w:rPr>
                <w:sz w:val="17"/>
                <w:szCs w:val="17"/>
              </w:rPr>
              <w:t xml:space="preserve">”.  </w:t>
            </w:r>
          </w:p>
        </w:tc>
        <w:tc>
          <w:tcPr>
            <w:tcW w:w="3118" w:type="dxa"/>
            <w:shd w:val="clear" w:color="auto" w:fill="auto"/>
            <w:tcMar>
              <w:top w:w="55" w:type="dxa"/>
              <w:left w:w="55" w:type="dxa"/>
              <w:bottom w:w="55" w:type="dxa"/>
              <w:right w:w="55" w:type="dxa"/>
            </w:tcMar>
            <w:hideMark/>
          </w:tcPr>
          <w:p w:rsidR="0076405A" w:rsidRDefault="0076405A" w:rsidP="006818FB">
            <w:pPr>
              <w:rPr>
                <w:sz w:val="17"/>
                <w:szCs w:val="17"/>
              </w:rPr>
            </w:pPr>
            <w:r w:rsidRPr="001066DC">
              <w:rPr>
                <w:sz w:val="17"/>
                <w:szCs w:val="17"/>
              </w:rPr>
              <w:t>In this instance it was only a verbal update received by the Committee members where we would have expected a formal finance paper to have been presented.  From reading the minute, while the Director of Finance highl</w:t>
            </w:r>
            <w:r w:rsidR="00B63557">
              <w:rPr>
                <w:sz w:val="17"/>
                <w:szCs w:val="17"/>
              </w:rPr>
              <w:t>ights financial challenges facing</w:t>
            </w:r>
            <w:r w:rsidRPr="001066DC">
              <w:rPr>
                <w:sz w:val="17"/>
                <w:szCs w:val="17"/>
              </w:rPr>
              <w:t xml:space="preserve"> the Board, there is no indication that break-even wouldn’t be achieved without certain measures, and there was no discussion on potential brokerage or endowment mo</w:t>
            </w:r>
            <w:r w:rsidR="00B63557">
              <w:rPr>
                <w:sz w:val="17"/>
                <w:szCs w:val="17"/>
              </w:rPr>
              <w:t>nies.  Pressures were discussed, but did not appear to have monetary values attached. However,</w:t>
            </w:r>
            <w:r w:rsidRPr="001066DC">
              <w:rPr>
                <w:sz w:val="17"/>
                <w:szCs w:val="17"/>
              </w:rPr>
              <w:t xml:space="preserve"> confidence still appeared to be in place over the year-end position.  </w:t>
            </w:r>
          </w:p>
          <w:p w:rsidR="00B63557" w:rsidRDefault="00B63557" w:rsidP="006818FB">
            <w:pPr>
              <w:rPr>
                <w:sz w:val="17"/>
                <w:szCs w:val="17"/>
              </w:rPr>
            </w:pPr>
          </w:p>
          <w:p w:rsidR="00B63557" w:rsidRPr="001066DC" w:rsidRDefault="00B63557" w:rsidP="006818FB">
            <w:pPr>
              <w:rPr>
                <w:sz w:val="17"/>
                <w:szCs w:val="17"/>
              </w:rPr>
            </w:pPr>
          </w:p>
        </w:tc>
      </w:tr>
      <w:tr w:rsidR="0076405A" w:rsidRPr="001066DC" w:rsidTr="00F45A2B">
        <w:trPr>
          <w:trHeight w:val="910"/>
        </w:trPr>
        <w:tc>
          <w:tcPr>
            <w:tcW w:w="991" w:type="dxa"/>
            <w:shd w:val="clear" w:color="auto" w:fill="auto"/>
            <w:tcMar>
              <w:top w:w="55" w:type="dxa"/>
              <w:left w:w="55" w:type="dxa"/>
              <w:bottom w:w="55" w:type="dxa"/>
              <w:right w:w="55" w:type="dxa"/>
            </w:tcMar>
          </w:tcPr>
          <w:p w:rsidR="0076405A" w:rsidRPr="001066DC" w:rsidRDefault="0076405A" w:rsidP="006818FB">
            <w:pPr>
              <w:jc w:val="both"/>
              <w:rPr>
                <w:bCs/>
              </w:rPr>
            </w:pPr>
            <w:r w:rsidRPr="001066DC">
              <w:rPr>
                <w:bCs/>
              </w:rPr>
              <w:lastRenderedPageBreak/>
              <w:t>20</w:t>
            </w:r>
            <w:r w:rsidRPr="001066DC">
              <w:rPr>
                <w:bCs/>
                <w:vertAlign w:val="superscript"/>
              </w:rPr>
              <w:t xml:space="preserve"> </w:t>
            </w:r>
            <w:r w:rsidRPr="001066DC">
              <w:rPr>
                <w:bCs/>
              </w:rPr>
              <w:t>January 2014</w:t>
            </w:r>
          </w:p>
        </w:tc>
        <w:tc>
          <w:tcPr>
            <w:tcW w:w="5672" w:type="dxa"/>
            <w:shd w:val="clear" w:color="auto" w:fill="auto"/>
            <w:tcMar>
              <w:top w:w="55" w:type="dxa"/>
              <w:left w:w="55" w:type="dxa"/>
              <w:bottom w:w="55" w:type="dxa"/>
              <w:right w:w="55" w:type="dxa"/>
            </w:tcMar>
          </w:tcPr>
          <w:p w:rsidR="0076405A" w:rsidRPr="001066DC" w:rsidRDefault="0076405A" w:rsidP="006818FB">
            <w:pPr>
              <w:rPr>
                <w:b/>
                <w:sz w:val="17"/>
                <w:szCs w:val="17"/>
              </w:rPr>
            </w:pPr>
            <w:r w:rsidRPr="001066DC">
              <w:rPr>
                <w:b/>
                <w:sz w:val="17"/>
                <w:szCs w:val="17"/>
              </w:rPr>
              <w:t>Draft Finance Paper for Board Development Event 23</w:t>
            </w:r>
            <w:r w:rsidRPr="001066DC">
              <w:rPr>
                <w:b/>
                <w:sz w:val="17"/>
                <w:szCs w:val="17"/>
                <w:vertAlign w:val="superscript"/>
              </w:rPr>
              <w:t>rd</w:t>
            </w:r>
            <w:r w:rsidRPr="001066DC">
              <w:rPr>
                <w:b/>
                <w:sz w:val="17"/>
                <w:szCs w:val="17"/>
              </w:rPr>
              <w:t xml:space="preserve"> January </w:t>
            </w:r>
          </w:p>
          <w:p w:rsidR="0076405A" w:rsidRPr="001066DC" w:rsidRDefault="0076405A" w:rsidP="006818FB">
            <w:pPr>
              <w:rPr>
                <w:sz w:val="17"/>
                <w:szCs w:val="17"/>
              </w:rPr>
            </w:pPr>
            <w:r w:rsidRPr="001066DC">
              <w:rPr>
                <w:sz w:val="17"/>
                <w:szCs w:val="17"/>
              </w:rPr>
              <w:t>We have obtained a draft paper “Revenue Forecast” that is dated 20</w:t>
            </w:r>
            <w:r w:rsidRPr="001066DC">
              <w:rPr>
                <w:sz w:val="17"/>
                <w:szCs w:val="17"/>
                <w:vertAlign w:val="superscript"/>
              </w:rPr>
              <w:t>th</w:t>
            </w:r>
            <w:r w:rsidRPr="001066DC">
              <w:rPr>
                <w:sz w:val="17"/>
                <w:szCs w:val="17"/>
              </w:rPr>
              <w:t xml:space="preserve"> January 2014 that was due to be presented at the Board Development Event on 23 January.  From review of the Development Event agenda we cannot see the paper and there are no recorded minutes of this meeting. </w:t>
            </w:r>
          </w:p>
          <w:p w:rsidR="0076405A" w:rsidRPr="001066DC" w:rsidRDefault="0076405A" w:rsidP="006818FB">
            <w:pPr>
              <w:rPr>
                <w:sz w:val="17"/>
                <w:szCs w:val="17"/>
              </w:rPr>
            </w:pPr>
            <w:r w:rsidRPr="001066DC">
              <w:rPr>
                <w:sz w:val="17"/>
                <w:szCs w:val="17"/>
              </w:rPr>
              <w:t>The paper outlines the financial position at 31 December 2013, as reported to the Finance and Resources Committee on 16</w:t>
            </w:r>
            <w:r w:rsidRPr="001066DC">
              <w:rPr>
                <w:sz w:val="17"/>
                <w:szCs w:val="17"/>
                <w:vertAlign w:val="superscript"/>
              </w:rPr>
              <w:t>th</w:t>
            </w:r>
            <w:r w:rsidRPr="001066DC">
              <w:rPr>
                <w:sz w:val="17"/>
                <w:szCs w:val="17"/>
              </w:rPr>
              <w:t xml:space="preserve"> January and “</w:t>
            </w:r>
            <w:r w:rsidRPr="001066DC">
              <w:rPr>
                <w:i/>
                <w:sz w:val="17"/>
                <w:szCs w:val="17"/>
              </w:rPr>
              <w:t>incorporates further factors that will impact on performance during the financial quarter</w:t>
            </w:r>
            <w:r w:rsidRPr="001066DC">
              <w:rPr>
                <w:sz w:val="17"/>
                <w:szCs w:val="17"/>
              </w:rPr>
              <w:t>”.  The paper identifies a forecast out-turn position without intervention of £6.559 million.  This incorporates £2.634 million of overspend as at 31 December 2013 with further “additional pressures” identified in quarter four totalling £3.925 million.</w:t>
            </w:r>
          </w:p>
          <w:p w:rsidR="0076405A" w:rsidRPr="001066DC" w:rsidRDefault="0076405A" w:rsidP="006818FB">
            <w:pPr>
              <w:rPr>
                <w:sz w:val="17"/>
                <w:szCs w:val="17"/>
              </w:rPr>
            </w:pPr>
            <w:r w:rsidRPr="001066DC">
              <w:rPr>
                <w:sz w:val="17"/>
                <w:szCs w:val="17"/>
              </w:rPr>
              <w:t xml:space="preserve">The paper notes that “officers are examining various sources of funding to help address the situation”.  It notes that SGHSCD has indicated only minimal central support is available and </w:t>
            </w:r>
            <w:r w:rsidR="00B63557">
              <w:rPr>
                <w:sz w:val="17"/>
                <w:szCs w:val="17"/>
              </w:rPr>
              <w:t>that the Chief Executive and DOF</w:t>
            </w:r>
            <w:r w:rsidRPr="001066DC">
              <w:rPr>
                <w:sz w:val="17"/>
                <w:szCs w:val="17"/>
              </w:rPr>
              <w:t xml:space="preserve"> are meeting with SGHSCD “</w:t>
            </w:r>
            <w:r w:rsidRPr="001066DC">
              <w:rPr>
                <w:i/>
                <w:sz w:val="17"/>
                <w:szCs w:val="17"/>
              </w:rPr>
              <w:t>to demonstrate a number of local measures to mitigate the forecast exposure</w:t>
            </w:r>
            <w:r w:rsidRPr="001066DC">
              <w:rPr>
                <w:sz w:val="17"/>
                <w:szCs w:val="17"/>
              </w:rPr>
              <w:t xml:space="preserve">”.  The paper also goes on to note that following a review of exchequer expenditure a number of projects had been identified that are believed to “meet the Endowment Fund criteria” and that the proposal was, subject to the Trustees retrospective approval, to fund these through the use of Endowment Funds.  </w:t>
            </w:r>
          </w:p>
          <w:p w:rsidR="0076405A" w:rsidRPr="001066DC" w:rsidRDefault="0076405A" w:rsidP="006818FB">
            <w:pPr>
              <w:rPr>
                <w:sz w:val="17"/>
                <w:szCs w:val="17"/>
              </w:rPr>
            </w:pPr>
            <w:r w:rsidRPr="001066DC">
              <w:rPr>
                <w:sz w:val="17"/>
                <w:szCs w:val="17"/>
              </w:rPr>
              <w:t xml:space="preserve">The paper was drafted in the name </w:t>
            </w:r>
            <w:r w:rsidR="00806032">
              <w:rPr>
                <w:sz w:val="17"/>
                <w:szCs w:val="17"/>
              </w:rPr>
              <w:t xml:space="preserve">of the Chief Executive, </w:t>
            </w:r>
            <w:r w:rsidR="00B63557">
              <w:rPr>
                <w:sz w:val="17"/>
                <w:szCs w:val="17"/>
              </w:rPr>
              <w:t xml:space="preserve">Medical Director, </w:t>
            </w:r>
            <w:r w:rsidR="00806032">
              <w:rPr>
                <w:sz w:val="17"/>
                <w:szCs w:val="17"/>
              </w:rPr>
              <w:t xml:space="preserve">Nurse Director, the </w:t>
            </w:r>
            <w:r w:rsidRPr="001066DC">
              <w:rPr>
                <w:sz w:val="17"/>
                <w:szCs w:val="17"/>
              </w:rPr>
              <w:t>Director of Finance</w:t>
            </w:r>
            <w:r w:rsidR="00806032">
              <w:rPr>
                <w:sz w:val="17"/>
                <w:szCs w:val="17"/>
              </w:rPr>
              <w:t xml:space="preserve"> and the Assistant Director of Finance, who were in post at that time.  </w:t>
            </w:r>
            <w:r w:rsidRPr="001066DC">
              <w:rPr>
                <w:sz w:val="17"/>
                <w:szCs w:val="17"/>
              </w:rPr>
              <w:t xml:space="preserve"> </w:t>
            </w:r>
          </w:p>
          <w:p w:rsidR="0076405A" w:rsidRPr="00B63557" w:rsidRDefault="0076405A" w:rsidP="00B63557">
            <w:pPr>
              <w:rPr>
                <w:sz w:val="17"/>
                <w:szCs w:val="17"/>
              </w:rPr>
            </w:pPr>
          </w:p>
        </w:tc>
        <w:tc>
          <w:tcPr>
            <w:tcW w:w="3118" w:type="dxa"/>
            <w:shd w:val="clear" w:color="auto" w:fill="auto"/>
            <w:tcMar>
              <w:top w:w="55" w:type="dxa"/>
              <w:left w:w="55" w:type="dxa"/>
              <w:bottom w:w="55" w:type="dxa"/>
              <w:right w:w="55" w:type="dxa"/>
            </w:tcMar>
          </w:tcPr>
          <w:p w:rsidR="0076405A" w:rsidRPr="001066DC" w:rsidRDefault="0076405A" w:rsidP="006818FB">
            <w:pPr>
              <w:rPr>
                <w:sz w:val="17"/>
                <w:szCs w:val="17"/>
              </w:rPr>
            </w:pPr>
            <w:r w:rsidRPr="001066DC">
              <w:rPr>
                <w:sz w:val="17"/>
                <w:szCs w:val="17"/>
              </w:rPr>
              <w:t xml:space="preserve">As there was no minute from the Board Development Event we cannot determine whether the paper was presented.  It does not appear on the Agenda.  </w:t>
            </w:r>
          </w:p>
          <w:p w:rsidR="0076405A" w:rsidRPr="001066DC" w:rsidRDefault="0076405A" w:rsidP="006818FB">
            <w:pPr>
              <w:rPr>
                <w:sz w:val="17"/>
                <w:szCs w:val="17"/>
              </w:rPr>
            </w:pPr>
            <w:r w:rsidRPr="001066DC">
              <w:rPr>
                <w:sz w:val="17"/>
                <w:szCs w:val="17"/>
              </w:rPr>
              <w:t>However, the paper does highlight that four days after the Finance and Resources Committee meeting on 16</w:t>
            </w:r>
            <w:r w:rsidRPr="001066DC">
              <w:rPr>
                <w:sz w:val="17"/>
                <w:szCs w:val="17"/>
                <w:vertAlign w:val="superscript"/>
              </w:rPr>
              <w:t>th</w:t>
            </w:r>
            <w:r w:rsidRPr="001066DC">
              <w:rPr>
                <w:sz w:val="17"/>
                <w:szCs w:val="17"/>
              </w:rPr>
              <w:t xml:space="preserve"> January management had significant concerns around the Board’s ability to achieve a bre</w:t>
            </w:r>
            <w:r w:rsidR="00B63557">
              <w:rPr>
                <w:sz w:val="17"/>
                <w:szCs w:val="17"/>
              </w:rPr>
              <w:t xml:space="preserve">ak-even position for the year, which does not appear to coincide with the messages to the Finance and Resources Committee on 16th of January.  </w:t>
            </w:r>
          </w:p>
          <w:p w:rsidR="0076405A" w:rsidRPr="001066DC" w:rsidRDefault="0076405A" w:rsidP="006818FB">
            <w:pPr>
              <w:rPr>
                <w:sz w:val="17"/>
                <w:szCs w:val="17"/>
              </w:rPr>
            </w:pPr>
          </w:p>
        </w:tc>
      </w:tr>
      <w:tr w:rsidR="0076405A" w:rsidRPr="001066DC" w:rsidTr="00F45A2B">
        <w:trPr>
          <w:trHeight w:val="910"/>
        </w:trPr>
        <w:tc>
          <w:tcPr>
            <w:tcW w:w="991" w:type="dxa"/>
            <w:shd w:val="clear" w:color="auto" w:fill="auto"/>
            <w:tcMar>
              <w:top w:w="55" w:type="dxa"/>
              <w:left w:w="55" w:type="dxa"/>
              <w:bottom w:w="55" w:type="dxa"/>
              <w:right w:w="55" w:type="dxa"/>
            </w:tcMar>
          </w:tcPr>
          <w:p w:rsidR="0076405A" w:rsidRPr="001066DC" w:rsidRDefault="0076405A" w:rsidP="006818FB">
            <w:pPr>
              <w:jc w:val="both"/>
              <w:rPr>
                <w:bCs/>
              </w:rPr>
            </w:pPr>
            <w:r w:rsidRPr="001066DC">
              <w:rPr>
                <w:bCs/>
              </w:rPr>
              <w:t>20 January 2014</w:t>
            </w:r>
          </w:p>
        </w:tc>
        <w:tc>
          <w:tcPr>
            <w:tcW w:w="5672" w:type="dxa"/>
            <w:shd w:val="clear" w:color="auto" w:fill="auto"/>
            <w:tcMar>
              <w:top w:w="55" w:type="dxa"/>
              <w:left w:w="55" w:type="dxa"/>
              <w:bottom w:w="55" w:type="dxa"/>
              <w:right w:w="55" w:type="dxa"/>
            </w:tcMar>
          </w:tcPr>
          <w:p w:rsidR="0076405A" w:rsidRPr="001066DC" w:rsidRDefault="0076405A" w:rsidP="006818FB">
            <w:pPr>
              <w:rPr>
                <w:b/>
                <w:sz w:val="17"/>
                <w:szCs w:val="17"/>
              </w:rPr>
            </w:pPr>
            <w:r w:rsidRPr="001066DC">
              <w:rPr>
                <w:b/>
                <w:sz w:val="17"/>
                <w:szCs w:val="17"/>
              </w:rPr>
              <w:t>Email exchange between Chair of NHS Tayside, the Director of Finance and Chief Executive of NHS Tayside, subject: Briefing on Financial Position</w:t>
            </w:r>
          </w:p>
          <w:p w:rsidR="0076405A" w:rsidRPr="001066DC" w:rsidRDefault="0076405A" w:rsidP="006818FB">
            <w:pPr>
              <w:rPr>
                <w:sz w:val="17"/>
                <w:szCs w:val="17"/>
              </w:rPr>
            </w:pPr>
            <w:r w:rsidRPr="001066DC">
              <w:rPr>
                <w:sz w:val="17"/>
                <w:szCs w:val="17"/>
              </w:rPr>
              <w:t xml:space="preserve">The email exchange involves the then Director of Finance providing a summary of the financial position of the Board to the former Chair in advance of a meeting with SGHSCD. The email references “discussions” on Friday 17 January although we have been unable to locate any record of this.  The exchange outlines that the “total forecast March 2014 (overspend) c£6.5m”.  </w:t>
            </w:r>
          </w:p>
          <w:p w:rsidR="0076405A" w:rsidRPr="001066DC" w:rsidRDefault="0076405A" w:rsidP="006818FB">
            <w:pPr>
              <w:rPr>
                <w:sz w:val="17"/>
                <w:szCs w:val="17"/>
              </w:rPr>
            </w:pPr>
            <w:r w:rsidRPr="001066DC">
              <w:rPr>
                <w:sz w:val="17"/>
                <w:szCs w:val="17"/>
              </w:rPr>
              <w:t>The then Director of Finance outlined that “</w:t>
            </w:r>
            <w:r w:rsidRPr="001066DC">
              <w:rPr>
                <w:i/>
                <w:sz w:val="17"/>
                <w:szCs w:val="17"/>
              </w:rPr>
              <w:t>October 2013 overspend of c£2.6m was considered manageable as Board still had £1.1m reserves and based on prior years an overspend of the balance of £1.5m has historically managed over the final 5 months in the year</w:t>
            </w:r>
            <w:r w:rsidRPr="001066DC">
              <w:rPr>
                <w:sz w:val="17"/>
                <w:szCs w:val="17"/>
              </w:rPr>
              <w:t xml:space="preserve">.” </w:t>
            </w:r>
          </w:p>
          <w:p w:rsidR="0076405A" w:rsidRPr="001066DC" w:rsidRDefault="0076405A" w:rsidP="006818FB">
            <w:pPr>
              <w:rPr>
                <w:sz w:val="17"/>
                <w:szCs w:val="17"/>
              </w:rPr>
            </w:pPr>
            <w:r w:rsidRPr="001066DC">
              <w:rPr>
                <w:sz w:val="17"/>
                <w:szCs w:val="17"/>
              </w:rPr>
              <w:t xml:space="preserve">Since then the position has moved and the envisaged downward trend did not occur.  As a result the position was </w:t>
            </w:r>
          </w:p>
          <w:p w:rsidR="0076405A" w:rsidRPr="001066DC" w:rsidRDefault="0076405A" w:rsidP="006818FB">
            <w:pPr>
              <w:spacing w:line="240" w:lineRule="auto"/>
              <w:rPr>
                <w:sz w:val="17"/>
                <w:szCs w:val="17"/>
              </w:rPr>
            </w:pPr>
            <w:r w:rsidRPr="001066DC">
              <w:rPr>
                <w:sz w:val="17"/>
                <w:szCs w:val="17"/>
              </w:rPr>
              <w:t xml:space="preserve">“finance Outturn at December 2013 £2.634m </w:t>
            </w:r>
          </w:p>
          <w:p w:rsidR="0076405A" w:rsidRPr="001066DC" w:rsidRDefault="0076405A" w:rsidP="006818FB">
            <w:pPr>
              <w:spacing w:line="240" w:lineRule="auto"/>
              <w:rPr>
                <w:sz w:val="17"/>
                <w:szCs w:val="17"/>
              </w:rPr>
            </w:pPr>
            <w:r w:rsidRPr="001066DC">
              <w:rPr>
                <w:sz w:val="17"/>
                <w:szCs w:val="17"/>
              </w:rPr>
              <w:t>TTG forecast Costs Quarter 4 £2.525m</w:t>
            </w:r>
          </w:p>
          <w:p w:rsidR="0076405A" w:rsidRPr="001066DC" w:rsidRDefault="0076405A" w:rsidP="006818FB">
            <w:pPr>
              <w:spacing w:line="240" w:lineRule="auto"/>
              <w:rPr>
                <w:sz w:val="17"/>
                <w:szCs w:val="17"/>
              </w:rPr>
            </w:pPr>
            <w:r w:rsidRPr="001066DC">
              <w:rPr>
                <w:sz w:val="17"/>
                <w:szCs w:val="17"/>
              </w:rPr>
              <w:t>Primary Care / Secondary Care Drugs £1.1m</w:t>
            </w:r>
          </w:p>
          <w:p w:rsidR="0076405A" w:rsidRDefault="0076405A" w:rsidP="006818FB">
            <w:pPr>
              <w:spacing w:line="240" w:lineRule="auto"/>
              <w:rPr>
                <w:sz w:val="17"/>
                <w:szCs w:val="17"/>
              </w:rPr>
            </w:pPr>
            <w:r w:rsidRPr="001066DC">
              <w:rPr>
                <w:sz w:val="17"/>
                <w:szCs w:val="17"/>
              </w:rPr>
              <w:t>Delay on Asset sales £0.3m”   (Total: £6.559 million)</w:t>
            </w:r>
          </w:p>
          <w:p w:rsidR="00B63557" w:rsidRDefault="00B63557" w:rsidP="006818FB">
            <w:pPr>
              <w:spacing w:line="240" w:lineRule="auto"/>
              <w:rPr>
                <w:sz w:val="17"/>
                <w:szCs w:val="17"/>
              </w:rPr>
            </w:pPr>
          </w:p>
          <w:p w:rsidR="00B63557" w:rsidRDefault="00B63557" w:rsidP="006818FB">
            <w:pPr>
              <w:spacing w:line="240" w:lineRule="auto"/>
              <w:rPr>
                <w:sz w:val="17"/>
                <w:szCs w:val="17"/>
              </w:rPr>
            </w:pPr>
          </w:p>
          <w:p w:rsidR="0076405A" w:rsidRDefault="0076405A" w:rsidP="006818FB">
            <w:pPr>
              <w:spacing w:line="240" w:lineRule="auto"/>
              <w:rPr>
                <w:sz w:val="17"/>
                <w:szCs w:val="17"/>
              </w:rPr>
            </w:pPr>
          </w:p>
          <w:p w:rsidR="005968F6" w:rsidRDefault="005968F6" w:rsidP="006818FB">
            <w:pPr>
              <w:spacing w:line="240" w:lineRule="auto"/>
              <w:rPr>
                <w:sz w:val="17"/>
                <w:szCs w:val="17"/>
              </w:rPr>
            </w:pPr>
          </w:p>
          <w:p w:rsidR="005968F6" w:rsidRDefault="005968F6" w:rsidP="006818FB">
            <w:pPr>
              <w:spacing w:line="240" w:lineRule="auto"/>
              <w:rPr>
                <w:sz w:val="17"/>
                <w:szCs w:val="17"/>
              </w:rPr>
            </w:pPr>
          </w:p>
          <w:p w:rsidR="005968F6" w:rsidRPr="001066DC" w:rsidRDefault="005968F6" w:rsidP="006818FB">
            <w:pPr>
              <w:spacing w:line="240" w:lineRule="auto"/>
              <w:rPr>
                <w:sz w:val="17"/>
                <w:szCs w:val="17"/>
              </w:rPr>
            </w:pPr>
          </w:p>
        </w:tc>
        <w:tc>
          <w:tcPr>
            <w:tcW w:w="3118" w:type="dxa"/>
            <w:shd w:val="clear" w:color="auto" w:fill="auto"/>
            <w:tcMar>
              <w:top w:w="55" w:type="dxa"/>
              <w:left w:w="55" w:type="dxa"/>
              <w:bottom w:w="55" w:type="dxa"/>
              <w:right w:w="55" w:type="dxa"/>
            </w:tcMar>
          </w:tcPr>
          <w:p w:rsidR="0076405A" w:rsidRPr="001066DC" w:rsidRDefault="0076405A" w:rsidP="006818FB">
            <w:pPr>
              <w:rPr>
                <w:sz w:val="17"/>
                <w:szCs w:val="17"/>
              </w:rPr>
            </w:pPr>
            <w:r w:rsidRPr="001066DC">
              <w:rPr>
                <w:sz w:val="17"/>
                <w:szCs w:val="17"/>
              </w:rPr>
              <w:t xml:space="preserve">The email exchange provides a summary of the movement in financial position compared to that previously communicated to the Board.  </w:t>
            </w:r>
          </w:p>
          <w:p w:rsidR="0076405A" w:rsidRPr="001066DC" w:rsidRDefault="0076405A" w:rsidP="006818FB">
            <w:pPr>
              <w:rPr>
                <w:sz w:val="17"/>
                <w:szCs w:val="17"/>
              </w:rPr>
            </w:pPr>
            <w:r w:rsidRPr="001066DC">
              <w:rPr>
                <w:sz w:val="17"/>
                <w:szCs w:val="17"/>
              </w:rPr>
              <w:t>However it does highlight the lack of transparency in the financial monitoring</w:t>
            </w:r>
            <w:r w:rsidR="00B63557">
              <w:rPr>
                <w:sz w:val="17"/>
                <w:szCs w:val="17"/>
              </w:rPr>
              <w:t xml:space="preserve"> reports presented to the Finance</w:t>
            </w:r>
            <w:r w:rsidRPr="001066DC">
              <w:rPr>
                <w:sz w:val="17"/>
                <w:szCs w:val="17"/>
              </w:rPr>
              <w:t xml:space="preserve"> and Resources Committee that, whilst identifying risks to the outturn position, consistently between November 203 and February 2014, forecast a breakeven position for the year. </w:t>
            </w:r>
          </w:p>
        </w:tc>
      </w:tr>
      <w:tr w:rsidR="0076405A" w:rsidRPr="001066DC" w:rsidTr="00F45A2B">
        <w:trPr>
          <w:trHeight w:val="910"/>
        </w:trPr>
        <w:tc>
          <w:tcPr>
            <w:tcW w:w="991" w:type="dxa"/>
            <w:shd w:val="clear" w:color="auto" w:fill="auto"/>
            <w:tcMar>
              <w:top w:w="55" w:type="dxa"/>
              <w:left w:w="55" w:type="dxa"/>
              <w:bottom w:w="55" w:type="dxa"/>
              <w:right w:w="55" w:type="dxa"/>
            </w:tcMar>
          </w:tcPr>
          <w:p w:rsidR="0076405A" w:rsidRPr="001066DC" w:rsidRDefault="0076405A" w:rsidP="006818FB">
            <w:pPr>
              <w:jc w:val="both"/>
              <w:rPr>
                <w:bCs/>
              </w:rPr>
            </w:pPr>
            <w:r w:rsidRPr="001066DC">
              <w:rPr>
                <w:bCs/>
              </w:rPr>
              <w:lastRenderedPageBreak/>
              <w:t>21 January 2014</w:t>
            </w:r>
          </w:p>
        </w:tc>
        <w:tc>
          <w:tcPr>
            <w:tcW w:w="5672" w:type="dxa"/>
            <w:shd w:val="clear" w:color="auto" w:fill="auto"/>
            <w:tcMar>
              <w:top w:w="55" w:type="dxa"/>
              <w:left w:w="55" w:type="dxa"/>
              <w:bottom w:w="55" w:type="dxa"/>
              <w:right w:w="55" w:type="dxa"/>
            </w:tcMar>
          </w:tcPr>
          <w:p w:rsidR="0076405A" w:rsidRPr="001066DC" w:rsidRDefault="0076405A" w:rsidP="006818FB">
            <w:pPr>
              <w:rPr>
                <w:b/>
                <w:sz w:val="17"/>
                <w:szCs w:val="17"/>
              </w:rPr>
            </w:pPr>
            <w:r w:rsidRPr="001066DC">
              <w:rPr>
                <w:b/>
                <w:sz w:val="17"/>
                <w:szCs w:val="17"/>
              </w:rPr>
              <w:t>NHS Tayside and SGHSCD meeting</w:t>
            </w:r>
          </w:p>
          <w:p w:rsidR="0076405A" w:rsidRPr="001066DC" w:rsidRDefault="0076405A" w:rsidP="006818FB">
            <w:pPr>
              <w:rPr>
                <w:sz w:val="17"/>
                <w:szCs w:val="17"/>
              </w:rPr>
            </w:pPr>
            <w:r w:rsidRPr="001066DC">
              <w:rPr>
                <w:sz w:val="17"/>
                <w:szCs w:val="17"/>
              </w:rPr>
              <w:t xml:space="preserve">On 21 January 2014, there was a meeting between NHS Tayside Chief Executive and Director of Finance and the SGHSCD around local initiatives and further access support to ensure delivery of financial targets in 2013/14.  </w:t>
            </w:r>
          </w:p>
          <w:p w:rsidR="00806032" w:rsidRPr="001066DC" w:rsidRDefault="00806032" w:rsidP="00806032">
            <w:pPr>
              <w:rPr>
                <w:sz w:val="17"/>
                <w:szCs w:val="17"/>
              </w:rPr>
            </w:pPr>
            <w:r>
              <w:rPr>
                <w:sz w:val="17"/>
                <w:szCs w:val="17"/>
              </w:rPr>
              <w:t>T</w:t>
            </w:r>
            <w:r w:rsidR="0076405A" w:rsidRPr="00B63557">
              <w:rPr>
                <w:sz w:val="17"/>
                <w:szCs w:val="17"/>
              </w:rPr>
              <w:t xml:space="preserve">he Proposed </w:t>
            </w:r>
            <w:r>
              <w:rPr>
                <w:sz w:val="17"/>
                <w:szCs w:val="17"/>
              </w:rPr>
              <w:t xml:space="preserve">variation </w:t>
            </w:r>
            <w:r w:rsidR="0076405A" w:rsidRPr="00B63557">
              <w:rPr>
                <w:sz w:val="17"/>
                <w:szCs w:val="17"/>
              </w:rPr>
              <w:t>to Tayside NHS Board Endowment Fund Polic</w:t>
            </w:r>
            <w:r>
              <w:rPr>
                <w:sz w:val="17"/>
                <w:szCs w:val="17"/>
              </w:rPr>
              <w:t>y and Procedures Report (which went to the Endowment Fund Board) stated</w:t>
            </w:r>
            <w:r w:rsidRPr="001066DC">
              <w:rPr>
                <w:sz w:val="17"/>
                <w:szCs w:val="17"/>
              </w:rPr>
              <w:t xml:space="preserve"> “minimal central support” was availa</w:t>
            </w:r>
            <w:r>
              <w:rPr>
                <w:sz w:val="17"/>
                <w:szCs w:val="17"/>
              </w:rPr>
              <w:t xml:space="preserve">ble to the Board.  There is no record to support this comment within SGHSCD records.  </w:t>
            </w:r>
          </w:p>
          <w:p w:rsidR="0076405A" w:rsidRPr="00B63557" w:rsidRDefault="00806032" w:rsidP="006818FB">
            <w:pPr>
              <w:rPr>
                <w:sz w:val="17"/>
                <w:szCs w:val="17"/>
              </w:rPr>
            </w:pPr>
            <w:r>
              <w:rPr>
                <w:sz w:val="17"/>
                <w:szCs w:val="17"/>
              </w:rPr>
              <w:t xml:space="preserve"> .  </w:t>
            </w:r>
          </w:p>
        </w:tc>
        <w:tc>
          <w:tcPr>
            <w:tcW w:w="3118" w:type="dxa"/>
            <w:shd w:val="clear" w:color="auto" w:fill="auto"/>
            <w:tcMar>
              <w:top w:w="55" w:type="dxa"/>
              <w:left w:w="55" w:type="dxa"/>
              <w:bottom w:w="55" w:type="dxa"/>
              <w:right w:w="55" w:type="dxa"/>
            </w:tcMar>
          </w:tcPr>
          <w:p w:rsidR="00B63557" w:rsidRPr="001066DC" w:rsidRDefault="00B63557" w:rsidP="00B63557">
            <w:pPr>
              <w:rPr>
                <w:sz w:val="17"/>
                <w:szCs w:val="17"/>
              </w:rPr>
            </w:pPr>
            <w:r>
              <w:rPr>
                <w:sz w:val="17"/>
                <w:szCs w:val="17"/>
              </w:rPr>
              <w:t xml:space="preserve">NHS Tayside and SGHSCD do not have a minute or action note from this meeting.  </w:t>
            </w:r>
          </w:p>
          <w:p w:rsidR="0076405A" w:rsidRPr="001066DC" w:rsidRDefault="0076405A" w:rsidP="006818FB">
            <w:pPr>
              <w:rPr>
                <w:sz w:val="17"/>
                <w:szCs w:val="17"/>
              </w:rPr>
            </w:pPr>
          </w:p>
        </w:tc>
      </w:tr>
      <w:tr w:rsidR="0076405A" w:rsidRPr="001066DC" w:rsidTr="00F45A2B">
        <w:trPr>
          <w:trHeight w:val="910"/>
        </w:trPr>
        <w:tc>
          <w:tcPr>
            <w:tcW w:w="991" w:type="dxa"/>
            <w:shd w:val="clear" w:color="auto" w:fill="auto"/>
            <w:tcMar>
              <w:top w:w="55" w:type="dxa"/>
              <w:left w:w="55" w:type="dxa"/>
              <w:bottom w:w="55" w:type="dxa"/>
              <w:right w:w="55" w:type="dxa"/>
            </w:tcMar>
          </w:tcPr>
          <w:p w:rsidR="0076405A" w:rsidRPr="001066DC" w:rsidRDefault="0076405A" w:rsidP="006818FB">
            <w:pPr>
              <w:jc w:val="both"/>
              <w:rPr>
                <w:bCs/>
              </w:rPr>
            </w:pPr>
            <w:r w:rsidRPr="001066DC">
              <w:rPr>
                <w:bCs/>
              </w:rPr>
              <w:t>23 January 2014</w:t>
            </w:r>
          </w:p>
        </w:tc>
        <w:tc>
          <w:tcPr>
            <w:tcW w:w="5672" w:type="dxa"/>
            <w:shd w:val="clear" w:color="auto" w:fill="auto"/>
            <w:tcMar>
              <w:top w:w="55" w:type="dxa"/>
              <w:left w:w="55" w:type="dxa"/>
              <w:bottom w:w="55" w:type="dxa"/>
              <w:right w:w="55" w:type="dxa"/>
            </w:tcMar>
          </w:tcPr>
          <w:p w:rsidR="0076405A" w:rsidRPr="001066DC" w:rsidRDefault="0076405A" w:rsidP="006818FB">
            <w:pPr>
              <w:rPr>
                <w:b/>
                <w:sz w:val="17"/>
                <w:szCs w:val="17"/>
              </w:rPr>
            </w:pPr>
            <w:r w:rsidRPr="001066DC">
              <w:rPr>
                <w:b/>
                <w:sz w:val="17"/>
                <w:szCs w:val="17"/>
              </w:rPr>
              <w:t xml:space="preserve">Board Development Event </w:t>
            </w:r>
          </w:p>
          <w:p w:rsidR="0076405A" w:rsidRPr="001066DC" w:rsidRDefault="0076405A" w:rsidP="006818FB">
            <w:pPr>
              <w:rPr>
                <w:sz w:val="17"/>
                <w:szCs w:val="17"/>
              </w:rPr>
            </w:pPr>
            <w:r w:rsidRPr="001066DC">
              <w:rPr>
                <w:sz w:val="17"/>
                <w:szCs w:val="17"/>
              </w:rPr>
              <w:t>On the Board Development Event on 23</w:t>
            </w:r>
            <w:r w:rsidRPr="001066DC">
              <w:rPr>
                <w:sz w:val="17"/>
                <w:szCs w:val="17"/>
                <w:vertAlign w:val="superscript"/>
              </w:rPr>
              <w:t>rd</w:t>
            </w:r>
            <w:r w:rsidRPr="001066DC">
              <w:rPr>
                <w:sz w:val="17"/>
                <w:szCs w:val="17"/>
              </w:rPr>
              <w:t xml:space="preserve"> January 2014, members of the Finance and Resources Committee and the Standing Committee Chairs were briefed by the Director of Finance on the financial position of the Board.  We understand at this point in time the identified gap was £6million.  </w:t>
            </w:r>
          </w:p>
          <w:p w:rsidR="0076405A" w:rsidRDefault="0076405A" w:rsidP="006818FB">
            <w:pPr>
              <w:rPr>
                <w:sz w:val="17"/>
                <w:szCs w:val="17"/>
              </w:rPr>
            </w:pPr>
            <w:r w:rsidRPr="001066DC">
              <w:rPr>
                <w:sz w:val="17"/>
                <w:szCs w:val="17"/>
              </w:rPr>
              <w:t>This meeting was not minuted and from inspection of papers we cannot find detailed financial forecasts.</w:t>
            </w:r>
          </w:p>
          <w:p w:rsidR="005968F6" w:rsidRDefault="005968F6" w:rsidP="006818FB">
            <w:pPr>
              <w:rPr>
                <w:sz w:val="17"/>
                <w:szCs w:val="17"/>
              </w:rPr>
            </w:pPr>
          </w:p>
          <w:p w:rsidR="005968F6" w:rsidRPr="001066DC" w:rsidRDefault="005968F6" w:rsidP="006818FB">
            <w:pPr>
              <w:rPr>
                <w:sz w:val="17"/>
                <w:szCs w:val="17"/>
              </w:rPr>
            </w:pPr>
          </w:p>
        </w:tc>
        <w:tc>
          <w:tcPr>
            <w:tcW w:w="3118" w:type="dxa"/>
            <w:shd w:val="clear" w:color="auto" w:fill="auto"/>
            <w:tcMar>
              <w:top w:w="55" w:type="dxa"/>
              <w:left w:w="55" w:type="dxa"/>
              <w:bottom w:w="55" w:type="dxa"/>
              <w:right w:w="55" w:type="dxa"/>
            </w:tcMar>
          </w:tcPr>
          <w:p w:rsidR="0076405A" w:rsidRPr="001066DC" w:rsidRDefault="0076405A" w:rsidP="006818FB">
            <w:pPr>
              <w:rPr>
                <w:sz w:val="17"/>
                <w:szCs w:val="17"/>
              </w:rPr>
            </w:pPr>
            <w:r w:rsidRPr="001066DC">
              <w:rPr>
                <w:sz w:val="17"/>
                <w:szCs w:val="17"/>
              </w:rPr>
              <w:t xml:space="preserve">This meeting was out-with the formal Committee structure at NHS Tayside and was two days after the SGHSCD meeting, and less than 7 days from the Finance and Resources Committee meeting where no fundamental concerns or issues were raised with the Committee by the Director of Finance.  </w:t>
            </w:r>
          </w:p>
        </w:tc>
      </w:tr>
      <w:tr w:rsidR="0076405A" w:rsidRPr="001066DC" w:rsidTr="00F45A2B">
        <w:trPr>
          <w:trHeight w:val="910"/>
        </w:trPr>
        <w:tc>
          <w:tcPr>
            <w:tcW w:w="991" w:type="dxa"/>
            <w:shd w:val="clear" w:color="auto" w:fill="auto"/>
            <w:tcMar>
              <w:top w:w="55" w:type="dxa"/>
              <w:left w:w="55" w:type="dxa"/>
              <w:bottom w:w="55" w:type="dxa"/>
              <w:right w:w="55" w:type="dxa"/>
            </w:tcMar>
          </w:tcPr>
          <w:p w:rsidR="0076405A" w:rsidRPr="001066DC" w:rsidRDefault="0076405A" w:rsidP="006818FB">
            <w:pPr>
              <w:jc w:val="both"/>
              <w:rPr>
                <w:bCs/>
              </w:rPr>
            </w:pPr>
            <w:r w:rsidRPr="001066DC">
              <w:rPr>
                <w:bCs/>
              </w:rPr>
              <w:t>24 January 2014</w:t>
            </w:r>
          </w:p>
        </w:tc>
        <w:tc>
          <w:tcPr>
            <w:tcW w:w="5672" w:type="dxa"/>
            <w:shd w:val="clear" w:color="auto" w:fill="auto"/>
            <w:tcMar>
              <w:top w:w="55" w:type="dxa"/>
              <w:left w:w="55" w:type="dxa"/>
              <w:bottom w:w="55" w:type="dxa"/>
              <w:right w:w="55" w:type="dxa"/>
            </w:tcMar>
          </w:tcPr>
          <w:p w:rsidR="0076405A" w:rsidRPr="001066DC" w:rsidRDefault="0076405A" w:rsidP="006818FB">
            <w:pPr>
              <w:rPr>
                <w:b/>
                <w:sz w:val="17"/>
                <w:szCs w:val="17"/>
              </w:rPr>
            </w:pPr>
            <w:r w:rsidRPr="001066DC">
              <w:rPr>
                <w:b/>
                <w:sz w:val="17"/>
                <w:szCs w:val="17"/>
              </w:rPr>
              <w:t xml:space="preserve">Central Legal Office guidance sought </w:t>
            </w:r>
          </w:p>
          <w:p w:rsidR="0076405A" w:rsidRPr="001066DC" w:rsidRDefault="0076405A" w:rsidP="006818FB">
            <w:pPr>
              <w:rPr>
                <w:sz w:val="17"/>
                <w:szCs w:val="17"/>
              </w:rPr>
            </w:pPr>
            <w:r w:rsidRPr="001066DC">
              <w:rPr>
                <w:sz w:val="17"/>
                <w:szCs w:val="17"/>
              </w:rPr>
              <w:t xml:space="preserve">The Finance Manager at NHS Tayside contacted the Central Legal Office (CLO) in relation to the legality around the application of approving funding retrospectively on expenditure that has been incurred.  </w:t>
            </w:r>
          </w:p>
          <w:p w:rsidR="0076405A" w:rsidRPr="001066DC" w:rsidRDefault="0076405A" w:rsidP="006818FB">
            <w:pPr>
              <w:rPr>
                <w:sz w:val="17"/>
                <w:szCs w:val="17"/>
              </w:rPr>
            </w:pPr>
            <w:r w:rsidRPr="001066DC">
              <w:rPr>
                <w:sz w:val="17"/>
                <w:szCs w:val="17"/>
              </w:rPr>
              <w:t xml:space="preserve">This request happened </w:t>
            </w:r>
            <w:r w:rsidRPr="001066DC">
              <w:rPr>
                <w:b/>
                <w:sz w:val="17"/>
                <w:szCs w:val="17"/>
              </w:rPr>
              <w:t xml:space="preserve">one hour </w:t>
            </w:r>
            <w:r w:rsidRPr="001066DC">
              <w:rPr>
                <w:sz w:val="17"/>
                <w:szCs w:val="17"/>
              </w:rPr>
              <w:t xml:space="preserve">before the meeting of the Endowment Fund Board of Trustees (who were being asked to approve the decision at that meeting) and there is evidence in this email that pressure was in effect put on the CLO for a quick turn-around and a response needed that day.  </w:t>
            </w:r>
          </w:p>
          <w:p w:rsidR="0076405A" w:rsidRPr="001066DC" w:rsidRDefault="0076405A" w:rsidP="006818FB">
            <w:pPr>
              <w:rPr>
                <w:sz w:val="17"/>
                <w:szCs w:val="17"/>
              </w:rPr>
            </w:pPr>
            <w:r w:rsidRPr="001066DC">
              <w:rPr>
                <w:sz w:val="17"/>
                <w:szCs w:val="17"/>
              </w:rPr>
              <w:t>The CLO responded which referenced applicable guidance that the funds should not be used for expenditure covered by core funding but that:</w:t>
            </w:r>
          </w:p>
          <w:p w:rsidR="0076405A" w:rsidRPr="001066DC" w:rsidRDefault="0076405A" w:rsidP="006818FB">
            <w:pPr>
              <w:rPr>
                <w:sz w:val="17"/>
                <w:szCs w:val="17"/>
              </w:rPr>
            </w:pPr>
            <w:r w:rsidRPr="001066DC">
              <w:rPr>
                <w:sz w:val="17"/>
                <w:szCs w:val="17"/>
              </w:rPr>
              <w:t xml:space="preserve"> “</w:t>
            </w:r>
            <w:r w:rsidRPr="001066DC">
              <w:rPr>
                <w:i/>
                <w:sz w:val="17"/>
                <w:szCs w:val="17"/>
              </w:rPr>
              <w:t>The Trustees have discretion, and that the guidelines are just that”.  From a legal perspective as long as “the Trustees operate within the Trust purposes, their decisions may not be challenged”.</w:t>
            </w:r>
            <w:r w:rsidRPr="001066DC">
              <w:rPr>
                <w:sz w:val="17"/>
                <w:szCs w:val="17"/>
              </w:rPr>
              <w:t xml:space="preserve">   </w:t>
            </w:r>
          </w:p>
          <w:p w:rsidR="0076405A" w:rsidRPr="001066DC" w:rsidRDefault="0076405A" w:rsidP="006818FB">
            <w:pPr>
              <w:rPr>
                <w:sz w:val="17"/>
                <w:szCs w:val="17"/>
              </w:rPr>
            </w:pPr>
            <w:r w:rsidRPr="001066DC">
              <w:rPr>
                <w:sz w:val="17"/>
                <w:szCs w:val="17"/>
              </w:rPr>
              <w:t xml:space="preserve">The CLO also state that </w:t>
            </w:r>
            <w:r w:rsidRPr="001066DC">
              <w:rPr>
                <w:i/>
                <w:sz w:val="17"/>
                <w:szCs w:val="17"/>
              </w:rPr>
              <w:t xml:space="preserve">“As a result of the Trustees’ discretion, regulators may not be able to do much, however there are still concerns.  The decision is likely to attract adverse publicity.  The decision may also be open to challenge.  Ultimately, in extreme cases leading to an action in damages against the Board as Trustee for breach of trust” </w:t>
            </w:r>
            <w:r w:rsidRPr="001066DC">
              <w:rPr>
                <w:sz w:val="17"/>
                <w:szCs w:val="17"/>
              </w:rPr>
              <w:t>(extracted from CLO email)</w:t>
            </w:r>
          </w:p>
          <w:p w:rsidR="0076405A" w:rsidRDefault="0076405A" w:rsidP="006818FB">
            <w:pPr>
              <w:rPr>
                <w:sz w:val="17"/>
                <w:szCs w:val="17"/>
              </w:rPr>
            </w:pPr>
          </w:p>
          <w:p w:rsidR="00B63557" w:rsidRDefault="00B63557" w:rsidP="006818FB">
            <w:pPr>
              <w:rPr>
                <w:sz w:val="17"/>
                <w:szCs w:val="17"/>
              </w:rPr>
            </w:pPr>
          </w:p>
          <w:p w:rsidR="00B63557" w:rsidRDefault="00B63557" w:rsidP="006818FB">
            <w:pPr>
              <w:rPr>
                <w:sz w:val="17"/>
                <w:szCs w:val="17"/>
              </w:rPr>
            </w:pPr>
          </w:p>
          <w:p w:rsidR="00B63557" w:rsidRDefault="00B63557" w:rsidP="006818FB">
            <w:pPr>
              <w:rPr>
                <w:sz w:val="17"/>
                <w:szCs w:val="17"/>
              </w:rPr>
            </w:pPr>
          </w:p>
          <w:p w:rsidR="00B63557" w:rsidRDefault="00B63557" w:rsidP="006818FB">
            <w:pPr>
              <w:rPr>
                <w:sz w:val="17"/>
                <w:szCs w:val="17"/>
              </w:rPr>
            </w:pPr>
          </w:p>
          <w:p w:rsidR="00B63557" w:rsidRDefault="00B63557" w:rsidP="006818FB">
            <w:pPr>
              <w:rPr>
                <w:sz w:val="17"/>
                <w:szCs w:val="17"/>
              </w:rPr>
            </w:pPr>
          </w:p>
          <w:p w:rsidR="00B63557" w:rsidRDefault="00B63557" w:rsidP="006818FB">
            <w:pPr>
              <w:rPr>
                <w:sz w:val="17"/>
                <w:szCs w:val="17"/>
              </w:rPr>
            </w:pPr>
          </w:p>
          <w:p w:rsidR="00B63557" w:rsidRPr="001066DC" w:rsidRDefault="00B63557" w:rsidP="006818FB">
            <w:pPr>
              <w:rPr>
                <w:sz w:val="17"/>
                <w:szCs w:val="17"/>
              </w:rPr>
            </w:pPr>
          </w:p>
        </w:tc>
        <w:tc>
          <w:tcPr>
            <w:tcW w:w="3118" w:type="dxa"/>
            <w:shd w:val="clear" w:color="auto" w:fill="auto"/>
            <w:tcMar>
              <w:top w:w="55" w:type="dxa"/>
              <w:left w:w="55" w:type="dxa"/>
              <w:bottom w:w="55" w:type="dxa"/>
              <w:right w:w="55" w:type="dxa"/>
            </w:tcMar>
          </w:tcPr>
          <w:p w:rsidR="0076405A" w:rsidRPr="001066DC" w:rsidRDefault="0076405A" w:rsidP="006818FB">
            <w:pPr>
              <w:rPr>
                <w:sz w:val="17"/>
                <w:szCs w:val="17"/>
              </w:rPr>
            </w:pPr>
            <w:r w:rsidRPr="001066DC">
              <w:rPr>
                <w:sz w:val="17"/>
                <w:szCs w:val="17"/>
              </w:rPr>
              <w:t xml:space="preserve">The correspondence with the CLO was requested the same day the Trustees were being requested to make a decision, and the correspondence received from the CLO was not shared with the NHS Board or the Trustees.  </w:t>
            </w:r>
          </w:p>
          <w:p w:rsidR="0076405A" w:rsidRPr="001066DC" w:rsidRDefault="0076405A" w:rsidP="006818FB">
            <w:pPr>
              <w:rPr>
                <w:sz w:val="17"/>
                <w:szCs w:val="17"/>
              </w:rPr>
            </w:pPr>
            <w:r w:rsidRPr="001066DC">
              <w:rPr>
                <w:sz w:val="17"/>
                <w:szCs w:val="17"/>
              </w:rPr>
              <w:t xml:space="preserve">We also note the CLO advice requested was from the perspective of the NHS Board. </w:t>
            </w:r>
          </w:p>
          <w:p w:rsidR="0076405A" w:rsidRPr="001066DC" w:rsidRDefault="0076405A" w:rsidP="006818FB">
            <w:pPr>
              <w:rPr>
                <w:sz w:val="17"/>
                <w:szCs w:val="17"/>
              </w:rPr>
            </w:pPr>
            <w:r w:rsidRPr="001066DC">
              <w:rPr>
                <w:sz w:val="17"/>
                <w:szCs w:val="17"/>
              </w:rPr>
              <w:t xml:space="preserve">Lastly work had been undertaken by the Finance team to already consider NHS Tayside expenditure which could retrospectively by paid for from endowments, which could be seen to pre-empt the decisions made by the Trustees.  The list of projects is broadly similar to the final list approved by the Trustees.   </w:t>
            </w:r>
          </w:p>
          <w:p w:rsidR="0076405A" w:rsidRPr="001066DC" w:rsidRDefault="0076405A" w:rsidP="006818FB">
            <w:pPr>
              <w:rPr>
                <w:sz w:val="17"/>
                <w:szCs w:val="17"/>
              </w:rPr>
            </w:pPr>
            <w:r w:rsidRPr="001066DC">
              <w:rPr>
                <w:sz w:val="17"/>
                <w:szCs w:val="17"/>
              </w:rPr>
              <w:t xml:space="preserve"> </w:t>
            </w:r>
          </w:p>
        </w:tc>
      </w:tr>
      <w:tr w:rsidR="0076405A" w:rsidRPr="001066DC" w:rsidTr="00F45A2B">
        <w:trPr>
          <w:trHeight w:val="910"/>
        </w:trPr>
        <w:tc>
          <w:tcPr>
            <w:tcW w:w="991" w:type="dxa"/>
            <w:shd w:val="clear" w:color="auto" w:fill="auto"/>
            <w:tcMar>
              <w:top w:w="55" w:type="dxa"/>
              <w:left w:w="55" w:type="dxa"/>
              <w:bottom w:w="55" w:type="dxa"/>
              <w:right w:w="55" w:type="dxa"/>
            </w:tcMar>
            <w:hideMark/>
          </w:tcPr>
          <w:p w:rsidR="0076405A" w:rsidRPr="001066DC" w:rsidRDefault="0076405A" w:rsidP="006818FB">
            <w:pPr>
              <w:jc w:val="both"/>
            </w:pPr>
            <w:r w:rsidRPr="001066DC">
              <w:rPr>
                <w:bCs/>
              </w:rPr>
              <w:lastRenderedPageBreak/>
              <w:t>24 January 2014</w:t>
            </w:r>
          </w:p>
        </w:tc>
        <w:tc>
          <w:tcPr>
            <w:tcW w:w="5672" w:type="dxa"/>
            <w:shd w:val="clear" w:color="auto" w:fill="auto"/>
            <w:tcMar>
              <w:top w:w="55" w:type="dxa"/>
              <w:left w:w="55" w:type="dxa"/>
              <w:bottom w:w="55" w:type="dxa"/>
              <w:right w:w="55" w:type="dxa"/>
            </w:tcMar>
            <w:hideMark/>
          </w:tcPr>
          <w:p w:rsidR="0076405A" w:rsidRPr="001066DC" w:rsidRDefault="0076405A" w:rsidP="006818FB">
            <w:pPr>
              <w:rPr>
                <w:b/>
                <w:sz w:val="17"/>
                <w:szCs w:val="17"/>
              </w:rPr>
            </w:pPr>
            <w:r w:rsidRPr="001066DC">
              <w:rPr>
                <w:b/>
                <w:sz w:val="17"/>
                <w:szCs w:val="17"/>
              </w:rPr>
              <w:t>Extraordinary Meeting of the Endowment Fund Board of Trustees</w:t>
            </w:r>
          </w:p>
          <w:p w:rsidR="0076405A" w:rsidRPr="001066DC" w:rsidRDefault="0076405A" w:rsidP="006818FB">
            <w:pPr>
              <w:rPr>
                <w:sz w:val="17"/>
                <w:szCs w:val="17"/>
              </w:rPr>
            </w:pPr>
            <w:r w:rsidRPr="001066DC">
              <w:rPr>
                <w:sz w:val="17"/>
                <w:szCs w:val="17"/>
              </w:rPr>
              <w:t>On 24</w:t>
            </w:r>
            <w:r w:rsidRPr="001066DC">
              <w:rPr>
                <w:sz w:val="17"/>
                <w:szCs w:val="17"/>
                <w:vertAlign w:val="superscript"/>
              </w:rPr>
              <w:t>th</w:t>
            </w:r>
            <w:r w:rsidRPr="001066DC">
              <w:rPr>
                <w:sz w:val="17"/>
                <w:szCs w:val="17"/>
              </w:rPr>
              <w:t xml:space="preserve"> January, at the extraordinary meeting of the Fund Board of Trustees, received a report prepared by the Assistant Director of Finance on the “Proposed Variation to Tayside NHS Board Endowment Fund Policy and Procedures”.  </w:t>
            </w:r>
            <w:r w:rsidR="00B63557">
              <w:rPr>
                <w:sz w:val="17"/>
                <w:szCs w:val="17"/>
              </w:rPr>
              <w:t>This is the same draft paper we noted on 20</w:t>
            </w:r>
            <w:r w:rsidR="00B63557" w:rsidRPr="00B63557">
              <w:rPr>
                <w:sz w:val="17"/>
                <w:szCs w:val="17"/>
                <w:vertAlign w:val="superscript"/>
              </w:rPr>
              <w:t>th</w:t>
            </w:r>
            <w:r w:rsidR="00B63557">
              <w:rPr>
                <w:sz w:val="17"/>
                <w:szCs w:val="17"/>
              </w:rPr>
              <w:t xml:space="preserve"> of January, with only the Assistant Director of Finance’s name on it.  </w:t>
            </w:r>
          </w:p>
          <w:p w:rsidR="0076405A" w:rsidRPr="001066DC" w:rsidRDefault="0076405A" w:rsidP="006818FB">
            <w:pPr>
              <w:rPr>
                <w:sz w:val="17"/>
                <w:szCs w:val="17"/>
              </w:rPr>
            </w:pPr>
            <w:r w:rsidRPr="001066DC">
              <w:rPr>
                <w:sz w:val="17"/>
                <w:szCs w:val="17"/>
              </w:rPr>
              <w:t xml:space="preserve">The purpose of the report was to advise Trustees of the current revenue forecast of the NHS Board and to seek approval for temporary variation to Tayside NHS Board Endowment Fund Policy and Procedures. </w:t>
            </w:r>
          </w:p>
          <w:p w:rsidR="0076405A" w:rsidRPr="001066DC" w:rsidRDefault="0076405A" w:rsidP="006818FB">
            <w:pPr>
              <w:rPr>
                <w:sz w:val="17"/>
                <w:szCs w:val="17"/>
              </w:rPr>
            </w:pPr>
            <w:r w:rsidRPr="001066DC">
              <w:rPr>
                <w:sz w:val="17"/>
                <w:szCs w:val="17"/>
              </w:rPr>
              <w:t>At the meeting the Director of Finance informed the Trustees that during the briefing with the NHS Tayside standing Committee Chairs (23</w:t>
            </w:r>
            <w:r w:rsidRPr="001066DC">
              <w:rPr>
                <w:sz w:val="17"/>
                <w:szCs w:val="17"/>
                <w:vertAlign w:val="superscript"/>
              </w:rPr>
              <w:t>rd</w:t>
            </w:r>
            <w:r w:rsidRPr="001066DC">
              <w:rPr>
                <w:sz w:val="17"/>
                <w:szCs w:val="17"/>
              </w:rPr>
              <w:t xml:space="preserve"> of January), it was agreed to look at temporarily suspending the retrospective element within the endowment fund’s policy and procedures “to allow certain application to come forward for consideration by the Endowment Advisory Group (EAD), and/or Board of Trustees”.  </w:t>
            </w:r>
          </w:p>
          <w:p w:rsidR="0076405A" w:rsidRPr="001066DC" w:rsidRDefault="0076405A" w:rsidP="006818FB">
            <w:pPr>
              <w:rPr>
                <w:sz w:val="17"/>
                <w:szCs w:val="17"/>
              </w:rPr>
            </w:pPr>
            <w:r w:rsidRPr="001066DC">
              <w:rPr>
                <w:sz w:val="17"/>
                <w:szCs w:val="17"/>
              </w:rPr>
              <w:t>The Director of Finance advised the Trustees that the Assistant Director of Finance and the Endowment Team had conducted work around OSCR, Central Legal Office (CLO) and National Guidelines and that there were “no conflicts”.</w:t>
            </w:r>
          </w:p>
          <w:p w:rsidR="0076405A" w:rsidRPr="001066DC" w:rsidRDefault="0076405A" w:rsidP="006818FB">
            <w:pPr>
              <w:rPr>
                <w:sz w:val="17"/>
                <w:szCs w:val="17"/>
              </w:rPr>
            </w:pPr>
            <w:r w:rsidRPr="001066DC">
              <w:rPr>
                <w:sz w:val="17"/>
                <w:szCs w:val="17"/>
              </w:rPr>
              <w:t>One Trustee commented that “the news had been completely unexpected, especially given there had been a Board of Trustees and Finance and Resources Committee meetings just last week”</w:t>
            </w:r>
          </w:p>
          <w:p w:rsidR="0076405A" w:rsidRPr="001066DC" w:rsidRDefault="0076405A" w:rsidP="006818FB">
            <w:pPr>
              <w:rPr>
                <w:sz w:val="17"/>
                <w:szCs w:val="17"/>
              </w:rPr>
            </w:pPr>
            <w:r w:rsidRPr="001066DC">
              <w:rPr>
                <w:sz w:val="17"/>
                <w:szCs w:val="17"/>
              </w:rPr>
              <w:t xml:space="preserve">There were concerns raised by Trustees surrounding the potential reputational and legislative risks of the proposals as evidenced in the minutes.  </w:t>
            </w:r>
          </w:p>
          <w:p w:rsidR="0076405A" w:rsidRPr="001066DC" w:rsidRDefault="0076405A" w:rsidP="006818FB">
            <w:pPr>
              <w:rPr>
                <w:sz w:val="17"/>
                <w:szCs w:val="17"/>
              </w:rPr>
            </w:pPr>
            <w:r w:rsidRPr="001066DC">
              <w:rPr>
                <w:sz w:val="17"/>
                <w:szCs w:val="17"/>
              </w:rPr>
              <w:t xml:space="preserve">Verbal assurances were provided by the Assistant Director of Finance that “the charitable purpose of the Endowment Fund is within the legal framework of the Health Service Act 1978, and the definition is as broad as ‘for advancement of health’, which means the Endowment Fund can fund anything it can as long as it is for health advancement”. </w:t>
            </w:r>
          </w:p>
          <w:p w:rsidR="0076405A" w:rsidRPr="001066DC" w:rsidRDefault="0076405A" w:rsidP="006818FB">
            <w:pPr>
              <w:rPr>
                <w:sz w:val="17"/>
                <w:szCs w:val="17"/>
              </w:rPr>
            </w:pPr>
            <w:r w:rsidRPr="001066DC">
              <w:rPr>
                <w:sz w:val="17"/>
                <w:szCs w:val="17"/>
              </w:rPr>
              <w:t>The Director of Finance provided verbal assurances that anything being put forward “would be appropriate and relevant for endowment funding”.</w:t>
            </w:r>
          </w:p>
          <w:p w:rsidR="0076405A" w:rsidRPr="001066DC" w:rsidRDefault="0076405A" w:rsidP="006818FB">
            <w:pPr>
              <w:rPr>
                <w:sz w:val="17"/>
                <w:szCs w:val="17"/>
              </w:rPr>
            </w:pPr>
            <w:r w:rsidRPr="001066DC">
              <w:rPr>
                <w:sz w:val="17"/>
                <w:szCs w:val="17"/>
              </w:rPr>
              <w:t>The Chairman advised that “the reality was if the clause was not suspended (to allow retrospective approval), the Chief Executive and Director of Finance would have to put together massive cuts package, and the content of that would be damaging”</w:t>
            </w:r>
          </w:p>
          <w:p w:rsidR="0076405A" w:rsidRPr="001066DC" w:rsidRDefault="0076405A" w:rsidP="006818FB">
            <w:pPr>
              <w:rPr>
                <w:sz w:val="17"/>
                <w:szCs w:val="17"/>
              </w:rPr>
            </w:pPr>
            <w:r w:rsidRPr="001066DC">
              <w:rPr>
                <w:sz w:val="17"/>
                <w:szCs w:val="17"/>
              </w:rPr>
              <w:t xml:space="preserve">The Trustees agreed the temporary variation in the Endowment fund’s Policy and Procedures to allow retrospective applications to be considered. </w:t>
            </w:r>
          </w:p>
        </w:tc>
        <w:tc>
          <w:tcPr>
            <w:tcW w:w="3118" w:type="dxa"/>
            <w:shd w:val="clear" w:color="auto" w:fill="auto"/>
            <w:tcMar>
              <w:top w:w="55" w:type="dxa"/>
              <w:left w:w="55" w:type="dxa"/>
              <w:bottom w:w="55" w:type="dxa"/>
              <w:right w:w="55" w:type="dxa"/>
            </w:tcMar>
            <w:hideMark/>
          </w:tcPr>
          <w:p w:rsidR="0076405A" w:rsidRPr="001066DC" w:rsidRDefault="0076405A" w:rsidP="006818FB">
            <w:pPr>
              <w:rPr>
                <w:sz w:val="17"/>
                <w:szCs w:val="17"/>
              </w:rPr>
            </w:pPr>
            <w:r w:rsidRPr="001066DC">
              <w:rPr>
                <w:sz w:val="17"/>
                <w:szCs w:val="17"/>
              </w:rPr>
              <w:t xml:space="preserve">We do not consider that the legal advice received from the CLO was fully disclosed to the Trustees.  </w:t>
            </w:r>
          </w:p>
          <w:p w:rsidR="0076405A" w:rsidRPr="001066DC" w:rsidRDefault="0076405A" w:rsidP="006818FB">
            <w:pPr>
              <w:rPr>
                <w:sz w:val="17"/>
                <w:szCs w:val="17"/>
              </w:rPr>
            </w:pPr>
            <w:r w:rsidRPr="001066DC">
              <w:rPr>
                <w:sz w:val="17"/>
                <w:szCs w:val="17"/>
              </w:rPr>
              <w:t xml:space="preserve">In addition, we understand that there was no correspondence with </w:t>
            </w:r>
            <w:r w:rsidR="00B63557">
              <w:rPr>
                <w:sz w:val="17"/>
                <w:szCs w:val="17"/>
              </w:rPr>
              <w:t xml:space="preserve">the Scottish Government or OSCR, and we did not locate any evidence of correspondence during our review.  </w:t>
            </w:r>
          </w:p>
          <w:p w:rsidR="0076405A" w:rsidRPr="001066DC" w:rsidRDefault="0076405A" w:rsidP="006818FB">
            <w:pPr>
              <w:rPr>
                <w:sz w:val="17"/>
                <w:szCs w:val="17"/>
              </w:rPr>
            </w:pPr>
            <w:r w:rsidRPr="001066DC">
              <w:rPr>
                <w:sz w:val="17"/>
                <w:szCs w:val="17"/>
              </w:rPr>
              <w:t>The meeting referred to on the 23</w:t>
            </w:r>
            <w:r w:rsidRPr="001066DC">
              <w:rPr>
                <w:sz w:val="17"/>
                <w:szCs w:val="17"/>
                <w:vertAlign w:val="superscript"/>
              </w:rPr>
              <w:t>rd</w:t>
            </w:r>
            <w:r w:rsidRPr="001066DC">
              <w:rPr>
                <w:sz w:val="17"/>
                <w:szCs w:val="17"/>
              </w:rPr>
              <w:t xml:space="preserve"> with the Standing Committee Chairs sets out the decision was taken at this meeting.  This is not a formal committee of the NHS Board and therefore would highlight that they don’t have this decision making power.  </w:t>
            </w:r>
          </w:p>
          <w:p w:rsidR="0076405A" w:rsidRPr="001066DC" w:rsidRDefault="0076405A" w:rsidP="006818FB">
            <w:pPr>
              <w:rPr>
                <w:sz w:val="17"/>
                <w:szCs w:val="17"/>
              </w:rPr>
            </w:pPr>
            <w:r w:rsidRPr="001066DC">
              <w:rPr>
                <w:sz w:val="17"/>
                <w:szCs w:val="17"/>
              </w:rPr>
              <w:t xml:space="preserve">Overall, there should have been greater communication and dialogue with Trustees around the nature of guidance received, and the guidance should have been a complete picture to allow them to make an informed decision.    </w:t>
            </w:r>
          </w:p>
        </w:tc>
      </w:tr>
      <w:tr w:rsidR="0076405A" w:rsidRPr="001066DC" w:rsidTr="00F45A2B">
        <w:trPr>
          <w:trHeight w:val="910"/>
        </w:trPr>
        <w:tc>
          <w:tcPr>
            <w:tcW w:w="991" w:type="dxa"/>
            <w:shd w:val="clear" w:color="auto" w:fill="auto"/>
            <w:tcMar>
              <w:top w:w="55" w:type="dxa"/>
              <w:left w:w="55" w:type="dxa"/>
              <w:bottom w:w="55" w:type="dxa"/>
              <w:right w:w="55" w:type="dxa"/>
            </w:tcMar>
            <w:hideMark/>
          </w:tcPr>
          <w:p w:rsidR="0076405A" w:rsidRPr="001066DC" w:rsidRDefault="0076405A" w:rsidP="006818FB">
            <w:pPr>
              <w:jc w:val="both"/>
            </w:pPr>
            <w:r w:rsidRPr="001066DC">
              <w:rPr>
                <w:bCs/>
              </w:rPr>
              <w:t>4 February 2014</w:t>
            </w:r>
          </w:p>
        </w:tc>
        <w:tc>
          <w:tcPr>
            <w:tcW w:w="5672" w:type="dxa"/>
            <w:shd w:val="clear" w:color="auto" w:fill="auto"/>
            <w:tcMar>
              <w:top w:w="55" w:type="dxa"/>
              <w:left w:w="55" w:type="dxa"/>
              <w:bottom w:w="55" w:type="dxa"/>
              <w:right w:w="55" w:type="dxa"/>
            </w:tcMar>
            <w:hideMark/>
          </w:tcPr>
          <w:p w:rsidR="0076405A" w:rsidRPr="001066DC" w:rsidRDefault="0076405A" w:rsidP="006818FB">
            <w:pPr>
              <w:rPr>
                <w:b/>
                <w:sz w:val="17"/>
                <w:szCs w:val="17"/>
              </w:rPr>
            </w:pPr>
            <w:r w:rsidRPr="001066DC">
              <w:rPr>
                <w:b/>
                <w:sz w:val="17"/>
                <w:szCs w:val="17"/>
              </w:rPr>
              <w:t>Tayside NHS Board Endowment Trust Advisory Group</w:t>
            </w:r>
          </w:p>
          <w:p w:rsidR="0076405A" w:rsidRPr="001066DC" w:rsidRDefault="0076405A" w:rsidP="006818FB">
            <w:pPr>
              <w:rPr>
                <w:sz w:val="17"/>
                <w:szCs w:val="17"/>
              </w:rPr>
            </w:pPr>
            <w:r w:rsidRPr="001066DC">
              <w:rPr>
                <w:sz w:val="17"/>
                <w:szCs w:val="17"/>
              </w:rPr>
              <w:t xml:space="preserve">Less than two weeks from the initial decision to allow retrospective application of funds, at the meeting of the Tayside NHS Board Endowment Trust Advisory Group on 4 February, 2014, a number of funding application requests were submitted for consideration by the Group.  </w:t>
            </w:r>
          </w:p>
          <w:p w:rsidR="0076405A" w:rsidRPr="001066DC" w:rsidRDefault="0076405A" w:rsidP="006818FB">
            <w:pPr>
              <w:rPr>
                <w:sz w:val="17"/>
                <w:szCs w:val="17"/>
              </w:rPr>
            </w:pPr>
            <w:r w:rsidRPr="001066DC">
              <w:rPr>
                <w:sz w:val="17"/>
                <w:szCs w:val="17"/>
              </w:rPr>
              <w:t xml:space="preserve">Through consideration of the various proposals, the Group agreed to recommend to the Board of Trustees funding allocations to NHS Tayside for the application of funds (of £3.6 million). </w:t>
            </w:r>
          </w:p>
          <w:p w:rsidR="0076405A" w:rsidRPr="001066DC" w:rsidRDefault="0076405A" w:rsidP="006818FB">
            <w:pPr>
              <w:rPr>
                <w:sz w:val="17"/>
                <w:szCs w:val="17"/>
              </w:rPr>
            </w:pPr>
            <w:r w:rsidRPr="001066DC">
              <w:rPr>
                <w:sz w:val="17"/>
                <w:szCs w:val="17"/>
              </w:rPr>
              <w:t xml:space="preserve"> </w:t>
            </w:r>
          </w:p>
        </w:tc>
        <w:tc>
          <w:tcPr>
            <w:tcW w:w="3118" w:type="dxa"/>
            <w:shd w:val="clear" w:color="auto" w:fill="auto"/>
            <w:tcMar>
              <w:top w:w="55" w:type="dxa"/>
              <w:left w:w="55" w:type="dxa"/>
              <w:bottom w:w="55" w:type="dxa"/>
              <w:right w:w="55" w:type="dxa"/>
            </w:tcMar>
            <w:hideMark/>
          </w:tcPr>
          <w:p w:rsidR="0076405A" w:rsidRPr="001066DC" w:rsidRDefault="0076405A" w:rsidP="00B63557">
            <w:pPr>
              <w:rPr>
                <w:sz w:val="17"/>
                <w:szCs w:val="17"/>
              </w:rPr>
            </w:pPr>
            <w:r w:rsidRPr="001066DC">
              <w:rPr>
                <w:sz w:val="17"/>
                <w:szCs w:val="17"/>
              </w:rPr>
              <w:t>At this meeting reports were prepar</w:t>
            </w:r>
            <w:r w:rsidR="005C7DEE">
              <w:rPr>
                <w:sz w:val="17"/>
                <w:szCs w:val="17"/>
              </w:rPr>
              <w:t>ed and presented to the members of the group</w:t>
            </w:r>
            <w:r w:rsidRPr="001066DC">
              <w:rPr>
                <w:sz w:val="17"/>
                <w:szCs w:val="17"/>
              </w:rPr>
              <w:t xml:space="preserve"> outlining the case for the expenditure to be met fro</w:t>
            </w:r>
            <w:r w:rsidR="005C7DEE">
              <w:rPr>
                <w:sz w:val="17"/>
                <w:szCs w:val="17"/>
              </w:rPr>
              <w:t>m Endowment Funds.  The Endowment Advisory Group</w:t>
            </w:r>
            <w:r w:rsidRPr="001066DC">
              <w:rPr>
                <w:sz w:val="17"/>
                <w:szCs w:val="17"/>
              </w:rPr>
              <w:t xml:space="preserve"> </w:t>
            </w:r>
            <w:r w:rsidR="00B63557">
              <w:rPr>
                <w:sz w:val="17"/>
                <w:szCs w:val="17"/>
              </w:rPr>
              <w:t>approved the majority of the applications, and this approval totalled</w:t>
            </w:r>
            <w:r w:rsidRPr="001066DC">
              <w:rPr>
                <w:sz w:val="17"/>
                <w:szCs w:val="17"/>
              </w:rPr>
              <w:t xml:space="preserve"> the £3.6 million requested by the NHS Board to support NHS Tayside achieve break-even.  </w:t>
            </w:r>
          </w:p>
        </w:tc>
      </w:tr>
      <w:tr w:rsidR="0076405A" w:rsidRPr="001066DC" w:rsidTr="00F45A2B">
        <w:trPr>
          <w:trHeight w:val="910"/>
        </w:trPr>
        <w:tc>
          <w:tcPr>
            <w:tcW w:w="991" w:type="dxa"/>
            <w:shd w:val="clear" w:color="auto" w:fill="auto"/>
            <w:tcMar>
              <w:top w:w="55" w:type="dxa"/>
              <w:left w:w="55" w:type="dxa"/>
              <w:bottom w:w="55" w:type="dxa"/>
              <w:right w:w="55" w:type="dxa"/>
            </w:tcMar>
          </w:tcPr>
          <w:p w:rsidR="0076405A" w:rsidRPr="001066DC" w:rsidRDefault="0076405A" w:rsidP="006818FB">
            <w:pPr>
              <w:jc w:val="both"/>
              <w:rPr>
                <w:bCs/>
              </w:rPr>
            </w:pPr>
            <w:r w:rsidRPr="001066DC">
              <w:rPr>
                <w:bCs/>
              </w:rPr>
              <w:lastRenderedPageBreak/>
              <w:t>19 February 2014</w:t>
            </w:r>
          </w:p>
        </w:tc>
        <w:tc>
          <w:tcPr>
            <w:tcW w:w="5672" w:type="dxa"/>
            <w:shd w:val="clear" w:color="auto" w:fill="auto"/>
            <w:tcMar>
              <w:top w:w="55" w:type="dxa"/>
              <w:left w:w="55" w:type="dxa"/>
              <w:bottom w:w="55" w:type="dxa"/>
              <w:right w:w="55" w:type="dxa"/>
            </w:tcMar>
          </w:tcPr>
          <w:p w:rsidR="0076405A" w:rsidRPr="001066DC" w:rsidRDefault="0076405A" w:rsidP="006818FB">
            <w:pPr>
              <w:rPr>
                <w:b/>
                <w:sz w:val="17"/>
                <w:szCs w:val="17"/>
              </w:rPr>
            </w:pPr>
            <w:r w:rsidRPr="001066DC">
              <w:rPr>
                <w:b/>
                <w:sz w:val="17"/>
                <w:szCs w:val="17"/>
              </w:rPr>
              <w:t>Further correspondence with the CLO</w:t>
            </w:r>
          </w:p>
          <w:p w:rsidR="0076405A" w:rsidRPr="001066DC" w:rsidRDefault="0076405A" w:rsidP="006818FB">
            <w:pPr>
              <w:rPr>
                <w:sz w:val="17"/>
                <w:szCs w:val="17"/>
              </w:rPr>
            </w:pPr>
            <w:r w:rsidRPr="001066DC">
              <w:rPr>
                <w:sz w:val="17"/>
                <w:szCs w:val="17"/>
              </w:rPr>
              <w:t>On 19</w:t>
            </w:r>
            <w:r w:rsidRPr="001066DC">
              <w:rPr>
                <w:sz w:val="17"/>
                <w:szCs w:val="17"/>
                <w:vertAlign w:val="superscript"/>
              </w:rPr>
              <w:t>th</w:t>
            </w:r>
            <w:r w:rsidRPr="001066DC">
              <w:rPr>
                <w:sz w:val="17"/>
                <w:szCs w:val="17"/>
              </w:rPr>
              <w:t xml:space="preserve"> February, the Finance Manager, wrote again to CLO asking OSCRs powers in relation  to the Endowment fund on the hypothetical scenario that the Trustees were to approve expenditure which OSCR subsequently found to be inappropriate. Also in the event that OSCR were of the view expenditure was in support of core activity “what could they do about it.”</w:t>
            </w:r>
          </w:p>
          <w:p w:rsidR="0076405A" w:rsidRPr="0076405A" w:rsidRDefault="0076405A" w:rsidP="006818FB">
            <w:pPr>
              <w:rPr>
                <w:sz w:val="17"/>
                <w:szCs w:val="17"/>
              </w:rPr>
            </w:pPr>
            <w:r w:rsidRPr="001066DC">
              <w:rPr>
                <w:sz w:val="17"/>
                <w:szCs w:val="17"/>
              </w:rPr>
              <w:t xml:space="preserve">The CLO provided a response highlighting the potential actions and sanctions that OSCR could pursue in the event that the trustees were found to be acting inappropriately or the charity no longer meets the charitable test.   </w:t>
            </w:r>
          </w:p>
        </w:tc>
        <w:tc>
          <w:tcPr>
            <w:tcW w:w="3118" w:type="dxa"/>
            <w:shd w:val="clear" w:color="auto" w:fill="auto"/>
            <w:tcMar>
              <w:top w:w="55" w:type="dxa"/>
              <w:left w:w="55" w:type="dxa"/>
              <w:bottom w:w="55" w:type="dxa"/>
              <w:right w:w="55" w:type="dxa"/>
            </w:tcMar>
          </w:tcPr>
          <w:p w:rsidR="0076405A" w:rsidRPr="001066DC" w:rsidRDefault="0076405A" w:rsidP="006818FB">
            <w:pPr>
              <w:rPr>
                <w:sz w:val="17"/>
                <w:szCs w:val="17"/>
              </w:rPr>
            </w:pPr>
            <w:r w:rsidRPr="001066DC">
              <w:rPr>
                <w:sz w:val="17"/>
                <w:szCs w:val="17"/>
              </w:rPr>
              <w:t xml:space="preserve">The subsequent correspondence with the CLO was not formally communicated with the Trustees.  </w:t>
            </w:r>
          </w:p>
          <w:p w:rsidR="0076405A" w:rsidRPr="001066DC" w:rsidRDefault="0076405A" w:rsidP="006818FB">
            <w:pPr>
              <w:rPr>
                <w:sz w:val="17"/>
                <w:szCs w:val="17"/>
              </w:rPr>
            </w:pPr>
            <w:r w:rsidRPr="001066DC">
              <w:rPr>
                <w:sz w:val="17"/>
                <w:szCs w:val="17"/>
              </w:rPr>
              <w:t xml:space="preserve">The nature of the communication suggests that management had concerns around the potential for future legal challenge however this does not appear to be formally communicated to the Trustees. </w:t>
            </w:r>
            <w:r w:rsidR="00B63557">
              <w:rPr>
                <w:sz w:val="17"/>
                <w:szCs w:val="17"/>
              </w:rPr>
              <w:t xml:space="preserve">  This advice was also requested less than 24 hours before the Endowment Fund Board approved the retrospective £3.6 million.  </w:t>
            </w:r>
          </w:p>
          <w:p w:rsidR="0076405A" w:rsidRPr="001066DC" w:rsidRDefault="0076405A" w:rsidP="006818FB">
            <w:pPr>
              <w:rPr>
                <w:sz w:val="17"/>
                <w:szCs w:val="17"/>
              </w:rPr>
            </w:pPr>
            <w:r w:rsidRPr="001066DC">
              <w:rPr>
                <w:sz w:val="17"/>
                <w:szCs w:val="17"/>
              </w:rPr>
              <w:t xml:space="preserve">At this point OSCR were not contacted, and they were asking the CLO to pre-empt/Judge potential advice from OSCR.  </w:t>
            </w:r>
          </w:p>
          <w:p w:rsidR="0076405A" w:rsidRPr="001066DC" w:rsidRDefault="0076405A" w:rsidP="006818FB">
            <w:pPr>
              <w:rPr>
                <w:sz w:val="17"/>
                <w:szCs w:val="17"/>
              </w:rPr>
            </w:pPr>
          </w:p>
        </w:tc>
      </w:tr>
      <w:tr w:rsidR="0076405A" w:rsidRPr="001066DC" w:rsidTr="00F45A2B">
        <w:trPr>
          <w:trHeight w:val="910"/>
        </w:trPr>
        <w:tc>
          <w:tcPr>
            <w:tcW w:w="991" w:type="dxa"/>
            <w:shd w:val="clear" w:color="auto" w:fill="auto"/>
            <w:tcMar>
              <w:top w:w="55" w:type="dxa"/>
              <w:left w:w="55" w:type="dxa"/>
              <w:bottom w:w="55" w:type="dxa"/>
              <w:right w:w="55" w:type="dxa"/>
            </w:tcMar>
          </w:tcPr>
          <w:p w:rsidR="0076405A" w:rsidRPr="001066DC" w:rsidRDefault="0076405A" w:rsidP="006818FB">
            <w:pPr>
              <w:jc w:val="both"/>
              <w:rPr>
                <w:bCs/>
              </w:rPr>
            </w:pPr>
            <w:r w:rsidRPr="001066DC">
              <w:rPr>
                <w:bCs/>
              </w:rPr>
              <w:t>20</w:t>
            </w:r>
          </w:p>
          <w:p w:rsidR="0076405A" w:rsidRPr="001066DC" w:rsidRDefault="0076405A" w:rsidP="006818FB">
            <w:pPr>
              <w:jc w:val="both"/>
              <w:rPr>
                <w:bCs/>
              </w:rPr>
            </w:pPr>
            <w:r w:rsidRPr="001066DC">
              <w:rPr>
                <w:bCs/>
              </w:rPr>
              <w:t>February 2014</w:t>
            </w:r>
          </w:p>
        </w:tc>
        <w:tc>
          <w:tcPr>
            <w:tcW w:w="5672" w:type="dxa"/>
            <w:shd w:val="clear" w:color="auto" w:fill="auto"/>
            <w:tcMar>
              <w:top w:w="55" w:type="dxa"/>
              <w:left w:w="55" w:type="dxa"/>
              <w:bottom w:w="55" w:type="dxa"/>
              <w:right w:w="55" w:type="dxa"/>
            </w:tcMar>
          </w:tcPr>
          <w:p w:rsidR="0076405A" w:rsidRPr="001066DC" w:rsidRDefault="0076405A" w:rsidP="006818FB">
            <w:pPr>
              <w:rPr>
                <w:b/>
                <w:sz w:val="17"/>
                <w:szCs w:val="17"/>
              </w:rPr>
            </w:pPr>
            <w:r w:rsidRPr="001066DC">
              <w:rPr>
                <w:b/>
                <w:sz w:val="17"/>
                <w:szCs w:val="17"/>
              </w:rPr>
              <w:t>NHS Board Endowment Trust Board of Trustees and Finance and Resources Committee</w:t>
            </w:r>
          </w:p>
          <w:p w:rsidR="0076405A" w:rsidRPr="001066DC" w:rsidRDefault="0076405A" w:rsidP="006818FB">
            <w:pPr>
              <w:rPr>
                <w:b/>
                <w:sz w:val="17"/>
                <w:szCs w:val="17"/>
              </w:rPr>
            </w:pPr>
            <w:r w:rsidRPr="001066DC">
              <w:rPr>
                <w:sz w:val="17"/>
                <w:szCs w:val="17"/>
              </w:rPr>
              <w:t xml:space="preserve">The Board of Trustees considered the recommended funding applications for approval.  These were considered and subsequently approved.  </w:t>
            </w:r>
          </w:p>
          <w:p w:rsidR="0076405A" w:rsidRPr="001066DC" w:rsidRDefault="0076405A" w:rsidP="006818FB">
            <w:pPr>
              <w:rPr>
                <w:sz w:val="17"/>
                <w:szCs w:val="17"/>
              </w:rPr>
            </w:pPr>
            <w:r w:rsidRPr="001066DC">
              <w:rPr>
                <w:sz w:val="17"/>
                <w:szCs w:val="17"/>
              </w:rPr>
              <w:t>At the meeting of the Finance and Resources Committee on 20</w:t>
            </w:r>
            <w:r w:rsidRPr="001066DC">
              <w:rPr>
                <w:sz w:val="17"/>
                <w:szCs w:val="17"/>
                <w:vertAlign w:val="superscript"/>
              </w:rPr>
              <w:t>th</w:t>
            </w:r>
            <w:r w:rsidRPr="001066DC">
              <w:rPr>
                <w:sz w:val="17"/>
                <w:szCs w:val="17"/>
              </w:rPr>
              <w:t xml:space="preserve"> February (immediately after the Endowment Trustee meeting), the financial report to 31 January was presented.  </w:t>
            </w:r>
          </w:p>
          <w:p w:rsidR="0076405A" w:rsidRPr="001066DC" w:rsidRDefault="0076405A" w:rsidP="006818FB">
            <w:pPr>
              <w:rPr>
                <w:sz w:val="17"/>
                <w:szCs w:val="17"/>
              </w:rPr>
            </w:pPr>
            <w:r w:rsidRPr="001066DC">
              <w:rPr>
                <w:sz w:val="17"/>
                <w:szCs w:val="17"/>
              </w:rPr>
              <w:t xml:space="preserve">While the overspend to date had slightly reduced the figures continued to report an overspend as due to timing did not account for the retrospective funding from endowment funds.  </w:t>
            </w:r>
          </w:p>
          <w:p w:rsidR="0076405A" w:rsidRPr="001066DC" w:rsidRDefault="0076405A" w:rsidP="006818FB">
            <w:pPr>
              <w:rPr>
                <w:sz w:val="17"/>
                <w:szCs w:val="17"/>
              </w:rPr>
            </w:pPr>
            <w:r w:rsidRPr="001066DC">
              <w:rPr>
                <w:sz w:val="17"/>
                <w:szCs w:val="17"/>
              </w:rPr>
              <w:t>However, the forecast outturn remained breakeven and we noted no reference either in the finance paper or minute to retrospective application of endowment funds.</w:t>
            </w:r>
          </w:p>
        </w:tc>
        <w:tc>
          <w:tcPr>
            <w:tcW w:w="3118" w:type="dxa"/>
            <w:shd w:val="clear" w:color="auto" w:fill="auto"/>
            <w:tcMar>
              <w:top w:w="55" w:type="dxa"/>
              <w:left w:w="55" w:type="dxa"/>
              <w:bottom w:w="55" w:type="dxa"/>
              <w:right w:w="55" w:type="dxa"/>
            </w:tcMar>
          </w:tcPr>
          <w:p w:rsidR="0076405A" w:rsidRPr="001066DC" w:rsidRDefault="0076405A" w:rsidP="006818FB">
            <w:pPr>
              <w:rPr>
                <w:sz w:val="17"/>
                <w:szCs w:val="17"/>
              </w:rPr>
            </w:pPr>
            <w:r w:rsidRPr="001066DC">
              <w:rPr>
                <w:sz w:val="17"/>
                <w:szCs w:val="17"/>
              </w:rPr>
              <w:t xml:space="preserve">There is a lack of clarity in the financial monitoring position reported to the Finance and Resources Committee members of the Board and that communicated to Trustees.  While we recognising there was a timing issue, this disconnect represents a clear example where the lines of governance were blurred between that of Trustees and that as Board members at NHS Tayside. </w:t>
            </w:r>
          </w:p>
          <w:p w:rsidR="0076405A" w:rsidRPr="001066DC" w:rsidRDefault="0076405A" w:rsidP="006818FB">
            <w:pPr>
              <w:rPr>
                <w:sz w:val="17"/>
                <w:szCs w:val="17"/>
              </w:rPr>
            </w:pPr>
            <w:r w:rsidRPr="001066DC">
              <w:rPr>
                <w:sz w:val="17"/>
                <w:szCs w:val="17"/>
              </w:rPr>
              <w:t>We note that the NHS Board Endowment Trust Board meeting ran directly into the Finance and Resources Committee meeting which could have blurred the lines</w:t>
            </w:r>
            <w:r w:rsidR="00B63557">
              <w:rPr>
                <w:sz w:val="17"/>
                <w:szCs w:val="17"/>
              </w:rPr>
              <w:t xml:space="preserve"> in respect of responsibilities</w:t>
            </w:r>
            <w:r w:rsidRPr="001066DC">
              <w:rPr>
                <w:sz w:val="17"/>
                <w:szCs w:val="17"/>
              </w:rPr>
              <w:t xml:space="preserve">.  </w:t>
            </w:r>
          </w:p>
          <w:p w:rsidR="0076405A" w:rsidRPr="001066DC" w:rsidRDefault="0076405A" w:rsidP="006818FB">
            <w:pPr>
              <w:rPr>
                <w:sz w:val="17"/>
                <w:szCs w:val="17"/>
              </w:rPr>
            </w:pPr>
          </w:p>
        </w:tc>
      </w:tr>
      <w:tr w:rsidR="0076405A" w:rsidRPr="001066DC" w:rsidTr="00F45A2B">
        <w:trPr>
          <w:trHeight w:val="910"/>
        </w:trPr>
        <w:tc>
          <w:tcPr>
            <w:tcW w:w="991" w:type="dxa"/>
            <w:shd w:val="clear" w:color="auto" w:fill="auto"/>
            <w:tcMar>
              <w:top w:w="55" w:type="dxa"/>
              <w:left w:w="55" w:type="dxa"/>
              <w:bottom w:w="55" w:type="dxa"/>
              <w:right w:w="55" w:type="dxa"/>
            </w:tcMar>
          </w:tcPr>
          <w:p w:rsidR="0076405A" w:rsidRPr="001066DC" w:rsidRDefault="00AA427C" w:rsidP="006818FB">
            <w:pPr>
              <w:rPr>
                <w:sz w:val="17"/>
                <w:szCs w:val="17"/>
              </w:rPr>
            </w:pPr>
            <w:r>
              <w:rPr>
                <w:sz w:val="17"/>
                <w:szCs w:val="17"/>
              </w:rPr>
              <w:t>27</w:t>
            </w:r>
            <w:r w:rsidR="0076405A" w:rsidRPr="001066DC">
              <w:rPr>
                <w:sz w:val="17"/>
                <w:szCs w:val="17"/>
              </w:rPr>
              <w:t xml:space="preserve"> February 2014</w:t>
            </w:r>
          </w:p>
        </w:tc>
        <w:tc>
          <w:tcPr>
            <w:tcW w:w="5672" w:type="dxa"/>
            <w:shd w:val="clear" w:color="auto" w:fill="auto"/>
            <w:tcMar>
              <w:top w:w="55" w:type="dxa"/>
              <w:left w:w="55" w:type="dxa"/>
              <w:bottom w:w="55" w:type="dxa"/>
              <w:right w:w="55" w:type="dxa"/>
            </w:tcMar>
          </w:tcPr>
          <w:p w:rsidR="0076405A" w:rsidRPr="001066DC" w:rsidRDefault="0076405A" w:rsidP="006818FB">
            <w:pPr>
              <w:rPr>
                <w:b/>
                <w:sz w:val="17"/>
                <w:szCs w:val="17"/>
              </w:rPr>
            </w:pPr>
            <w:r w:rsidRPr="001066DC">
              <w:rPr>
                <w:b/>
                <w:sz w:val="17"/>
                <w:szCs w:val="17"/>
              </w:rPr>
              <w:t>NHS Tayside NHS Board meeting</w:t>
            </w:r>
          </w:p>
          <w:p w:rsidR="0076405A" w:rsidRPr="001066DC" w:rsidRDefault="0076405A" w:rsidP="006818FB">
            <w:pPr>
              <w:rPr>
                <w:sz w:val="17"/>
                <w:szCs w:val="17"/>
              </w:rPr>
            </w:pPr>
            <w:r w:rsidRPr="001066DC">
              <w:rPr>
                <w:sz w:val="17"/>
                <w:szCs w:val="17"/>
              </w:rPr>
              <w:t xml:space="preserve">The Committee noted the Finance and Resources Committee from 21 November 2013.  The Board noted the contents of the paper including financial challenges identified within it.  </w:t>
            </w:r>
          </w:p>
        </w:tc>
        <w:tc>
          <w:tcPr>
            <w:tcW w:w="3118" w:type="dxa"/>
            <w:shd w:val="clear" w:color="auto" w:fill="auto"/>
            <w:tcMar>
              <w:top w:w="55" w:type="dxa"/>
              <w:left w:w="55" w:type="dxa"/>
              <w:bottom w:w="55" w:type="dxa"/>
              <w:right w:w="55" w:type="dxa"/>
            </w:tcMar>
          </w:tcPr>
          <w:p w:rsidR="0076405A" w:rsidRPr="001066DC" w:rsidRDefault="0076405A" w:rsidP="006818FB">
            <w:pPr>
              <w:rPr>
                <w:sz w:val="17"/>
                <w:szCs w:val="17"/>
              </w:rPr>
            </w:pPr>
            <w:r w:rsidRPr="001066DC">
              <w:rPr>
                <w:sz w:val="17"/>
                <w:szCs w:val="17"/>
              </w:rPr>
              <w:t xml:space="preserve">The financial information reported to the Board related to the minute of the meeting of the Finance and Resources Committee in November 2013 and was therefore 3 months out of date.  </w:t>
            </w:r>
          </w:p>
        </w:tc>
      </w:tr>
      <w:tr w:rsidR="0076405A" w:rsidRPr="001066DC" w:rsidTr="00F45A2B">
        <w:trPr>
          <w:trHeight w:val="910"/>
        </w:trPr>
        <w:tc>
          <w:tcPr>
            <w:tcW w:w="991" w:type="dxa"/>
            <w:shd w:val="clear" w:color="auto" w:fill="auto"/>
            <w:tcMar>
              <w:top w:w="55" w:type="dxa"/>
              <w:left w:w="55" w:type="dxa"/>
              <w:bottom w:w="55" w:type="dxa"/>
              <w:right w:w="55" w:type="dxa"/>
            </w:tcMar>
            <w:hideMark/>
          </w:tcPr>
          <w:p w:rsidR="0076405A" w:rsidRDefault="0076405A" w:rsidP="006818FB">
            <w:pPr>
              <w:jc w:val="both"/>
              <w:rPr>
                <w:bCs/>
              </w:rPr>
            </w:pPr>
            <w:r>
              <w:rPr>
                <w:bCs/>
              </w:rPr>
              <w:t>13</w:t>
            </w:r>
          </w:p>
          <w:p w:rsidR="0076405A" w:rsidRDefault="0076405A" w:rsidP="006818FB">
            <w:pPr>
              <w:jc w:val="both"/>
              <w:rPr>
                <w:bCs/>
              </w:rPr>
            </w:pPr>
            <w:r>
              <w:rPr>
                <w:bCs/>
              </w:rPr>
              <w:t>March</w:t>
            </w:r>
          </w:p>
          <w:p w:rsidR="0076405A" w:rsidRPr="001066DC" w:rsidRDefault="0076405A" w:rsidP="006818FB">
            <w:pPr>
              <w:jc w:val="both"/>
              <w:rPr>
                <w:bCs/>
              </w:rPr>
            </w:pPr>
            <w:r w:rsidRPr="001066DC">
              <w:rPr>
                <w:bCs/>
              </w:rPr>
              <w:t>2014</w:t>
            </w:r>
          </w:p>
        </w:tc>
        <w:tc>
          <w:tcPr>
            <w:tcW w:w="5672" w:type="dxa"/>
            <w:shd w:val="clear" w:color="auto" w:fill="auto"/>
            <w:tcMar>
              <w:top w:w="55" w:type="dxa"/>
              <w:left w:w="55" w:type="dxa"/>
              <w:bottom w:w="55" w:type="dxa"/>
              <w:right w:w="55" w:type="dxa"/>
            </w:tcMar>
            <w:hideMark/>
          </w:tcPr>
          <w:p w:rsidR="0076405A" w:rsidRPr="001066DC" w:rsidRDefault="0076405A" w:rsidP="006818FB">
            <w:pPr>
              <w:rPr>
                <w:b/>
                <w:sz w:val="17"/>
                <w:szCs w:val="17"/>
              </w:rPr>
            </w:pPr>
            <w:r w:rsidRPr="001066DC">
              <w:rPr>
                <w:b/>
                <w:sz w:val="17"/>
                <w:szCs w:val="17"/>
              </w:rPr>
              <w:t>Finance and Resources Committee</w:t>
            </w:r>
          </w:p>
          <w:p w:rsidR="0076405A" w:rsidRPr="001066DC" w:rsidRDefault="0076405A" w:rsidP="006818FB">
            <w:pPr>
              <w:rPr>
                <w:sz w:val="17"/>
                <w:szCs w:val="17"/>
              </w:rPr>
            </w:pPr>
            <w:r w:rsidRPr="001066DC">
              <w:rPr>
                <w:sz w:val="17"/>
                <w:szCs w:val="17"/>
              </w:rPr>
              <w:t xml:space="preserve">The committee were verbally informed of the financial position as at 28 February 2014.  </w:t>
            </w:r>
          </w:p>
          <w:p w:rsidR="0076405A" w:rsidRDefault="0076405A" w:rsidP="006818FB">
            <w:pPr>
              <w:rPr>
                <w:sz w:val="17"/>
                <w:szCs w:val="17"/>
              </w:rPr>
            </w:pPr>
            <w:r w:rsidRPr="001066DC">
              <w:rPr>
                <w:sz w:val="17"/>
                <w:szCs w:val="17"/>
              </w:rPr>
              <w:t xml:space="preserve">Following the approval of Endowment funding of £3.6 million (including £2.7 million retrospectively), and through agreed brokerage with Scottish Government of £2.85 million, the Board were on track to breakeven for the year. </w:t>
            </w:r>
          </w:p>
          <w:p w:rsidR="00B63557" w:rsidRDefault="00B63557" w:rsidP="006818FB">
            <w:pPr>
              <w:rPr>
                <w:sz w:val="17"/>
                <w:szCs w:val="17"/>
              </w:rPr>
            </w:pPr>
          </w:p>
          <w:p w:rsidR="00B63557" w:rsidRDefault="00B63557" w:rsidP="006818FB">
            <w:pPr>
              <w:rPr>
                <w:sz w:val="17"/>
                <w:szCs w:val="17"/>
              </w:rPr>
            </w:pPr>
          </w:p>
          <w:p w:rsidR="00B63557" w:rsidRPr="001066DC" w:rsidRDefault="00B63557" w:rsidP="006818FB">
            <w:pPr>
              <w:rPr>
                <w:sz w:val="17"/>
                <w:szCs w:val="17"/>
              </w:rPr>
            </w:pPr>
          </w:p>
        </w:tc>
        <w:tc>
          <w:tcPr>
            <w:tcW w:w="3118" w:type="dxa"/>
            <w:shd w:val="clear" w:color="auto" w:fill="auto"/>
            <w:tcMar>
              <w:top w:w="55" w:type="dxa"/>
              <w:left w:w="55" w:type="dxa"/>
              <w:bottom w:w="55" w:type="dxa"/>
              <w:right w:w="55" w:type="dxa"/>
            </w:tcMar>
            <w:hideMark/>
          </w:tcPr>
          <w:p w:rsidR="0076405A" w:rsidRPr="001066DC" w:rsidRDefault="0076405A" w:rsidP="006818FB">
            <w:pPr>
              <w:rPr>
                <w:sz w:val="17"/>
                <w:szCs w:val="17"/>
              </w:rPr>
            </w:pPr>
            <w:r w:rsidRPr="001066DC">
              <w:rPr>
                <w:sz w:val="17"/>
                <w:szCs w:val="17"/>
              </w:rPr>
              <w:t xml:space="preserve">There was limited challenge or scrutiny documented around the underlying financial position and how it was being achieved. </w:t>
            </w:r>
          </w:p>
        </w:tc>
      </w:tr>
      <w:tr w:rsidR="0076405A" w:rsidRPr="001066DC" w:rsidTr="00F45A2B">
        <w:trPr>
          <w:trHeight w:val="910"/>
        </w:trPr>
        <w:tc>
          <w:tcPr>
            <w:tcW w:w="991" w:type="dxa"/>
            <w:shd w:val="clear" w:color="auto" w:fill="auto"/>
            <w:tcMar>
              <w:top w:w="55" w:type="dxa"/>
              <w:left w:w="55" w:type="dxa"/>
              <w:bottom w:w="55" w:type="dxa"/>
              <w:right w:w="55" w:type="dxa"/>
            </w:tcMar>
          </w:tcPr>
          <w:p w:rsidR="0076405A" w:rsidRPr="001066DC" w:rsidRDefault="0076405A" w:rsidP="006818FB">
            <w:pPr>
              <w:jc w:val="both"/>
              <w:rPr>
                <w:bCs/>
              </w:rPr>
            </w:pPr>
            <w:r w:rsidRPr="001066DC">
              <w:rPr>
                <w:bCs/>
              </w:rPr>
              <w:lastRenderedPageBreak/>
              <w:t>March 2014</w:t>
            </w:r>
          </w:p>
        </w:tc>
        <w:tc>
          <w:tcPr>
            <w:tcW w:w="5672" w:type="dxa"/>
            <w:shd w:val="clear" w:color="auto" w:fill="auto"/>
            <w:tcMar>
              <w:top w:w="55" w:type="dxa"/>
              <w:left w:w="55" w:type="dxa"/>
              <w:bottom w:w="55" w:type="dxa"/>
              <w:right w:w="55" w:type="dxa"/>
            </w:tcMar>
          </w:tcPr>
          <w:p w:rsidR="0076405A" w:rsidRPr="001066DC" w:rsidRDefault="0076405A" w:rsidP="006818FB">
            <w:pPr>
              <w:rPr>
                <w:b/>
                <w:sz w:val="17"/>
                <w:szCs w:val="17"/>
              </w:rPr>
            </w:pPr>
            <w:r w:rsidRPr="001066DC">
              <w:rPr>
                <w:b/>
                <w:sz w:val="17"/>
                <w:szCs w:val="17"/>
              </w:rPr>
              <w:t>Internal Audit Endowments Report</w:t>
            </w:r>
          </w:p>
          <w:p w:rsidR="0076405A" w:rsidRPr="001066DC" w:rsidRDefault="0076405A" w:rsidP="006818FB">
            <w:pPr>
              <w:rPr>
                <w:sz w:val="17"/>
                <w:szCs w:val="17"/>
              </w:rPr>
            </w:pPr>
            <w:r w:rsidRPr="001066DC">
              <w:rPr>
                <w:sz w:val="17"/>
                <w:szCs w:val="17"/>
              </w:rPr>
              <w:t xml:space="preserve">Internal Audit meeting with Endowment’s team identified that there had been agreement to retrospectively review funding applications for endowment funds.  Between March and May we understand there were various meetings between Chief Internal Auditor (CIA), and NHS Tayside Director of Finance.  </w:t>
            </w:r>
          </w:p>
          <w:p w:rsidR="0076405A" w:rsidRPr="001066DC" w:rsidRDefault="0076405A" w:rsidP="006818FB">
            <w:pPr>
              <w:rPr>
                <w:sz w:val="17"/>
                <w:szCs w:val="17"/>
              </w:rPr>
            </w:pPr>
            <w:r w:rsidRPr="001066DC">
              <w:rPr>
                <w:sz w:val="17"/>
                <w:szCs w:val="17"/>
              </w:rPr>
              <w:t xml:space="preserve">We understand it was agreed that as external audit were reviewing the transactions, they would be excluded from the internal audit review.  This is the reason stated for this in the final endowments internal audit report.  </w:t>
            </w:r>
          </w:p>
        </w:tc>
        <w:tc>
          <w:tcPr>
            <w:tcW w:w="3118" w:type="dxa"/>
            <w:shd w:val="clear" w:color="auto" w:fill="auto"/>
            <w:tcMar>
              <w:top w:w="55" w:type="dxa"/>
              <w:left w:w="55" w:type="dxa"/>
              <w:bottom w:w="55" w:type="dxa"/>
              <w:right w:w="55" w:type="dxa"/>
            </w:tcMar>
          </w:tcPr>
          <w:p w:rsidR="0076405A" w:rsidRPr="001066DC" w:rsidRDefault="0076405A" w:rsidP="006818FB">
            <w:pPr>
              <w:rPr>
                <w:sz w:val="17"/>
                <w:szCs w:val="17"/>
              </w:rPr>
            </w:pPr>
            <w:r w:rsidRPr="001066DC">
              <w:rPr>
                <w:sz w:val="17"/>
                <w:szCs w:val="17"/>
              </w:rPr>
              <w:t xml:space="preserve">There is no clarity as to which external auditors, internal audit were referring – the Endowment Fund External Auditors or the NHS Tayside External Auditors.  This lack of clarity also flowed through in the Audit Committee meetings when the term external audit was used interchangeably.  </w:t>
            </w:r>
          </w:p>
        </w:tc>
      </w:tr>
      <w:tr w:rsidR="0076405A" w:rsidRPr="001066DC" w:rsidTr="00F45A2B">
        <w:trPr>
          <w:trHeight w:val="910"/>
        </w:trPr>
        <w:tc>
          <w:tcPr>
            <w:tcW w:w="991" w:type="dxa"/>
            <w:shd w:val="clear" w:color="auto" w:fill="auto"/>
            <w:tcMar>
              <w:top w:w="55" w:type="dxa"/>
              <w:left w:w="55" w:type="dxa"/>
              <w:bottom w:w="55" w:type="dxa"/>
              <w:right w:w="55" w:type="dxa"/>
            </w:tcMar>
          </w:tcPr>
          <w:p w:rsidR="0076405A" w:rsidRPr="001066DC" w:rsidRDefault="0076405A" w:rsidP="006818FB">
            <w:pPr>
              <w:jc w:val="both"/>
              <w:rPr>
                <w:bCs/>
              </w:rPr>
            </w:pPr>
            <w:r w:rsidRPr="001066DC">
              <w:rPr>
                <w:bCs/>
              </w:rPr>
              <w:t>5</w:t>
            </w:r>
          </w:p>
          <w:p w:rsidR="0076405A" w:rsidRPr="001066DC" w:rsidRDefault="0076405A" w:rsidP="006818FB">
            <w:pPr>
              <w:jc w:val="both"/>
              <w:rPr>
                <w:bCs/>
              </w:rPr>
            </w:pPr>
            <w:r w:rsidRPr="001066DC">
              <w:rPr>
                <w:bCs/>
              </w:rPr>
              <w:t>May 2014</w:t>
            </w:r>
          </w:p>
        </w:tc>
        <w:tc>
          <w:tcPr>
            <w:tcW w:w="5672" w:type="dxa"/>
            <w:shd w:val="clear" w:color="auto" w:fill="auto"/>
            <w:tcMar>
              <w:top w:w="55" w:type="dxa"/>
              <w:left w:w="55" w:type="dxa"/>
              <w:bottom w:w="55" w:type="dxa"/>
              <w:right w:w="55" w:type="dxa"/>
            </w:tcMar>
          </w:tcPr>
          <w:p w:rsidR="0076405A" w:rsidRPr="001066DC" w:rsidRDefault="0076405A" w:rsidP="005968F6">
            <w:pPr>
              <w:rPr>
                <w:sz w:val="17"/>
                <w:szCs w:val="17"/>
              </w:rPr>
            </w:pPr>
            <w:r w:rsidRPr="001066DC">
              <w:rPr>
                <w:sz w:val="17"/>
                <w:szCs w:val="17"/>
              </w:rPr>
              <w:t>The CIA met with the Director of Finance to di</w:t>
            </w:r>
            <w:r w:rsidR="005968F6">
              <w:rPr>
                <w:sz w:val="17"/>
                <w:szCs w:val="17"/>
              </w:rPr>
              <w:t>scuss the cover report for the “I</w:t>
            </w:r>
            <w:r w:rsidRPr="001066DC">
              <w:rPr>
                <w:sz w:val="17"/>
                <w:szCs w:val="17"/>
              </w:rPr>
              <w:t>nternal Audit Annual Report to the Endowment Advisory Group</w:t>
            </w:r>
            <w:r w:rsidR="005968F6">
              <w:rPr>
                <w:sz w:val="17"/>
                <w:szCs w:val="17"/>
              </w:rPr>
              <w:t>”</w:t>
            </w:r>
            <w:r w:rsidRPr="001066DC">
              <w:rPr>
                <w:sz w:val="17"/>
                <w:szCs w:val="17"/>
              </w:rPr>
              <w:t xml:space="preserve">.  The </w:t>
            </w:r>
            <w:r w:rsidR="005968F6">
              <w:rPr>
                <w:sz w:val="17"/>
                <w:szCs w:val="17"/>
              </w:rPr>
              <w:t>cover paper</w:t>
            </w:r>
            <w:r w:rsidRPr="001066DC">
              <w:rPr>
                <w:sz w:val="17"/>
                <w:szCs w:val="17"/>
              </w:rPr>
              <w:t xml:space="preserve"> contained references to significant concerns around the advice provided to Trustees and </w:t>
            </w:r>
            <w:r w:rsidR="005968F6">
              <w:rPr>
                <w:sz w:val="17"/>
                <w:szCs w:val="17"/>
              </w:rPr>
              <w:t xml:space="preserve">the </w:t>
            </w:r>
            <w:r w:rsidRPr="001066DC">
              <w:rPr>
                <w:sz w:val="17"/>
                <w:szCs w:val="17"/>
              </w:rPr>
              <w:t xml:space="preserve">assurance provided.  However the CIA </w:t>
            </w:r>
            <w:r w:rsidR="005968F6">
              <w:rPr>
                <w:sz w:val="17"/>
                <w:szCs w:val="17"/>
              </w:rPr>
              <w:t xml:space="preserve">agreed to remove these </w:t>
            </w:r>
            <w:r w:rsidRPr="001066DC">
              <w:rPr>
                <w:sz w:val="17"/>
                <w:szCs w:val="17"/>
              </w:rPr>
              <w:t xml:space="preserve">references given they had </w:t>
            </w:r>
            <w:r w:rsidR="005968F6">
              <w:rPr>
                <w:sz w:val="17"/>
                <w:szCs w:val="17"/>
              </w:rPr>
              <w:t xml:space="preserve">agreed to remove the retrospective application of endowment funds from the scope of the internal audit review.  </w:t>
            </w:r>
          </w:p>
        </w:tc>
        <w:tc>
          <w:tcPr>
            <w:tcW w:w="3118" w:type="dxa"/>
            <w:shd w:val="clear" w:color="auto" w:fill="auto"/>
            <w:tcMar>
              <w:top w:w="55" w:type="dxa"/>
              <w:left w:w="55" w:type="dxa"/>
              <w:bottom w:w="55" w:type="dxa"/>
              <w:right w:w="55" w:type="dxa"/>
            </w:tcMar>
          </w:tcPr>
          <w:p w:rsidR="0076405A" w:rsidRPr="001066DC" w:rsidRDefault="005968F6" w:rsidP="005968F6">
            <w:pPr>
              <w:rPr>
                <w:sz w:val="17"/>
                <w:szCs w:val="17"/>
              </w:rPr>
            </w:pPr>
            <w:r>
              <w:rPr>
                <w:sz w:val="17"/>
                <w:szCs w:val="17"/>
              </w:rPr>
              <w:t xml:space="preserve">The changes to the cover report significantly change the tone and message of internal audit and may have been then interpreted differently by the Trustees.  </w:t>
            </w:r>
          </w:p>
        </w:tc>
      </w:tr>
      <w:tr w:rsidR="0076405A" w:rsidRPr="001066DC" w:rsidTr="00F45A2B">
        <w:trPr>
          <w:trHeight w:val="910"/>
        </w:trPr>
        <w:tc>
          <w:tcPr>
            <w:tcW w:w="991" w:type="dxa"/>
            <w:shd w:val="clear" w:color="auto" w:fill="auto"/>
            <w:tcMar>
              <w:top w:w="55" w:type="dxa"/>
              <w:left w:w="55" w:type="dxa"/>
              <w:bottom w:w="55" w:type="dxa"/>
              <w:right w:w="55" w:type="dxa"/>
            </w:tcMar>
          </w:tcPr>
          <w:p w:rsidR="0076405A" w:rsidRPr="001066DC" w:rsidRDefault="0076405A" w:rsidP="006818FB">
            <w:pPr>
              <w:jc w:val="both"/>
              <w:rPr>
                <w:bCs/>
              </w:rPr>
            </w:pPr>
            <w:r w:rsidRPr="001066DC">
              <w:rPr>
                <w:bCs/>
              </w:rPr>
              <w:t>3</w:t>
            </w:r>
          </w:p>
          <w:p w:rsidR="0076405A" w:rsidRPr="001066DC" w:rsidRDefault="0076405A" w:rsidP="006818FB">
            <w:pPr>
              <w:jc w:val="both"/>
              <w:rPr>
                <w:bCs/>
              </w:rPr>
            </w:pPr>
            <w:r w:rsidRPr="001066DC">
              <w:rPr>
                <w:bCs/>
              </w:rPr>
              <w:t>June 2014</w:t>
            </w:r>
          </w:p>
        </w:tc>
        <w:tc>
          <w:tcPr>
            <w:tcW w:w="5672" w:type="dxa"/>
            <w:shd w:val="clear" w:color="auto" w:fill="auto"/>
            <w:tcMar>
              <w:top w:w="55" w:type="dxa"/>
              <w:left w:w="55" w:type="dxa"/>
              <w:bottom w:w="55" w:type="dxa"/>
              <w:right w:w="55" w:type="dxa"/>
            </w:tcMar>
          </w:tcPr>
          <w:p w:rsidR="0076405A" w:rsidRPr="001066DC" w:rsidRDefault="0076405A" w:rsidP="006818FB">
            <w:pPr>
              <w:rPr>
                <w:b/>
                <w:sz w:val="17"/>
                <w:szCs w:val="17"/>
              </w:rPr>
            </w:pPr>
            <w:r w:rsidRPr="001066DC">
              <w:rPr>
                <w:b/>
                <w:sz w:val="17"/>
                <w:szCs w:val="17"/>
              </w:rPr>
              <w:t xml:space="preserve">Endowment Advisory Group </w:t>
            </w:r>
          </w:p>
          <w:p w:rsidR="0076405A" w:rsidRPr="001066DC" w:rsidRDefault="0076405A" w:rsidP="006818FB">
            <w:pPr>
              <w:rPr>
                <w:sz w:val="17"/>
                <w:szCs w:val="17"/>
              </w:rPr>
            </w:pPr>
            <w:r w:rsidRPr="001066DC">
              <w:rPr>
                <w:sz w:val="17"/>
                <w:szCs w:val="17"/>
              </w:rPr>
              <w:t xml:space="preserve">The group received the copy of the final Internal Audit annual report and the Endowment Fund report.  The cover paper for the Annual report had been amended to remove referenced concerns around the advice provided to the Trustees.  </w:t>
            </w:r>
          </w:p>
        </w:tc>
        <w:tc>
          <w:tcPr>
            <w:tcW w:w="3118" w:type="dxa"/>
            <w:shd w:val="clear" w:color="auto" w:fill="auto"/>
            <w:tcMar>
              <w:top w:w="55" w:type="dxa"/>
              <w:left w:w="55" w:type="dxa"/>
              <w:bottom w:w="55" w:type="dxa"/>
              <w:right w:w="55" w:type="dxa"/>
            </w:tcMar>
          </w:tcPr>
          <w:p w:rsidR="0076405A" w:rsidRPr="001066DC" w:rsidRDefault="00B66FA9" w:rsidP="006818FB">
            <w:pPr>
              <w:rPr>
                <w:sz w:val="17"/>
                <w:szCs w:val="17"/>
              </w:rPr>
            </w:pPr>
            <w:r>
              <w:rPr>
                <w:sz w:val="17"/>
                <w:szCs w:val="17"/>
              </w:rPr>
              <w:t xml:space="preserve">The Internal Audit Report on endowment arrangements goes to the Endowment Advisory Group but we would have expected this go to the Endowment Fund Board of Trustees.  We also note it went to the NHS Tayside Audit Committee on 17 June.  </w:t>
            </w:r>
          </w:p>
        </w:tc>
      </w:tr>
      <w:tr w:rsidR="0076405A" w:rsidRPr="001066DC" w:rsidTr="00F45A2B">
        <w:trPr>
          <w:trHeight w:val="910"/>
        </w:trPr>
        <w:tc>
          <w:tcPr>
            <w:tcW w:w="991" w:type="dxa"/>
            <w:shd w:val="clear" w:color="auto" w:fill="auto"/>
            <w:tcMar>
              <w:top w:w="55" w:type="dxa"/>
              <w:left w:w="55" w:type="dxa"/>
              <w:bottom w:w="55" w:type="dxa"/>
              <w:right w:w="55" w:type="dxa"/>
            </w:tcMar>
          </w:tcPr>
          <w:p w:rsidR="0076405A" w:rsidRPr="001066DC" w:rsidRDefault="0076405A" w:rsidP="006818FB">
            <w:pPr>
              <w:jc w:val="both"/>
              <w:rPr>
                <w:bCs/>
              </w:rPr>
            </w:pPr>
            <w:r w:rsidRPr="001066DC">
              <w:rPr>
                <w:bCs/>
              </w:rPr>
              <w:t>17</w:t>
            </w:r>
          </w:p>
          <w:p w:rsidR="0076405A" w:rsidRPr="001066DC" w:rsidRDefault="0076405A" w:rsidP="006818FB">
            <w:pPr>
              <w:jc w:val="both"/>
              <w:rPr>
                <w:bCs/>
              </w:rPr>
            </w:pPr>
            <w:r w:rsidRPr="001066DC">
              <w:rPr>
                <w:bCs/>
              </w:rPr>
              <w:t>June 2014</w:t>
            </w:r>
          </w:p>
        </w:tc>
        <w:tc>
          <w:tcPr>
            <w:tcW w:w="5672" w:type="dxa"/>
            <w:shd w:val="clear" w:color="auto" w:fill="auto"/>
            <w:tcMar>
              <w:top w:w="55" w:type="dxa"/>
              <w:left w:w="55" w:type="dxa"/>
              <w:bottom w:w="55" w:type="dxa"/>
              <w:right w:w="55" w:type="dxa"/>
            </w:tcMar>
          </w:tcPr>
          <w:p w:rsidR="0076405A" w:rsidRPr="001066DC" w:rsidRDefault="00806032" w:rsidP="006818FB">
            <w:pPr>
              <w:rPr>
                <w:b/>
                <w:sz w:val="17"/>
                <w:szCs w:val="17"/>
              </w:rPr>
            </w:pPr>
            <w:r>
              <w:rPr>
                <w:b/>
                <w:sz w:val="17"/>
                <w:szCs w:val="17"/>
              </w:rPr>
              <w:t xml:space="preserve">NHS Tayside </w:t>
            </w:r>
            <w:r w:rsidR="0076405A" w:rsidRPr="001066DC">
              <w:rPr>
                <w:b/>
                <w:sz w:val="17"/>
                <w:szCs w:val="17"/>
              </w:rPr>
              <w:t xml:space="preserve">Audit Committee </w:t>
            </w:r>
          </w:p>
          <w:p w:rsidR="0076405A" w:rsidRPr="001066DC" w:rsidRDefault="0076405A" w:rsidP="006818FB">
            <w:pPr>
              <w:rPr>
                <w:sz w:val="17"/>
                <w:szCs w:val="17"/>
              </w:rPr>
            </w:pPr>
            <w:r w:rsidRPr="001066DC">
              <w:rPr>
                <w:sz w:val="17"/>
                <w:szCs w:val="17"/>
              </w:rPr>
              <w:t>On the 17</w:t>
            </w:r>
            <w:r w:rsidRPr="001066DC">
              <w:rPr>
                <w:sz w:val="17"/>
                <w:szCs w:val="17"/>
                <w:vertAlign w:val="superscript"/>
              </w:rPr>
              <w:t>th</w:t>
            </w:r>
            <w:r w:rsidRPr="001066DC">
              <w:rPr>
                <w:sz w:val="17"/>
                <w:szCs w:val="17"/>
              </w:rPr>
              <w:t xml:space="preserve"> June the dra</w:t>
            </w:r>
            <w:r w:rsidR="00B63557">
              <w:rPr>
                <w:sz w:val="17"/>
                <w:szCs w:val="17"/>
              </w:rPr>
              <w:t>ft financial statements and NHS Tayside’s Board’s</w:t>
            </w:r>
            <w:r w:rsidRPr="001066DC">
              <w:rPr>
                <w:sz w:val="17"/>
                <w:szCs w:val="17"/>
              </w:rPr>
              <w:t xml:space="preserve"> External Audit report on the Audit of the Board was presented to the Board’s Audit Committee.  Both the financial statements and the audits report made reference to the retrospective application of endowment funds (factual reference to what had occurred). However there was limited debate or discussion documented in the minutes of the meeting.  </w:t>
            </w:r>
          </w:p>
          <w:p w:rsidR="0076405A" w:rsidRPr="001066DC" w:rsidRDefault="0076405A" w:rsidP="006818FB">
            <w:pPr>
              <w:rPr>
                <w:sz w:val="17"/>
                <w:szCs w:val="17"/>
              </w:rPr>
            </w:pPr>
            <w:r w:rsidRPr="001066DC">
              <w:rPr>
                <w:sz w:val="17"/>
                <w:szCs w:val="17"/>
              </w:rPr>
              <w:t>The financial statements of the Fund and external audit report of t</w:t>
            </w:r>
            <w:r w:rsidR="005C7DEE">
              <w:rPr>
                <w:sz w:val="17"/>
                <w:szCs w:val="17"/>
              </w:rPr>
              <w:t xml:space="preserve">he Funds auditor, MMG Archbold </w:t>
            </w:r>
            <w:r w:rsidRPr="001066DC">
              <w:rPr>
                <w:sz w:val="17"/>
                <w:szCs w:val="17"/>
              </w:rPr>
              <w:t>CA, were presented to the Audit Committee of the Board.  The financial statements included specific reference to the retrospective application of the endowment funds within the published financial statements.</w:t>
            </w:r>
          </w:p>
          <w:p w:rsidR="0076405A" w:rsidRPr="001066DC" w:rsidRDefault="0076405A" w:rsidP="006818FB">
            <w:pPr>
              <w:rPr>
                <w:sz w:val="17"/>
                <w:szCs w:val="17"/>
              </w:rPr>
            </w:pPr>
            <w:r w:rsidRPr="001066DC">
              <w:rPr>
                <w:sz w:val="17"/>
                <w:szCs w:val="17"/>
              </w:rPr>
              <w:t>Within the financial statements of NHS Tayside there is specific reference within the governance statement:</w:t>
            </w:r>
          </w:p>
          <w:p w:rsidR="0076405A" w:rsidRPr="001066DC" w:rsidRDefault="0076405A" w:rsidP="006818FB">
            <w:pPr>
              <w:rPr>
                <w:i/>
                <w:sz w:val="17"/>
                <w:szCs w:val="17"/>
              </w:rPr>
            </w:pPr>
            <w:r w:rsidRPr="001066DC">
              <w:rPr>
                <w:i/>
                <w:sz w:val="17"/>
                <w:szCs w:val="17"/>
              </w:rPr>
              <w:t>In February 2014 the Board of Trustees of the Tayside NHS Board Endowment Fund approved a number of submissions for funding totalling £3.64m, of which £2.71m was retrospective spend. The content of all the bids were agreed by Trustees to be within the normal criteria for funding and in line with the charitable purpose of the Fund.</w:t>
            </w:r>
          </w:p>
          <w:p w:rsidR="0076405A" w:rsidRPr="001066DC" w:rsidRDefault="0076405A" w:rsidP="006818FB">
            <w:pPr>
              <w:rPr>
                <w:sz w:val="17"/>
                <w:szCs w:val="17"/>
              </w:rPr>
            </w:pPr>
          </w:p>
          <w:p w:rsidR="0076405A" w:rsidRPr="001066DC" w:rsidRDefault="0076405A" w:rsidP="006818FB">
            <w:pPr>
              <w:rPr>
                <w:sz w:val="17"/>
                <w:szCs w:val="17"/>
              </w:rPr>
            </w:pPr>
          </w:p>
        </w:tc>
        <w:tc>
          <w:tcPr>
            <w:tcW w:w="3118" w:type="dxa"/>
            <w:shd w:val="clear" w:color="auto" w:fill="auto"/>
            <w:tcMar>
              <w:top w:w="55" w:type="dxa"/>
              <w:left w:w="55" w:type="dxa"/>
              <w:bottom w:w="55" w:type="dxa"/>
              <w:right w:w="55" w:type="dxa"/>
            </w:tcMar>
          </w:tcPr>
          <w:p w:rsidR="0076405A" w:rsidRPr="001066DC" w:rsidRDefault="0076405A" w:rsidP="006818FB">
            <w:pPr>
              <w:rPr>
                <w:sz w:val="17"/>
                <w:szCs w:val="17"/>
              </w:rPr>
            </w:pPr>
            <w:r w:rsidRPr="001066DC">
              <w:rPr>
                <w:sz w:val="17"/>
                <w:szCs w:val="17"/>
              </w:rPr>
              <w:t>No significant issues were noted in relation to the retrospective application of endowment funds at the Board’s Audit Committee.</w:t>
            </w:r>
          </w:p>
          <w:p w:rsidR="0076405A" w:rsidRDefault="0076405A" w:rsidP="006818FB">
            <w:pPr>
              <w:rPr>
                <w:sz w:val="17"/>
                <w:szCs w:val="17"/>
              </w:rPr>
            </w:pPr>
            <w:r w:rsidRPr="001066DC">
              <w:rPr>
                <w:sz w:val="17"/>
                <w:szCs w:val="17"/>
              </w:rPr>
              <w:t xml:space="preserve">We note that the external Audit Report for the Endowment Fund is presented by the Assistant Director of Finance (Governance &amp; Corporate Finance) where we would have expected this to have been presented by the independent auditor.   </w:t>
            </w:r>
          </w:p>
          <w:p w:rsidR="00B63557" w:rsidRPr="001066DC" w:rsidRDefault="00B63557" w:rsidP="006818FB">
            <w:pPr>
              <w:rPr>
                <w:sz w:val="17"/>
                <w:szCs w:val="17"/>
              </w:rPr>
            </w:pPr>
            <w:r>
              <w:rPr>
                <w:sz w:val="17"/>
                <w:szCs w:val="17"/>
              </w:rPr>
              <w:t xml:space="preserve">We note the wording in the governance statement (opposite) states 2.7 million was retrospectively applied but based on the analysis we have seen and the review of the papers the correct value of retrospective spend is £3.6million.  It is unclear based on the records where £2.7million arose from.  </w:t>
            </w:r>
          </w:p>
          <w:p w:rsidR="0076405A" w:rsidRPr="001066DC" w:rsidRDefault="0076405A" w:rsidP="006818FB">
            <w:pPr>
              <w:rPr>
                <w:sz w:val="17"/>
                <w:szCs w:val="17"/>
              </w:rPr>
            </w:pPr>
          </w:p>
          <w:p w:rsidR="0076405A" w:rsidRDefault="0076405A" w:rsidP="006818FB">
            <w:pPr>
              <w:rPr>
                <w:sz w:val="17"/>
                <w:szCs w:val="17"/>
              </w:rPr>
            </w:pPr>
          </w:p>
          <w:p w:rsidR="0020543F" w:rsidRDefault="0020543F" w:rsidP="006818FB">
            <w:pPr>
              <w:rPr>
                <w:sz w:val="17"/>
                <w:szCs w:val="17"/>
              </w:rPr>
            </w:pPr>
          </w:p>
          <w:p w:rsidR="0020543F" w:rsidRDefault="0020543F" w:rsidP="006818FB">
            <w:pPr>
              <w:rPr>
                <w:sz w:val="17"/>
                <w:szCs w:val="17"/>
              </w:rPr>
            </w:pPr>
          </w:p>
          <w:p w:rsidR="0020543F" w:rsidRDefault="0020543F" w:rsidP="006818FB">
            <w:pPr>
              <w:rPr>
                <w:sz w:val="17"/>
                <w:szCs w:val="17"/>
              </w:rPr>
            </w:pPr>
          </w:p>
          <w:p w:rsidR="0020543F" w:rsidRDefault="0020543F" w:rsidP="006818FB">
            <w:pPr>
              <w:rPr>
                <w:sz w:val="17"/>
                <w:szCs w:val="17"/>
              </w:rPr>
            </w:pPr>
          </w:p>
          <w:p w:rsidR="0020543F" w:rsidRDefault="0020543F" w:rsidP="006818FB">
            <w:pPr>
              <w:rPr>
                <w:sz w:val="17"/>
                <w:szCs w:val="17"/>
              </w:rPr>
            </w:pPr>
          </w:p>
          <w:p w:rsidR="0020543F" w:rsidRPr="001066DC" w:rsidRDefault="0020543F" w:rsidP="006818FB">
            <w:pPr>
              <w:rPr>
                <w:sz w:val="17"/>
                <w:szCs w:val="17"/>
              </w:rPr>
            </w:pPr>
          </w:p>
        </w:tc>
      </w:tr>
      <w:tr w:rsidR="0076405A" w:rsidRPr="001066DC" w:rsidTr="00F45A2B">
        <w:trPr>
          <w:trHeight w:val="910"/>
        </w:trPr>
        <w:tc>
          <w:tcPr>
            <w:tcW w:w="991" w:type="dxa"/>
            <w:shd w:val="clear" w:color="auto" w:fill="auto"/>
            <w:tcMar>
              <w:top w:w="55" w:type="dxa"/>
              <w:left w:w="55" w:type="dxa"/>
              <w:bottom w:w="55" w:type="dxa"/>
              <w:right w:w="55" w:type="dxa"/>
            </w:tcMar>
          </w:tcPr>
          <w:p w:rsidR="0076405A" w:rsidRPr="001066DC" w:rsidRDefault="0076405A" w:rsidP="006818FB">
            <w:pPr>
              <w:jc w:val="both"/>
              <w:rPr>
                <w:bCs/>
              </w:rPr>
            </w:pPr>
            <w:r w:rsidRPr="001066DC">
              <w:rPr>
                <w:bCs/>
              </w:rPr>
              <w:lastRenderedPageBreak/>
              <w:t>24</w:t>
            </w:r>
          </w:p>
          <w:p w:rsidR="0076405A" w:rsidRPr="001066DC" w:rsidRDefault="0076405A" w:rsidP="006818FB">
            <w:pPr>
              <w:jc w:val="both"/>
              <w:rPr>
                <w:bCs/>
              </w:rPr>
            </w:pPr>
            <w:r w:rsidRPr="001066DC">
              <w:rPr>
                <w:bCs/>
              </w:rPr>
              <w:t>June 2014</w:t>
            </w:r>
          </w:p>
        </w:tc>
        <w:tc>
          <w:tcPr>
            <w:tcW w:w="5672" w:type="dxa"/>
            <w:shd w:val="clear" w:color="auto" w:fill="auto"/>
            <w:tcMar>
              <w:top w:w="55" w:type="dxa"/>
              <w:left w:w="55" w:type="dxa"/>
              <w:bottom w:w="55" w:type="dxa"/>
              <w:right w:w="55" w:type="dxa"/>
            </w:tcMar>
          </w:tcPr>
          <w:p w:rsidR="0076405A" w:rsidRPr="001066DC" w:rsidRDefault="0076405A" w:rsidP="006818FB">
            <w:pPr>
              <w:rPr>
                <w:b/>
                <w:sz w:val="17"/>
                <w:szCs w:val="17"/>
              </w:rPr>
            </w:pPr>
            <w:r w:rsidRPr="001066DC">
              <w:rPr>
                <w:b/>
                <w:sz w:val="17"/>
                <w:szCs w:val="17"/>
              </w:rPr>
              <w:t>Endowment Board of Trustees</w:t>
            </w:r>
          </w:p>
          <w:p w:rsidR="0076405A" w:rsidRPr="001066DC" w:rsidRDefault="0076405A" w:rsidP="006818FB">
            <w:pPr>
              <w:rPr>
                <w:sz w:val="17"/>
                <w:szCs w:val="17"/>
              </w:rPr>
            </w:pPr>
            <w:r w:rsidRPr="001066DC">
              <w:rPr>
                <w:sz w:val="17"/>
                <w:szCs w:val="17"/>
              </w:rPr>
              <w:t xml:space="preserve">The financial statements of the Trust are audited by MMG Archibald CA.  The auditor is responsible for expressing an opinion that the financial statements represent a true and fair view of the Fund’s financial performance and position.  </w:t>
            </w:r>
          </w:p>
          <w:p w:rsidR="0076405A" w:rsidRPr="001066DC" w:rsidRDefault="0076405A" w:rsidP="006818FB">
            <w:pPr>
              <w:rPr>
                <w:sz w:val="17"/>
                <w:szCs w:val="17"/>
              </w:rPr>
            </w:pPr>
            <w:r w:rsidRPr="001066DC">
              <w:rPr>
                <w:sz w:val="17"/>
                <w:szCs w:val="17"/>
              </w:rPr>
              <w:t>The financial statements of the Trust were approved by the Trustees at the meeting on 24</w:t>
            </w:r>
            <w:r w:rsidRPr="001066DC">
              <w:rPr>
                <w:sz w:val="17"/>
                <w:szCs w:val="17"/>
                <w:vertAlign w:val="superscript"/>
              </w:rPr>
              <w:t>th</w:t>
            </w:r>
            <w:r w:rsidRPr="001066DC">
              <w:rPr>
                <w:sz w:val="17"/>
                <w:szCs w:val="17"/>
              </w:rPr>
              <w:t xml:space="preserve"> June.  The financial statements disclosure the retrospective application of £2.7 million to projects that Tayside Health Board had commented.  The external auditor issued an unqualified opinion.  Within their Audit Findings Report, the external auditor referenced the Endowment Fund audit report issued by NHS Tayside’s internal auditors, and recommended that “</w:t>
            </w:r>
            <w:r w:rsidRPr="001066DC">
              <w:rPr>
                <w:i/>
                <w:sz w:val="17"/>
                <w:szCs w:val="17"/>
              </w:rPr>
              <w:t>The Trustees must be mindful of the distinction between their duties and responsibilities towards the trust and NHS Board</w:t>
            </w:r>
            <w:r w:rsidRPr="001066DC">
              <w:rPr>
                <w:sz w:val="17"/>
                <w:szCs w:val="17"/>
              </w:rPr>
              <w:t>”.</w:t>
            </w:r>
          </w:p>
          <w:p w:rsidR="0076405A" w:rsidRPr="001066DC" w:rsidRDefault="0076405A" w:rsidP="006818FB">
            <w:pPr>
              <w:rPr>
                <w:sz w:val="17"/>
                <w:szCs w:val="17"/>
              </w:rPr>
            </w:pPr>
            <w:r w:rsidRPr="001066DC">
              <w:rPr>
                <w:sz w:val="17"/>
                <w:szCs w:val="17"/>
              </w:rPr>
              <w:t xml:space="preserve"> </w:t>
            </w:r>
          </w:p>
        </w:tc>
        <w:tc>
          <w:tcPr>
            <w:tcW w:w="3118" w:type="dxa"/>
            <w:shd w:val="clear" w:color="auto" w:fill="auto"/>
            <w:tcMar>
              <w:top w:w="55" w:type="dxa"/>
              <w:left w:w="55" w:type="dxa"/>
              <w:bottom w:w="55" w:type="dxa"/>
              <w:right w:w="55" w:type="dxa"/>
            </w:tcMar>
          </w:tcPr>
          <w:p w:rsidR="0076405A" w:rsidRDefault="0076405A" w:rsidP="006818FB">
            <w:pPr>
              <w:rPr>
                <w:sz w:val="17"/>
                <w:szCs w:val="17"/>
              </w:rPr>
            </w:pPr>
            <w:r w:rsidRPr="001066DC">
              <w:rPr>
                <w:sz w:val="17"/>
                <w:szCs w:val="17"/>
              </w:rPr>
              <w:t>While we understand Internal Audit raised concerns around the retrospective application of funding, this was excluded from the scope of their work on the basis it was being reviewed by external audit.  External audit (Endowment Fund) commented on the application but apart from reiterating the concerns around clarity of roles and responsibilities as Trustees and Board members, no concerns were raised.</w:t>
            </w:r>
          </w:p>
          <w:p w:rsidR="00A55E13" w:rsidRDefault="00A55E13" w:rsidP="006818FB">
            <w:pPr>
              <w:rPr>
                <w:sz w:val="17"/>
                <w:szCs w:val="17"/>
              </w:rPr>
            </w:pPr>
          </w:p>
          <w:p w:rsidR="00A55E13" w:rsidRPr="001066DC" w:rsidRDefault="00A55E13" w:rsidP="006818FB">
            <w:pPr>
              <w:rPr>
                <w:sz w:val="17"/>
                <w:szCs w:val="17"/>
              </w:rPr>
            </w:pPr>
            <w:r>
              <w:rPr>
                <w:sz w:val="17"/>
                <w:szCs w:val="17"/>
              </w:rPr>
              <w:t xml:space="preserve">We note that the Internal Audit Annual Opinion on their work related to Endowments did not go to this Committee but went to the Advisory group instead.  Usual governance practice is for the Head of Internal Audit Opinion to go to the Board of Trustees as part of the information pack before the Trustees sign the financial statements.  </w:t>
            </w:r>
          </w:p>
        </w:tc>
      </w:tr>
    </w:tbl>
    <w:p w:rsidR="006F5EE1" w:rsidRDefault="006F5EE1">
      <w:pPr>
        <w:spacing w:after="0" w:line="240" w:lineRule="auto"/>
        <w:rPr>
          <w:b/>
          <w:bCs/>
          <w:color w:val="4F2D7F" w:themeColor="accent1"/>
          <w:sz w:val="24"/>
          <w:szCs w:val="24"/>
        </w:rPr>
      </w:pPr>
    </w:p>
    <w:p w:rsidR="002822F5" w:rsidRPr="00746CFF" w:rsidRDefault="00746CFF">
      <w:pPr>
        <w:spacing w:after="0" w:line="240" w:lineRule="auto"/>
        <w:rPr>
          <w:b/>
          <w:bCs/>
          <w:color w:val="4F2D7F" w:themeColor="accent1"/>
          <w:sz w:val="24"/>
          <w:szCs w:val="24"/>
        </w:rPr>
      </w:pPr>
      <w:r w:rsidRPr="00746CFF">
        <w:rPr>
          <w:b/>
          <w:bCs/>
          <w:color w:val="4F2D7F" w:themeColor="accent1"/>
          <w:sz w:val="24"/>
          <w:szCs w:val="24"/>
        </w:rPr>
        <w:t>Our key findings</w:t>
      </w:r>
      <w:r w:rsidR="00377033">
        <w:rPr>
          <w:b/>
          <w:bCs/>
          <w:color w:val="4F2D7F" w:themeColor="accent1"/>
          <w:sz w:val="24"/>
          <w:szCs w:val="24"/>
        </w:rPr>
        <w:t xml:space="preserve"> in respect of the use of endowments</w:t>
      </w:r>
      <w:r w:rsidRPr="00746CFF">
        <w:rPr>
          <w:b/>
          <w:bCs/>
          <w:color w:val="4F2D7F" w:themeColor="accent1"/>
          <w:sz w:val="24"/>
          <w:szCs w:val="24"/>
        </w:rPr>
        <w:t xml:space="preserve">:  </w:t>
      </w:r>
    </w:p>
    <w:p w:rsidR="00746CFF" w:rsidRDefault="00746CFF">
      <w:pPr>
        <w:spacing w:after="0" w:line="240" w:lineRule="auto"/>
        <w:rPr>
          <w:sz w:val="24"/>
          <w:szCs w:val="24"/>
        </w:rPr>
      </w:pPr>
    </w:p>
    <w:p w:rsidR="0029184E" w:rsidRDefault="0029184E">
      <w:pPr>
        <w:spacing w:after="0" w:line="240" w:lineRule="auto"/>
        <w:rPr>
          <w:sz w:val="24"/>
          <w:szCs w:val="24"/>
        </w:rPr>
      </w:pPr>
      <w:r>
        <w:rPr>
          <w:sz w:val="24"/>
          <w:szCs w:val="24"/>
        </w:rPr>
        <w:t>Based on our work we would highlight the following:</w:t>
      </w:r>
    </w:p>
    <w:p w:rsidR="00286D17" w:rsidRPr="006F5EE1" w:rsidRDefault="00286D17" w:rsidP="006F5EE1">
      <w:pPr>
        <w:rPr>
          <w:sz w:val="24"/>
          <w:szCs w:val="24"/>
        </w:rPr>
      </w:pPr>
    </w:p>
    <w:p w:rsidR="00286D17" w:rsidRDefault="00286D17" w:rsidP="00646C90">
      <w:pPr>
        <w:pStyle w:val="ListParagraph"/>
        <w:numPr>
          <w:ilvl w:val="0"/>
          <w:numId w:val="26"/>
        </w:numPr>
        <w:spacing w:after="0" w:line="240" w:lineRule="auto"/>
        <w:rPr>
          <w:sz w:val="24"/>
          <w:szCs w:val="24"/>
        </w:rPr>
      </w:pPr>
      <w:r>
        <w:rPr>
          <w:sz w:val="24"/>
          <w:szCs w:val="24"/>
        </w:rPr>
        <w:t xml:space="preserve">Reports presented to the Finance and Resource Committee were either verbal or difficult to follow and understand, and maintained in our view an overly positive outlook.  </w:t>
      </w:r>
      <w:r w:rsidR="0029184E">
        <w:rPr>
          <w:sz w:val="24"/>
          <w:szCs w:val="24"/>
        </w:rPr>
        <w:t xml:space="preserve">From looking at the Finance and Resources Committee papers after the decision was taken on endowments it is difficult to see reference to the £3.6million and how it contributed to the overall year-end position.  </w:t>
      </w:r>
    </w:p>
    <w:p w:rsidR="00286D17" w:rsidRPr="00286D17" w:rsidRDefault="00286D17" w:rsidP="00286D17">
      <w:pPr>
        <w:pStyle w:val="ListParagraph"/>
        <w:rPr>
          <w:sz w:val="24"/>
          <w:szCs w:val="24"/>
        </w:rPr>
      </w:pPr>
    </w:p>
    <w:p w:rsidR="00760303" w:rsidRDefault="0029184E" w:rsidP="00646C90">
      <w:pPr>
        <w:pStyle w:val="ListParagraph"/>
        <w:numPr>
          <w:ilvl w:val="0"/>
          <w:numId w:val="26"/>
        </w:numPr>
        <w:spacing w:after="0" w:line="240" w:lineRule="auto"/>
        <w:rPr>
          <w:sz w:val="24"/>
          <w:szCs w:val="24"/>
        </w:rPr>
      </w:pPr>
      <w:r>
        <w:rPr>
          <w:sz w:val="24"/>
          <w:szCs w:val="24"/>
        </w:rPr>
        <w:t>The SGHSCD and NHS Tayside Director of Finance met in January 2014 to as part of the routine monitoring of the NHS Tayside financial position.</w:t>
      </w:r>
      <w:r w:rsidR="00760303">
        <w:rPr>
          <w:sz w:val="24"/>
          <w:szCs w:val="24"/>
        </w:rPr>
        <w:t xml:space="preserve">  However, there is no minute or action note retained to evidence the discussions</w:t>
      </w:r>
      <w:r>
        <w:rPr>
          <w:sz w:val="24"/>
          <w:szCs w:val="24"/>
        </w:rPr>
        <w:t xml:space="preserve">  </w:t>
      </w:r>
    </w:p>
    <w:p w:rsidR="00760303" w:rsidRDefault="00760303" w:rsidP="00760303">
      <w:pPr>
        <w:pStyle w:val="ListParagraph"/>
        <w:rPr>
          <w:sz w:val="24"/>
          <w:szCs w:val="24"/>
        </w:rPr>
      </w:pPr>
    </w:p>
    <w:p w:rsidR="00B767D7" w:rsidRDefault="00B767D7" w:rsidP="00760303">
      <w:pPr>
        <w:pStyle w:val="ListParagraph"/>
        <w:rPr>
          <w:sz w:val="24"/>
          <w:szCs w:val="24"/>
        </w:rPr>
      </w:pPr>
    </w:p>
    <w:p w:rsidR="00B767D7" w:rsidRDefault="00B767D7" w:rsidP="00760303">
      <w:pPr>
        <w:pStyle w:val="ListParagraph"/>
        <w:rPr>
          <w:sz w:val="24"/>
          <w:szCs w:val="24"/>
        </w:rPr>
      </w:pPr>
    </w:p>
    <w:p w:rsidR="00B767D7" w:rsidRDefault="00B767D7" w:rsidP="00760303">
      <w:pPr>
        <w:pStyle w:val="ListParagraph"/>
        <w:rPr>
          <w:sz w:val="24"/>
          <w:szCs w:val="24"/>
        </w:rPr>
      </w:pPr>
    </w:p>
    <w:p w:rsidR="00B767D7" w:rsidRDefault="00B767D7" w:rsidP="00760303">
      <w:pPr>
        <w:pStyle w:val="ListParagraph"/>
        <w:rPr>
          <w:sz w:val="24"/>
          <w:szCs w:val="24"/>
        </w:rPr>
      </w:pPr>
    </w:p>
    <w:p w:rsidR="00B767D7" w:rsidRDefault="00B767D7" w:rsidP="00760303">
      <w:pPr>
        <w:pStyle w:val="ListParagraph"/>
        <w:rPr>
          <w:sz w:val="24"/>
          <w:szCs w:val="24"/>
        </w:rPr>
      </w:pPr>
    </w:p>
    <w:p w:rsidR="00B767D7" w:rsidRDefault="00B767D7" w:rsidP="00760303">
      <w:pPr>
        <w:pStyle w:val="ListParagraph"/>
        <w:rPr>
          <w:sz w:val="24"/>
          <w:szCs w:val="24"/>
        </w:rPr>
      </w:pPr>
    </w:p>
    <w:p w:rsidR="00B767D7" w:rsidRDefault="00B767D7" w:rsidP="00760303">
      <w:pPr>
        <w:pStyle w:val="ListParagraph"/>
        <w:rPr>
          <w:sz w:val="24"/>
          <w:szCs w:val="24"/>
        </w:rPr>
      </w:pPr>
    </w:p>
    <w:p w:rsidR="00B767D7" w:rsidRDefault="00B767D7" w:rsidP="00760303">
      <w:pPr>
        <w:pStyle w:val="ListParagraph"/>
        <w:rPr>
          <w:sz w:val="24"/>
          <w:szCs w:val="24"/>
        </w:rPr>
      </w:pPr>
    </w:p>
    <w:p w:rsidR="00B767D7" w:rsidRDefault="00B767D7" w:rsidP="00760303">
      <w:pPr>
        <w:pStyle w:val="ListParagraph"/>
        <w:rPr>
          <w:sz w:val="24"/>
          <w:szCs w:val="24"/>
        </w:rPr>
      </w:pPr>
    </w:p>
    <w:p w:rsidR="00B767D7" w:rsidRDefault="00B767D7" w:rsidP="00760303">
      <w:pPr>
        <w:pStyle w:val="ListParagraph"/>
        <w:rPr>
          <w:sz w:val="24"/>
          <w:szCs w:val="24"/>
        </w:rPr>
      </w:pPr>
    </w:p>
    <w:p w:rsidR="00B767D7" w:rsidRDefault="00B767D7" w:rsidP="00760303">
      <w:pPr>
        <w:pStyle w:val="ListParagraph"/>
        <w:rPr>
          <w:sz w:val="24"/>
          <w:szCs w:val="24"/>
        </w:rPr>
      </w:pPr>
    </w:p>
    <w:p w:rsidR="00B767D7" w:rsidRDefault="00B767D7" w:rsidP="00760303">
      <w:pPr>
        <w:pStyle w:val="ListParagraph"/>
        <w:rPr>
          <w:sz w:val="24"/>
          <w:szCs w:val="24"/>
        </w:rPr>
      </w:pPr>
    </w:p>
    <w:p w:rsidR="00B767D7" w:rsidRDefault="00B767D7" w:rsidP="00760303">
      <w:pPr>
        <w:pStyle w:val="ListParagraph"/>
        <w:rPr>
          <w:sz w:val="24"/>
          <w:szCs w:val="24"/>
        </w:rPr>
      </w:pPr>
    </w:p>
    <w:p w:rsidR="00B767D7" w:rsidRDefault="00B767D7" w:rsidP="00760303">
      <w:pPr>
        <w:pStyle w:val="ListParagraph"/>
        <w:rPr>
          <w:sz w:val="24"/>
          <w:szCs w:val="24"/>
        </w:rPr>
      </w:pPr>
    </w:p>
    <w:p w:rsidR="00B767D7" w:rsidRDefault="00B767D7" w:rsidP="00760303">
      <w:pPr>
        <w:pStyle w:val="ListParagraph"/>
        <w:rPr>
          <w:sz w:val="24"/>
          <w:szCs w:val="24"/>
        </w:rPr>
      </w:pPr>
    </w:p>
    <w:p w:rsidR="00B767D7" w:rsidRPr="00760303" w:rsidRDefault="00B767D7" w:rsidP="00760303">
      <w:pPr>
        <w:pStyle w:val="ListParagraph"/>
        <w:rPr>
          <w:sz w:val="24"/>
          <w:szCs w:val="24"/>
        </w:rPr>
      </w:pPr>
    </w:p>
    <w:p w:rsidR="00286D17" w:rsidRDefault="0029184E" w:rsidP="00646C90">
      <w:pPr>
        <w:pStyle w:val="ListParagraph"/>
        <w:numPr>
          <w:ilvl w:val="0"/>
          <w:numId w:val="26"/>
        </w:numPr>
        <w:spacing w:after="0" w:line="240" w:lineRule="auto"/>
        <w:rPr>
          <w:sz w:val="24"/>
          <w:szCs w:val="24"/>
        </w:rPr>
      </w:pPr>
      <w:r>
        <w:rPr>
          <w:sz w:val="24"/>
          <w:szCs w:val="24"/>
        </w:rPr>
        <w:lastRenderedPageBreak/>
        <w:t>We have reviewed the monthly finance returns</w:t>
      </w:r>
      <w:r w:rsidR="00760303">
        <w:rPr>
          <w:sz w:val="24"/>
          <w:szCs w:val="24"/>
        </w:rPr>
        <w:t xml:space="preserve"> to SGHSCD</w:t>
      </w:r>
      <w:r>
        <w:rPr>
          <w:sz w:val="24"/>
          <w:szCs w:val="24"/>
        </w:rPr>
        <w:t xml:space="preserve"> (numbers and narra</w:t>
      </w:r>
      <w:r w:rsidR="00760303">
        <w:rPr>
          <w:sz w:val="24"/>
          <w:szCs w:val="24"/>
        </w:rPr>
        <w:t xml:space="preserve">tive) in 2013/14 and in particular the period January 2014 to end of March 2014.  SGHSCD Finance returns are one month behind it terms of reporting for example the January 2014 finance return to SGHSCD was dated 19 February 2014.  In the paper that went to the Trustees of the Endowment Fund on 24 January 2014 it is indicated that NHS Tayside were forecasting an overspend unless measures were taken of £6.559 million.  However, the SGHSCD finance return for January only indicates an overspend position of £2.068 million. There is no mention in this return of the intended use of endowment money.  In the February SGHSCD return an overspend of £0.787million is referenced with a forecast of break-even acknowledging the agreed brokerage from SGHSCD of £2.85million.  There is </w:t>
      </w:r>
      <w:r w:rsidR="003C39F1">
        <w:rPr>
          <w:sz w:val="24"/>
          <w:szCs w:val="24"/>
        </w:rPr>
        <w:t xml:space="preserve">no mention in the February return of the use of endowments, with the February return being submitted to SGHSCD on 19 March 2014 when the transactions had already taken place.  Lastly the March 2014 SGHSCD return, dated 17 April 2014 shows an overall underspend for the year of £0.029 million and again no mention of how the use of endowment money has supported the achievement of this position.  </w:t>
      </w:r>
    </w:p>
    <w:p w:rsidR="0001479E" w:rsidRPr="0001479E" w:rsidRDefault="0001479E" w:rsidP="0001479E">
      <w:pPr>
        <w:pStyle w:val="ListParagraph"/>
        <w:rPr>
          <w:sz w:val="24"/>
          <w:szCs w:val="24"/>
        </w:rPr>
      </w:pPr>
    </w:p>
    <w:p w:rsidR="0001479E" w:rsidRPr="00286D17" w:rsidRDefault="0020543F" w:rsidP="00646C90">
      <w:pPr>
        <w:pStyle w:val="ListParagraph"/>
        <w:numPr>
          <w:ilvl w:val="0"/>
          <w:numId w:val="26"/>
        </w:numPr>
        <w:spacing w:after="0" w:line="240" w:lineRule="auto"/>
        <w:rPr>
          <w:sz w:val="24"/>
          <w:szCs w:val="24"/>
        </w:rPr>
      </w:pPr>
      <w:r>
        <w:rPr>
          <w:sz w:val="24"/>
          <w:szCs w:val="24"/>
        </w:rPr>
        <w:t>The decision</w:t>
      </w:r>
      <w:r w:rsidR="0001479E">
        <w:rPr>
          <w:sz w:val="24"/>
          <w:szCs w:val="24"/>
        </w:rPr>
        <w:t xml:space="preserve"> making process, including the steps to determine why using endowment money in this way </w:t>
      </w:r>
      <w:r w:rsidR="0029184E">
        <w:rPr>
          <w:sz w:val="24"/>
          <w:szCs w:val="24"/>
        </w:rPr>
        <w:t>was considered to be an option</w:t>
      </w:r>
      <w:r w:rsidR="0001479E">
        <w:rPr>
          <w:sz w:val="24"/>
          <w:szCs w:val="24"/>
        </w:rPr>
        <w:t xml:space="preserve"> cannot be explicitly se</w:t>
      </w:r>
      <w:r>
        <w:rPr>
          <w:sz w:val="24"/>
          <w:szCs w:val="24"/>
        </w:rPr>
        <w:t>en in the documentation</w:t>
      </w:r>
      <w:r w:rsidR="00B767D7">
        <w:rPr>
          <w:sz w:val="24"/>
          <w:szCs w:val="24"/>
        </w:rPr>
        <w:t xml:space="preserve">.  In particular </w:t>
      </w:r>
      <w:r w:rsidR="0001479E">
        <w:rPr>
          <w:sz w:val="24"/>
          <w:szCs w:val="24"/>
        </w:rPr>
        <w:t>by February</w:t>
      </w:r>
      <w:r>
        <w:rPr>
          <w:sz w:val="24"/>
          <w:szCs w:val="24"/>
        </w:rPr>
        <w:t xml:space="preserve"> 2014</w:t>
      </w:r>
      <w:r w:rsidR="0001479E">
        <w:rPr>
          <w:sz w:val="24"/>
          <w:szCs w:val="24"/>
        </w:rPr>
        <w:t xml:space="preserve"> the financial position of the Board was such that it would not break-even with the use of endowment funds alone, and ultimately brokerage of £2.8million was received.  </w:t>
      </w:r>
    </w:p>
    <w:p w:rsidR="00286D17" w:rsidRDefault="00286D17">
      <w:pPr>
        <w:spacing w:after="0" w:line="240" w:lineRule="auto"/>
        <w:rPr>
          <w:b/>
          <w:bCs/>
          <w:color w:val="4F2D7F" w:themeColor="accent1"/>
          <w:sz w:val="24"/>
          <w:szCs w:val="24"/>
        </w:rPr>
      </w:pPr>
    </w:p>
    <w:p w:rsidR="00286D17" w:rsidRPr="00E129E4" w:rsidRDefault="0005764E" w:rsidP="00646C90">
      <w:pPr>
        <w:pStyle w:val="ListParagraph"/>
        <w:numPr>
          <w:ilvl w:val="0"/>
          <w:numId w:val="27"/>
        </w:numPr>
        <w:spacing w:after="0" w:line="240" w:lineRule="auto"/>
        <w:rPr>
          <w:b/>
          <w:bCs/>
          <w:sz w:val="24"/>
          <w:szCs w:val="24"/>
        </w:rPr>
      </w:pPr>
      <w:r>
        <w:rPr>
          <w:bCs/>
          <w:sz w:val="24"/>
          <w:szCs w:val="24"/>
        </w:rPr>
        <w:t>We understand the</w:t>
      </w:r>
      <w:r w:rsidR="00E129E4">
        <w:rPr>
          <w:bCs/>
          <w:sz w:val="24"/>
          <w:szCs w:val="24"/>
        </w:rPr>
        <w:t xml:space="preserve"> decision in respect of endowment funds was taken by the then Chair of the Board, the Director of Finance and in a meeting with the Chairs of the Standing Committees.  This was not a formal constituted meeting and there were no minutes or papers to support the discussion and decision.</w:t>
      </w:r>
    </w:p>
    <w:p w:rsidR="00E129E4" w:rsidRPr="00E129E4" w:rsidRDefault="00E129E4" w:rsidP="00E129E4">
      <w:pPr>
        <w:pStyle w:val="ListParagraph"/>
        <w:spacing w:after="0" w:line="240" w:lineRule="auto"/>
        <w:rPr>
          <w:b/>
          <w:bCs/>
          <w:sz w:val="24"/>
          <w:szCs w:val="24"/>
        </w:rPr>
      </w:pPr>
    </w:p>
    <w:p w:rsidR="00806032" w:rsidRPr="00B767D7" w:rsidRDefault="0020543F" w:rsidP="0005764E">
      <w:pPr>
        <w:pStyle w:val="ListParagraph"/>
        <w:numPr>
          <w:ilvl w:val="0"/>
          <w:numId w:val="27"/>
        </w:numPr>
        <w:spacing w:after="0" w:line="240" w:lineRule="auto"/>
        <w:rPr>
          <w:b/>
          <w:bCs/>
          <w:sz w:val="24"/>
          <w:szCs w:val="24"/>
        </w:rPr>
      </w:pPr>
      <w:r w:rsidRPr="00B767D7">
        <w:rPr>
          <w:bCs/>
          <w:sz w:val="24"/>
          <w:szCs w:val="24"/>
        </w:rPr>
        <w:t>The</w:t>
      </w:r>
      <w:r w:rsidR="00C2394C" w:rsidRPr="00B767D7">
        <w:rPr>
          <w:bCs/>
          <w:sz w:val="24"/>
          <w:szCs w:val="24"/>
        </w:rPr>
        <w:t xml:space="preserve"> then Chair of the Board</w:t>
      </w:r>
      <w:r w:rsidRPr="00B767D7">
        <w:rPr>
          <w:bCs/>
          <w:sz w:val="24"/>
          <w:szCs w:val="24"/>
        </w:rPr>
        <w:t xml:space="preserve"> is reported</w:t>
      </w:r>
      <w:r w:rsidR="00C2394C" w:rsidRPr="00B767D7">
        <w:rPr>
          <w:bCs/>
          <w:sz w:val="24"/>
          <w:szCs w:val="24"/>
        </w:rPr>
        <w:t xml:space="preserve"> in the minutes as stating “The Chairman advised that the reality was if the clause was not suspended, the Chief Executive and Dir</w:t>
      </w:r>
      <w:r w:rsidRPr="00B767D7">
        <w:rPr>
          <w:bCs/>
          <w:sz w:val="24"/>
          <w:szCs w:val="24"/>
        </w:rPr>
        <w:t>ector of Finance would have to p</w:t>
      </w:r>
      <w:r w:rsidR="00C2394C" w:rsidRPr="00B767D7">
        <w:rPr>
          <w:bCs/>
          <w:sz w:val="24"/>
          <w:szCs w:val="24"/>
        </w:rPr>
        <w:t>ut together massive cuts package, and the content of that would be damaging”</w:t>
      </w:r>
      <w:r w:rsidR="00E129E4" w:rsidRPr="00B767D7">
        <w:rPr>
          <w:bCs/>
          <w:sz w:val="24"/>
          <w:szCs w:val="24"/>
        </w:rPr>
        <w:t>.</w:t>
      </w:r>
    </w:p>
    <w:p w:rsidR="00B767D7" w:rsidRPr="00B767D7" w:rsidRDefault="00B767D7" w:rsidP="00B767D7">
      <w:pPr>
        <w:spacing w:after="0" w:line="240" w:lineRule="auto"/>
        <w:rPr>
          <w:b/>
          <w:bCs/>
          <w:sz w:val="24"/>
          <w:szCs w:val="24"/>
        </w:rPr>
      </w:pPr>
    </w:p>
    <w:p w:rsidR="00C2394C" w:rsidRPr="006F5EE1" w:rsidRDefault="00C2394C" w:rsidP="00646C90">
      <w:pPr>
        <w:pStyle w:val="ListParagraph"/>
        <w:numPr>
          <w:ilvl w:val="0"/>
          <w:numId w:val="27"/>
        </w:numPr>
        <w:spacing w:after="0" w:line="240" w:lineRule="auto"/>
        <w:rPr>
          <w:b/>
          <w:bCs/>
          <w:sz w:val="24"/>
          <w:szCs w:val="24"/>
        </w:rPr>
      </w:pPr>
      <w:r>
        <w:rPr>
          <w:bCs/>
          <w:sz w:val="24"/>
          <w:szCs w:val="24"/>
        </w:rPr>
        <w:t>Recorded in the minutes of the extraordinary meeting of Tayside NHS Board endowment Fund Board of Trustees held on 24 January we note it is recorded that “The Director of Finance advised Trustees that the Assistant Director of Finance and the Endowment Team had conducted work around OSCR, CLO and the national guidelines to ensure there were n</w:t>
      </w:r>
      <w:r w:rsidR="003C39F1">
        <w:rPr>
          <w:bCs/>
          <w:sz w:val="24"/>
          <w:szCs w:val="24"/>
        </w:rPr>
        <w:t>o conflicts”.  This work was not</w:t>
      </w:r>
      <w:r>
        <w:rPr>
          <w:bCs/>
          <w:sz w:val="24"/>
          <w:szCs w:val="24"/>
        </w:rPr>
        <w:t xml:space="preserve"> </w:t>
      </w:r>
      <w:r w:rsidR="00377033">
        <w:rPr>
          <w:bCs/>
          <w:sz w:val="24"/>
          <w:szCs w:val="24"/>
        </w:rPr>
        <w:t xml:space="preserve">presented to the Trustees for consideration and during our work we did not find any evidence that OSCR had been consulted.  </w:t>
      </w:r>
      <w:r w:rsidR="0020543F">
        <w:rPr>
          <w:bCs/>
          <w:sz w:val="24"/>
          <w:szCs w:val="24"/>
        </w:rPr>
        <w:t xml:space="preserve">The minute of this meeting is set out in Appendix 3 for information.  </w:t>
      </w:r>
    </w:p>
    <w:p w:rsidR="006F5EE1" w:rsidRPr="006F5EE1" w:rsidRDefault="006F5EE1" w:rsidP="006F5EE1">
      <w:pPr>
        <w:pStyle w:val="ListParagraph"/>
        <w:rPr>
          <w:b/>
          <w:bCs/>
          <w:sz w:val="24"/>
          <w:szCs w:val="24"/>
        </w:rPr>
      </w:pPr>
    </w:p>
    <w:p w:rsidR="00416765" w:rsidRDefault="0005764E" w:rsidP="00646C90">
      <w:pPr>
        <w:pStyle w:val="ListParagraph"/>
        <w:numPr>
          <w:ilvl w:val="0"/>
          <w:numId w:val="27"/>
        </w:numPr>
        <w:spacing w:after="0" w:line="240" w:lineRule="auto"/>
        <w:rPr>
          <w:sz w:val="24"/>
          <w:szCs w:val="24"/>
        </w:rPr>
      </w:pPr>
      <w:r>
        <w:rPr>
          <w:sz w:val="24"/>
          <w:szCs w:val="24"/>
        </w:rPr>
        <w:t>As reflected in the minutes v</w:t>
      </w:r>
      <w:r w:rsidR="006F5EE1">
        <w:rPr>
          <w:sz w:val="24"/>
          <w:szCs w:val="24"/>
        </w:rPr>
        <w:t xml:space="preserve">erbal assurances were provided </w:t>
      </w:r>
      <w:r w:rsidR="0020543F">
        <w:rPr>
          <w:sz w:val="24"/>
          <w:szCs w:val="24"/>
        </w:rPr>
        <w:t xml:space="preserve">by the Director of Finance, the Chairman and the Assistant Director of Finance </w:t>
      </w:r>
      <w:r w:rsidR="006F5EE1">
        <w:rPr>
          <w:sz w:val="24"/>
          <w:szCs w:val="24"/>
        </w:rPr>
        <w:t>but it is unclear on what basis these assurances were being provided – from the point of view of the NHS Board or the perspective of the Trustees</w:t>
      </w:r>
      <w:r w:rsidR="0020543F">
        <w:rPr>
          <w:sz w:val="24"/>
          <w:szCs w:val="24"/>
        </w:rPr>
        <w:t xml:space="preserve"> and what information the individuals had sought to allow them to provide</w:t>
      </w:r>
      <w:r w:rsidR="003C39F1">
        <w:rPr>
          <w:sz w:val="24"/>
          <w:szCs w:val="24"/>
        </w:rPr>
        <w:t xml:space="preserve"> the respective</w:t>
      </w:r>
      <w:r w:rsidR="0020543F">
        <w:rPr>
          <w:sz w:val="24"/>
          <w:szCs w:val="24"/>
        </w:rPr>
        <w:t xml:space="preserve"> assurances.</w:t>
      </w:r>
    </w:p>
    <w:p w:rsidR="00416765" w:rsidRDefault="00416765" w:rsidP="00416765">
      <w:pPr>
        <w:pStyle w:val="ListParagraph"/>
        <w:rPr>
          <w:sz w:val="24"/>
          <w:szCs w:val="24"/>
        </w:rPr>
      </w:pPr>
    </w:p>
    <w:p w:rsidR="00B767D7" w:rsidRDefault="00B767D7" w:rsidP="00416765">
      <w:pPr>
        <w:pStyle w:val="ListParagraph"/>
        <w:rPr>
          <w:sz w:val="24"/>
          <w:szCs w:val="24"/>
        </w:rPr>
      </w:pPr>
    </w:p>
    <w:p w:rsidR="00B767D7" w:rsidRDefault="00B767D7" w:rsidP="00416765">
      <w:pPr>
        <w:pStyle w:val="ListParagraph"/>
        <w:rPr>
          <w:sz w:val="24"/>
          <w:szCs w:val="24"/>
        </w:rPr>
      </w:pPr>
    </w:p>
    <w:p w:rsidR="00B767D7" w:rsidRPr="00416765" w:rsidRDefault="00B767D7" w:rsidP="00416765">
      <w:pPr>
        <w:pStyle w:val="ListParagraph"/>
        <w:rPr>
          <w:sz w:val="24"/>
          <w:szCs w:val="24"/>
        </w:rPr>
      </w:pPr>
    </w:p>
    <w:p w:rsidR="006F5EE1" w:rsidRDefault="006F5EE1" w:rsidP="00646C90">
      <w:pPr>
        <w:pStyle w:val="ListParagraph"/>
        <w:numPr>
          <w:ilvl w:val="0"/>
          <w:numId w:val="27"/>
        </w:numPr>
        <w:spacing w:after="0" w:line="240" w:lineRule="auto"/>
        <w:rPr>
          <w:sz w:val="24"/>
          <w:szCs w:val="24"/>
        </w:rPr>
      </w:pPr>
      <w:r w:rsidRPr="00416765">
        <w:rPr>
          <w:sz w:val="24"/>
          <w:szCs w:val="24"/>
        </w:rPr>
        <w:lastRenderedPageBreak/>
        <w:t>The NHS Tayside finance team requested a quick turnaround from the Central Legal Office of legal advice related to the decision taken by the NHS Board</w:t>
      </w:r>
      <w:r w:rsidR="00416765" w:rsidRPr="00416765">
        <w:rPr>
          <w:sz w:val="24"/>
          <w:szCs w:val="24"/>
        </w:rPr>
        <w:t xml:space="preserve"> (on the day of the meeting to agree the ap</w:t>
      </w:r>
      <w:r w:rsidR="0005764E">
        <w:rPr>
          <w:sz w:val="24"/>
          <w:szCs w:val="24"/>
        </w:rPr>
        <w:t>proach to use endowment money on 24</w:t>
      </w:r>
      <w:r w:rsidR="00416765" w:rsidRPr="00416765">
        <w:rPr>
          <w:sz w:val="24"/>
          <w:szCs w:val="24"/>
        </w:rPr>
        <w:t xml:space="preserve"> January 2014)</w:t>
      </w:r>
      <w:r w:rsidRPr="00416765">
        <w:rPr>
          <w:sz w:val="24"/>
          <w:szCs w:val="24"/>
        </w:rPr>
        <w:t xml:space="preserve">.  </w:t>
      </w:r>
    </w:p>
    <w:p w:rsidR="00416765" w:rsidRPr="00416765" w:rsidRDefault="00416765" w:rsidP="00416765">
      <w:pPr>
        <w:spacing w:after="0" w:line="240" w:lineRule="auto"/>
        <w:rPr>
          <w:sz w:val="24"/>
          <w:szCs w:val="24"/>
        </w:rPr>
      </w:pPr>
    </w:p>
    <w:p w:rsidR="00E129E4" w:rsidRPr="00416765" w:rsidRDefault="006F5EE1" w:rsidP="00646C90">
      <w:pPr>
        <w:pStyle w:val="ListParagraph"/>
        <w:numPr>
          <w:ilvl w:val="0"/>
          <w:numId w:val="27"/>
        </w:numPr>
        <w:spacing w:after="0" w:line="240" w:lineRule="auto"/>
        <w:rPr>
          <w:b/>
          <w:bCs/>
          <w:sz w:val="24"/>
          <w:szCs w:val="24"/>
        </w:rPr>
      </w:pPr>
      <w:r w:rsidRPr="0020543F">
        <w:rPr>
          <w:sz w:val="24"/>
          <w:szCs w:val="24"/>
        </w:rPr>
        <w:t>The CLO advice obtained was never shared in its entirety with the Trustees or NHS Board.  Certain sections were extracted by Management and presented to Trustees in the form of frequently asked questions</w:t>
      </w:r>
      <w:r w:rsidR="003C39F1">
        <w:rPr>
          <w:sz w:val="24"/>
          <w:szCs w:val="24"/>
        </w:rPr>
        <w:t xml:space="preserve"> in April 2014</w:t>
      </w:r>
      <w:r w:rsidRPr="0020543F">
        <w:rPr>
          <w:sz w:val="24"/>
          <w:szCs w:val="24"/>
        </w:rPr>
        <w:t xml:space="preserve"> but this </w:t>
      </w:r>
      <w:r w:rsidR="002A0E5C">
        <w:rPr>
          <w:sz w:val="24"/>
          <w:szCs w:val="24"/>
        </w:rPr>
        <w:t>was only extracts</w:t>
      </w:r>
      <w:r w:rsidR="0020543F">
        <w:rPr>
          <w:sz w:val="24"/>
          <w:szCs w:val="24"/>
        </w:rPr>
        <w:t>.</w:t>
      </w:r>
    </w:p>
    <w:p w:rsidR="00416765" w:rsidRPr="00416765" w:rsidRDefault="00416765" w:rsidP="00416765">
      <w:pPr>
        <w:pStyle w:val="ListParagraph"/>
        <w:rPr>
          <w:b/>
          <w:bCs/>
          <w:sz w:val="24"/>
          <w:szCs w:val="24"/>
        </w:rPr>
      </w:pPr>
    </w:p>
    <w:p w:rsidR="00416765" w:rsidRPr="00416765" w:rsidRDefault="00416765" w:rsidP="00646C90">
      <w:pPr>
        <w:pStyle w:val="ListParagraph"/>
        <w:numPr>
          <w:ilvl w:val="0"/>
          <w:numId w:val="27"/>
        </w:numPr>
        <w:spacing w:after="0" w:line="240" w:lineRule="auto"/>
        <w:rPr>
          <w:b/>
          <w:bCs/>
          <w:sz w:val="24"/>
          <w:szCs w:val="24"/>
        </w:rPr>
      </w:pPr>
      <w:r>
        <w:rPr>
          <w:bCs/>
          <w:sz w:val="24"/>
          <w:szCs w:val="24"/>
        </w:rPr>
        <w:t>The request to the CLO for advice on 24 January listed out possible projects and discussed a potential of £5million coming from endowments retrospectively.  The email mentioned retrospective approval via suspending the Endowment Fund policy but did not ask for specific advice related to the suspens</w:t>
      </w:r>
      <w:r w:rsidR="002A0E5C">
        <w:rPr>
          <w:bCs/>
          <w:sz w:val="24"/>
          <w:szCs w:val="24"/>
        </w:rPr>
        <w:t>ion of policy</w:t>
      </w:r>
      <w:r>
        <w:rPr>
          <w:bCs/>
          <w:sz w:val="24"/>
          <w:szCs w:val="24"/>
        </w:rPr>
        <w:t xml:space="preserve">.  </w:t>
      </w:r>
    </w:p>
    <w:p w:rsidR="00416765" w:rsidRPr="00416765" w:rsidRDefault="00416765" w:rsidP="00416765">
      <w:pPr>
        <w:pStyle w:val="ListParagraph"/>
        <w:rPr>
          <w:b/>
          <w:bCs/>
          <w:sz w:val="24"/>
          <w:szCs w:val="24"/>
        </w:rPr>
      </w:pPr>
    </w:p>
    <w:p w:rsidR="0020543F" w:rsidRPr="00416765" w:rsidRDefault="00416765" w:rsidP="00646C90">
      <w:pPr>
        <w:pStyle w:val="ListParagraph"/>
        <w:numPr>
          <w:ilvl w:val="0"/>
          <w:numId w:val="27"/>
        </w:numPr>
        <w:spacing w:after="0" w:line="240" w:lineRule="auto"/>
        <w:rPr>
          <w:b/>
          <w:bCs/>
          <w:sz w:val="24"/>
          <w:szCs w:val="24"/>
        </w:rPr>
      </w:pPr>
      <w:r w:rsidRPr="00416765">
        <w:rPr>
          <w:bCs/>
          <w:sz w:val="24"/>
          <w:szCs w:val="24"/>
        </w:rPr>
        <w:t xml:space="preserve">The CLO were further contacted on 5 June 2014 by the Assistant Director of Finance.  This was a phone call followed up by an email as a file note.  In this correspondence the CLO acknowledge they were not aware of the suspension in policy to allow retrospective funding and had not provided previous advice in respect of this.  The Assistant Director of Finance notes external audit concerns but it is unclear which external auditor were raising concerns.  </w:t>
      </w:r>
      <w:r>
        <w:rPr>
          <w:bCs/>
          <w:sz w:val="24"/>
          <w:szCs w:val="24"/>
        </w:rPr>
        <w:t>Based on review of the NHS Tayside external audit report</w:t>
      </w:r>
      <w:r w:rsidR="00A718A3">
        <w:rPr>
          <w:bCs/>
          <w:sz w:val="24"/>
          <w:szCs w:val="24"/>
        </w:rPr>
        <w:t xml:space="preserve"> and the External Audit report </w:t>
      </w:r>
      <w:r>
        <w:rPr>
          <w:bCs/>
          <w:sz w:val="24"/>
          <w:szCs w:val="24"/>
        </w:rPr>
        <w:t>for the Endowment Fund (separate auditors) no</w:t>
      </w:r>
      <w:r w:rsidR="0005764E">
        <w:rPr>
          <w:bCs/>
          <w:sz w:val="24"/>
          <w:szCs w:val="24"/>
        </w:rPr>
        <w:t xml:space="preserve"> significant</w:t>
      </w:r>
      <w:r>
        <w:rPr>
          <w:bCs/>
          <w:sz w:val="24"/>
          <w:szCs w:val="24"/>
        </w:rPr>
        <w:t xml:space="preserve"> concerns are raised or discussions around the subject highlighted</w:t>
      </w:r>
      <w:r w:rsidR="00A718A3">
        <w:rPr>
          <w:bCs/>
          <w:sz w:val="24"/>
          <w:szCs w:val="24"/>
        </w:rPr>
        <w:t xml:space="preserve"> and we are unclear if they were provided with the CLO June advice</w:t>
      </w:r>
      <w:r>
        <w:rPr>
          <w:bCs/>
          <w:sz w:val="24"/>
          <w:szCs w:val="24"/>
        </w:rPr>
        <w:t>.</w:t>
      </w:r>
    </w:p>
    <w:p w:rsidR="00416765" w:rsidRPr="00416765" w:rsidRDefault="00416765" w:rsidP="00416765">
      <w:pPr>
        <w:spacing w:after="0" w:line="240" w:lineRule="auto"/>
        <w:rPr>
          <w:b/>
          <w:bCs/>
          <w:sz w:val="24"/>
          <w:szCs w:val="24"/>
        </w:rPr>
      </w:pPr>
    </w:p>
    <w:p w:rsidR="00E129E4" w:rsidRPr="00E129E4" w:rsidRDefault="00E129E4" w:rsidP="00646C90">
      <w:pPr>
        <w:pStyle w:val="ListParagraph"/>
        <w:numPr>
          <w:ilvl w:val="0"/>
          <w:numId w:val="27"/>
        </w:numPr>
        <w:spacing w:after="0" w:line="240" w:lineRule="auto"/>
        <w:rPr>
          <w:b/>
          <w:bCs/>
          <w:sz w:val="24"/>
          <w:szCs w:val="24"/>
        </w:rPr>
      </w:pPr>
      <w:r>
        <w:rPr>
          <w:bCs/>
          <w:sz w:val="24"/>
          <w:szCs w:val="24"/>
        </w:rPr>
        <w:t>From our review of the Finance and Resources Committee, Audit Committee and Endowment Trust Fund Committee minutes we note concerns were raised, and on a number of occasions recurring concerns.  Whilst recorded</w:t>
      </w:r>
      <w:r w:rsidR="0020543F">
        <w:rPr>
          <w:bCs/>
          <w:sz w:val="24"/>
          <w:szCs w:val="24"/>
        </w:rPr>
        <w:t xml:space="preserve"> in the minutes</w:t>
      </w:r>
      <w:r>
        <w:rPr>
          <w:bCs/>
          <w:sz w:val="24"/>
          <w:szCs w:val="24"/>
        </w:rPr>
        <w:t>, they were not tracked in matters arising for formal update and closure at future meetings, and many went unaddressed or further verbal assurances were provided by Management.</w:t>
      </w:r>
    </w:p>
    <w:p w:rsidR="00E129E4" w:rsidRPr="00377033" w:rsidRDefault="00E129E4" w:rsidP="00377033">
      <w:pPr>
        <w:rPr>
          <w:b/>
          <w:bCs/>
          <w:sz w:val="24"/>
          <w:szCs w:val="24"/>
        </w:rPr>
      </w:pPr>
    </w:p>
    <w:p w:rsidR="00E129E4" w:rsidRPr="00E129E4" w:rsidRDefault="00E129E4" w:rsidP="00646C90">
      <w:pPr>
        <w:pStyle w:val="ListParagraph"/>
        <w:numPr>
          <w:ilvl w:val="0"/>
          <w:numId w:val="27"/>
        </w:numPr>
        <w:spacing w:after="0" w:line="240" w:lineRule="auto"/>
        <w:rPr>
          <w:b/>
          <w:bCs/>
          <w:sz w:val="24"/>
          <w:szCs w:val="24"/>
        </w:rPr>
      </w:pPr>
      <w:r>
        <w:rPr>
          <w:bCs/>
          <w:sz w:val="24"/>
          <w:szCs w:val="24"/>
        </w:rPr>
        <w:t xml:space="preserve">As the Trustees were all NHS Board Members we did note that the differing responsibilities become blurred over the period of time.  There is no discussion of the retrospective approval of endowments within the NHS Board, and no wider discussions or linkage with this to the overall financial sustainability of NHS Tayside.  </w:t>
      </w:r>
      <w:r w:rsidR="00A718A3">
        <w:rPr>
          <w:bCs/>
          <w:sz w:val="24"/>
          <w:szCs w:val="24"/>
        </w:rPr>
        <w:t xml:space="preserve">There is no evidence in the formal minute that the NHS Board approved the use of endowment money to support the achievement of NHS Tayside’s financial performance.  </w:t>
      </w:r>
    </w:p>
    <w:p w:rsidR="00E129E4" w:rsidRPr="00E129E4" w:rsidRDefault="00E129E4" w:rsidP="00E129E4">
      <w:pPr>
        <w:pStyle w:val="ListParagraph"/>
        <w:spacing w:after="0" w:line="240" w:lineRule="auto"/>
        <w:rPr>
          <w:b/>
          <w:bCs/>
          <w:sz w:val="24"/>
          <w:szCs w:val="24"/>
        </w:rPr>
      </w:pPr>
    </w:p>
    <w:p w:rsidR="00E129E4" w:rsidRPr="00874FE6" w:rsidRDefault="00E129E4" w:rsidP="00646C90">
      <w:pPr>
        <w:pStyle w:val="ListParagraph"/>
        <w:numPr>
          <w:ilvl w:val="0"/>
          <w:numId w:val="27"/>
        </w:numPr>
        <w:spacing w:after="0" w:line="240" w:lineRule="auto"/>
        <w:rPr>
          <w:b/>
          <w:bCs/>
          <w:sz w:val="24"/>
          <w:szCs w:val="24"/>
        </w:rPr>
      </w:pPr>
      <w:r>
        <w:rPr>
          <w:bCs/>
          <w:sz w:val="24"/>
          <w:szCs w:val="24"/>
        </w:rPr>
        <w:t>The use of endowments as one source of supporting the achievement of break-even in year is not subsequently acknowledged in a transparent way in the future finance papers presented to Finance and Resources following the decision taken in January 2014.</w:t>
      </w:r>
    </w:p>
    <w:p w:rsidR="00874FE6" w:rsidRDefault="00874FE6" w:rsidP="00874FE6">
      <w:pPr>
        <w:pStyle w:val="ListParagraph"/>
        <w:rPr>
          <w:b/>
          <w:bCs/>
          <w:sz w:val="24"/>
          <w:szCs w:val="24"/>
        </w:rPr>
      </w:pPr>
    </w:p>
    <w:p w:rsidR="002A0E5C" w:rsidRDefault="002A0E5C" w:rsidP="00874FE6">
      <w:pPr>
        <w:pStyle w:val="ListParagraph"/>
        <w:rPr>
          <w:b/>
          <w:bCs/>
          <w:sz w:val="24"/>
          <w:szCs w:val="24"/>
        </w:rPr>
      </w:pPr>
    </w:p>
    <w:p w:rsidR="002A0E5C" w:rsidRDefault="002A0E5C" w:rsidP="00874FE6">
      <w:pPr>
        <w:pStyle w:val="ListParagraph"/>
        <w:rPr>
          <w:b/>
          <w:bCs/>
          <w:sz w:val="24"/>
          <w:szCs w:val="24"/>
        </w:rPr>
      </w:pPr>
    </w:p>
    <w:p w:rsidR="002A0E5C" w:rsidRDefault="002A0E5C" w:rsidP="00874FE6">
      <w:pPr>
        <w:pStyle w:val="ListParagraph"/>
        <w:rPr>
          <w:b/>
          <w:bCs/>
          <w:sz w:val="24"/>
          <w:szCs w:val="24"/>
        </w:rPr>
      </w:pPr>
    </w:p>
    <w:p w:rsidR="002A0E5C" w:rsidRPr="00874FE6" w:rsidRDefault="002A0E5C" w:rsidP="00874FE6">
      <w:pPr>
        <w:pStyle w:val="ListParagraph"/>
        <w:rPr>
          <w:b/>
          <w:bCs/>
          <w:sz w:val="24"/>
          <w:szCs w:val="24"/>
        </w:rPr>
      </w:pPr>
    </w:p>
    <w:p w:rsidR="00566950" w:rsidRPr="00A718A3" w:rsidRDefault="00874FE6" w:rsidP="00566950">
      <w:pPr>
        <w:pStyle w:val="BodyText"/>
        <w:numPr>
          <w:ilvl w:val="0"/>
          <w:numId w:val="27"/>
        </w:numPr>
        <w:jc w:val="both"/>
        <w:rPr>
          <w:sz w:val="24"/>
          <w:szCs w:val="24"/>
        </w:rPr>
      </w:pPr>
      <w:r>
        <w:rPr>
          <w:sz w:val="24"/>
          <w:szCs w:val="24"/>
        </w:rPr>
        <w:lastRenderedPageBreak/>
        <w:t xml:space="preserve">The covering papers used in the Audit Committee, the Finance and Resources Committee and the Board do not identify or draw the Committee’s attention to key changes or areas for consideration.  For example the use of endowment money was not in the first draft of NHS Tayside’s Governance Statement (late April 2014).  It subsequently appeared in the final draft at the Audit Committee on 17 June 2014 yet the cover paper mentions minor typing changes but not the inclusion of this disclosure.  </w:t>
      </w:r>
    </w:p>
    <w:p w:rsidR="00712AC3" w:rsidRDefault="004B56EB" w:rsidP="00646C90">
      <w:pPr>
        <w:pStyle w:val="BodyText"/>
        <w:numPr>
          <w:ilvl w:val="0"/>
          <w:numId w:val="27"/>
        </w:numPr>
        <w:jc w:val="both"/>
        <w:rPr>
          <w:sz w:val="24"/>
          <w:szCs w:val="24"/>
        </w:rPr>
      </w:pPr>
      <w:r>
        <w:rPr>
          <w:sz w:val="24"/>
          <w:szCs w:val="24"/>
        </w:rPr>
        <w:t>SGHSCD</w:t>
      </w:r>
      <w:r w:rsidR="00AF175E">
        <w:rPr>
          <w:sz w:val="24"/>
          <w:szCs w:val="24"/>
        </w:rPr>
        <w:t xml:space="preserve"> received the final signed copy of the financial statements at the end of June 2014.  However, </w:t>
      </w:r>
      <w:r w:rsidR="00377033">
        <w:rPr>
          <w:sz w:val="24"/>
          <w:szCs w:val="24"/>
        </w:rPr>
        <w:t xml:space="preserve">we have been unable to identify any evidence that demonstrates </w:t>
      </w:r>
      <w:r w:rsidR="00AF175E">
        <w:rPr>
          <w:sz w:val="24"/>
          <w:szCs w:val="24"/>
        </w:rPr>
        <w:t xml:space="preserve">the use of endowments was </w:t>
      </w:r>
      <w:r w:rsidR="00377033">
        <w:rPr>
          <w:sz w:val="24"/>
          <w:szCs w:val="24"/>
        </w:rPr>
        <w:t xml:space="preserve">raised and discussed with SGHSCD </w:t>
      </w:r>
    </w:p>
    <w:p w:rsidR="006F5EE1" w:rsidRPr="00CE4811" w:rsidRDefault="0020543F" w:rsidP="00646C90">
      <w:pPr>
        <w:pStyle w:val="BodyText"/>
        <w:numPr>
          <w:ilvl w:val="0"/>
          <w:numId w:val="27"/>
        </w:numPr>
        <w:jc w:val="both"/>
        <w:rPr>
          <w:sz w:val="24"/>
          <w:szCs w:val="24"/>
        </w:rPr>
      </w:pPr>
      <w:r>
        <w:rPr>
          <w:sz w:val="24"/>
          <w:szCs w:val="24"/>
        </w:rPr>
        <w:t xml:space="preserve">The NHS Tayside’ Board’s External Auditors </w:t>
      </w:r>
      <w:r w:rsidR="00712AC3">
        <w:rPr>
          <w:sz w:val="24"/>
          <w:szCs w:val="24"/>
        </w:rPr>
        <w:t>identifies the use of endowment money to support the achievement financial break-even in 2013/14 within the executive summary of their Annual Report to those charged with Governance and the Auditor General for Scotland.  This is a factual statement extracted from the wording in the NHS Tayside’s Corporate Governance Statement.  There is no further commentary on this, and no associated action</w:t>
      </w:r>
      <w:r>
        <w:rPr>
          <w:sz w:val="24"/>
          <w:szCs w:val="24"/>
        </w:rPr>
        <w:t xml:space="preserve"> identified.</w:t>
      </w:r>
      <w:r w:rsidR="004B56EB">
        <w:rPr>
          <w:sz w:val="24"/>
          <w:szCs w:val="24"/>
        </w:rPr>
        <w:t xml:space="preserve"> </w:t>
      </w:r>
    </w:p>
    <w:p w:rsidR="00566950" w:rsidRDefault="00566950">
      <w:pPr>
        <w:spacing w:after="0" w:line="240" w:lineRule="auto"/>
        <w:rPr>
          <w:b/>
          <w:bCs/>
          <w:color w:val="4F2D7F" w:themeColor="accent1"/>
          <w:sz w:val="24"/>
          <w:szCs w:val="24"/>
        </w:rPr>
      </w:pPr>
    </w:p>
    <w:p w:rsidR="002822F5" w:rsidRDefault="002822F5">
      <w:pPr>
        <w:spacing w:after="0" w:line="240" w:lineRule="auto"/>
        <w:rPr>
          <w:b/>
          <w:bCs/>
          <w:color w:val="4F2D7F" w:themeColor="accent1"/>
          <w:sz w:val="24"/>
          <w:szCs w:val="24"/>
        </w:rPr>
      </w:pPr>
      <w:r w:rsidRPr="002822F5">
        <w:rPr>
          <w:b/>
          <w:bCs/>
          <w:color w:val="4F2D7F" w:themeColor="accent1"/>
          <w:sz w:val="24"/>
          <w:szCs w:val="24"/>
        </w:rPr>
        <w:t xml:space="preserve">Internal Audit </w:t>
      </w:r>
      <w:r w:rsidR="006F5EE1">
        <w:rPr>
          <w:b/>
          <w:bCs/>
          <w:color w:val="4F2D7F" w:themeColor="accent1"/>
          <w:sz w:val="24"/>
          <w:szCs w:val="24"/>
        </w:rPr>
        <w:t xml:space="preserve">– Endowment Report </w:t>
      </w:r>
    </w:p>
    <w:p w:rsidR="00874FE6" w:rsidRDefault="00874FE6">
      <w:pPr>
        <w:spacing w:after="0" w:line="240" w:lineRule="auto"/>
        <w:rPr>
          <w:b/>
          <w:bCs/>
          <w:color w:val="4F2D7F" w:themeColor="accent1"/>
          <w:sz w:val="24"/>
          <w:szCs w:val="24"/>
        </w:rPr>
      </w:pPr>
    </w:p>
    <w:p w:rsidR="00377033" w:rsidRDefault="00377033">
      <w:pPr>
        <w:spacing w:after="0" w:line="240" w:lineRule="auto"/>
        <w:rPr>
          <w:sz w:val="24"/>
          <w:szCs w:val="24"/>
        </w:rPr>
      </w:pPr>
      <w:r>
        <w:rPr>
          <w:sz w:val="24"/>
          <w:szCs w:val="24"/>
        </w:rPr>
        <w:t xml:space="preserve">As agreed in our scope we considered the Endowments report produced by Internal Audit during 2013/14.  </w:t>
      </w:r>
    </w:p>
    <w:p w:rsidR="00377033" w:rsidRDefault="00377033">
      <w:pPr>
        <w:spacing w:after="0" w:line="240" w:lineRule="auto"/>
        <w:rPr>
          <w:sz w:val="24"/>
          <w:szCs w:val="24"/>
        </w:rPr>
      </w:pPr>
    </w:p>
    <w:p w:rsidR="00874FE6" w:rsidRDefault="00874FE6">
      <w:pPr>
        <w:spacing w:after="0" w:line="240" w:lineRule="auto"/>
        <w:rPr>
          <w:sz w:val="24"/>
          <w:szCs w:val="24"/>
        </w:rPr>
      </w:pPr>
      <w:r w:rsidRPr="00874FE6">
        <w:rPr>
          <w:sz w:val="24"/>
          <w:szCs w:val="24"/>
        </w:rPr>
        <w:t xml:space="preserve">Internal Audit </w:t>
      </w:r>
      <w:r>
        <w:rPr>
          <w:sz w:val="24"/>
          <w:szCs w:val="24"/>
        </w:rPr>
        <w:t>as part of the 2013/14 internal audit plan included a</w:t>
      </w:r>
      <w:r w:rsidR="00377033">
        <w:rPr>
          <w:sz w:val="24"/>
          <w:szCs w:val="24"/>
        </w:rPr>
        <w:t xml:space="preserve"> planned review of endowments. </w:t>
      </w:r>
    </w:p>
    <w:p w:rsidR="004B56EB" w:rsidRDefault="004B56EB">
      <w:pPr>
        <w:spacing w:after="0" w:line="240" w:lineRule="auto"/>
        <w:rPr>
          <w:sz w:val="24"/>
          <w:szCs w:val="24"/>
        </w:rPr>
      </w:pPr>
    </w:p>
    <w:p w:rsidR="004B56EB" w:rsidRDefault="004B56EB" w:rsidP="004B56EB">
      <w:pPr>
        <w:pStyle w:val="BodyText"/>
        <w:rPr>
          <w:sz w:val="24"/>
          <w:szCs w:val="24"/>
        </w:rPr>
      </w:pPr>
      <w:r>
        <w:rPr>
          <w:sz w:val="24"/>
          <w:szCs w:val="24"/>
        </w:rPr>
        <w:t xml:space="preserve">The Chief Internal Auditor (CIA) was made aware of the retrospective application of the endowment funds in March 2014.  </w:t>
      </w:r>
      <w:r w:rsidRPr="00FB30C3">
        <w:rPr>
          <w:sz w:val="24"/>
          <w:szCs w:val="24"/>
        </w:rPr>
        <w:t xml:space="preserve">As the transactions were being reviewed specifically by </w:t>
      </w:r>
      <w:r>
        <w:rPr>
          <w:sz w:val="24"/>
          <w:szCs w:val="24"/>
        </w:rPr>
        <w:t xml:space="preserve">the Trust’s Endowment Fund </w:t>
      </w:r>
      <w:r w:rsidRPr="00FB30C3">
        <w:rPr>
          <w:sz w:val="24"/>
          <w:szCs w:val="24"/>
        </w:rPr>
        <w:t xml:space="preserve">external auditors as part of their audit of the financial statements, these were excluded from the scope of the </w:t>
      </w:r>
      <w:r>
        <w:rPr>
          <w:sz w:val="24"/>
          <w:szCs w:val="24"/>
        </w:rPr>
        <w:t>internal</w:t>
      </w:r>
      <w:r w:rsidRPr="00FB30C3">
        <w:rPr>
          <w:sz w:val="24"/>
          <w:szCs w:val="24"/>
        </w:rPr>
        <w:t xml:space="preserve"> audit</w:t>
      </w:r>
      <w:r>
        <w:rPr>
          <w:sz w:val="24"/>
          <w:szCs w:val="24"/>
        </w:rPr>
        <w:t xml:space="preserve"> review</w:t>
      </w:r>
      <w:r w:rsidR="00377033">
        <w:rPr>
          <w:sz w:val="24"/>
          <w:szCs w:val="24"/>
        </w:rPr>
        <w:t xml:space="preserve"> as agreed between the CIA and the Director of Finance</w:t>
      </w:r>
      <w:r w:rsidRPr="00FB30C3">
        <w:rPr>
          <w:sz w:val="24"/>
          <w:szCs w:val="24"/>
        </w:rPr>
        <w:t xml:space="preserve">.  </w:t>
      </w:r>
    </w:p>
    <w:p w:rsidR="002A0E5C" w:rsidRDefault="004B56EB" w:rsidP="004B56EB">
      <w:pPr>
        <w:pStyle w:val="BodyText"/>
        <w:rPr>
          <w:sz w:val="24"/>
          <w:szCs w:val="24"/>
        </w:rPr>
      </w:pPr>
      <w:r>
        <w:rPr>
          <w:sz w:val="24"/>
          <w:szCs w:val="24"/>
        </w:rPr>
        <w:t>While the scope of the work had excluded the retrospective application of endowment fund transactions, Internal Audit included in their initial draft covering report to their Endowment Fund Annual Audit Report for the year that the group should be aware of limitations in the assurances provided to the Group during the year from management, particularly around the CLO guidance received.</w:t>
      </w:r>
      <w:r w:rsidR="00377033">
        <w:rPr>
          <w:sz w:val="24"/>
          <w:szCs w:val="24"/>
        </w:rPr>
        <w:t xml:space="preserve">  </w:t>
      </w:r>
    </w:p>
    <w:p w:rsidR="002A0E5C" w:rsidRDefault="002A0E5C" w:rsidP="004B56EB">
      <w:pPr>
        <w:pStyle w:val="BodyText"/>
        <w:rPr>
          <w:sz w:val="24"/>
          <w:szCs w:val="24"/>
        </w:rPr>
      </w:pPr>
    </w:p>
    <w:p w:rsidR="002A0E5C" w:rsidRDefault="002A0E5C" w:rsidP="004B56EB">
      <w:pPr>
        <w:pStyle w:val="BodyText"/>
        <w:rPr>
          <w:sz w:val="24"/>
          <w:szCs w:val="24"/>
        </w:rPr>
      </w:pPr>
    </w:p>
    <w:p w:rsidR="002A0E5C" w:rsidRDefault="002A0E5C" w:rsidP="004B56EB">
      <w:pPr>
        <w:pStyle w:val="BodyText"/>
        <w:rPr>
          <w:sz w:val="24"/>
          <w:szCs w:val="24"/>
        </w:rPr>
      </w:pPr>
    </w:p>
    <w:p w:rsidR="002A0E5C" w:rsidRDefault="002A0E5C" w:rsidP="004B56EB">
      <w:pPr>
        <w:pStyle w:val="BodyText"/>
        <w:rPr>
          <w:sz w:val="24"/>
          <w:szCs w:val="24"/>
        </w:rPr>
      </w:pPr>
    </w:p>
    <w:p w:rsidR="002A0E5C" w:rsidRDefault="002A0E5C" w:rsidP="004B56EB">
      <w:pPr>
        <w:pStyle w:val="BodyText"/>
        <w:rPr>
          <w:sz w:val="24"/>
          <w:szCs w:val="24"/>
        </w:rPr>
      </w:pPr>
    </w:p>
    <w:p w:rsidR="002A0E5C" w:rsidRDefault="002A0E5C" w:rsidP="004B56EB">
      <w:pPr>
        <w:pStyle w:val="BodyText"/>
        <w:rPr>
          <w:sz w:val="24"/>
          <w:szCs w:val="24"/>
        </w:rPr>
      </w:pPr>
    </w:p>
    <w:p w:rsidR="002A0E5C" w:rsidRDefault="002A0E5C" w:rsidP="004B56EB">
      <w:pPr>
        <w:pStyle w:val="BodyText"/>
        <w:rPr>
          <w:sz w:val="24"/>
          <w:szCs w:val="24"/>
        </w:rPr>
      </w:pPr>
    </w:p>
    <w:p w:rsidR="002A0E5C" w:rsidRDefault="002A0E5C" w:rsidP="004B56EB">
      <w:pPr>
        <w:pStyle w:val="BodyText"/>
        <w:rPr>
          <w:sz w:val="24"/>
          <w:szCs w:val="24"/>
        </w:rPr>
      </w:pPr>
    </w:p>
    <w:p w:rsidR="002A0E5C" w:rsidRDefault="002A0E5C" w:rsidP="004B56EB">
      <w:pPr>
        <w:pStyle w:val="BodyText"/>
        <w:rPr>
          <w:sz w:val="24"/>
          <w:szCs w:val="24"/>
        </w:rPr>
      </w:pPr>
    </w:p>
    <w:p w:rsidR="002A0E5C" w:rsidRDefault="002A0E5C" w:rsidP="004B56EB">
      <w:pPr>
        <w:pStyle w:val="BodyText"/>
        <w:rPr>
          <w:sz w:val="24"/>
          <w:szCs w:val="24"/>
        </w:rPr>
      </w:pPr>
    </w:p>
    <w:p w:rsidR="002A0E5C" w:rsidRDefault="002A0E5C" w:rsidP="004B56EB">
      <w:pPr>
        <w:pStyle w:val="BodyText"/>
        <w:rPr>
          <w:sz w:val="24"/>
          <w:szCs w:val="24"/>
        </w:rPr>
      </w:pPr>
    </w:p>
    <w:p w:rsidR="004B56EB" w:rsidRDefault="004B56EB" w:rsidP="004B56EB">
      <w:pPr>
        <w:pStyle w:val="BodyText"/>
        <w:rPr>
          <w:sz w:val="24"/>
          <w:szCs w:val="24"/>
        </w:rPr>
      </w:pPr>
      <w:r>
        <w:rPr>
          <w:sz w:val="24"/>
          <w:szCs w:val="24"/>
        </w:rPr>
        <w:lastRenderedPageBreak/>
        <w:t>The original draft covering report included the following wording:</w:t>
      </w:r>
    </w:p>
    <w:tbl>
      <w:tblPr>
        <w:tblStyle w:val="GTITableStyle1"/>
        <w:tblW w:w="0" w:type="auto"/>
        <w:tblBorders>
          <w:top w:val="single" w:sz="4" w:space="0" w:color="auto"/>
          <w:left w:val="single" w:sz="4" w:space="0" w:color="auto"/>
          <w:bottom w:val="single" w:sz="4" w:space="0" w:color="auto"/>
          <w:right w:val="single" w:sz="4" w:space="0" w:color="auto"/>
          <w:insideH w:val="none" w:sz="0" w:space="0" w:color="auto"/>
        </w:tblBorders>
        <w:tblLook w:val="04A0"/>
      </w:tblPr>
      <w:tblGrid>
        <w:gridCol w:w="9293"/>
      </w:tblGrid>
      <w:tr w:rsidR="002A0E5C" w:rsidTr="002A0E5C">
        <w:trPr>
          <w:cnfStyle w:val="100000000000"/>
        </w:trPr>
        <w:tc>
          <w:tcPr>
            <w:tcW w:w="929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A0E5C" w:rsidRDefault="002A0E5C" w:rsidP="002A0E5C">
            <w:pPr>
              <w:pStyle w:val="BodyText"/>
              <w:rPr>
                <w:sz w:val="24"/>
                <w:szCs w:val="24"/>
              </w:rPr>
            </w:pPr>
          </w:p>
          <w:p w:rsidR="002A0E5C" w:rsidRPr="002A0E5C" w:rsidRDefault="002A0E5C" w:rsidP="002A0E5C">
            <w:pPr>
              <w:spacing w:before="120"/>
              <w:ind w:left="284"/>
              <w:rPr>
                <w:rFonts w:ascii="Arial" w:hAnsi="Arial"/>
                <w:b/>
                <w:i/>
                <w:color w:val="auto"/>
                <w:sz w:val="24"/>
                <w:szCs w:val="24"/>
              </w:rPr>
            </w:pPr>
            <w:r w:rsidRPr="002A0E5C">
              <w:rPr>
                <w:i/>
                <w:color w:val="auto"/>
                <w:sz w:val="24"/>
                <w:szCs w:val="24"/>
              </w:rPr>
              <w:t>“</w:t>
            </w:r>
            <w:r w:rsidRPr="002A0E5C">
              <w:rPr>
                <w:rFonts w:ascii="Arial" w:hAnsi="Arial"/>
                <w:b/>
                <w:i/>
                <w:color w:val="auto"/>
                <w:sz w:val="24"/>
                <w:szCs w:val="24"/>
              </w:rPr>
              <w:t>MATTER OF CONCERN…</w:t>
            </w:r>
          </w:p>
          <w:p w:rsidR="002A0E5C" w:rsidRPr="002A0E5C" w:rsidRDefault="002A0E5C" w:rsidP="002A0E5C">
            <w:pPr>
              <w:pStyle w:val="BodyText"/>
              <w:spacing w:before="120"/>
              <w:ind w:left="284"/>
              <w:rPr>
                <w:rFonts w:ascii="Arial" w:hAnsi="Arial"/>
                <w:i/>
                <w:snapToGrid w:val="0"/>
                <w:color w:val="auto"/>
                <w:sz w:val="24"/>
                <w:szCs w:val="24"/>
              </w:rPr>
            </w:pPr>
            <w:r w:rsidRPr="002A0E5C">
              <w:rPr>
                <w:rFonts w:ascii="Arial" w:hAnsi="Arial"/>
                <w:i/>
                <w:snapToGrid w:val="0"/>
                <w:color w:val="auto"/>
                <w:sz w:val="24"/>
                <w:szCs w:val="24"/>
              </w:rPr>
              <w:t xml:space="preserve">The minutes of the extraordinary meeting on 24 January 2014 state that the Assistant Director of Finance and the Endowment Team had conducted work around OSCR, Central Legal Office (CLO) and the National guidelines to ensure there were no conflicts.' It is also clear from the minutes that at least one member had requested and relied on these assurances.  We have been informed by the Assistant Director of Finance (Governance and Corporate Finance) that, in fact, no work was undertaken on OSCR. On the day of the Board of Trustees meeting, the Board did seek CLO advice on the proposals to be put to the Board of Trustees that day. Our concern is that the level of assurance that could be drawn from the CLO e-mail received in response was undoubtedly insufficient to be able to ensure that there was no such conflicts and furthermore, the CLO advice clearly indicated that there were, potentially, areas of conflict with national guidance. </w:t>
            </w:r>
          </w:p>
          <w:p w:rsidR="002A0E5C" w:rsidRPr="002A0E5C" w:rsidRDefault="002A0E5C" w:rsidP="002A0E5C">
            <w:pPr>
              <w:pStyle w:val="BodyText"/>
              <w:spacing w:before="120"/>
              <w:ind w:left="284"/>
              <w:rPr>
                <w:i/>
                <w:color w:val="auto"/>
                <w:sz w:val="24"/>
                <w:szCs w:val="24"/>
              </w:rPr>
            </w:pPr>
            <w:r w:rsidRPr="002A0E5C">
              <w:rPr>
                <w:rFonts w:ascii="Arial" w:hAnsi="Arial"/>
                <w:i/>
                <w:snapToGrid w:val="0"/>
                <w:color w:val="auto"/>
                <w:sz w:val="24"/>
                <w:szCs w:val="24"/>
              </w:rPr>
              <w:t>In this respect, we are not content that the assurances provided to the Board of Trustees on 24</w:t>
            </w:r>
            <w:r w:rsidRPr="002A0E5C">
              <w:rPr>
                <w:rFonts w:ascii="Arial" w:hAnsi="Arial"/>
                <w:i/>
                <w:snapToGrid w:val="0"/>
                <w:color w:val="auto"/>
                <w:sz w:val="24"/>
                <w:szCs w:val="24"/>
                <w:vertAlign w:val="superscript"/>
              </w:rPr>
              <w:t>th</w:t>
            </w:r>
            <w:r w:rsidRPr="002A0E5C">
              <w:rPr>
                <w:rFonts w:ascii="Arial" w:hAnsi="Arial"/>
                <w:i/>
                <w:snapToGrid w:val="0"/>
                <w:color w:val="auto"/>
                <w:sz w:val="24"/>
                <w:szCs w:val="24"/>
              </w:rPr>
              <w:t xml:space="preserve"> January 2014 were accurate or complete.</w:t>
            </w:r>
            <w:r w:rsidRPr="002A0E5C">
              <w:rPr>
                <w:i/>
                <w:color w:val="auto"/>
                <w:sz w:val="24"/>
                <w:szCs w:val="24"/>
              </w:rPr>
              <w:t>”</w:t>
            </w:r>
          </w:p>
          <w:p w:rsidR="002A0E5C" w:rsidRDefault="002A0E5C" w:rsidP="004B56EB">
            <w:pPr>
              <w:pStyle w:val="BodyText"/>
              <w:rPr>
                <w:sz w:val="24"/>
                <w:szCs w:val="24"/>
              </w:rPr>
            </w:pPr>
          </w:p>
        </w:tc>
      </w:tr>
    </w:tbl>
    <w:p w:rsidR="004B56EB" w:rsidRDefault="004B56EB" w:rsidP="002A0E5C">
      <w:pPr>
        <w:pStyle w:val="BodyText"/>
        <w:spacing w:before="120"/>
        <w:rPr>
          <w:sz w:val="24"/>
          <w:szCs w:val="24"/>
        </w:rPr>
      </w:pPr>
      <w:r>
        <w:rPr>
          <w:sz w:val="24"/>
          <w:szCs w:val="24"/>
        </w:rPr>
        <w:t>This w</w:t>
      </w:r>
      <w:r w:rsidRPr="004B56EB">
        <w:rPr>
          <w:sz w:val="24"/>
          <w:szCs w:val="24"/>
        </w:rPr>
        <w:t xml:space="preserve">as subsequently amended within the final cover report removing the matter of concern </w:t>
      </w:r>
      <w:r>
        <w:rPr>
          <w:sz w:val="24"/>
          <w:szCs w:val="24"/>
        </w:rPr>
        <w:t xml:space="preserve">paragraphs and </w:t>
      </w:r>
      <w:r w:rsidR="002A0E5C">
        <w:rPr>
          <w:sz w:val="24"/>
          <w:szCs w:val="24"/>
        </w:rPr>
        <w:t xml:space="preserve">was </w:t>
      </w:r>
      <w:r>
        <w:rPr>
          <w:sz w:val="24"/>
          <w:szCs w:val="24"/>
        </w:rPr>
        <w:t>replaced with the words below, which significantly reduced the tone of concern:</w:t>
      </w:r>
    </w:p>
    <w:tbl>
      <w:tblPr>
        <w:tblStyle w:val="GTITableStyle1"/>
        <w:tblW w:w="0" w:type="auto"/>
        <w:tblBorders>
          <w:top w:val="single" w:sz="4" w:space="0" w:color="auto"/>
          <w:left w:val="single" w:sz="4" w:space="0" w:color="auto"/>
          <w:bottom w:val="single" w:sz="4" w:space="0" w:color="auto"/>
          <w:right w:val="single" w:sz="4" w:space="0" w:color="auto"/>
          <w:insideH w:val="none" w:sz="0" w:space="0" w:color="auto"/>
        </w:tblBorders>
        <w:tblLook w:val="04A0"/>
      </w:tblPr>
      <w:tblGrid>
        <w:gridCol w:w="9293"/>
      </w:tblGrid>
      <w:tr w:rsidR="002A0E5C" w:rsidTr="002A0E5C">
        <w:trPr>
          <w:cnfStyle w:val="100000000000"/>
        </w:trPr>
        <w:tc>
          <w:tcPr>
            <w:tcW w:w="929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A0E5C" w:rsidRPr="002A0E5C" w:rsidRDefault="002A0E5C" w:rsidP="002A0E5C">
            <w:pPr>
              <w:pStyle w:val="BodyText"/>
              <w:spacing w:before="120"/>
              <w:ind w:left="284"/>
              <w:rPr>
                <w:rFonts w:ascii="Arial" w:hAnsi="Arial"/>
                <w:i/>
                <w:snapToGrid w:val="0"/>
                <w:color w:val="auto"/>
                <w:sz w:val="24"/>
                <w:szCs w:val="24"/>
              </w:rPr>
            </w:pPr>
            <w:r w:rsidRPr="002A0E5C">
              <w:rPr>
                <w:rFonts w:ascii="Arial" w:hAnsi="Arial"/>
                <w:i/>
                <w:color w:val="auto"/>
                <w:sz w:val="24"/>
                <w:szCs w:val="24"/>
              </w:rPr>
              <w:t>“</w:t>
            </w:r>
            <w:r w:rsidRPr="002A0E5C">
              <w:rPr>
                <w:rFonts w:ascii="Arial" w:hAnsi="Arial"/>
                <w:i/>
                <w:snapToGrid w:val="0"/>
                <w:color w:val="auto"/>
                <w:sz w:val="24"/>
                <w:szCs w:val="24"/>
              </w:rPr>
              <w:t xml:space="preserve">Internal Audit consider that whilst action was taken to address CLO concerns, the exact nature of CLO advice and the intended response to it should have been presented to the Board of Trustees on the 24 January, although we acknowledge the time constraints arising from the sequence of the Extraordinary Board of Trustee meeting on 24 January 2014 and Endowment Advisory Group (EAG) on 4 February 2014. </w:t>
            </w:r>
          </w:p>
          <w:p w:rsidR="002A0E5C" w:rsidRPr="002A0E5C" w:rsidRDefault="002A0E5C" w:rsidP="002A0E5C">
            <w:pPr>
              <w:pStyle w:val="BodyText"/>
              <w:spacing w:before="120"/>
              <w:ind w:left="284"/>
              <w:rPr>
                <w:rFonts w:ascii="Arial" w:hAnsi="Arial"/>
                <w:i/>
                <w:color w:val="auto"/>
                <w:sz w:val="24"/>
                <w:szCs w:val="24"/>
              </w:rPr>
            </w:pPr>
            <w:r w:rsidRPr="002A0E5C">
              <w:rPr>
                <w:rFonts w:ascii="Arial" w:hAnsi="Arial"/>
                <w:i/>
                <w:snapToGrid w:val="0"/>
                <w:color w:val="auto"/>
                <w:sz w:val="24"/>
                <w:szCs w:val="24"/>
              </w:rPr>
              <w:t>Following discussions between management and Internal Audit on 24 March 2014, further information was sought by management from CLO and distributed on 1 April 2014 to Trustees, who confirmed that that they were satisfied with the information provided</w:t>
            </w:r>
            <w:r w:rsidRPr="002A0E5C">
              <w:rPr>
                <w:rFonts w:ascii="Arial" w:hAnsi="Arial"/>
                <w:i/>
                <w:color w:val="auto"/>
                <w:sz w:val="24"/>
                <w:szCs w:val="24"/>
              </w:rPr>
              <w:t>.”</w:t>
            </w:r>
          </w:p>
          <w:p w:rsidR="002A0E5C" w:rsidRDefault="002A0E5C" w:rsidP="002A0E5C">
            <w:pPr>
              <w:pStyle w:val="BodyText"/>
              <w:spacing w:before="120"/>
              <w:rPr>
                <w:sz w:val="24"/>
                <w:szCs w:val="24"/>
              </w:rPr>
            </w:pPr>
          </w:p>
        </w:tc>
      </w:tr>
    </w:tbl>
    <w:p w:rsidR="002A0E5C" w:rsidRDefault="002A0E5C" w:rsidP="00A504AD">
      <w:pPr>
        <w:pStyle w:val="BodyText"/>
        <w:rPr>
          <w:rFonts w:ascii="Arial" w:hAnsi="Arial"/>
          <w:i/>
          <w:sz w:val="24"/>
          <w:szCs w:val="24"/>
        </w:rPr>
      </w:pPr>
    </w:p>
    <w:p w:rsidR="003C6025" w:rsidRDefault="004B56EB" w:rsidP="00A504AD">
      <w:pPr>
        <w:pStyle w:val="BodyText"/>
        <w:rPr>
          <w:sz w:val="24"/>
          <w:szCs w:val="24"/>
        </w:rPr>
      </w:pPr>
      <w:r>
        <w:rPr>
          <w:sz w:val="24"/>
          <w:szCs w:val="24"/>
        </w:rPr>
        <w:t xml:space="preserve">The Trustees did not see the original wording drafted by the CIA as this was removed following discussions between the CIA and the NHS Tayside Director of Finance.  </w:t>
      </w:r>
    </w:p>
    <w:p w:rsidR="003C6025" w:rsidRDefault="004B56EB" w:rsidP="00A504AD">
      <w:pPr>
        <w:pStyle w:val="BodyText"/>
        <w:rPr>
          <w:sz w:val="24"/>
          <w:szCs w:val="24"/>
        </w:rPr>
      </w:pPr>
      <w:r>
        <w:rPr>
          <w:sz w:val="24"/>
          <w:szCs w:val="24"/>
        </w:rPr>
        <w:t xml:space="preserve">The CIA informed us that the Director of Finance and </w:t>
      </w:r>
      <w:r w:rsidR="007D3508">
        <w:rPr>
          <w:sz w:val="24"/>
          <w:szCs w:val="24"/>
        </w:rPr>
        <w:t xml:space="preserve">Assistant </w:t>
      </w:r>
      <w:r>
        <w:rPr>
          <w:sz w:val="24"/>
          <w:szCs w:val="24"/>
        </w:rPr>
        <w:t xml:space="preserve">Director of Finance put pressure on him to amend the covering paper.  At a meeting on 5 May 2014, to discuss the Internal Audit annual audit report, there were alleged threats made </w:t>
      </w:r>
      <w:r w:rsidR="003C6025">
        <w:rPr>
          <w:sz w:val="24"/>
          <w:szCs w:val="24"/>
        </w:rPr>
        <w:t>including</w:t>
      </w:r>
      <w:r>
        <w:rPr>
          <w:sz w:val="24"/>
          <w:szCs w:val="24"/>
        </w:rPr>
        <w:t xml:space="preserve"> </w:t>
      </w:r>
      <w:r w:rsidR="00377033">
        <w:rPr>
          <w:sz w:val="24"/>
          <w:szCs w:val="24"/>
        </w:rPr>
        <w:t>those of</w:t>
      </w:r>
      <w:r>
        <w:rPr>
          <w:sz w:val="24"/>
          <w:szCs w:val="24"/>
        </w:rPr>
        <w:t xml:space="preserve"> the potential removal of FTF as internal auditors or t</w:t>
      </w:r>
      <w:r w:rsidR="002A0E5C">
        <w:rPr>
          <w:sz w:val="24"/>
          <w:szCs w:val="24"/>
        </w:rPr>
        <w:t>he removal of him as CIA.</w:t>
      </w:r>
    </w:p>
    <w:p w:rsidR="00377033" w:rsidRDefault="00E26D0D" w:rsidP="00A504AD">
      <w:pPr>
        <w:pStyle w:val="BodyText"/>
        <w:rPr>
          <w:sz w:val="24"/>
          <w:szCs w:val="24"/>
        </w:rPr>
      </w:pPr>
      <w:r>
        <w:rPr>
          <w:sz w:val="24"/>
          <w:szCs w:val="24"/>
        </w:rPr>
        <w:t>We are</w:t>
      </w:r>
      <w:r w:rsidR="004B56EB">
        <w:rPr>
          <w:sz w:val="24"/>
          <w:szCs w:val="24"/>
        </w:rPr>
        <w:t xml:space="preserve"> unable to substantiate these </w:t>
      </w:r>
      <w:r>
        <w:rPr>
          <w:sz w:val="24"/>
          <w:szCs w:val="24"/>
        </w:rPr>
        <w:t>allegations, but note there were</w:t>
      </w:r>
      <w:r w:rsidR="004B56EB">
        <w:rPr>
          <w:sz w:val="24"/>
          <w:szCs w:val="24"/>
        </w:rPr>
        <w:t xml:space="preserve"> changes between the draft and final versions of the Internal Audit </w:t>
      </w:r>
      <w:r w:rsidR="002A0E5C">
        <w:rPr>
          <w:sz w:val="24"/>
          <w:szCs w:val="24"/>
        </w:rPr>
        <w:t>Endowment Annual Report</w:t>
      </w:r>
      <w:r w:rsidR="00377033">
        <w:rPr>
          <w:sz w:val="24"/>
          <w:szCs w:val="24"/>
        </w:rPr>
        <w:t xml:space="preserve"> covering paper</w:t>
      </w:r>
      <w:r w:rsidR="002A0E5C">
        <w:rPr>
          <w:sz w:val="24"/>
          <w:szCs w:val="24"/>
        </w:rPr>
        <w:t xml:space="preserve"> (as shown above)</w:t>
      </w:r>
      <w:r w:rsidR="004B56EB">
        <w:rPr>
          <w:sz w:val="24"/>
          <w:szCs w:val="24"/>
        </w:rPr>
        <w:t>.</w:t>
      </w:r>
      <w:r w:rsidR="002A0E5C">
        <w:rPr>
          <w:sz w:val="24"/>
          <w:szCs w:val="24"/>
        </w:rPr>
        <w:t xml:space="preserve">  These changes </w:t>
      </w:r>
      <w:r>
        <w:rPr>
          <w:sz w:val="24"/>
          <w:szCs w:val="24"/>
        </w:rPr>
        <w:t>impact on the emphasis and we believe reduc</w:t>
      </w:r>
      <w:r w:rsidR="002A0E5C">
        <w:rPr>
          <w:sz w:val="24"/>
          <w:szCs w:val="24"/>
        </w:rPr>
        <w:t>e the concerns initially raised.</w:t>
      </w:r>
    </w:p>
    <w:p w:rsidR="002A0E5C" w:rsidRDefault="002A0E5C" w:rsidP="00A504AD">
      <w:pPr>
        <w:pStyle w:val="BodyText"/>
        <w:rPr>
          <w:sz w:val="24"/>
          <w:szCs w:val="24"/>
        </w:rPr>
      </w:pPr>
    </w:p>
    <w:p w:rsidR="004B56EB" w:rsidRPr="00874FE6" w:rsidRDefault="003039C1" w:rsidP="00A504AD">
      <w:pPr>
        <w:pStyle w:val="BodyText"/>
        <w:rPr>
          <w:sz w:val="24"/>
          <w:szCs w:val="24"/>
        </w:rPr>
      </w:pPr>
      <w:r>
        <w:rPr>
          <w:sz w:val="24"/>
          <w:szCs w:val="24"/>
        </w:rPr>
        <w:lastRenderedPageBreak/>
        <w:t>We</w:t>
      </w:r>
      <w:r w:rsidR="002A0E5C">
        <w:rPr>
          <w:sz w:val="24"/>
          <w:szCs w:val="24"/>
        </w:rPr>
        <w:t xml:space="preserve"> also understand the concerns of the CIA were not raised formally with </w:t>
      </w:r>
      <w:r w:rsidR="00712AC3">
        <w:rPr>
          <w:sz w:val="24"/>
          <w:szCs w:val="24"/>
        </w:rPr>
        <w:t>the Accountable Office or Chair of the Audit Committee</w:t>
      </w:r>
      <w:r w:rsidR="003C6025">
        <w:rPr>
          <w:sz w:val="24"/>
          <w:szCs w:val="24"/>
        </w:rPr>
        <w:t xml:space="preserve">.  </w:t>
      </w:r>
    </w:p>
    <w:p w:rsidR="00A504AD" w:rsidRDefault="00A504AD">
      <w:pPr>
        <w:spacing w:after="0" w:line="240" w:lineRule="auto"/>
        <w:rPr>
          <w:b/>
          <w:bCs/>
          <w:color w:val="4F2D7F" w:themeColor="accent1"/>
          <w:sz w:val="24"/>
          <w:szCs w:val="24"/>
        </w:rPr>
      </w:pPr>
    </w:p>
    <w:p w:rsidR="00A504AD" w:rsidRDefault="00712AC3">
      <w:pPr>
        <w:spacing w:after="0" w:line="240" w:lineRule="auto"/>
        <w:rPr>
          <w:b/>
          <w:bCs/>
          <w:color w:val="4F2D7F" w:themeColor="accent1"/>
          <w:sz w:val="24"/>
          <w:szCs w:val="24"/>
        </w:rPr>
      </w:pPr>
      <w:r>
        <w:rPr>
          <w:b/>
          <w:bCs/>
          <w:color w:val="4F2D7F" w:themeColor="accent1"/>
          <w:sz w:val="24"/>
          <w:szCs w:val="24"/>
        </w:rPr>
        <w:t>Rec</w:t>
      </w:r>
      <w:r w:rsidRPr="000332F0">
        <w:rPr>
          <w:b/>
          <w:bCs/>
          <w:color w:val="4F2D7F" w:themeColor="accent1"/>
          <w:sz w:val="24"/>
          <w:szCs w:val="24"/>
        </w:rPr>
        <w:t>omm</w:t>
      </w:r>
      <w:r>
        <w:rPr>
          <w:b/>
          <w:bCs/>
          <w:color w:val="4F2D7F" w:themeColor="accent1"/>
          <w:sz w:val="24"/>
          <w:szCs w:val="24"/>
        </w:rPr>
        <w:t>endations</w:t>
      </w:r>
    </w:p>
    <w:p w:rsidR="00712AC3" w:rsidRDefault="00712AC3">
      <w:pPr>
        <w:spacing w:after="0" w:line="240" w:lineRule="auto"/>
        <w:rPr>
          <w:b/>
          <w:bCs/>
          <w:color w:val="4F2D7F" w:themeColor="accent1"/>
          <w:sz w:val="24"/>
          <w:szCs w:val="24"/>
        </w:rPr>
      </w:pPr>
    </w:p>
    <w:p w:rsidR="00712AC3" w:rsidRPr="00712AC3" w:rsidRDefault="00712AC3">
      <w:pPr>
        <w:spacing w:after="0" w:line="240" w:lineRule="auto"/>
        <w:rPr>
          <w:bCs/>
          <w:sz w:val="24"/>
          <w:szCs w:val="24"/>
        </w:rPr>
      </w:pPr>
      <w:r w:rsidRPr="00712AC3">
        <w:rPr>
          <w:bCs/>
          <w:sz w:val="24"/>
          <w:szCs w:val="24"/>
        </w:rPr>
        <w:t>Based on our work</w:t>
      </w:r>
      <w:r>
        <w:rPr>
          <w:bCs/>
          <w:sz w:val="24"/>
          <w:szCs w:val="24"/>
        </w:rPr>
        <w:t xml:space="preserve"> on endowments</w:t>
      </w:r>
      <w:r w:rsidRPr="00712AC3">
        <w:rPr>
          <w:bCs/>
          <w:sz w:val="24"/>
          <w:szCs w:val="24"/>
        </w:rPr>
        <w:t xml:space="preserve"> we would make the following recommendations</w:t>
      </w:r>
      <w:r w:rsidR="006F5EE1">
        <w:rPr>
          <w:bCs/>
          <w:sz w:val="24"/>
          <w:szCs w:val="24"/>
        </w:rPr>
        <w:t xml:space="preserve"> for future consideration</w:t>
      </w:r>
      <w:r w:rsidRPr="00712AC3">
        <w:rPr>
          <w:bCs/>
          <w:sz w:val="24"/>
          <w:szCs w:val="24"/>
        </w:rPr>
        <w:t>:</w:t>
      </w:r>
    </w:p>
    <w:p w:rsidR="00A504AD" w:rsidRDefault="00A504AD">
      <w:pPr>
        <w:spacing w:after="0" w:line="240" w:lineRule="auto"/>
        <w:rPr>
          <w:b/>
          <w:bCs/>
          <w:color w:val="4F2D7F" w:themeColor="accent1"/>
          <w:sz w:val="24"/>
          <w:szCs w:val="24"/>
        </w:rPr>
      </w:pPr>
    </w:p>
    <w:p w:rsidR="00566950" w:rsidRDefault="00566950">
      <w:pPr>
        <w:spacing w:after="0" w:line="240" w:lineRule="auto"/>
        <w:rPr>
          <w:b/>
          <w:bCs/>
          <w:color w:val="4F2D7F" w:themeColor="accent1"/>
          <w:sz w:val="24"/>
          <w:szCs w:val="24"/>
        </w:rPr>
      </w:pPr>
      <w:r>
        <w:rPr>
          <w:b/>
          <w:bCs/>
          <w:color w:val="4F2D7F" w:themeColor="accent1"/>
          <w:sz w:val="24"/>
          <w:szCs w:val="24"/>
        </w:rPr>
        <w:t>NHS Tayside</w:t>
      </w:r>
    </w:p>
    <w:p w:rsidR="00566950" w:rsidRDefault="00566950">
      <w:pPr>
        <w:spacing w:after="0" w:line="240" w:lineRule="auto"/>
        <w:rPr>
          <w:b/>
          <w:bCs/>
          <w:color w:val="4F2D7F" w:themeColor="accent1"/>
          <w:sz w:val="24"/>
          <w:szCs w:val="24"/>
        </w:rPr>
      </w:pPr>
    </w:p>
    <w:p w:rsidR="00E26D0D" w:rsidRDefault="00712AC3" w:rsidP="00646C90">
      <w:pPr>
        <w:pStyle w:val="ListParagraph"/>
        <w:numPr>
          <w:ilvl w:val="0"/>
          <w:numId w:val="30"/>
        </w:numPr>
        <w:ind w:left="284" w:hanging="284"/>
        <w:rPr>
          <w:sz w:val="24"/>
          <w:szCs w:val="24"/>
        </w:rPr>
      </w:pPr>
      <w:r w:rsidRPr="00CF5271">
        <w:rPr>
          <w:sz w:val="24"/>
          <w:szCs w:val="24"/>
        </w:rPr>
        <w:t xml:space="preserve">Linked to the wider organisational cultural change programme and focus on leadership, Management should ensure that internal audit play a pivotal role in supporting cultural change, and that their input and recommendations are valued and actioned by Management.   Internal audit can support the culture in terms of openness and transparency and continuous improvement if given the profile </w:t>
      </w:r>
      <w:r w:rsidR="00E26D0D">
        <w:rPr>
          <w:sz w:val="24"/>
          <w:szCs w:val="24"/>
        </w:rPr>
        <w:t>within NHS Tayside and the strong</w:t>
      </w:r>
      <w:r w:rsidRPr="00CF5271">
        <w:rPr>
          <w:sz w:val="24"/>
          <w:szCs w:val="24"/>
        </w:rPr>
        <w:t xml:space="preserve"> leadership of the internal audit service.</w:t>
      </w:r>
    </w:p>
    <w:p w:rsidR="00566950" w:rsidRPr="00566950" w:rsidRDefault="00566950" w:rsidP="00566950">
      <w:pPr>
        <w:pStyle w:val="ListParagraph"/>
        <w:ind w:left="284"/>
        <w:rPr>
          <w:sz w:val="24"/>
          <w:szCs w:val="24"/>
        </w:rPr>
      </w:pPr>
    </w:p>
    <w:p w:rsidR="00E26D0D" w:rsidRDefault="00E26D0D" w:rsidP="00646C90">
      <w:pPr>
        <w:pStyle w:val="ListParagraph"/>
        <w:numPr>
          <w:ilvl w:val="0"/>
          <w:numId w:val="30"/>
        </w:numPr>
        <w:ind w:left="284" w:hanging="284"/>
        <w:rPr>
          <w:sz w:val="24"/>
          <w:szCs w:val="24"/>
        </w:rPr>
      </w:pPr>
      <w:r>
        <w:rPr>
          <w:sz w:val="24"/>
          <w:szCs w:val="24"/>
        </w:rPr>
        <w:t>In 2013/14 the NHS Tayside Board only received the Finance and Resources Committee minutes, the Annual Financial Statements and an annual report by the Committee chair.  Due to timings information the Board did see was often up to three months out of date.  Finance reports, which are clear and easy to understand by a non-finance person should be presented</w:t>
      </w:r>
      <w:r w:rsidR="00A718A3">
        <w:rPr>
          <w:sz w:val="24"/>
          <w:szCs w:val="24"/>
        </w:rPr>
        <w:t xml:space="preserve"> on a timely basis</w:t>
      </w:r>
      <w:r>
        <w:rPr>
          <w:sz w:val="24"/>
          <w:szCs w:val="24"/>
        </w:rPr>
        <w:t xml:space="preserve"> to the Board to allow the NHS Board effective insight and scrutiny of the position.  </w:t>
      </w:r>
      <w:r w:rsidR="00A718A3">
        <w:rPr>
          <w:sz w:val="24"/>
          <w:szCs w:val="24"/>
        </w:rPr>
        <w:t xml:space="preserve">The information provided to the NHS Board should be reconcile to the finance position reported to SGHSCD.  </w:t>
      </w:r>
      <w:r>
        <w:rPr>
          <w:sz w:val="24"/>
          <w:szCs w:val="24"/>
        </w:rPr>
        <w:t xml:space="preserve">This will also allow the NHS Board to better link finances, operational performance and workforce matters.  </w:t>
      </w:r>
    </w:p>
    <w:p w:rsidR="00566950" w:rsidRDefault="00566950" w:rsidP="00566950">
      <w:pPr>
        <w:pStyle w:val="ListParagraph"/>
        <w:ind w:left="284"/>
        <w:rPr>
          <w:sz w:val="24"/>
          <w:szCs w:val="24"/>
        </w:rPr>
      </w:pPr>
    </w:p>
    <w:p w:rsidR="00566950" w:rsidRDefault="00566950" w:rsidP="00646C90">
      <w:pPr>
        <w:pStyle w:val="ListParagraph"/>
        <w:numPr>
          <w:ilvl w:val="0"/>
          <w:numId w:val="30"/>
        </w:numPr>
        <w:ind w:left="284" w:hanging="284"/>
        <w:rPr>
          <w:sz w:val="24"/>
          <w:szCs w:val="24"/>
        </w:rPr>
      </w:pPr>
      <w:r>
        <w:rPr>
          <w:sz w:val="24"/>
          <w:szCs w:val="24"/>
        </w:rPr>
        <w:t>There is an opportunity for the leadership team at NHS Tayside and the NHS Tayside Board to further set out the culture it expects to be in place and demonstrated across NHS Tayside, including continuing to encouraging open and honest conversations based on the promotion of doing the right thing and the wider NHS in Scotland values</w:t>
      </w:r>
    </w:p>
    <w:p w:rsidR="00566950" w:rsidRPr="00566950" w:rsidRDefault="00566950" w:rsidP="00566950">
      <w:pPr>
        <w:pStyle w:val="ListParagraph"/>
        <w:rPr>
          <w:sz w:val="24"/>
          <w:szCs w:val="24"/>
        </w:rPr>
      </w:pPr>
    </w:p>
    <w:p w:rsidR="00566950" w:rsidRPr="00CF5271" w:rsidRDefault="00566950" w:rsidP="00646C90">
      <w:pPr>
        <w:pStyle w:val="ListParagraph"/>
        <w:numPr>
          <w:ilvl w:val="0"/>
          <w:numId w:val="30"/>
        </w:numPr>
        <w:ind w:left="284" w:hanging="284"/>
        <w:rPr>
          <w:sz w:val="24"/>
          <w:szCs w:val="24"/>
        </w:rPr>
      </w:pPr>
      <w:r>
        <w:rPr>
          <w:sz w:val="24"/>
          <w:szCs w:val="24"/>
        </w:rPr>
        <w:t xml:space="preserve">The NHS Board should explore what additional training and support is needed to support the Non-Executive Members in their role to ensure effective scrutiny and leadership, including ensuring their voice is heard and acted on by management.  </w:t>
      </w:r>
    </w:p>
    <w:p w:rsidR="00A718A3" w:rsidRDefault="00A718A3">
      <w:pPr>
        <w:spacing w:after="0" w:line="240" w:lineRule="auto"/>
        <w:rPr>
          <w:b/>
          <w:bCs/>
          <w:color w:val="4F2D7F" w:themeColor="accent1"/>
          <w:sz w:val="24"/>
          <w:szCs w:val="24"/>
        </w:rPr>
      </w:pPr>
    </w:p>
    <w:p w:rsidR="00A718A3" w:rsidRDefault="00A718A3">
      <w:pPr>
        <w:spacing w:after="0" w:line="240" w:lineRule="auto"/>
        <w:rPr>
          <w:b/>
          <w:bCs/>
          <w:color w:val="4F2D7F" w:themeColor="accent1"/>
          <w:sz w:val="24"/>
          <w:szCs w:val="24"/>
        </w:rPr>
      </w:pPr>
    </w:p>
    <w:p w:rsidR="00566950" w:rsidRDefault="00566950">
      <w:pPr>
        <w:spacing w:after="0" w:line="240" w:lineRule="auto"/>
        <w:rPr>
          <w:b/>
          <w:bCs/>
          <w:color w:val="4F2D7F" w:themeColor="accent1"/>
          <w:sz w:val="24"/>
          <w:szCs w:val="24"/>
        </w:rPr>
      </w:pPr>
      <w:r>
        <w:rPr>
          <w:b/>
          <w:bCs/>
          <w:color w:val="4F2D7F" w:themeColor="accent1"/>
          <w:sz w:val="24"/>
          <w:szCs w:val="24"/>
        </w:rPr>
        <w:t>Scottish Government Health and Social Care Directorate</w:t>
      </w:r>
    </w:p>
    <w:p w:rsidR="00566950" w:rsidRDefault="00566950">
      <w:pPr>
        <w:spacing w:after="0" w:line="240" w:lineRule="auto"/>
        <w:rPr>
          <w:b/>
          <w:bCs/>
          <w:color w:val="4F2D7F" w:themeColor="accent1"/>
          <w:sz w:val="24"/>
          <w:szCs w:val="24"/>
        </w:rPr>
      </w:pPr>
    </w:p>
    <w:p w:rsidR="00566950" w:rsidRPr="00566950" w:rsidRDefault="00566950" w:rsidP="00646C90">
      <w:pPr>
        <w:pStyle w:val="ListParagraph"/>
        <w:numPr>
          <w:ilvl w:val="0"/>
          <w:numId w:val="37"/>
        </w:numPr>
        <w:ind w:left="284" w:hanging="284"/>
        <w:rPr>
          <w:sz w:val="24"/>
          <w:szCs w:val="24"/>
        </w:rPr>
      </w:pPr>
      <w:r w:rsidRPr="00566950">
        <w:rPr>
          <w:sz w:val="24"/>
          <w:szCs w:val="24"/>
        </w:rPr>
        <w:t>The SGHSCD should continue to promote an open and transparent culture within the Accountable Officer Group and the Director of Finance group to ensure the continued identification of any early issues and resolution in an upfront way supporting the wider NHS Scotland transformation agenda.  SGHSCD could also review the information required in the monthly finance returns to ensure it fully meets their needs and is also easy to follow and understand, in particular tracking movements from month to month</w:t>
      </w:r>
    </w:p>
    <w:p w:rsidR="00566950" w:rsidRPr="00566950" w:rsidRDefault="00566950">
      <w:pPr>
        <w:spacing w:after="0" w:line="240" w:lineRule="auto"/>
        <w:rPr>
          <w:bCs/>
          <w:color w:val="4F2D7F" w:themeColor="accent1"/>
          <w:sz w:val="24"/>
          <w:szCs w:val="24"/>
        </w:rPr>
      </w:pPr>
    </w:p>
    <w:p w:rsidR="002A0E5C" w:rsidRDefault="002A0E5C">
      <w:pPr>
        <w:spacing w:after="0" w:line="240" w:lineRule="auto"/>
        <w:rPr>
          <w:b/>
          <w:bCs/>
          <w:color w:val="4F2D7F" w:themeColor="accent1"/>
          <w:sz w:val="24"/>
          <w:szCs w:val="24"/>
        </w:rPr>
      </w:pPr>
    </w:p>
    <w:p w:rsidR="002A0E5C" w:rsidRDefault="002A0E5C">
      <w:pPr>
        <w:spacing w:after="0" w:line="240" w:lineRule="auto"/>
        <w:rPr>
          <w:b/>
          <w:bCs/>
          <w:color w:val="4F2D7F" w:themeColor="accent1"/>
          <w:sz w:val="24"/>
          <w:szCs w:val="24"/>
        </w:rPr>
      </w:pPr>
    </w:p>
    <w:p w:rsidR="002A0E5C" w:rsidRDefault="002A0E5C">
      <w:pPr>
        <w:spacing w:after="0" w:line="240" w:lineRule="auto"/>
        <w:rPr>
          <w:b/>
          <w:bCs/>
          <w:color w:val="4F2D7F" w:themeColor="accent1"/>
          <w:sz w:val="24"/>
          <w:szCs w:val="24"/>
        </w:rPr>
      </w:pPr>
    </w:p>
    <w:p w:rsidR="002822F5" w:rsidRPr="00712AC3" w:rsidRDefault="00712AC3">
      <w:pPr>
        <w:spacing w:after="0" w:line="240" w:lineRule="auto"/>
        <w:rPr>
          <w:b/>
          <w:bCs/>
          <w:color w:val="4F2D7F" w:themeColor="accent1"/>
          <w:sz w:val="24"/>
          <w:szCs w:val="24"/>
        </w:rPr>
      </w:pPr>
      <w:r w:rsidRPr="00712AC3">
        <w:rPr>
          <w:b/>
          <w:bCs/>
          <w:color w:val="4F2D7F" w:themeColor="accent1"/>
          <w:sz w:val="24"/>
          <w:szCs w:val="24"/>
        </w:rPr>
        <w:lastRenderedPageBreak/>
        <w:t>OSCR considerations</w:t>
      </w:r>
    </w:p>
    <w:p w:rsidR="00712AC3" w:rsidRDefault="00712AC3">
      <w:pPr>
        <w:spacing w:after="0" w:line="240" w:lineRule="auto"/>
        <w:rPr>
          <w:sz w:val="24"/>
          <w:szCs w:val="24"/>
        </w:rPr>
      </w:pPr>
    </w:p>
    <w:p w:rsidR="00712AC3" w:rsidRPr="00CF5271" w:rsidRDefault="00E26D0D" w:rsidP="00712AC3">
      <w:pPr>
        <w:rPr>
          <w:sz w:val="24"/>
          <w:szCs w:val="24"/>
        </w:rPr>
      </w:pPr>
      <w:r>
        <w:rPr>
          <w:sz w:val="24"/>
          <w:szCs w:val="24"/>
        </w:rPr>
        <w:t>There are a</w:t>
      </w:r>
      <w:r w:rsidR="00712AC3" w:rsidRPr="00CF5271">
        <w:rPr>
          <w:sz w:val="24"/>
          <w:szCs w:val="24"/>
        </w:rPr>
        <w:t xml:space="preserve"> number of observations we have made which may be further considered within the OSCR review and so therefore have not raised any recommen</w:t>
      </w:r>
      <w:r w:rsidR="002A0E5C">
        <w:rPr>
          <w:sz w:val="24"/>
          <w:szCs w:val="24"/>
        </w:rPr>
        <w:t>dations but we would highlight:</w:t>
      </w:r>
    </w:p>
    <w:p w:rsidR="00712AC3" w:rsidRPr="00CF5271" w:rsidRDefault="00712AC3" w:rsidP="00646C90">
      <w:pPr>
        <w:pStyle w:val="ListParagraph"/>
        <w:numPr>
          <w:ilvl w:val="0"/>
          <w:numId w:val="23"/>
        </w:numPr>
        <w:rPr>
          <w:sz w:val="24"/>
          <w:szCs w:val="24"/>
        </w:rPr>
      </w:pPr>
      <w:r w:rsidRPr="00CF5271">
        <w:rPr>
          <w:sz w:val="24"/>
          <w:szCs w:val="24"/>
        </w:rPr>
        <w:t>Within the NHS Board meeting minutes there is no declaration of interests from Non-Executives in respect of outlining their role and responsibility as Trustees of the Endowment Fund so it is unclear how potential conflicts of interest are managed.</w:t>
      </w:r>
    </w:p>
    <w:p w:rsidR="00712AC3" w:rsidRPr="00CF5271" w:rsidRDefault="00712AC3" w:rsidP="00712AC3">
      <w:pPr>
        <w:pStyle w:val="ListParagraph"/>
        <w:ind w:left="766"/>
        <w:rPr>
          <w:sz w:val="24"/>
          <w:szCs w:val="24"/>
        </w:rPr>
      </w:pPr>
    </w:p>
    <w:p w:rsidR="00712AC3" w:rsidRPr="00CF5271" w:rsidRDefault="00712AC3" w:rsidP="00646C90">
      <w:pPr>
        <w:pStyle w:val="ListParagraph"/>
        <w:numPr>
          <w:ilvl w:val="0"/>
          <w:numId w:val="23"/>
        </w:numPr>
        <w:rPr>
          <w:sz w:val="24"/>
          <w:szCs w:val="24"/>
        </w:rPr>
      </w:pPr>
      <w:r w:rsidRPr="00CF5271">
        <w:rPr>
          <w:sz w:val="24"/>
          <w:szCs w:val="24"/>
        </w:rPr>
        <w:t>In most cases the meeting of the Endowment Fund Committee preceded a meeting of the NHS Board.  Whilst we recognise this was a practical arrangement taking into account Non-Executives time it did contribute to the differing lines of responsibility and governance being blurred.  In addition, a time constraint on the meeting of the Endowment Fund at times was noted as another session was planned in, so in one case the meeting of the Endowment Fund was restricted to 45 minutes for what looked a sizeable agenda and may be an example of the NHS Board reducing time to consider endowment decisions.</w:t>
      </w:r>
    </w:p>
    <w:p w:rsidR="00712AC3" w:rsidRPr="00CF5271" w:rsidRDefault="00712AC3" w:rsidP="00712AC3">
      <w:pPr>
        <w:pStyle w:val="ListParagraph"/>
        <w:rPr>
          <w:sz w:val="24"/>
          <w:szCs w:val="24"/>
        </w:rPr>
      </w:pPr>
    </w:p>
    <w:p w:rsidR="00712AC3" w:rsidRPr="00CF5271" w:rsidRDefault="00712AC3" w:rsidP="00646C90">
      <w:pPr>
        <w:pStyle w:val="ListParagraph"/>
        <w:numPr>
          <w:ilvl w:val="0"/>
          <w:numId w:val="23"/>
        </w:numPr>
        <w:rPr>
          <w:sz w:val="24"/>
          <w:szCs w:val="24"/>
        </w:rPr>
      </w:pPr>
      <w:r w:rsidRPr="00CF5271">
        <w:rPr>
          <w:sz w:val="24"/>
          <w:szCs w:val="24"/>
        </w:rPr>
        <w:t xml:space="preserve">The advice requested and provided by the CLO was requested by the </w:t>
      </w:r>
      <w:r>
        <w:rPr>
          <w:sz w:val="24"/>
          <w:szCs w:val="24"/>
        </w:rPr>
        <w:t xml:space="preserve">Assistant </w:t>
      </w:r>
      <w:r w:rsidRPr="00CF5271">
        <w:rPr>
          <w:sz w:val="24"/>
          <w:szCs w:val="24"/>
        </w:rPr>
        <w:t xml:space="preserve"> Director of Finance on behalf of the NHS Board and not necessarily from the perspective of the Trustees and discharging their responsibilities </w:t>
      </w:r>
    </w:p>
    <w:p w:rsidR="00712AC3" w:rsidRPr="00CF5271" w:rsidRDefault="00712AC3" w:rsidP="00712AC3">
      <w:pPr>
        <w:pStyle w:val="ListParagraph"/>
        <w:rPr>
          <w:sz w:val="24"/>
          <w:szCs w:val="24"/>
        </w:rPr>
      </w:pPr>
    </w:p>
    <w:p w:rsidR="00712AC3" w:rsidRPr="00CF5271" w:rsidRDefault="00712AC3" w:rsidP="00646C90">
      <w:pPr>
        <w:pStyle w:val="ListParagraph"/>
        <w:numPr>
          <w:ilvl w:val="0"/>
          <w:numId w:val="23"/>
        </w:numPr>
        <w:rPr>
          <w:sz w:val="24"/>
          <w:szCs w:val="24"/>
        </w:rPr>
      </w:pPr>
      <w:r w:rsidRPr="00CF5271">
        <w:rPr>
          <w:sz w:val="24"/>
          <w:szCs w:val="24"/>
        </w:rPr>
        <w:t>Internal Audit undertook an internal audit review of endowment arrangements in 2014, and they did this in their capacity as NHS Board Internal Auditors and were not directly appointed internal auditors of the Endowment Fund.  This could give risk to a potential conflict and it was unclear how this was managed or addressed</w:t>
      </w:r>
    </w:p>
    <w:p w:rsidR="00712AC3" w:rsidRPr="00CF5271" w:rsidRDefault="00712AC3" w:rsidP="00712AC3">
      <w:pPr>
        <w:pStyle w:val="ListParagraph"/>
        <w:rPr>
          <w:sz w:val="24"/>
          <w:szCs w:val="24"/>
        </w:rPr>
      </w:pPr>
    </w:p>
    <w:p w:rsidR="002822F5" w:rsidRDefault="00EB3072">
      <w:pPr>
        <w:spacing w:after="0" w:line="240" w:lineRule="auto"/>
        <w:rPr>
          <w:sz w:val="24"/>
          <w:szCs w:val="24"/>
        </w:rPr>
      </w:pPr>
      <w:r>
        <w:rPr>
          <w:sz w:val="24"/>
          <w:szCs w:val="24"/>
        </w:rPr>
        <w:br w:type="page"/>
      </w:r>
    </w:p>
    <w:p w:rsidR="002822F5" w:rsidRDefault="002822F5">
      <w:pPr>
        <w:spacing w:after="0" w:line="240" w:lineRule="auto"/>
        <w:rPr>
          <w:sz w:val="24"/>
          <w:szCs w:val="24"/>
        </w:rPr>
      </w:pPr>
    </w:p>
    <w:p w:rsidR="002822F5" w:rsidRDefault="002822F5">
      <w:pPr>
        <w:spacing w:after="0" w:line="240" w:lineRule="auto"/>
        <w:rPr>
          <w:sz w:val="24"/>
          <w:szCs w:val="24"/>
        </w:rPr>
      </w:pPr>
    </w:p>
    <w:p w:rsidR="00EB3072" w:rsidRPr="00EB3072" w:rsidRDefault="00EB3072" w:rsidP="007B5A1E">
      <w:pPr>
        <w:pStyle w:val="BodyText"/>
        <w:rPr>
          <w:rFonts w:asciiTheme="majorHAnsi" w:hAnsiTheme="majorHAnsi" w:cstheme="majorHAnsi"/>
          <w:b/>
          <w:bCs/>
          <w:color w:val="4F2D7F" w:themeColor="accent1"/>
          <w:kern w:val="32"/>
          <w:sz w:val="44"/>
          <w:szCs w:val="44"/>
        </w:rPr>
      </w:pPr>
      <w:r>
        <w:rPr>
          <w:rFonts w:asciiTheme="majorHAnsi" w:hAnsiTheme="majorHAnsi" w:cstheme="majorHAnsi"/>
          <w:b/>
          <w:bCs/>
          <w:color w:val="4F2D7F" w:themeColor="accent1"/>
          <w:kern w:val="32"/>
          <w:sz w:val="44"/>
          <w:szCs w:val="44"/>
        </w:rPr>
        <w:t xml:space="preserve">NHS Tayside’s </w:t>
      </w:r>
      <w:r w:rsidR="00B66FA9">
        <w:rPr>
          <w:rFonts w:asciiTheme="majorHAnsi" w:hAnsiTheme="majorHAnsi" w:cstheme="majorHAnsi"/>
          <w:b/>
          <w:bCs/>
          <w:color w:val="4F2D7F" w:themeColor="accent1"/>
          <w:kern w:val="32"/>
          <w:sz w:val="44"/>
          <w:szCs w:val="44"/>
        </w:rPr>
        <w:t>financial</w:t>
      </w:r>
      <w:r w:rsidR="00FB6783">
        <w:rPr>
          <w:rFonts w:asciiTheme="majorHAnsi" w:hAnsiTheme="majorHAnsi" w:cstheme="majorHAnsi"/>
          <w:b/>
          <w:bCs/>
          <w:color w:val="4F2D7F" w:themeColor="accent1"/>
          <w:kern w:val="32"/>
          <w:sz w:val="44"/>
          <w:szCs w:val="44"/>
        </w:rPr>
        <w:t xml:space="preserve"> reporting and governance arrangements</w:t>
      </w:r>
    </w:p>
    <w:tbl>
      <w:tblPr>
        <w:tblStyle w:val="GTITableStyle1"/>
        <w:tblW w:w="0" w:type="auto"/>
        <w:tblBorders>
          <w:top w:val="single" w:sz="4" w:space="0" w:color="auto"/>
          <w:left w:val="single" w:sz="4" w:space="0" w:color="auto"/>
          <w:bottom w:val="single" w:sz="4" w:space="0" w:color="auto"/>
          <w:right w:val="single" w:sz="4" w:space="0" w:color="auto"/>
          <w:insideH w:val="none" w:sz="0" w:space="0" w:color="auto"/>
        </w:tblBorders>
        <w:tblLook w:val="04A0"/>
      </w:tblPr>
      <w:tblGrid>
        <w:gridCol w:w="9293"/>
      </w:tblGrid>
      <w:tr w:rsidR="00257468" w:rsidTr="00257468">
        <w:trPr>
          <w:cnfStyle w:val="100000000000"/>
        </w:trPr>
        <w:tc>
          <w:tcPr>
            <w:tcW w:w="929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A0E5C" w:rsidRDefault="00FE5E06" w:rsidP="00FE5E06">
            <w:pPr>
              <w:spacing w:after="0" w:line="240" w:lineRule="auto"/>
              <w:rPr>
                <w:color w:val="auto"/>
                <w:sz w:val="24"/>
                <w:szCs w:val="24"/>
              </w:rPr>
            </w:pPr>
            <w:r>
              <w:rPr>
                <w:sz w:val="24"/>
                <w:szCs w:val="24"/>
              </w:rPr>
              <w:t>Scope of our work</w:t>
            </w:r>
            <w:r w:rsidR="00257468">
              <w:rPr>
                <w:sz w:val="24"/>
                <w:szCs w:val="24"/>
              </w:rPr>
              <w:t xml:space="preserve">:  </w:t>
            </w:r>
            <w:r w:rsidR="000B57B3">
              <w:rPr>
                <w:color w:val="auto"/>
                <w:sz w:val="24"/>
                <w:szCs w:val="24"/>
              </w:rPr>
              <w:t xml:space="preserve">Our work </w:t>
            </w:r>
            <w:r w:rsidR="002A0E5C">
              <w:rPr>
                <w:color w:val="auto"/>
                <w:sz w:val="24"/>
                <w:szCs w:val="24"/>
              </w:rPr>
              <w:t>considered</w:t>
            </w:r>
            <w:r w:rsidR="000B57B3">
              <w:rPr>
                <w:color w:val="auto"/>
                <w:sz w:val="24"/>
                <w:szCs w:val="24"/>
              </w:rPr>
              <w:t xml:space="preserve"> NHS Tayside’s financial governance arrangements</w:t>
            </w:r>
            <w:r w:rsidR="002A0E5C">
              <w:rPr>
                <w:color w:val="auto"/>
                <w:sz w:val="24"/>
                <w:szCs w:val="24"/>
              </w:rPr>
              <w:t>,</w:t>
            </w:r>
            <w:r w:rsidR="000B57B3">
              <w:rPr>
                <w:color w:val="auto"/>
                <w:sz w:val="24"/>
                <w:szCs w:val="24"/>
              </w:rPr>
              <w:t xml:space="preserve"> in particular considering the clarity of reporting of the ongoing financial position to the Finance and Resources Committee and the NHS Board in </w:t>
            </w:r>
            <w:r w:rsidR="002A0E5C">
              <w:rPr>
                <w:color w:val="auto"/>
                <w:sz w:val="24"/>
                <w:szCs w:val="24"/>
              </w:rPr>
              <w:t>2013/14</w:t>
            </w:r>
            <w:r w:rsidR="000B57B3">
              <w:rPr>
                <w:color w:val="auto"/>
                <w:sz w:val="24"/>
                <w:szCs w:val="24"/>
              </w:rPr>
              <w:t xml:space="preserve">. </w:t>
            </w:r>
          </w:p>
          <w:p w:rsidR="002A0E5C" w:rsidRDefault="002A0E5C" w:rsidP="00FE5E06">
            <w:pPr>
              <w:spacing w:after="0" w:line="240" w:lineRule="auto"/>
              <w:rPr>
                <w:color w:val="auto"/>
                <w:sz w:val="24"/>
                <w:szCs w:val="24"/>
              </w:rPr>
            </w:pPr>
          </w:p>
          <w:p w:rsidR="000B57B3" w:rsidRDefault="000B57B3" w:rsidP="00FE5E06">
            <w:pPr>
              <w:spacing w:after="0" w:line="240" w:lineRule="auto"/>
              <w:rPr>
                <w:color w:val="auto"/>
                <w:sz w:val="24"/>
                <w:szCs w:val="24"/>
              </w:rPr>
            </w:pPr>
            <w:r>
              <w:rPr>
                <w:color w:val="auto"/>
                <w:sz w:val="24"/>
                <w:szCs w:val="24"/>
              </w:rPr>
              <w:t xml:space="preserve">Linked to financial governance, we have considered the work of internal audit in relation to the Board’s financial management arrangements and how internal audit reports were reported, and the how the implementation of the agreed internal audit actions were monitored.  </w:t>
            </w:r>
          </w:p>
          <w:p w:rsidR="000B57B3" w:rsidRDefault="000B57B3" w:rsidP="00FE5E06">
            <w:pPr>
              <w:spacing w:after="0" w:line="240" w:lineRule="auto"/>
              <w:rPr>
                <w:color w:val="auto"/>
                <w:sz w:val="24"/>
                <w:szCs w:val="24"/>
              </w:rPr>
            </w:pPr>
          </w:p>
          <w:p w:rsidR="00FE5E06" w:rsidRDefault="000B57B3" w:rsidP="00FE5E06">
            <w:pPr>
              <w:spacing w:after="0" w:line="240" w:lineRule="auto"/>
              <w:rPr>
                <w:sz w:val="24"/>
                <w:szCs w:val="24"/>
              </w:rPr>
            </w:pPr>
            <w:r>
              <w:rPr>
                <w:color w:val="auto"/>
                <w:sz w:val="24"/>
                <w:szCs w:val="24"/>
              </w:rPr>
              <w:t>In addition, we considered the revised controls established by Management relating to the historic deferred expenditure position and how this ba</w:t>
            </w:r>
            <w:r w:rsidR="002A0E5C">
              <w:rPr>
                <w:color w:val="auto"/>
                <w:sz w:val="24"/>
                <w:szCs w:val="24"/>
              </w:rPr>
              <w:t xml:space="preserve">lance had been assessed and is </w:t>
            </w:r>
            <w:r>
              <w:rPr>
                <w:color w:val="auto"/>
                <w:sz w:val="24"/>
                <w:szCs w:val="24"/>
              </w:rPr>
              <w:t>now supported by financial plans</w:t>
            </w:r>
            <w:r w:rsidR="002A0E5C">
              <w:rPr>
                <w:color w:val="auto"/>
                <w:sz w:val="24"/>
                <w:szCs w:val="24"/>
              </w:rPr>
              <w:t>, alongside tighter controls to reduce the risk of the situation with eHealth funds occurring in the future</w:t>
            </w:r>
            <w:r>
              <w:rPr>
                <w:color w:val="auto"/>
                <w:sz w:val="24"/>
                <w:szCs w:val="24"/>
              </w:rPr>
              <w:t xml:space="preserve">.  </w:t>
            </w:r>
          </w:p>
          <w:p w:rsidR="00E165DB" w:rsidRDefault="001A4A71" w:rsidP="00257468">
            <w:pPr>
              <w:spacing w:after="0" w:line="240" w:lineRule="auto"/>
              <w:rPr>
                <w:sz w:val="24"/>
                <w:szCs w:val="24"/>
              </w:rPr>
            </w:pPr>
            <w:r>
              <w:rPr>
                <w:color w:val="auto"/>
                <w:sz w:val="24"/>
                <w:szCs w:val="24"/>
              </w:rPr>
              <w:t xml:space="preserve"> </w:t>
            </w:r>
          </w:p>
        </w:tc>
      </w:tr>
    </w:tbl>
    <w:p w:rsidR="00583B04" w:rsidRDefault="00583B04" w:rsidP="00257468">
      <w:pPr>
        <w:pStyle w:val="BodyText"/>
        <w:rPr>
          <w:b/>
          <w:color w:val="4F2D7F" w:themeColor="accent1"/>
          <w:sz w:val="24"/>
          <w:szCs w:val="24"/>
        </w:rPr>
      </w:pPr>
    </w:p>
    <w:p w:rsidR="00A504AD" w:rsidRPr="00A568CE" w:rsidRDefault="002A0E5C" w:rsidP="00A504AD">
      <w:pPr>
        <w:rPr>
          <w:sz w:val="24"/>
          <w:szCs w:val="24"/>
        </w:rPr>
      </w:pPr>
      <w:r>
        <w:rPr>
          <w:sz w:val="24"/>
          <w:szCs w:val="24"/>
        </w:rPr>
        <w:t>All NHS Boards are</w:t>
      </w:r>
      <w:r w:rsidR="00A504AD">
        <w:rPr>
          <w:sz w:val="24"/>
          <w:szCs w:val="24"/>
        </w:rPr>
        <w:t xml:space="preserve"> set</w:t>
      </w:r>
      <w:r w:rsidR="00A504AD" w:rsidRPr="008C3D25">
        <w:rPr>
          <w:sz w:val="24"/>
          <w:szCs w:val="24"/>
        </w:rPr>
        <w:t xml:space="preserve"> a revenue resource limit (RRL) by the </w:t>
      </w:r>
      <w:r w:rsidR="00A504AD" w:rsidRPr="00A568CE">
        <w:rPr>
          <w:sz w:val="24"/>
          <w:szCs w:val="24"/>
        </w:rPr>
        <w:t>SGHSCD at the start of the year.  The RRL is not income it is an operating</w:t>
      </w:r>
      <w:r w:rsidR="00A504AD">
        <w:rPr>
          <w:sz w:val="24"/>
          <w:szCs w:val="24"/>
        </w:rPr>
        <w:t xml:space="preserve"> expenditure</w:t>
      </w:r>
      <w:r w:rsidR="00A504AD" w:rsidRPr="00A568CE">
        <w:rPr>
          <w:sz w:val="24"/>
          <w:szCs w:val="24"/>
        </w:rPr>
        <w:t xml:space="preserve"> target set by SGHSCD</w:t>
      </w:r>
      <w:r w:rsidR="00916016">
        <w:rPr>
          <w:sz w:val="24"/>
          <w:szCs w:val="24"/>
        </w:rPr>
        <w:t xml:space="preserve"> </w:t>
      </w:r>
      <w:r w:rsidR="00A504AD">
        <w:rPr>
          <w:sz w:val="24"/>
          <w:szCs w:val="24"/>
        </w:rPr>
        <w:t xml:space="preserve">and represents an amount </w:t>
      </w:r>
      <w:r w:rsidR="00A504AD" w:rsidRPr="00A568CE">
        <w:rPr>
          <w:sz w:val="24"/>
          <w:szCs w:val="24"/>
        </w:rPr>
        <w:t>which the NHS Board can spend up to, but should not exceed</w:t>
      </w:r>
      <w:r w:rsidR="00916016">
        <w:rPr>
          <w:sz w:val="24"/>
          <w:szCs w:val="24"/>
        </w:rPr>
        <w:t>,</w:t>
      </w:r>
      <w:r w:rsidR="00A504AD" w:rsidRPr="00A568CE">
        <w:rPr>
          <w:sz w:val="24"/>
          <w:szCs w:val="24"/>
        </w:rPr>
        <w:t xml:space="preserve"> in order to meet the statutory target of financial break-even at year end.  </w:t>
      </w:r>
    </w:p>
    <w:p w:rsidR="00A504AD" w:rsidRPr="00FE5E06" w:rsidRDefault="00A504AD" w:rsidP="00A504AD">
      <w:pPr>
        <w:autoSpaceDE w:val="0"/>
        <w:autoSpaceDN w:val="0"/>
        <w:adjustRightInd w:val="0"/>
        <w:spacing w:after="0" w:line="240" w:lineRule="auto"/>
        <w:rPr>
          <w:sz w:val="24"/>
          <w:szCs w:val="24"/>
        </w:rPr>
      </w:pPr>
      <w:r w:rsidRPr="00FE5E06">
        <w:rPr>
          <w:sz w:val="24"/>
          <w:szCs w:val="24"/>
        </w:rPr>
        <w:t>During the course of any financial year, NHS Tayside, along wit</w:t>
      </w:r>
      <w:r w:rsidR="00916016">
        <w:rPr>
          <w:sz w:val="24"/>
          <w:szCs w:val="24"/>
        </w:rPr>
        <w:t>h all other NHS Boards, will receive</w:t>
      </w:r>
      <w:r w:rsidRPr="00FE5E06">
        <w:rPr>
          <w:sz w:val="24"/>
          <w:szCs w:val="24"/>
        </w:rPr>
        <w:t xml:space="preserve"> a number of financial allocations from SGHSCD in addition to</w:t>
      </w:r>
      <w:r w:rsidR="00916016">
        <w:rPr>
          <w:sz w:val="24"/>
          <w:szCs w:val="24"/>
        </w:rPr>
        <w:t xml:space="preserve"> the baseline RRL set</w:t>
      </w:r>
      <w:r w:rsidRPr="00FE5E06">
        <w:rPr>
          <w:sz w:val="24"/>
          <w:szCs w:val="24"/>
        </w:rPr>
        <w:t xml:space="preserve"> at the start of the </w:t>
      </w:r>
      <w:r w:rsidR="00916016">
        <w:rPr>
          <w:sz w:val="24"/>
          <w:szCs w:val="24"/>
        </w:rPr>
        <w:t xml:space="preserve">financial year.  These additional RRL allocations typically have certain health policy priorities/outcomes attached to them for the NHS Board to deliver.  </w:t>
      </w:r>
    </w:p>
    <w:p w:rsidR="00A504AD" w:rsidRPr="00FE5E06" w:rsidRDefault="00A504AD" w:rsidP="00A504AD">
      <w:pPr>
        <w:autoSpaceDE w:val="0"/>
        <w:autoSpaceDN w:val="0"/>
        <w:adjustRightInd w:val="0"/>
        <w:spacing w:after="0" w:line="240" w:lineRule="auto"/>
        <w:rPr>
          <w:sz w:val="24"/>
          <w:szCs w:val="24"/>
        </w:rPr>
      </w:pPr>
    </w:p>
    <w:p w:rsidR="00A504AD" w:rsidRPr="00FE5E06" w:rsidRDefault="00916016" w:rsidP="00A504AD">
      <w:pPr>
        <w:autoSpaceDE w:val="0"/>
        <w:autoSpaceDN w:val="0"/>
        <w:adjustRightInd w:val="0"/>
        <w:spacing w:after="0" w:line="240" w:lineRule="auto"/>
        <w:rPr>
          <w:sz w:val="24"/>
          <w:szCs w:val="24"/>
        </w:rPr>
      </w:pPr>
      <w:r>
        <w:rPr>
          <w:sz w:val="24"/>
          <w:szCs w:val="24"/>
        </w:rPr>
        <w:t>Depending on when in the financial year the additional RRL is received</w:t>
      </w:r>
      <w:r w:rsidR="00A504AD" w:rsidRPr="00FE5E06">
        <w:rPr>
          <w:sz w:val="24"/>
          <w:szCs w:val="24"/>
        </w:rPr>
        <w:t xml:space="preserve"> it can be difficult to incur </w:t>
      </w:r>
      <w:r>
        <w:rPr>
          <w:sz w:val="24"/>
          <w:szCs w:val="24"/>
        </w:rPr>
        <w:t xml:space="preserve">the </w:t>
      </w:r>
      <w:r w:rsidR="00A504AD" w:rsidRPr="00FE5E06">
        <w:rPr>
          <w:sz w:val="24"/>
          <w:szCs w:val="24"/>
        </w:rPr>
        <w:t xml:space="preserve">expenditure to match the allocation in-year and therefore the </w:t>
      </w:r>
      <w:r>
        <w:rPr>
          <w:sz w:val="24"/>
          <w:szCs w:val="24"/>
        </w:rPr>
        <w:t xml:space="preserve">expenditure may not be incurred.  Where this happens the expenditure is </w:t>
      </w:r>
      <w:r w:rsidR="00A504AD" w:rsidRPr="00FE5E06">
        <w:rPr>
          <w:sz w:val="24"/>
          <w:szCs w:val="24"/>
        </w:rPr>
        <w:t xml:space="preserve">deferred to the following year, with the associated expenditure being built into the financial plan for </w:t>
      </w:r>
      <w:r>
        <w:rPr>
          <w:sz w:val="24"/>
          <w:szCs w:val="24"/>
        </w:rPr>
        <w:t xml:space="preserve">therefore </w:t>
      </w:r>
      <w:r w:rsidR="00A504AD" w:rsidRPr="00FE5E06">
        <w:rPr>
          <w:sz w:val="24"/>
          <w:szCs w:val="24"/>
        </w:rPr>
        <w:t xml:space="preserve">recognising the Board’s </w:t>
      </w:r>
      <w:r>
        <w:rPr>
          <w:sz w:val="24"/>
          <w:szCs w:val="24"/>
        </w:rPr>
        <w:t xml:space="preserve">planned </w:t>
      </w:r>
      <w:r w:rsidR="00A504AD" w:rsidRPr="00FE5E06">
        <w:rPr>
          <w:sz w:val="24"/>
          <w:szCs w:val="24"/>
        </w:rPr>
        <w:t xml:space="preserve">commitment to incur the expenditure.  </w:t>
      </w:r>
    </w:p>
    <w:p w:rsidR="00A504AD" w:rsidRPr="00FE5E06" w:rsidRDefault="00A504AD" w:rsidP="00A504AD">
      <w:pPr>
        <w:autoSpaceDE w:val="0"/>
        <w:autoSpaceDN w:val="0"/>
        <w:adjustRightInd w:val="0"/>
        <w:spacing w:after="0" w:line="240" w:lineRule="auto"/>
        <w:rPr>
          <w:sz w:val="24"/>
          <w:szCs w:val="24"/>
        </w:rPr>
      </w:pPr>
    </w:p>
    <w:p w:rsidR="00916016" w:rsidRDefault="00916016" w:rsidP="00A504AD">
      <w:pPr>
        <w:autoSpaceDE w:val="0"/>
        <w:autoSpaceDN w:val="0"/>
        <w:adjustRightInd w:val="0"/>
        <w:spacing w:after="0" w:line="240" w:lineRule="auto"/>
        <w:rPr>
          <w:sz w:val="24"/>
          <w:szCs w:val="24"/>
        </w:rPr>
      </w:pPr>
      <w:r>
        <w:rPr>
          <w:sz w:val="24"/>
          <w:szCs w:val="24"/>
        </w:rPr>
        <w:t xml:space="preserve">Historically </w:t>
      </w:r>
      <w:r w:rsidR="00A504AD" w:rsidRPr="00FE5E06">
        <w:rPr>
          <w:sz w:val="24"/>
          <w:szCs w:val="24"/>
        </w:rPr>
        <w:t xml:space="preserve">NHS Tayside’s financial plan has </w:t>
      </w:r>
      <w:r>
        <w:rPr>
          <w:sz w:val="24"/>
          <w:szCs w:val="24"/>
        </w:rPr>
        <w:t>factored in assumptions over the</w:t>
      </w:r>
      <w:r w:rsidR="00A504AD" w:rsidRPr="00FE5E06">
        <w:rPr>
          <w:sz w:val="24"/>
          <w:szCs w:val="24"/>
        </w:rPr>
        <w:t xml:space="preserve"> level of deferred spend.  In effect earmarked commitments are being used as a form of internal financial flexibility, with the deferred commitments requiring to be funded from alloca</w:t>
      </w:r>
      <w:r w:rsidR="00245387">
        <w:rPr>
          <w:sz w:val="24"/>
          <w:szCs w:val="24"/>
        </w:rPr>
        <w:t>tions made in the following year</w:t>
      </w:r>
      <w:r w:rsidR="00A504AD" w:rsidRPr="00FE5E06">
        <w:rPr>
          <w:sz w:val="24"/>
          <w:szCs w:val="24"/>
        </w:rPr>
        <w:t xml:space="preserve">. </w:t>
      </w:r>
    </w:p>
    <w:p w:rsidR="00916016" w:rsidRDefault="00916016" w:rsidP="00A504AD">
      <w:pPr>
        <w:autoSpaceDE w:val="0"/>
        <w:autoSpaceDN w:val="0"/>
        <w:adjustRightInd w:val="0"/>
        <w:spacing w:after="0" w:line="240" w:lineRule="auto"/>
        <w:rPr>
          <w:sz w:val="24"/>
          <w:szCs w:val="24"/>
        </w:rPr>
      </w:pPr>
    </w:p>
    <w:p w:rsidR="00A504AD" w:rsidRPr="00FE5E06" w:rsidRDefault="00A504AD" w:rsidP="00A504AD">
      <w:pPr>
        <w:autoSpaceDE w:val="0"/>
        <w:autoSpaceDN w:val="0"/>
        <w:adjustRightInd w:val="0"/>
        <w:spacing w:after="0" w:line="240" w:lineRule="auto"/>
        <w:rPr>
          <w:sz w:val="24"/>
          <w:szCs w:val="24"/>
        </w:rPr>
      </w:pPr>
      <w:r w:rsidRPr="00FE5E06">
        <w:rPr>
          <w:sz w:val="24"/>
          <w:szCs w:val="24"/>
        </w:rPr>
        <w:t>The practice of deferring expenditure relating to SGHSCD allocations has been a recurring feature of the NHS Tayside budget setting process.</w:t>
      </w:r>
      <w:r w:rsidR="00916016">
        <w:rPr>
          <w:sz w:val="24"/>
          <w:szCs w:val="24"/>
        </w:rPr>
        <w:t xml:space="preserve">  It is acknowledged in the NHS Tayside Assurance and Advisory Group Staging Report June 2017 that without this approach to deferred expenditure and other non-recurring savings, NHS Tayside would have required additional financial support from SGHSCD.  </w:t>
      </w:r>
    </w:p>
    <w:p w:rsidR="00A504AD" w:rsidRPr="00FE5E06" w:rsidRDefault="00A504AD" w:rsidP="00A504AD">
      <w:pPr>
        <w:autoSpaceDE w:val="0"/>
        <w:autoSpaceDN w:val="0"/>
        <w:adjustRightInd w:val="0"/>
        <w:spacing w:after="0" w:line="240" w:lineRule="auto"/>
        <w:rPr>
          <w:sz w:val="24"/>
          <w:szCs w:val="24"/>
        </w:rPr>
      </w:pPr>
    </w:p>
    <w:p w:rsidR="00A504AD" w:rsidRPr="00FE5E06" w:rsidRDefault="00916016" w:rsidP="00A504AD">
      <w:pPr>
        <w:autoSpaceDE w:val="0"/>
        <w:autoSpaceDN w:val="0"/>
        <w:adjustRightInd w:val="0"/>
        <w:spacing w:after="0" w:line="240" w:lineRule="auto"/>
        <w:rPr>
          <w:sz w:val="24"/>
          <w:szCs w:val="24"/>
        </w:rPr>
      </w:pPr>
      <w:r>
        <w:rPr>
          <w:sz w:val="24"/>
          <w:szCs w:val="24"/>
        </w:rPr>
        <w:t>NHS Tayside’s</w:t>
      </w:r>
      <w:r w:rsidR="00A504AD" w:rsidRPr="00FE5E06">
        <w:rPr>
          <w:sz w:val="24"/>
          <w:szCs w:val="24"/>
        </w:rPr>
        <w:t xml:space="preserve"> fin</w:t>
      </w:r>
      <w:r>
        <w:rPr>
          <w:sz w:val="24"/>
          <w:szCs w:val="24"/>
        </w:rPr>
        <w:t xml:space="preserve">ancial strategy did include year on year </w:t>
      </w:r>
      <w:r w:rsidR="00A504AD" w:rsidRPr="00FE5E06">
        <w:rPr>
          <w:sz w:val="24"/>
          <w:szCs w:val="24"/>
        </w:rPr>
        <w:t>planned reduction</w:t>
      </w:r>
      <w:r>
        <w:rPr>
          <w:sz w:val="24"/>
          <w:szCs w:val="24"/>
        </w:rPr>
        <w:t>s in the</w:t>
      </w:r>
      <w:r w:rsidR="00A504AD" w:rsidRPr="00FE5E06">
        <w:rPr>
          <w:sz w:val="24"/>
          <w:szCs w:val="24"/>
        </w:rPr>
        <w:t xml:space="preserve"> levels of deferred expenditure.  </w:t>
      </w:r>
      <w:r>
        <w:rPr>
          <w:sz w:val="24"/>
          <w:szCs w:val="24"/>
        </w:rPr>
        <w:t>However, whilst</w:t>
      </w:r>
      <w:r w:rsidR="00A504AD" w:rsidRPr="00FE5E06">
        <w:rPr>
          <w:sz w:val="24"/>
          <w:szCs w:val="24"/>
        </w:rPr>
        <w:t xml:space="preserve"> t</w:t>
      </w:r>
      <w:r>
        <w:rPr>
          <w:sz w:val="24"/>
          <w:szCs w:val="24"/>
        </w:rPr>
        <w:t>here was a reduction between 2012/13 and 2017/18</w:t>
      </w:r>
      <w:r w:rsidR="00A504AD" w:rsidRPr="00FE5E06">
        <w:rPr>
          <w:sz w:val="24"/>
          <w:szCs w:val="24"/>
        </w:rPr>
        <w:t>, the level of reduction was consistently behind the plan established</w:t>
      </w:r>
      <w:r>
        <w:rPr>
          <w:sz w:val="24"/>
          <w:szCs w:val="24"/>
        </w:rPr>
        <w:t xml:space="preserve"> by NHS Tayside</w:t>
      </w:r>
      <w:r w:rsidR="00A504AD" w:rsidRPr="00FE5E06">
        <w:rPr>
          <w:sz w:val="24"/>
          <w:szCs w:val="24"/>
        </w:rPr>
        <w:t xml:space="preserve">.  </w:t>
      </w:r>
    </w:p>
    <w:p w:rsidR="00A504AD" w:rsidRPr="00FE5E06" w:rsidRDefault="00A504AD" w:rsidP="00A504AD">
      <w:pPr>
        <w:autoSpaceDE w:val="0"/>
        <w:autoSpaceDN w:val="0"/>
        <w:adjustRightInd w:val="0"/>
        <w:spacing w:after="0" w:line="240" w:lineRule="auto"/>
        <w:rPr>
          <w:sz w:val="24"/>
          <w:szCs w:val="24"/>
        </w:rPr>
      </w:pPr>
    </w:p>
    <w:p w:rsidR="00A504AD" w:rsidRPr="00FE5E06" w:rsidRDefault="00A504AD" w:rsidP="00A504AD">
      <w:pPr>
        <w:autoSpaceDE w:val="0"/>
        <w:autoSpaceDN w:val="0"/>
        <w:adjustRightInd w:val="0"/>
        <w:spacing w:after="0" w:line="240" w:lineRule="auto"/>
        <w:rPr>
          <w:sz w:val="24"/>
          <w:szCs w:val="24"/>
        </w:rPr>
      </w:pPr>
      <w:r w:rsidRPr="00FE5E06">
        <w:rPr>
          <w:sz w:val="24"/>
          <w:szCs w:val="24"/>
        </w:rPr>
        <w:t xml:space="preserve">The table below shows the impact over time that the built up deferred expenditure </w:t>
      </w:r>
      <w:r w:rsidR="00916016">
        <w:rPr>
          <w:sz w:val="24"/>
          <w:szCs w:val="24"/>
        </w:rPr>
        <w:t>balances have had on NHS Tayside’s</w:t>
      </w:r>
      <w:r w:rsidRPr="00FE5E06">
        <w:rPr>
          <w:sz w:val="24"/>
          <w:szCs w:val="24"/>
        </w:rPr>
        <w:t xml:space="preserve"> underlying financial position (excluding any adjustments for the eHealth monies NHS Tayside were holding).  </w:t>
      </w:r>
    </w:p>
    <w:p w:rsidR="00177321" w:rsidRDefault="00177321" w:rsidP="00A504AD">
      <w:pPr>
        <w:pStyle w:val="BodyText"/>
        <w:rPr>
          <w:sz w:val="24"/>
          <w:szCs w:val="24"/>
        </w:rPr>
      </w:pPr>
    </w:p>
    <w:p w:rsidR="00A504AD" w:rsidRPr="003D5484" w:rsidRDefault="003139A6" w:rsidP="00A504AD">
      <w:pPr>
        <w:pStyle w:val="BodyText"/>
        <w:rPr>
          <w:b/>
          <w:sz w:val="22"/>
          <w:szCs w:val="22"/>
        </w:rPr>
      </w:pPr>
      <w:r w:rsidRPr="003D5484">
        <w:rPr>
          <w:b/>
          <w:sz w:val="22"/>
          <w:szCs w:val="22"/>
        </w:rPr>
        <w:t>Table 1</w:t>
      </w:r>
      <w:r w:rsidR="00A504AD" w:rsidRPr="003D5484">
        <w:rPr>
          <w:b/>
          <w:sz w:val="22"/>
          <w:szCs w:val="22"/>
        </w:rPr>
        <w:t>: Underlying financial performance:</w:t>
      </w:r>
    </w:p>
    <w:tbl>
      <w:tblPr>
        <w:tblStyle w:val="GridTable4Accent1"/>
        <w:tblW w:w="9072" w:type="dxa"/>
        <w:tblInd w:w="279" w:type="dxa"/>
        <w:tblLook w:val="04A0"/>
      </w:tblPr>
      <w:tblGrid>
        <w:gridCol w:w="2693"/>
        <w:gridCol w:w="1701"/>
        <w:gridCol w:w="1559"/>
        <w:gridCol w:w="1560"/>
        <w:gridCol w:w="1559"/>
      </w:tblGrid>
      <w:tr w:rsidR="00A504AD" w:rsidRPr="00245387" w:rsidTr="00245387">
        <w:trPr>
          <w:cnfStyle w:val="100000000000"/>
        </w:trPr>
        <w:tc>
          <w:tcPr>
            <w:cnfStyle w:val="001000000000"/>
            <w:tcW w:w="2693" w:type="dxa"/>
          </w:tcPr>
          <w:p w:rsidR="00A504AD" w:rsidRPr="00245387" w:rsidRDefault="00A504AD" w:rsidP="00257468">
            <w:pPr>
              <w:pStyle w:val="BodyText"/>
              <w:rPr>
                <w:rFonts w:cstheme="minorHAnsi"/>
                <w:sz w:val="20"/>
              </w:rPr>
            </w:pPr>
          </w:p>
        </w:tc>
        <w:tc>
          <w:tcPr>
            <w:tcW w:w="1701" w:type="dxa"/>
          </w:tcPr>
          <w:p w:rsidR="00A504AD" w:rsidRPr="00245387" w:rsidRDefault="00A504AD" w:rsidP="00257468">
            <w:pPr>
              <w:pStyle w:val="BodyText"/>
              <w:cnfStyle w:val="100000000000"/>
              <w:rPr>
                <w:rFonts w:cstheme="minorHAnsi"/>
                <w:sz w:val="20"/>
              </w:rPr>
            </w:pPr>
            <w:r w:rsidRPr="00245387">
              <w:rPr>
                <w:rFonts w:cstheme="minorHAnsi"/>
                <w:sz w:val="20"/>
              </w:rPr>
              <w:t>Deferred Expenditure balance</w:t>
            </w:r>
            <w:r w:rsidR="003D5484" w:rsidRPr="00245387">
              <w:rPr>
                <w:rFonts w:cstheme="minorHAnsi"/>
                <w:sz w:val="20"/>
              </w:rPr>
              <w:t>*</w:t>
            </w:r>
          </w:p>
          <w:p w:rsidR="00A504AD" w:rsidRPr="00245387" w:rsidRDefault="00A504AD" w:rsidP="00257468">
            <w:pPr>
              <w:pStyle w:val="BodyText"/>
              <w:cnfStyle w:val="100000000000"/>
              <w:rPr>
                <w:rFonts w:cstheme="minorHAnsi"/>
                <w:sz w:val="20"/>
              </w:rPr>
            </w:pPr>
            <w:r w:rsidRPr="00245387">
              <w:rPr>
                <w:rFonts w:cstheme="minorHAnsi"/>
                <w:sz w:val="20"/>
              </w:rPr>
              <w:t>(£ million)</w:t>
            </w:r>
          </w:p>
        </w:tc>
        <w:tc>
          <w:tcPr>
            <w:tcW w:w="1559" w:type="dxa"/>
          </w:tcPr>
          <w:p w:rsidR="00A504AD" w:rsidRPr="00245387" w:rsidRDefault="00A504AD" w:rsidP="00257468">
            <w:pPr>
              <w:pStyle w:val="BodyText"/>
              <w:cnfStyle w:val="100000000000"/>
              <w:rPr>
                <w:rFonts w:cstheme="minorHAnsi"/>
                <w:sz w:val="20"/>
              </w:rPr>
            </w:pPr>
            <w:r w:rsidRPr="00245387">
              <w:rPr>
                <w:rFonts w:cstheme="minorHAnsi"/>
                <w:sz w:val="20"/>
              </w:rPr>
              <w:t>Original plan</w:t>
            </w:r>
            <w:r w:rsidR="003D5484" w:rsidRPr="00245387">
              <w:rPr>
                <w:rFonts w:cstheme="minorHAnsi"/>
                <w:sz w:val="20"/>
              </w:rPr>
              <w:t>*</w:t>
            </w:r>
          </w:p>
          <w:p w:rsidR="00A504AD" w:rsidRPr="00245387" w:rsidRDefault="00A504AD" w:rsidP="00257468">
            <w:pPr>
              <w:pStyle w:val="BodyText"/>
              <w:cnfStyle w:val="100000000000"/>
              <w:rPr>
                <w:rFonts w:cstheme="minorHAnsi"/>
                <w:sz w:val="20"/>
              </w:rPr>
            </w:pPr>
            <w:r w:rsidRPr="00245387">
              <w:rPr>
                <w:rFonts w:cstheme="minorHAnsi"/>
                <w:sz w:val="20"/>
              </w:rPr>
              <w:t>(£ million)</w:t>
            </w:r>
          </w:p>
        </w:tc>
        <w:tc>
          <w:tcPr>
            <w:tcW w:w="1560" w:type="dxa"/>
          </w:tcPr>
          <w:p w:rsidR="00A504AD" w:rsidRPr="00245387" w:rsidRDefault="00A504AD" w:rsidP="00257468">
            <w:pPr>
              <w:pStyle w:val="BodyText"/>
              <w:cnfStyle w:val="100000000000"/>
              <w:rPr>
                <w:rFonts w:cstheme="minorHAnsi"/>
                <w:sz w:val="20"/>
              </w:rPr>
            </w:pPr>
            <w:r w:rsidRPr="00245387">
              <w:rPr>
                <w:rFonts w:cstheme="minorHAnsi"/>
                <w:sz w:val="20"/>
              </w:rPr>
              <w:t>Brokerage in year***</w:t>
            </w:r>
          </w:p>
          <w:p w:rsidR="00A504AD" w:rsidRPr="00245387" w:rsidRDefault="00A504AD" w:rsidP="00257468">
            <w:pPr>
              <w:pStyle w:val="BodyText"/>
              <w:cnfStyle w:val="100000000000"/>
              <w:rPr>
                <w:rFonts w:cstheme="minorHAnsi"/>
                <w:sz w:val="20"/>
              </w:rPr>
            </w:pPr>
            <w:r w:rsidRPr="00245387">
              <w:rPr>
                <w:rFonts w:cstheme="minorHAnsi"/>
                <w:sz w:val="20"/>
              </w:rPr>
              <w:t>(£ million)</w:t>
            </w:r>
          </w:p>
        </w:tc>
        <w:tc>
          <w:tcPr>
            <w:tcW w:w="1559" w:type="dxa"/>
          </w:tcPr>
          <w:p w:rsidR="00A504AD" w:rsidRPr="00245387" w:rsidRDefault="00A504AD" w:rsidP="00257468">
            <w:pPr>
              <w:pStyle w:val="BodyText"/>
              <w:cnfStyle w:val="100000000000"/>
              <w:rPr>
                <w:rFonts w:cstheme="minorHAnsi"/>
                <w:sz w:val="20"/>
              </w:rPr>
            </w:pPr>
            <w:r w:rsidRPr="00245387">
              <w:rPr>
                <w:rFonts w:cstheme="minorHAnsi"/>
                <w:sz w:val="20"/>
              </w:rPr>
              <w:t xml:space="preserve">Surplus / (deficit) against RRL </w:t>
            </w:r>
          </w:p>
          <w:p w:rsidR="00A504AD" w:rsidRPr="00245387" w:rsidRDefault="00A504AD" w:rsidP="00257468">
            <w:pPr>
              <w:pStyle w:val="BodyText"/>
              <w:cnfStyle w:val="100000000000"/>
              <w:rPr>
                <w:rFonts w:cstheme="minorHAnsi"/>
                <w:sz w:val="20"/>
              </w:rPr>
            </w:pPr>
            <w:r w:rsidRPr="00245387">
              <w:rPr>
                <w:rFonts w:cstheme="minorHAnsi"/>
                <w:sz w:val="20"/>
              </w:rPr>
              <w:t>(£ million)</w:t>
            </w:r>
          </w:p>
        </w:tc>
      </w:tr>
      <w:tr w:rsidR="00A504AD" w:rsidRPr="00245387" w:rsidTr="00245387">
        <w:trPr>
          <w:cnfStyle w:val="000000100000"/>
        </w:trPr>
        <w:tc>
          <w:tcPr>
            <w:cnfStyle w:val="001000000000"/>
            <w:tcW w:w="2693" w:type="dxa"/>
            <w:shd w:val="clear" w:color="auto" w:fill="C7C8C9" w:themeFill="background2" w:themeFillTint="66"/>
          </w:tcPr>
          <w:p w:rsidR="00A504AD" w:rsidRPr="00245387" w:rsidRDefault="00A504AD" w:rsidP="00257468">
            <w:pPr>
              <w:pStyle w:val="BodyText"/>
              <w:rPr>
                <w:rFonts w:cstheme="minorHAnsi"/>
                <w:sz w:val="20"/>
              </w:rPr>
            </w:pPr>
            <w:r w:rsidRPr="00245387">
              <w:rPr>
                <w:rFonts w:cstheme="minorHAnsi"/>
                <w:sz w:val="20"/>
              </w:rPr>
              <w:t>31 March 2012</w:t>
            </w:r>
          </w:p>
        </w:tc>
        <w:tc>
          <w:tcPr>
            <w:tcW w:w="1701" w:type="dxa"/>
            <w:shd w:val="clear" w:color="auto" w:fill="C7C8C9" w:themeFill="background2" w:themeFillTint="66"/>
          </w:tcPr>
          <w:p w:rsidR="00A504AD" w:rsidRPr="00245387" w:rsidRDefault="00A504AD" w:rsidP="00257468">
            <w:pPr>
              <w:pStyle w:val="BodyText"/>
              <w:cnfStyle w:val="000000100000"/>
              <w:rPr>
                <w:rFonts w:cstheme="minorHAnsi"/>
                <w:sz w:val="20"/>
              </w:rPr>
            </w:pPr>
            <w:r w:rsidRPr="00245387">
              <w:rPr>
                <w:rFonts w:cstheme="minorHAnsi"/>
                <w:sz w:val="20"/>
              </w:rPr>
              <w:t xml:space="preserve">27.2 </w:t>
            </w:r>
          </w:p>
        </w:tc>
        <w:tc>
          <w:tcPr>
            <w:tcW w:w="1559" w:type="dxa"/>
            <w:shd w:val="clear" w:color="auto" w:fill="C7C8C9" w:themeFill="background2" w:themeFillTint="66"/>
          </w:tcPr>
          <w:p w:rsidR="00A504AD" w:rsidRPr="00245387" w:rsidRDefault="00A504AD" w:rsidP="00257468">
            <w:pPr>
              <w:pStyle w:val="BodyText"/>
              <w:cnfStyle w:val="000000100000"/>
              <w:rPr>
                <w:rFonts w:cstheme="minorHAnsi"/>
                <w:sz w:val="20"/>
              </w:rPr>
            </w:pPr>
            <w:r w:rsidRPr="00245387">
              <w:rPr>
                <w:rFonts w:cstheme="minorHAnsi"/>
                <w:sz w:val="20"/>
              </w:rPr>
              <w:t xml:space="preserve">24.7 </w:t>
            </w:r>
          </w:p>
        </w:tc>
        <w:tc>
          <w:tcPr>
            <w:tcW w:w="1560" w:type="dxa"/>
            <w:shd w:val="clear" w:color="auto" w:fill="C7C8C9" w:themeFill="background2" w:themeFillTint="66"/>
          </w:tcPr>
          <w:p w:rsidR="00A504AD" w:rsidRPr="00245387" w:rsidRDefault="00A504AD" w:rsidP="00257468">
            <w:pPr>
              <w:pStyle w:val="BodyText"/>
              <w:cnfStyle w:val="000000100000"/>
              <w:rPr>
                <w:rFonts w:cstheme="minorHAnsi"/>
                <w:sz w:val="20"/>
              </w:rPr>
            </w:pPr>
            <w:r w:rsidRPr="00245387">
              <w:rPr>
                <w:rFonts w:cstheme="minorHAnsi"/>
                <w:sz w:val="20"/>
              </w:rPr>
              <w:t>nil</w:t>
            </w:r>
          </w:p>
        </w:tc>
        <w:tc>
          <w:tcPr>
            <w:tcW w:w="1559" w:type="dxa"/>
            <w:shd w:val="clear" w:color="auto" w:fill="C7C8C9" w:themeFill="background2" w:themeFillTint="66"/>
          </w:tcPr>
          <w:p w:rsidR="00A504AD" w:rsidRPr="00245387" w:rsidRDefault="00A504AD" w:rsidP="00257468">
            <w:pPr>
              <w:pStyle w:val="BodyText"/>
              <w:cnfStyle w:val="000000100000"/>
              <w:rPr>
                <w:rFonts w:cstheme="minorHAnsi"/>
                <w:sz w:val="20"/>
              </w:rPr>
            </w:pPr>
            <w:r w:rsidRPr="00245387">
              <w:rPr>
                <w:rFonts w:cstheme="minorHAnsi"/>
                <w:sz w:val="20"/>
              </w:rPr>
              <w:t xml:space="preserve">0.2 </w:t>
            </w:r>
          </w:p>
        </w:tc>
      </w:tr>
      <w:tr w:rsidR="00A504AD" w:rsidRPr="00245387" w:rsidTr="00245387">
        <w:tc>
          <w:tcPr>
            <w:cnfStyle w:val="001000000000"/>
            <w:tcW w:w="2693" w:type="dxa"/>
            <w:shd w:val="clear" w:color="auto" w:fill="C7C8C9" w:themeFill="background2" w:themeFillTint="66"/>
          </w:tcPr>
          <w:p w:rsidR="00A504AD" w:rsidRPr="00245387" w:rsidRDefault="00A504AD" w:rsidP="00257468">
            <w:pPr>
              <w:pStyle w:val="BodyText"/>
              <w:rPr>
                <w:rFonts w:cstheme="minorHAnsi"/>
                <w:sz w:val="20"/>
              </w:rPr>
            </w:pPr>
            <w:r w:rsidRPr="00245387">
              <w:rPr>
                <w:rFonts w:cstheme="minorHAnsi"/>
                <w:sz w:val="20"/>
              </w:rPr>
              <w:t>31 March 2013</w:t>
            </w:r>
          </w:p>
        </w:tc>
        <w:tc>
          <w:tcPr>
            <w:tcW w:w="1701" w:type="dxa"/>
            <w:shd w:val="clear" w:color="auto" w:fill="C7C8C9" w:themeFill="background2" w:themeFillTint="66"/>
          </w:tcPr>
          <w:p w:rsidR="00A504AD" w:rsidRPr="00245387" w:rsidRDefault="00A504AD" w:rsidP="00257468">
            <w:pPr>
              <w:pStyle w:val="BodyText"/>
              <w:cnfStyle w:val="000000000000"/>
              <w:rPr>
                <w:rFonts w:cstheme="minorHAnsi"/>
                <w:sz w:val="20"/>
              </w:rPr>
            </w:pPr>
            <w:r w:rsidRPr="00245387">
              <w:rPr>
                <w:rFonts w:cstheme="minorHAnsi"/>
                <w:sz w:val="20"/>
              </w:rPr>
              <w:t xml:space="preserve">26.6 </w:t>
            </w:r>
          </w:p>
        </w:tc>
        <w:tc>
          <w:tcPr>
            <w:tcW w:w="1559" w:type="dxa"/>
            <w:shd w:val="clear" w:color="auto" w:fill="C7C8C9" w:themeFill="background2" w:themeFillTint="66"/>
          </w:tcPr>
          <w:p w:rsidR="00A504AD" w:rsidRPr="00245387" w:rsidRDefault="00A504AD" w:rsidP="00257468">
            <w:pPr>
              <w:pStyle w:val="BodyText"/>
              <w:cnfStyle w:val="000000000000"/>
              <w:rPr>
                <w:rFonts w:cstheme="minorHAnsi"/>
                <w:sz w:val="20"/>
              </w:rPr>
            </w:pPr>
            <w:r w:rsidRPr="00245387">
              <w:rPr>
                <w:rFonts w:cstheme="minorHAnsi"/>
                <w:sz w:val="20"/>
              </w:rPr>
              <w:t xml:space="preserve">24.5 </w:t>
            </w:r>
          </w:p>
        </w:tc>
        <w:tc>
          <w:tcPr>
            <w:tcW w:w="1560" w:type="dxa"/>
            <w:shd w:val="clear" w:color="auto" w:fill="C7C8C9" w:themeFill="background2" w:themeFillTint="66"/>
          </w:tcPr>
          <w:p w:rsidR="00A504AD" w:rsidRPr="00245387" w:rsidRDefault="00A504AD" w:rsidP="00257468">
            <w:pPr>
              <w:pStyle w:val="BodyText"/>
              <w:cnfStyle w:val="000000000000"/>
              <w:rPr>
                <w:rFonts w:cstheme="minorHAnsi"/>
                <w:sz w:val="20"/>
              </w:rPr>
            </w:pPr>
            <w:r w:rsidRPr="00245387">
              <w:rPr>
                <w:rFonts w:cstheme="minorHAnsi"/>
                <w:sz w:val="20"/>
              </w:rPr>
              <w:t xml:space="preserve">2.25 </w:t>
            </w:r>
          </w:p>
        </w:tc>
        <w:tc>
          <w:tcPr>
            <w:tcW w:w="1559" w:type="dxa"/>
            <w:shd w:val="clear" w:color="auto" w:fill="C7C8C9" w:themeFill="background2" w:themeFillTint="66"/>
          </w:tcPr>
          <w:p w:rsidR="00A504AD" w:rsidRPr="00245387" w:rsidRDefault="00A504AD" w:rsidP="00257468">
            <w:pPr>
              <w:pStyle w:val="BodyText"/>
              <w:cnfStyle w:val="000000000000"/>
              <w:rPr>
                <w:rFonts w:cstheme="minorHAnsi"/>
                <w:sz w:val="20"/>
              </w:rPr>
            </w:pPr>
            <w:r w:rsidRPr="00245387">
              <w:rPr>
                <w:rFonts w:cstheme="minorHAnsi"/>
                <w:sz w:val="20"/>
              </w:rPr>
              <w:t xml:space="preserve">0.274 </w:t>
            </w:r>
          </w:p>
        </w:tc>
      </w:tr>
      <w:tr w:rsidR="00A504AD" w:rsidRPr="00245387" w:rsidTr="00245387">
        <w:trPr>
          <w:cnfStyle w:val="000000100000"/>
        </w:trPr>
        <w:tc>
          <w:tcPr>
            <w:cnfStyle w:val="001000000000"/>
            <w:tcW w:w="2693" w:type="dxa"/>
            <w:shd w:val="clear" w:color="auto" w:fill="C7C8C9" w:themeFill="background2" w:themeFillTint="66"/>
          </w:tcPr>
          <w:p w:rsidR="00A504AD" w:rsidRPr="00245387" w:rsidRDefault="00A504AD" w:rsidP="00257468">
            <w:pPr>
              <w:pStyle w:val="BodyText"/>
              <w:rPr>
                <w:rFonts w:cstheme="minorHAnsi"/>
                <w:sz w:val="20"/>
              </w:rPr>
            </w:pPr>
            <w:r w:rsidRPr="00245387">
              <w:rPr>
                <w:rFonts w:cstheme="minorHAnsi"/>
                <w:sz w:val="20"/>
              </w:rPr>
              <w:t>31 March 2014</w:t>
            </w:r>
          </w:p>
        </w:tc>
        <w:tc>
          <w:tcPr>
            <w:tcW w:w="1701" w:type="dxa"/>
            <w:shd w:val="clear" w:color="auto" w:fill="C7C8C9" w:themeFill="background2" w:themeFillTint="66"/>
          </w:tcPr>
          <w:p w:rsidR="00A504AD" w:rsidRPr="00245387" w:rsidRDefault="00A504AD" w:rsidP="00257468">
            <w:pPr>
              <w:pStyle w:val="BodyText"/>
              <w:cnfStyle w:val="000000100000"/>
              <w:rPr>
                <w:rFonts w:cstheme="minorHAnsi"/>
                <w:sz w:val="20"/>
              </w:rPr>
            </w:pPr>
            <w:r w:rsidRPr="00245387">
              <w:rPr>
                <w:rFonts w:cstheme="minorHAnsi"/>
                <w:sz w:val="20"/>
              </w:rPr>
              <w:t xml:space="preserve">25.6 </w:t>
            </w:r>
          </w:p>
        </w:tc>
        <w:tc>
          <w:tcPr>
            <w:tcW w:w="1559" w:type="dxa"/>
            <w:shd w:val="clear" w:color="auto" w:fill="C7C8C9" w:themeFill="background2" w:themeFillTint="66"/>
          </w:tcPr>
          <w:p w:rsidR="00A504AD" w:rsidRPr="00245387" w:rsidRDefault="00A504AD" w:rsidP="00257468">
            <w:pPr>
              <w:pStyle w:val="BodyText"/>
              <w:cnfStyle w:val="000000100000"/>
              <w:rPr>
                <w:rFonts w:cstheme="minorHAnsi"/>
                <w:sz w:val="20"/>
              </w:rPr>
            </w:pPr>
            <w:r w:rsidRPr="00245387">
              <w:rPr>
                <w:rFonts w:cstheme="minorHAnsi"/>
                <w:sz w:val="20"/>
              </w:rPr>
              <w:t>23.5</w:t>
            </w:r>
          </w:p>
        </w:tc>
        <w:tc>
          <w:tcPr>
            <w:tcW w:w="1560" w:type="dxa"/>
            <w:shd w:val="clear" w:color="auto" w:fill="C7C8C9" w:themeFill="background2" w:themeFillTint="66"/>
          </w:tcPr>
          <w:p w:rsidR="00A504AD" w:rsidRPr="00245387" w:rsidRDefault="00A504AD" w:rsidP="00257468">
            <w:pPr>
              <w:pStyle w:val="BodyText"/>
              <w:cnfStyle w:val="000000100000"/>
              <w:rPr>
                <w:rFonts w:cstheme="minorHAnsi"/>
                <w:sz w:val="20"/>
              </w:rPr>
            </w:pPr>
            <w:r w:rsidRPr="00245387">
              <w:rPr>
                <w:rFonts w:cstheme="minorHAnsi"/>
                <w:sz w:val="20"/>
              </w:rPr>
              <w:t>2.85</w:t>
            </w:r>
          </w:p>
        </w:tc>
        <w:tc>
          <w:tcPr>
            <w:tcW w:w="1559" w:type="dxa"/>
            <w:shd w:val="clear" w:color="auto" w:fill="C7C8C9" w:themeFill="background2" w:themeFillTint="66"/>
          </w:tcPr>
          <w:p w:rsidR="00A504AD" w:rsidRPr="00245387" w:rsidRDefault="003139A6" w:rsidP="00257468">
            <w:pPr>
              <w:pStyle w:val="BodyText"/>
              <w:cnfStyle w:val="000000100000"/>
              <w:rPr>
                <w:rFonts w:cstheme="minorHAnsi"/>
                <w:sz w:val="20"/>
              </w:rPr>
            </w:pPr>
            <w:r w:rsidRPr="00245387">
              <w:rPr>
                <w:rFonts w:cstheme="minorHAnsi"/>
                <w:sz w:val="20"/>
              </w:rPr>
              <w:t>N</w:t>
            </w:r>
            <w:r w:rsidR="00A504AD" w:rsidRPr="00245387">
              <w:rPr>
                <w:rFonts w:cstheme="minorHAnsi"/>
                <w:sz w:val="20"/>
              </w:rPr>
              <w:t>il</w:t>
            </w:r>
          </w:p>
        </w:tc>
      </w:tr>
      <w:tr w:rsidR="00A504AD" w:rsidRPr="00245387" w:rsidTr="00245387">
        <w:tc>
          <w:tcPr>
            <w:cnfStyle w:val="001000000000"/>
            <w:tcW w:w="2693" w:type="dxa"/>
            <w:shd w:val="clear" w:color="auto" w:fill="C7C8C9" w:themeFill="background2" w:themeFillTint="66"/>
          </w:tcPr>
          <w:p w:rsidR="00A504AD" w:rsidRPr="00245387" w:rsidRDefault="00A504AD" w:rsidP="00257468">
            <w:pPr>
              <w:pStyle w:val="BodyText"/>
              <w:rPr>
                <w:rFonts w:cstheme="minorHAnsi"/>
                <w:sz w:val="20"/>
              </w:rPr>
            </w:pPr>
            <w:r w:rsidRPr="00245387">
              <w:rPr>
                <w:rFonts w:cstheme="minorHAnsi"/>
                <w:sz w:val="20"/>
              </w:rPr>
              <w:t>31 March 2015</w:t>
            </w:r>
          </w:p>
        </w:tc>
        <w:tc>
          <w:tcPr>
            <w:tcW w:w="1701" w:type="dxa"/>
            <w:shd w:val="clear" w:color="auto" w:fill="C7C8C9" w:themeFill="background2" w:themeFillTint="66"/>
          </w:tcPr>
          <w:p w:rsidR="00A504AD" w:rsidRPr="00245387" w:rsidRDefault="00A504AD" w:rsidP="00257468">
            <w:pPr>
              <w:pStyle w:val="BodyText"/>
              <w:cnfStyle w:val="000000000000"/>
              <w:rPr>
                <w:rFonts w:cstheme="minorHAnsi"/>
                <w:sz w:val="20"/>
              </w:rPr>
            </w:pPr>
            <w:r w:rsidRPr="00245387">
              <w:rPr>
                <w:rFonts w:cstheme="minorHAnsi"/>
                <w:sz w:val="20"/>
              </w:rPr>
              <w:t xml:space="preserve">25.2 </w:t>
            </w:r>
          </w:p>
        </w:tc>
        <w:tc>
          <w:tcPr>
            <w:tcW w:w="1559" w:type="dxa"/>
            <w:shd w:val="clear" w:color="auto" w:fill="C7C8C9" w:themeFill="background2" w:themeFillTint="66"/>
          </w:tcPr>
          <w:p w:rsidR="00A504AD" w:rsidRPr="00245387" w:rsidRDefault="00A504AD" w:rsidP="00257468">
            <w:pPr>
              <w:pStyle w:val="BodyText"/>
              <w:cnfStyle w:val="000000000000"/>
              <w:rPr>
                <w:rFonts w:cstheme="minorHAnsi"/>
                <w:sz w:val="20"/>
              </w:rPr>
            </w:pPr>
            <w:r w:rsidRPr="00245387">
              <w:rPr>
                <w:rFonts w:cstheme="minorHAnsi"/>
                <w:sz w:val="20"/>
              </w:rPr>
              <w:t>22.5</w:t>
            </w:r>
          </w:p>
        </w:tc>
        <w:tc>
          <w:tcPr>
            <w:tcW w:w="1560" w:type="dxa"/>
            <w:shd w:val="clear" w:color="auto" w:fill="C7C8C9" w:themeFill="background2" w:themeFillTint="66"/>
          </w:tcPr>
          <w:p w:rsidR="00A504AD" w:rsidRPr="00245387" w:rsidRDefault="00A504AD" w:rsidP="00257468">
            <w:pPr>
              <w:pStyle w:val="BodyText"/>
              <w:cnfStyle w:val="000000000000"/>
              <w:rPr>
                <w:rFonts w:cstheme="minorHAnsi"/>
                <w:sz w:val="20"/>
              </w:rPr>
            </w:pPr>
            <w:r w:rsidRPr="00245387">
              <w:rPr>
                <w:rFonts w:cstheme="minorHAnsi"/>
                <w:sz w:val="20"/>
              </w:rPr>
              <w:t xml:space="preserve">14.2 </w:t>
            </w:r>
          </w:p>
        </w:tc>
        <w:tc>
          <w:tcPr>
            <w:tcW w:w="1559" w:type="dxa"/>
            <w:shd w:val="clear" w:color="auto" w:fill="C7C8C9" w:themeFill="background2" w:themeFillTint="66"/>
          </w:tcPr>
          <w:p w:rsidR="00A504AD" w:rsidRPr="00245387" w:rsidRDefault="00A504AD" w:rsidP="00257468">
            <w:pPr>
              <w:pStyle w:val="BodyText"/>
              <w:cnfStyle w:val="000000000000"/>
              <w:rPr>
                <w:rFonts w:cstheme="minorHAnsi"/>
                <w:sz w:val="20"/>
              </w:rPr>
            </w:pPr>
            <w:r w:rsidRPr="00245387">
              <w:rPr>
                <w:rFonts w:cstheme="minorHAnsi"/>
                <w:sz w:val="20"/>
              </w:rPr>
              <w:t xml:space="preserve">0.058 </w:t>
            </w:r>
          </w:p>
        </w:tc>
      </w:tr>
      <w:tr w:rsidR="00A504AD" w:rsidRPr="00245387" w:rsidTr="00245387">
        <w:trPr>
          <w:cnfStyle w:val="000000100000"/>
        </w:trPr>
        <w:tc>
          <w:tcPr>
            <w:cnfStyle w:val="001000000000"/>
            <w:tcW w:w="2693" w:type="dxa"/>
            <w:shd w:val="clear" w:color="auto" w:fill="C7C8C9" w:themeFill="background2" w:themeFillTint="66"/>
          </w:tcPr>
          <w:p w:rsidR="00A504AD" w:rsidRPr="00245387" w:rsidRDefault="00A504AD" w:rsidP="00257468">
            <w:pPr>
              <w:pStyle w:val="BodyText"/>
              <w:rPr>
                <w:rFonts w:cstheme="minorHAnsi"/>
                <w:sz w:val="20"/>
              </w:rPr>
            </w:pPr>
            <w:r w:rsidRPr="00245387">
              <w:rPr>
                <w:rFonts w:cstheme="minorHAnsi"/>
                <w:sz w:val="20"/>
              </w:rPr>
              <w:t>31 March 2016</w:t>
            </w:r>
          </w:p>
        </w:tc>
        <w:tc>
          <w:tcPr>
            <w:tcW w:w="1701" w:type="dxa"/>
            <w:shd w:val="clear" w:color="auto" w:fill="C7C8C9" w:themeFill="background2" w:themeFillTint="66"/>
          </w:tcPr>
          <w:p w:rsidR="00A504AD" w:rsidRPr="00245387" w:rsidRDefault="00A504AD" w:rsidP="00257468">
            <w:pPr>
              <w:pStyle w:val="BodyText"/>
              <w:cnfStyle w:val="000000100000"/>
              <w:rPr>
                <w:rFonts w:cstheme="minorHAnsi"/>
                <w:sz w:val="20"/>
              </w:rPr>
            </w:pPr>
            <w:r w:rsidRPr="00245387">
              <w:rPr>
                <w:rFonts w:cstheme="minorHAnsi"/>
                <w:sz w:val="20"/>
              </w:rPr>
              <w:t xml:space="preserve">25.7 </w:t>
            </w:r>
          </w:p>
        </w:tc>
        <w:tc>
          <w:tcPr>
            <w:tcW w:w="1559" w:type="dxa"/>
            <w:shd w:val="clear" w:color="auto" w:fill="C7C8C9" w:themeFill="background2" w:themeFillTint="66"/>
          </w:tcPr>
          <w:p w:rsidR="00A504AD" w:rsidRPr="00245387" w:rsidRDefault="00A504AD" w:rsidP="00257468">
            <w:pPr>
              <w:pStyle w:val="BodyText"/>
              <w:cnfStyle w:val="000000100000"/>
              <w:rPr>
                <w:rFonts w:cstheme="minorHAnsi"/>
                <w:sz w:val="20"/>
              </w:rPr>
            </w:pPr>
            <w:r w:rsidRPr="00245387">
              <w:rPr>
                <w:rFonts w:cstheme="minorHAnsi"/>
                <w:sz w:val="20"/>
              </w:rPr>
              <w:t xml:space="preserve">22.5 </w:t>
            </w:r>
          </w:p>
        </w:tc>
        <w:tc>
          <w:tcPr>
            <w:tcW w:w="1560" w:type="dxa"/>
            <w:shd w:val="clear" w:color="auto" w:fill="C7C8C9" w:themeFill="background2" w:themeFillTint="66"/>
          </w:tcPr>
          <w:p w:rsidR="00A504AD" w:rsidRPr="00245387" w:rsidRDefault="00A504AD" w:rsidP="00257468">
            <w:pPr>
              <w:pStyle w:val="BodyText"/>
              <w:cnfStyle w:val="000000100000"/>
              <w:rPr>
                <w:rFonts w:cstheme="minorHAnsi"/>
                <w:sz w:val="20"/>
              </w:rPr>
            </w:pPr>
            <w:r w:rsidRPr="00245387">
              <w:rPr>
                <w:rFonts w:cstheme="minorHAnsi"/>
                <w:sz w:val="20"/>
              </w:rPr>
              <w:t>5.0</w:t>
            </w:r>
          </w:p>
        </w:tc>
        <w:tc>
          <w:tcPr>
            <w:tcW w:w="1559" w:type="dxa"/>
            <w:shd w:val="clear" w:color="auto" w:fill="C7C8C9" w:themeFill="background2" w:themeFillTint="66"/>
          </w:tcPr>
          <w:p w:rsidR="00A504AD" w:rsidRPr="00245387" w:rsidRDefault="00A504AD" w:rsidP="00257468">
            <w:pPr>
              <w:pStyle w:val="BodyText"/>
              <w:cnfStyle w:val="000000100000"/>
              <w:rPr>
                <w:rFonts w:cstheme="minorHAnsi"/>
                <w:sz w:val="20"/>
              </w:rPr>
            </w:pPr>
            <w:r w:rsidRPr="00245387">
              <w:rPr>
                <w:rFonts w:cstheme="minorHAnsi"/>
                <w:sz w:val="20"/>
              </w:rPr>
              <w:t xml:space="preserve">0.145 </w:t>
            </w:r>
          </w:p>
        </w:tc>
      </w:tr>
      <w:tr w:rsidR="00A504AD" w:rsidRPr="00245387" w:rsidTr="00245387">
        <w:tc>
          <w:tcPr>
            <w:cnfStyle w:val="001000000000"/>
            <w:tcW w:w="2693" w:type="dxa"/>
            <w:shd w:val="clear" w:color="auto" w:fill="C7C8C9" w:themeFill="background2" w:themeFillTint="66"/>
          </w:tcPr>
          <w:p w:rsidR="00A504AD" w:rsidRPr="00245387" w:rsidRDefault="00A504AD" w:rsidP="00257468">
            <w:pPr>
              <w:pStyle w:val="BodyText"/>
              <w:rPr>
                <w:rFonts w:cstheme="minorHAnsi"/>
                <w:sz w:val="20"/>
              </w:rPr>
            </w:pPr>
            <w:r w:rsidRPr="00245387">
              <w:rPr>
                <w:rFonts w:cstheme="minorHAnsi"/>
                <w:sz w:val="20"/>
              </w:rPr>
              <w:t>31 March 2017</w:t>
            </w:r>
          </w:p>
        </w:tc>
        <w:tc>
          <w:tcPr>
            <w:tcW w:w="1701" w:type="dxa"/>
            <w:shd w:val="clear" w:color="auto" w:fill="C7C8C9" w:themeFill="background2" w:themeFillTint="66"/>
          </w:tcPr>
          <w:p w:rsidR="00A504AD" w:rsidRPr="00245387" w:rsidRDefault="003139A6" w:rsidP="00257468">
            <w:pPr>
              <w:pStyle w:val="BodyText"/>
              <w:cnfStyle w:val="000000000000"/>
              <w:rPr>
                <w:rFonts w:cstheme="minorHAnsi"/>
                <w:sz w:val="20"/>
              </w:rPr>
            </w:pPr>
            <w:r w:rsidRPr="00245387">
              <w:rPr>
                <w:rFonts w:cstheme="minorHAnsi"/>
                <w:sz w:val="20"/>
              </w:rPr>
              <w:t>22.5</w:t>
            </w:r>
          </w:p>
        </w:tc>
        <w:tc>
          <w:tcPr>
            <w:tcW w:w="1559" w:type="dxa"/>
            <w:shd w:val="clear" w:color="auto" w:fill="C7C8C9" w:themeFill="background2" w:themeFillTint="66"/>
          </w:tcPr>
          <w:p w:rsidR="00A504AD" w:rsidRPr="00245387" w:rsidRDefault="003139A6" w:rsidP="00257468">
            <w:pPr>
              <w:pStyle w:val="BodyText"/>
              <w:cnfStyle w:val="000000000000"/>
              <w:rPr>
                <w:rFonts w:cstheme="minorHAnsi"/>
                <w:sz w:val="20"/>
              </w:rPr>
            </w:pPr>
            <w:r w:rsidRPr="00245387">
              <w:rPr>
                <w:rFonts w:cstheme="minorHAnsi"/>
                <w:sz w:val="20"/>
              </w:rPr>
              <w:t>23.5</w:t>
            </w:r>
          </w:p>
        </w:tc>
        <w:tc>
          <w:tcPr>
            <w:tcW w:w="1560" w:type="dxa"/>
            <w:shd w:val="clear" w:color="auto" w:fill="C7C8C9" w:themeFill="background2" w:themeFillTint="66"/>
          </w:tcPr>
          <w:p w:rsidR="00A504AD" w:rsidRPr="00245387" w:rsidRDefault="00A504AD" w:rsidP="00257468">
            <w:pPr>
              <w:pStyle w:val="BodyText"/>
              <w:cnfStyle w:val="000000000000"/>
              <w:rPr>
                <w:rFonts w:cstheme="minorHAnsi"/>
                <w:sz w:val="20"/>
              </w:rPr>
            </w:pPr>
            <w:r w:rsidRPr="00245387">
              <w:rPr>
                <w:rFonts w:cstheme="minorHAnsi"/>
                <w:sz w:val="20"/>
              </w:rPr>
              <w:t xml:space="preserve">13.2 </w:t>
            </w:r>
          </w:p>
        </w:tc>
        <w:tc>
          <w:tcPr>
            <w:tcW w:w="1559" w:type="dxa"/>
            <w:shd w:val="clear" w:color="auto" w:fill="C7C8C9" w:themeFill="background2" w:themeFillTint="66"/>
          </w:tcPr>
          <w:p w:rsidR="00A504AD" w:rsidRPr="00245387" w:rsidRDefault="00A504AD" w:rsidP="00257468">
            <w:pPr>
              <w:pStyle w:val="BodyText"/>
              <w:cnfStyle w:val="000000000000"/>
              <w:rPr>
                <w:rFonts w:cstheme="minorHAnsi"/>
                <w:sz w:val="20"/>
              </w:rPr>
            </w:pPr>
            <w:r w:rsidRPr="00245387">
              <w:rPr>
                <w:rFonts w:cstheme="minorHAnsi"/>
                <w:sz w:val="20"/>
              </w:rPr>
              <w:t xml:space="preserve">0.1 </w:t>
            </w:r>
          </w:p>
        </w:tc>
      </w:tr>
      <w:tr w:rsidR="00A504AD" w:rsidRPr="00245387" w:rsidTr="00245387">
        <w:trPr>
          <w:cnfStyle w:val="000000100000"/>
        </w:trPr>
        <w:tc>
          <w:tcPr>
            <w:cnfStyle w:val="001000000000"/>
            <w:tcW w:w="2693" w:type="dxa"/>
            <w:shd w:val="clear" w:color="auto" w:fill="C7C8C9" w:themeFill="background2" w:themeFillTint="66"/>
          </w:tcPr>
          <w:p w:rsidR="00A504AD" w:rsidRPr="00245387" w:rsidRDefault="00A504AD" w:rsidP="00257468">
            <w:pPr>
              <w:pStyle w:val="BodyText"/>
              <w:rPr>
                <w:rFonts w:cstheme="minorHAnsi"/>
                <w:sz w:val="20"/>
              </w:rPr>
            </w:pPr>
            <w:r w:rsidRPr="00245387">
              <w:rPr>
                <w:rFonts w:cstheme="minorHAnsi"/>
                <w:sz w:val="20"/>
              </w:rPr>
              <w:t>31 March 2018</w:t>
            </w:r>
          </w:p>
        </w:tc>
        <w:tc>
          <w:tcPr>
            <w:tcW w:w="1701" w:type="dxa"/>
            <w:shd w:val="clear" w:color="auto" w:fill="C7C8C9" w:themeFill="background2" w:themeFillTint="66"/>
          </w:tcPr>
          <w:p w:rsidR="00A504AD" w:rsidRPr="00245387" w:rsidRDefault="00A504AD" w:rsidP="00257468">
            <w:pPr>
              <w:pStyle w:val="BodyText"/>
              <w:cnfStyle w:val="000000100000"/>
              <w:rPr>
                <w:rFonts w:cstheme="minorHAnsi"/>
                <w:sz w:val="20"/>
              </w:rPr>
            </w:pPr>
            <w:r w:rsidRPr="00245387">
              <w:rPr>
                <w:rFonts w:cstheme="minorHAnsi"/>
                <w:sz w:val="20"/>
              </w:rPr>
              <w:t xml:space="preserve">15.676 </w:t>
            </w:r>
          </w:p>
        </w:tc>
        <w:tc>
          <w:tcPr>
            <w:tcW w:w="1559" w:type="dxa"/>
            <w:shd w:val="clear" w:color="auto" w:fill="C7C8C9" w:themeFill="background2" w:themeFillTint="66"/>
          </w:tcPr>
          <w:p w:rsidR="00A504AD" w:rsidRPr="00245387" w:rsidRDefault="00A504AD" w:rsidP="00257468">
            <w:pPr>
              <w:pStyle w:val="BodyText"/>
              <w:cnfStyle w:val="000000100000"/>
              <w:rPr>
                <w:rFonts w:cstheme="minorHAnsi"/>
                <w:sz w:val="20"/>
              </w:rPr>
            </w:pPr>
            <w:r w:rsidRPr="00245387">
              <w:rPr>
                <w:rFonts w:cstheme="minorHAnsi"/>
                <w:sz w:val="20"/>
              </w:rPr>
              <w:t xml:space="preserve">16.5 </w:t>
            </w:r>
          </w:p>
        </w:tc>
        <w:tc>
          <w:tcPr>
            <w:tcW w:w="1560" w:type="dxa"/>
            <w:shd w:val="clear" w:color="auto" w:fill="C7C8C9" w:themeFill="background2" w:themeFillTint="66"/>
          </w:tcPr>
          <w:p w:rsidR="00A504AD" w:rsidRPr="00245387" w:rsidRDefault="003139A6" w:rsidP="00257468">
            <w:pPr>
              <w:pStyle w:val="BodyText"/>
              <w:cnfStyle w:val="000000100000"/>
              <w:rPr>
                <w:rFonts w:cstheme="minorHAnsi"/>
                <w:sz w:val="20"/>
              </w:rPr>
            </w:pPr>
            <w:r w:rsidRPr="00245387">
              <w:rPr>
                <w:rFonts w:cstheme="minorHAnsi"/>
                <w:sz w:val="20"/>
              </w:rPr>
              <w:t>12.1**</w:t>
            </w:r>
          </w:p>
        </w:tc>
        <w:tc>
          <w:tcPr>
            <w:tcW w:w="1559" w:type="dxa"/>
            <w:shd w:val="clear" w:color="auto" w:fill="C7C8C9" w:themeFill="background2" w:themeFillTint="66"/>
          </w:tcPr>
          <w:p w:rsidR="00A504AD" w:rsidRPr="00245387" w:rsidRDefault="003139A6" w:rsidP="00257468">
            <w:pPr>
              <w:pStyle w:val="BodyText"/>
              <w:cnfStyle w:val="000000100000"/>
              <w:rPr>
                <w:rFonts w:cstheme="minorHAnsi"/>
                <w:sz w:val="20"/>
              </w:rPr>
            </w:pPr>
            <w:r w:rsidRPr="00245387">
              <w:rPr>
                <w:rFonts w:cstheme="minorHAnsi"/>
                <w:sz w:val="20"/>
              </w:rPr>
              <w:t xml:space="preserve">Nil </w:t>
            </w:r>
          </w:p>
        </w:tc>
      </w:tr>
    </w:tbl>
    <w:p w:rsidR="00A504AD" w:rsidRDefault="00A504AD" w:rsidP="00A504AD">
      <w:pPr>
        <w:autoSpaceDE w:val="0"/>
        <w:autoSpaceDN w:val="0"/>
        <w:adjustRightInd w:val="0"/>
        <w:spacing w:after="0" w:line="240" w:lineRule="auto"/>
        <w:rPr>
          <w:rFonts w:ascii="ArialMT" w:hAnsi="ArialMT" w:cs="ArialMT"/>
          <w:sz w:val="24"/>
          <w:szCs w:val="24"/>
        </w:rPr>
      </w:pPr>
    </w:p>
    <w:p w:rsidR="00A504AD" w:rsidRDefault="00A504AD" w:rsidP="00A504AD">
      <w:pPr>
        <w:pStyle w:val="BodyText"/>
        <w:ind w:left="567"/>
        <w:rPr>
          <w:sz w:val="16"/>
          <w:szCs w:val="16"/>
        </w:rPr>
      </w:pPr>
      <w:r w:rsidRPr="00A05D59">
        <w:rPr>
          <w:sz w:val="16"/>
          <w:szCs w:val="16"/>
        </w:rPr>
        <w:t xml:space="preserve">*Source: NHS Tayside Finance and Resources Committee papers 2012 </w:t>
      </w:r>
      <w:r>
        <w:rPr>
          <w:sz w:val="16"/>
          <w:szCs w:val="16"/>
        </w:rPr>
        <w:t>–</w:t>
      </w:r>
      <w:r w:rsidRPr="00A05D59">
        <w:rPr>
          <w:sz w:val="16"/>
          <w:szCs w:val="16"/>
        </w:rPr>
        <w:t xml:space="preserve"> 2018</w:t>
      </w:r>
    </w:p>
    <w:p w:rsidR="00A504AD" w:rsidRDefault="00A504AD" w:rsidP="00A504AD">
      <w:pPr>
        <w:pStyle w:val="BodyText"/>
        <w:ind w:left="567"/>
        <w:rPr>
          <w:sz w:val="16"/>
          <w:szCs w:val="16"/>
        </w:rPr>
      </w:pPr>
      <w:r>
        <w:rPr>
          <w:sz w:val="16"/>
          <w:szCs w:val="16"/>
        </w:rPr>
        <w:t>**Unaudited forecast</w:t>
      </w:r>
    </w:p>
    <w:p w:rsidR="00A504AD" w:rsidRPr="00245387" w:rsidRDefault="00245387" w:rsidP="00245387">
      <w:pPr>
        <w:pStyle w:val="BodyText"/>
        <w:ind w:left="567"/>
        <w:rPr>
          <w:color w:val="4F2D7F" w:themeColor="accent1"/>
          <w:sz w:val="24"/>
          <w:szCs w:val="24"/>
        </w:rPr>
      </w:pPr>
      <w:r>
        <w:rPr>
          <w:sz w:val="16"/>
          <w:szCs w:val="16"/>
        </w:rPr>
        <w:t>***Brokerage received in year</w:t>
      </w:r>
      <w:r w:rsidR="00A504AD" w:rsidRPr="00FE5E06">
        <w:rPr>
          <w:sz w:val="24"/>
          <w:szCs w:val="24"/>
        </w:rPr>
        <w:t xml:space="preserve"> </w:t>
      </w:r>
    </w:p>
    <w:p w:rsidR="00A504AD" w:rsidRDefault="00A504AD" w:rsidP="00A504AD">
      <w:pPr>
        <w:autoSpaceDE w:val="0"/>
        <w:autoSpaceDN w:val="0"/>
        <w:adjustRightInd w:val="0"/>
        <w:spacing w:after="0" w:line="240" w:lineRule="auto"/>
        <w:rPr>
          <w:sz w:val="24"/>
          <w:szCs w:val="24"/>
        </w:rPr>
      </w:pPr>
    </w:p>
    <w:p w:rsidR="00853465" w:rsidRPr="00853465" w:rsidRDefault="00853465" w:rsidP="00853465">
      <w:pPr>
        <w:spacing w:after="0" w:line="240" w:lineRule="auto"/>
        <w:rPr>
          <w:b/>
          <w:bCs/>
          <w:color w:val="4F2D7F" w:themeColor="accent1"/>
          <w:sz w:val="24"/>
          <w:szCs w:val="24"/>
        </w:rPr>
      </w:pPr>
      <w:r w:rsidRPr="00853465">
        <w:rPr>
          <w:b/>
          <w:bCs/>
          <w:color w:val="4F2D7F" w:themeColor="accent1"/>
          <w:sz w:val="24"/>
          <w:szCs w:val="24"/>
        </w:rPr>
        <w:t>Our key findings</w:t>
      </w:r>
    </w:p>
    <w:p w:rsidR="00853465" w:rsidRPr="00FE5E06" w:rsidRDefault="00853465" w:rsidP="00A504AD">
      <w:pPr>
        <w:autoSpaceDE w:val="0"/>
        <w:autoSpaceDN w:val="0"/>
        <w:adjustRightInd w:val="0"/>
        <w:spacing w:after="0" w:line="240" w:lineRule="auto"/>
        <w:rPr>
          <w:sz w:val="24"/>
          <w:szCs w:val="24"/>
        </w:rPr>
      </w:pPr>
    </w:p>
    <w:p w:rsidR="00853465" w:rsidRDefault="00A504AD" w:rsidP="00646C90">
      <w:pPr>
        <w:pStyle w:val="ListParagraph"/>
        <w:numPr>
          <w:ilvl w:val="0"/>
          <w:numId w:val="31"/>
        </w:numPr>
        <w:autoSpaceDE w:val="0"/>
        <w:autoSpaceDN w:val="0"/>
        <w:adjustRightInd w:val="0"/>
        <w:spacing w:after="0" w:line="240" w:lineRule="auto"/>
        <w:ind w:left="284" w:hanging="284"/>
        <w:rPr>
          <w:sz w:val="24"/>
          <w:szCs w:val="24"/>
        </w:rPr>
      </w:pPr>
      <w:r w:rsidRPr="00853465">
        <w:rPr>
          <w:sz w:val="24"/>
          <w:szCs w:val="24"/>
        </w:rPr>
        <w:t>From our review of the papers submitted to the Finance and Resources Committee during 2013/14 and up until the end of 2016/17 this financial management approach to “deferred expenditure” is not as o</w:t>
      </w:r>
      <w:r w:rsidR="00257468" w:rsidRPr="00853465">
        <w:rPr>
          <w:sz w:val="24"/>
          <w:szCs w:val="24"/>
        </w:rPr>
        <w:t>pen and transparent as it could</w:t>
      </w:r>
      <w:r w:rsidRPr="00853465">
        <w:rPr>
          <w:sz w:val="24"/>
          <w:szCs w:val="24"/>
        </w:rPr>
        <w:t xml:space="preserve"> have been. </w:t>
      </w:r>
    </w:p>
    <w:p w:rsidR="00853465" w:rsidRDefault="00853465" w:rsidP="00853465">
      <w:pPr>
        <w:pStyle w:val="ListParagraph"/>
        <w:autoSpaceDE w:val="0"/>
        <w:autoSpaceDN w:val="0"/>
        <w:adjustRightInd w:val="0"/>
        <w:spacing w:after="0" w:line="240" w:lineRule="auto"/>
        <w:ind w:left="284"/>
        <w:rPr>
          <w:sz w:val="24"/>
          <w:szCs w:val="24"/>
        </w:rPr>
      </w:pPr>
    </w:p>
    <w:p w:rsidR="00853465" w:rsidRDefault="00A504AD" w:rsidP="00646C90">
      <w:pPr>
        <w:pStyle w:val="ListParagraph"/>
        <w:numPr>
          <w:ilvl w:val="0"/>
          <w:numId w:val="31"/>
        </w:numPr>
        <w:autoSpaceDE w:val="0"/>
        <w:autoSpaceDN w:val="0"/>
        <w:adjustRightInd w:val="0"/>
        <w:spacing w:after="0" w:line="240" w:lineRule="auto"/>
        <w:ind w:left="284" w:hanging="284"/>
        <w:rPr>
          <w:sz w:val="24"/>
          <w:szCs w:val="24"/>
        </w:rPr>
      </w:pPr>
      <w:r w:rsidRPr="00853465">
        <w:rPr>
          <w:sz w:val="24"/>
          <w:szCs w:val="24"/>
        </w:rPr>
        <w:t xml:space="preserve">Up until the recent exercise to analyse what the deferred expenditure balance is made up of, it was not clear exactly what RRL allocation was deferred, and what the future expenditure commitment was and whether this committee reflected a national NHS priority or a local NHS Tayside priority.  </w:t>
      </w:r>
    </w:p>
    <w:p w:rsidR="00853465" w:rsidRPr="00853465" w:rsidRDefault="00853465" w:rsidP="00853465">
      <w:pPr>
        <w:pStyle w:val="ListParagraph"/>
        <w:rPr>
          <w:sz w:val="24"/>
          <w:szCs w:val="24"/>
        </w:rPr>
      </w:pPr>
    </w:p>
    <w:p w:rsidR="00853465" w:rsidRDefault="00A504AD" w:rsidP="00646C90">
      <w:pPr>
        <w:pStyle w:val="ListParagraph"/>
        <w:numPr>
          <w:ilvl w:val="0"/>
          <w:numId w:val="31"/>
        </w:numPr>
        <w:autoSpaceDE w:val="0"/>
        <w:autoSpaceDN w:val="0"/>
        <w:adjustRightInd w:val="0"/>
        <w:spacing w:after="0" w:line="240" w:lineRule="auto"/>
        <w:ind w:left="284" w:hanging="284"/>
        <w:rPr>
          <w:sz w:val="24"/>
          <w:szCs w:val="24"/>
        </w:rPr>
      </w:pPr>
      <w:r w:rsidRPr="00853465">
        <w:rPr>
          <w:sz w:val="24"/>
          <w:szCs w:val="24"/>
        </w:rPr>
        <w:t>The Finance and Resource Committee papers make reference t</w:t>
      </w:r>
      <w:r w:rsidR="00257468" w:rsidRPr="00853465">
        <w:rPr>
          <w:sz w:val="24"/>
          <w:szCs w:val="24"/>
        </w:rPr>
        <w:t>o deferred expenditure</w:t>
      </w:r>
      <w:r w:rsidRPr="00853465">
        <w:rPr>
          <w:sz w:val="24"/>
          <w:szCs w:val="24"/>
        </w:rPr>
        <w:t>.  However, what is not in the papers is what this balance is made up of and therefore the ability to scrutinise or consider whether this is genuine deferred expenditure due to a legitimate timing difference or that the balance is being used to manage the delivery of the financial targets in-year.</w:t>
      </w:r>
    </w:p>
    <w:p w:rsidR="00853465" w:rsidRPr="00853465" w:rsidRDefault="00853465" w:rsidP="00853465">
      <w:pPr>
        <w:pStyle w:val="ListParagraph"/>
        <w:rPr>
          <w:sz w:val="24"/>
          <w:szCs w:val="24"/>
        </w:rPr>
      </w:pPr>
    </w:p>
    <w:p w:rsidR="00853465" w:rsidRDefault="00A504AD" w:rsidP="00646C90">
      <w:pPr>
        <w:pStyle w:val="ListParagraph"/>
        <w:numPr>
          <w:ilvl w:val="0"/>
          <w:numId w:val="31"/>
        </w:numPr>
        <w:autoSpaceDE w:val="0"/>
        <w:autoSpaceDN w:val="0"/>
        <w:adjustRightInd w:val="0"/>
        <w:spacing w:after="0" w:line="240" w:lineRule="auto"/>
        <w:ind w:left="284" w:hanging="284"/>
        <w:rPr>
          <w:sz w:val="24"/>
          <w:szCs w:val="24"/>
        </w:rPr>
      </w:pPr>
      <w:r w:rsidRPr="00853465">
        <w:rPr>
          <w:sz w:val="24"/>
          <w:szCs w:val="24"/>
        </w:rPr>
        <w:t>When deferred expenditure has an associated risk attached to it, the risk around the high balance is flagged as being SGHSCD may reduce allocations towards the year-end limiting NHS Tayside’s ability to defer spend into future years.  Taking a step back, the actual risk is</w:t>
      </w:r>
      <w:r w:rsidR="00FB6783">
        <w:rPr>
          <w:sz w:val="24"/>
          <w:szCs w:val="24"/>
        </w:rPr>
        <w:t xml:space="preserve"> more likely to be</w:t>
      </w:r>
      <w:r w:rsidRPr="00853465">
        <w:rPr>
          <w:sz w:val="24"/>
          <w:szCs w:val="24"/>
        </w:rPr>
        <w:t xml:space="preserve"> that financially they would be unable to deliver the savings needed in year to achieve financial balance and they were carrying forward balances which meant they started the new financial year automatically significantly overspent with no clear savings plans.  </w:t>
      </w:r>
    </w:p>
    <w:p w:rsidR="00853465" w:rsidRPr="00853465" w:rsidRDefault="00853465" w:rsidP="00853465">
      <w:pPr>
        <w:pStyle w:val="ListParagraph"/>
        <w:rPr>
          <w:sz w:val="24"/>
          <w:szCs w:val="24"/>
        </w:rPr>
      </w:pPr>
    </w:p>
    <w:p w:rsidR="00FB6783" w:rsidRDefault="00A504AD" w:rsidP="00646C90">
      <w:pPr>
        <w:pStyle w:val="ListParagraph"/>
        <w:numPr>
          <w:ilvl w:val="0"/>
          <w:numId w:val="31"/>
        </w:numPr>
        <w:autoSpaceDE w:val="0"/>
        <w:autoSpaceDN w:val="0"/>
        <w:adjustRightInd w:val="0"/>
        <w:spacing w:after="0" w:line="240" w:lineRule="auto"/>
        <w:ind w:left="284" w:hanging="284"/>
        <w:rPr>
          <w:sz w:val="24"/>
          <w:szCs w:val="24"/>
        </w:rPr>
      </w:pPr>
      <w:r w:rsidRPr="00FB6783">
        <w:rPr>
          <w:sz w:val="24"/>
          <w:szCs w:val="24"/>
        </w:rPr>
        <w:lastRenderedPageBreak/>
        <w:t>Based on our review of the monthly monitoring returns to the SG</w:t>
      </w:r>
      <w:r w:rsidR="00FB6783" w:rsidRPr="00FB6783">
        <w:rPr>
          <w:sz w:val="24"/>
          <w:szCs w:val="24"/>
        </w:rPr>
        <w:t>HSCD it is difficult to see the deferred expenditure</w:t>
      </w:r>
      <w:r w:rsidRPr="00FB6783">
        <w:rPr>
          <w:sz w:val="24"/>
          <w:szCs w:val="24"/>
        </w:rPr>
        <w:t xml:space="preserve"> balance reflected.  </w:t>
      </w:r>
      <w:r w:rsidR="00FB6783">
        <w:rPr>
          <w:sz w:val="24"/>
          <w:szCs w:val="24"/>
        </w:rPr>
        <w:t xml:space="preserve">Deferred expenditure is reflected in the narrative within the monthly returns but there is not an outline of what this is (same as the finding related to the internal NHS Tayside finance reporting) and it is in the narrative not the number tables.  </w:t>
      </w:r>
    </w:p>
    <w:p w:rsidR="00FB6783" w:rsidRPr="00FB6783" w:rsidRDefault="00FB6783" w:rsidP="00FB6783">
      <w:pPr>
        <w:autoSpaceDE w:val="0"/>
        <w:autoSpaceDN w:val="0"/>
        <w:adjustRightInd w:val="0"/>
        <w:spacing w:after="0" w:line="240" w:lineRule="auto"/>
        <w:rPr>
          <w:sz w:val="24"/>
          <w:szCs w:val="24"/>
        </w:rPr>
      </w:pPr>
    </w:p>
    <w:p w:rsidR="00853465" w:rsidRDefault="00A504AD" w:rsidP="00646C90">
      <w:pPr>
        <w:pStyle w:val="ListParagraph"/>
        <w:numPr>
          <w:ilvl w:val="0"/>
          <w:numId w:val="31"/>
        </w:numPr>
        <w:autoSpaceDE w:val="0"/>
        <w:autoSpaceDN w:val="0"/>
        <w:adjustRightInd w:val="0"/>
        <w:spacing w:after="0" w:line="240" w:lineRule="auto"/>
        <w:ind w:left="284" w:hanging="284"/>
        <w:rPr>
          <w:sz w:val="24"/>
          <w:szCs w:val="24"/>
        </w:rPr>
      </w:pPr>
      <w:r w:rsidRPr="00853465">
        <w:rPr>
          <w:sz w:val="24"/>
          <w:szCs w:val="24"/>
        </w:rPr>
        <w:t xml:space="preserve">Based on our review we note that NHS Tayside consistently reported to the </w:t>
      </w:r>
      <w:r w:rsidR="00257468" w:rsidRPr="00853465">
        <w:rPr>
          <w:sz w:val="24"/>
          <w:szCs w:val="24"/>
        </w:rPr>
        <w:t xml:space="preserve">Finance and Resources </w:t>
      </w:r>
      <w:r w:rsidRPr="00853465">
        <w:rPr>
          <w:sz w:val="24"/>
          <w:szCs w:val="24"/>
        </w:rPr>
        <w:t>Committee</w:t>
      </w:r>
      <w:r w:rsidR="00257468" w:rsidRPr="00853465">
        <w:rPr>
          <w:sz w:val="24"/>
          <w:szCs w:val="24"/>
        </w:rPr>
        <w:t xml:space="preserve"> (and these minutes were reported to the NHS Board)</w:t>
      </w:r>
      <w:r w:rsidRPr="00853465">
        <w:rPr>
          <w:sz w:val="24"/>
          <w:szCs w:val="24"/>
        </w:rPr>
        <w:t xml:space="preserve"> and within SGHSCD returns that they would achieve in-year financial break-even.  Over time the areas of where the Board were overspending did change but it appeared that Management maintained an optimistic attitude that the financial position would be achieved.</w:t>
      </w:r>
    </w:p>
    <w:p w:rsidR="00853465" w:rsidRPr="00853465" w:rsidRDefault="00853465" w:rsidP="00853465">
      <w:pPr>
        <w:pStyle w:val="ListParagraph"/>
        <w:rPr>
          <w:sz w:val="24"/>
          <w:szCs w:val="24"/>
        </w:rPr>
      </w:pPr>
    </w:p>
    <w:p w:rsidR="00A504AD" w:rsidRDefault="00A504AD" w:rsidP="00646C90">
      <w:pPr>
        <w:pStyle w:val="ListParagraph"/>
        <w:numPr>
          <w:ilvl w:val="0"/>
          <w:numId w:val="31"/>
        </w:numPr>
        <w:autoSpaceDE w:val="0"/>
        <w:autoSpaceDN w:val="0"/>
        <w:adjustRightInd w:val="0"/>
        <w:spacing w:after="0" w:line="240" w:lineRule="auto"/>
        <w:ind w:left="284" w:hanging="284"/>
        <w:rPr>
          <w:sz w:val="24"/>
          <w:szCs w:val="24"/>
        </w:rPr>
      </w:pPr>
      <w:r w:rsidRPr="00853465">
        <w:rPr>
          <w:sz w:val="24"/>
          <w:szCs w:val="24"/>
        </w:rPr>
        <w:t>We understand from speaking to the NHS Tayside Finance team that historically expenditure was always lower in the last three months of the financial y</w:t>
      </w:r>
      <w:r w:rsidR="002A0E5C">
        <w:rPr>
          <w:sz w:val="24"/>
          <w:szCs w:val="24"/>
        </w:rPr>
        <w:t xml:space="preserve">ear, and the forecasts assumed this would happen.  If </w:t>
      </w:r>
      <w:r w:rsidRPr="00853465">
        <w:rPr>
          <w:sz w:val="24"/>
          <w:szCs w:val="24"/>
        </w:rPr>
        <w:t xml:space="preserve">expenditure forecasts are inaccurately forecasted in the last 3 months of the year the Board would have limited options to recover that position.  This may be the reason RRL allocations </w:t>
      </w:r>
      <w:r w:rsidR="002A0E5C">
        <w:rPr>
          <w:sz w:val="24"/>
          <w:szCs w:val="24"/>
        </w:rPr>
        <w:t xml:space="preserve">were continually </w:t>
      </w:r>
      <w:r w:rsidRPr="00853465">
        <w:rPr>
          <w:sz w:val="24"/>
          <w:szCs w:val="24"/>
        </w:rPr>
        <w:t xml:space="preserve"> deferred to mitigate/minimise this risk but as the individuals are no longer working for NHS Tayside we are unable to explore this.  </w:t>
      </w:r>
    </w:p>
    <w:p w:rsidR="00FB6783" w:rsidRPr="00FB6783" w:rsidRDefault="00FB6783" w:rsidP="00FB6783">
      <w:pPr>
        <w:pStyle w:val="ListParagraph"/>
        <w:rPr>
          <w:sz w:val="24"/>
          <w:szCs w:val="24"/>
        </w:rPr>
      </w:pPr>
    </w:p>
    <w:p w:rsidR="00FB6783" w:rsidRDefault="00FB6783" w:rsidP="00646C90">
      <w:pPr>
        <w:pStyle w:val="ListParagraph"/>
        <w:numPr>
          <w:ilvl w:val="0"/>
          <w:numId w:val="31"/>
        </w:numPr>
        <w:autoSpaceDE w:val="0"/>
        <w:autoSpaceDN w:val="0"/>
        <w:adjustRightInd w:val="0"/>
        <w:spacing w:after="0" w:line="240" w:lineRule="auto"/>
        <w:ind w:left="284" w:hanging="284"/>
        <w:rPr>
          <w:sz w:val="24"/>
          <w:szCs w:val="24"/>
        </w:rPr>
      </w:pPr>
      <w:r>
        <w:rPr>
          <w:sz w:val="24"/>
          <w:szCs w:val="24"/>
        </w:rPr>
        <w:t>From our review of the Finance papers, in particular those in 2013</w:t>
      </w:r>
      <w:r w:rsidR="00105C89">
        <w:rPr>
          <w:sz w:val="24"/>
          <w:szCs w:val="24"/>
        </w:rPr>
        <w:t>/14 we noticed some large movements</w:t>
      </w:r>
      <w:r>
        <w:rPr>
          <w:sz w:val="24"/>
          <w:szCs w:val="24"/>
        </w:rPr>
        <w:t xml:space="preserve"> between budget and forecast expenditure, and the overspends in places differ from months to month making it difficult to track what has actually happened between months.   </w:t>
      </w:r>
    </w:p>
    <w:p w:rsidR="00853465" w:rsidRPr="00853465" w:rsidRDefault="00853465" w:rsidP="00853465">
      <w:pPr>
        <w:pStyle w:val="ListParagraph"/>
        <w:ind w:left="284" w:hanging="284"/>
        <w:rPr>
          <w:sz w:val="24"/>
          <w:szCs w:val="24"/>
        </w:rPr>
      </w:pPr>
    </w:p>
    <w:p w:rsidR="00FB6783" w:rsidRDefault="00853465" w:rsidP="00FB6783">
      <w:pPr>
        <w:pStyle w:val="BodyText"/>
        <w:numPr>
          <w:ilvl w:val="0"/>
          <w:numId w:val="31"/>
        </w:numPr>
        <w:ind w:left="284" w:hanging="284"/>
        <w:jc w:val="both"/>
        <w:rPr>
          <w:sz w:val="24"/>
          <w:szCs w:val="24"/>
        </w:rPr>
      </w:pPr>
      <w:r>
        <w:rPr>
          <w:sz w:val="24"/>
          <w:szCs w:val="24"/>
        </w:rPr>
        <w:t>The overall quality of the finance papers presented to the Finance and Resource Committee u</w:t>
      </w:r>
      <w:r w:rsidR="00105C89">
        <w:rPr>
          <w:sz w:val="24"/>
          <w:szCs w:val="24"/>
        </w:rPr>
        <w:t>p until 2015/16</w:t>
      </w:r>
      <w:r>
        <w:rPr>
          <w:sz w:val="24"/>
          <w:szCs w:val="24"/>
        </w:rPr>
        <w:t xml:space="preserve"> were poor. Often updates appeared to be verbal and from reading the papers that were presented we note: they were lengthy, confusing and hard to follow, particularly if you were of a non-finance background; they throughout the year presented a positive position even when certain aspects of the Board’s activities were overspending, and the treatment of deferred expenditure, in particular that this was planned to achieve financial forecasts is not articulated or visible.</w:t>
      </w:r>
    </w:p>
    <w:p w:rsidR="00105C89" w:rsidRPr="00105C89" w:rsidRDefault="00105C89" w:rsidP="00105C89">
      <w:pPr>
        <w:pStyle w:val="BodyText"/>
        <w:jc w:val="both"/>
        <w:rPr>
          <w:sz w:val="24"/>
          <w:szCs w:val="24"/>
        </w:rPr>
      </w:pPr>
    </w:p>
    <w:p w:rsidR="007F2F08" w:rsidRDefault="004678DF" w:rsidP="00646C90">
      <w:pPr>
        <w:pStyle w:val="ListParagraph"/>
        <w:numPr>
          <w:ilvl w:val="0"/>
          <w:numId w:val="31"/>
        </w:numPr>
        <w:autoSpaceDE w:val="0"/>
        <w:autoSpaceDN w:val="0"/>
        <w:adjustRightInd w:val="0"/>
        <w:spacing w:after="0" w:line="240" w:lineRule="auto"/>
        <w:ind w:left="284" w:hanging="284"/>
        <w:rPr>
          <w:sz w:val="24"/>
          <w:szCs w:val="24"/>
        </w:rPr>
      </w:pPr>
      <w:r>
        <w:rPr>
          <w:sz w:val="24"/>
          <w:szCs w:val="24"/>
        </w:rPr>
        <w:t>“</w:t>
      </w:r>
      <w:r w:rsidRPr="004678DF">
        <w:rPr>
          <w:sz w:val="24"/>
          <w:szCs w:val="24"/>
        </w:rPr>
        <w:t>On Board – A guide for Board Members of public bodies in Scotland</w:t>
      </w:r>
      <w:r>
        <w:rPr>
          <w:sz w:val="24"/>
          <w:szCs w:val="24"/>
        </w:rPr>
        <w:t>” In section 3.7 sets out the role of Board committee.  This sets out “</w:t>
      </w:r>
      <w:r w:rsidRPr="004678DF">
        <w:rPr>
          <w:sz w:val="24"/>
          <w:szCs w:val="24"/>
        </w:rPr>
        <w:t>It is very important, however, that it is not merely the minutes of Board Committees that are reported to the Board. The Board cannot be expected to understand the issues dealt with by the Board Committee from the minutes alone</w:t>
      </w:r>
      <w:r>
        <w:rPr>
          <w:sz w:val="24"/>
          <w:szCs w:val="24"/>
        </w:rPr>
        <w:t xml:space="preserve">”.  The NHS Tayside Board received the Annual Financial Statements, the Finance and Resources Committee minutes and an annual report from the Chair of the Finance and Resources Committee.  Although performance papers were presented to the Board these were operational performance, and we note that the Board did not see the finance papers.  Without seeing the finance papers and only the minutes it would be difficult for the NHS Tayside Board to understand the Board’s financial position and the means in which the financial position was being managed.  </w:t>
      </w:r>
    </w:p>
    <w:p w:rsidR="00105C89" w:rsidRPr="00105C89" w:rsidRDefault="00105C89" w:rsidP="00105C89">
      <w:pPr>
        <w:pStyle w:val="ListParagraph"/>
        <w:rPr>
          <w:sz w:val="24"/>
          <w:szCs w:val="24"/>
        </w:rPr>
      </w:pPr>
    </w:p>
    <w:p w:rsidR="00105C89" w:rsidRDefault="00105C89" w:rsidP="00105C89">
      <w:pPr>
        <w:pStyle w:val="ListParagraph"/>
        <w:autoSpaceDE w:val="0"/>
        <w:autoSpaceDN w:val="0"/>
        <w:adjustRightInd w:val="0"/>
        <w:spacing w:after="0" w:line="240" w:lineRule="auto"/>
        <w:ind w:left="284"/>
        <w:rPr>
          <w:sz w:val="24"/>
          <w:szCs w:val="24"/>
        </w:rPr>
      </w:pPr>
    </w:p>
    <w:p w:rsidR="00105C89" w:rsidRDefault="00105C89" w:rsidP="00105C89">
      <w:pPr>
        <w:pStyle w:val="ListParagraph"/>
        <w:autoSpaceDE w:val="0"/>
        <w:autoSpaceDN w:val="0"/>
        <w:adjustRightInd w:val="0"/>
        <w:spacing w:after="0" w:line="240" w:lineRule="auto"/>
        <w:ind w:left="284"/>
        <w:rPr>
          <w:sz w:val="24"/>
          <w:szCs w:val="24"/>
        </w:rPr>
      </w:pPr>
    </w:p>
    <w:p w:rsidR="007F2F08" w:rsidRPr="007F2F08" w:rsidRDefault="007F2F08" w:rsidP="007F2F08">
      <w:pPr>
        <w:pStyle w:val="ListParagraph"/>
        <w:rPr>
          <w:sz w:val="24"/>
          <w:szCs w:val="24"/>
        </w:rPr>
      </w:pPr>
    </w:p>
    <w:p w:rsidR="0096426B" w:rsidRPr="007F2F08" w:rsidRDefault="007F2F08" w:rsidP="00646C90">
      <w:pPr>
        <w:pStyle w:val="ListParagraph"/>
        <w:numPr>
          <w:ilvl w:val="0"/>
          <w:numId w:val="31"/>
        </w:numPr>
        <w:autoSpaceDE w:val="0"/>
        <w:autoSpaceDN w:val="0"/>
        <w:adjustRightInd w:val="0"/>
        <w:spacing w:after="0" w:line="240" w:lineRule="auto"/>
        <w:ind w:left="284" w:hanging="284"/>
        <w:rPr>
          <w:sz w:val="24"/>
          <w:szCs w:val="24"/>
        </w:rPr>
      </w:pPr>
      <w:r w:rsidRPr="007F2F08">
        <w:rPr>
          <w:sz w:val="24"/>
          <w:szCs w:val="24"/>
        </w:rPr>
        <w:lastRenderedPageBreak/>
        <w:t>T</w:t>
      </w:r>
      <w:r>
        <w:rPr>
          <w:sz w:val="24"/>
          <w:szCs w:val="24"/>
        </w:rPr>
        <w:t>hroughout 2013/14 there appears to be</w:t>
      </w:r>
      <w:r w:rsidR="0096426B" w:rsidRPr="007F2F08">
        <w:rPr>
          <w:sz w:val="24"/>
          <w:szCs w:val="24"/>
        </w:rPr>
        <w:t xml:space="preserve"> inconsistent financial performance information being reported to the Finance </w:t>
      </w:r>
      <w:r>
        <w:rPr>
          <w:sz w:val="24"/>
          <w:szCs w:val="24"/>
        </w:rPr>
        <w:t xml:space="preserve">and Resources Committee, the Endowment </w:t>
      </w:r>
      <w:r w:rsidR="0096426B" w:rsidRPr="007F2F08">
        <w:rPr>
          <w:sz w:val="24"/>
          <w:szCs w:val="24"/>
        </w:rPr>
        <w:t>Board of Trustees</w:t>
      </w:r>
      <w:r>
        <w:rPr>
          <w:sz w:val="24"/>
          <w:szCs w:val="24"/>
        </w:rPr>
        <w:t xml:space="preserve"> and within SGHSCD</w:t>
      </w:r>
      <w:r w:rsidR="0096426B" w:rsidRPr="007F2F08">
        <w:rPr>
          <w:sz w:val="24"/>
          <w:szCs w:val="24"/>
        </w:rPr>
        <w:t xml:space="preserve">.  </w:t>
      </w:r>
      <w:r>
        <w:rPr>
          <w:sz w:val="24"/>
          <w:szCs w:val="24"/>
        </w:rPr>
        <w:t>Ef</w:t>
      </w:r>
      <w:r w:rsidR="0096426B" w:rsidRPr="007F2F08">
        <w:rPr>
          <w:sz w:val="24"/>
          <w:szCs w:val="24"/>
        </w:rPr>
        <w:t xml:space="preserve">fectively the position reported to the Committee and SGHSCD appears to be overly optimistic and did not fully reflect management’s assessment of the underlying financial position.  </w:t>
      </w:r>
    </w:p>
    <w:p w:rsidR="0096426B" w:rsidRDefault="0096426B" w:rsidP="0096426B">
      <w:pPr>
        <w:autoSpaceDE w:val="0"/>
        <w:autoSpaceDN w:val="0"/>
        <w:adjustRightInd w:val="0"/>
        <w:spacing w:after="0" w:line="240" w:lineRule="auto"/>
        <w:rPr>
          <w:sz w:val="24"/>
          <w:szCs w:val="24"/>
        </w:rPr>
      </w:pPr>
    </w:p>
    <w:p w:rsidR="006818FB" w:rsidRDefault="006818FB" w:rsidP="00EB3072">
      <w:pPr>
        <w:pStyle w:val="BodyText"/>
        <w:rPr>
          <w:b/>
          <w:color w:val="4F2D7F" w:themeColor="accent1"/>
          <w:sz w:val="24"/>
          <w:szCs w:val="24"/>
        </w:rPr>
      </w:pPr>
      <w:r>
        <w:rPr>
          <w:b/>
          <w:color w:val="4F2D7F" w:themeColor="accent1"/>
          <w:sz w:val="24"/>
          <w:szCs w:val="24"/>
        </w:rPr>
        <w:t>Financ</w:t>
      </w:r>
      <w:r w:rsidR="00A718A3">
        <w:rPr>
          <w:b/>
          <w:color w:val="4F2D7F" w:themeColor="accent1"/>
          <w:sz w:val="24"/>
          <w:szCs w:val="24"/>
        </w:rPr>
        <w:t>ial management and the role of Internal A</w:t>
      </w:r>
      <w:r>
        <w:rPr>
          <w:b/>
          <w:color w:val="4F2D7F" w:themeColor="accent1"/>
          <w:sz w:val="24"/>
          <w:szCs w:val="24"/>
        </w:rPr>
        <w:t xml:space="preserve">udit </w:t>
      </w:r>
    </w:p>
    <w:p w:rsidR="006818FB" w:rsidRDefault="007F2F08" w:rsidP="00EB3072">
      <w:pPr>
        <w:pStyle w:val="BodyText"/>
        <w:rPr>
          <w:sz w:val="24"/>
          <w:szCs w:val="24"/>
        </w:rPr>
      </w:pPr>
      <w:r>
        <w:rPr>
          <w:sz w:val="24"/>
          <w:szCs w:val="24"/>
        </w:rPr>
        <w:t>Over the period 2012/13 to 2017/18 Internal Audit undertook certain internal audit reviews related to NHS Tayside’s financial management arrangements</w:t>
      </w:r>
      <w:r w:rsidR="00A718A3">
        <w:rPr>
          <w:sz w:val="24"/>
          <w:szCs w:val="24"/>
        </w:rPr>
        <w:t xml:space="preserve"> and did identify to management and the Audit Committee areas of risk and recommendations</w:t>
      </w:r>
      <w:r>
        <w:rPr>
          <w:sz w:val="24"/>
          <w:szCs w:val="24"/>
        </w:rPr>
        <w:t xml:space="preserve">.  </w:t>
      </w:r>
      <w:r w:rsidR="00FB6783" w:rsidRPr="00FB6783">
        <w:rPr>
          <w:sz w:val="24"/>
          <w:szCs w:val="24"/>
        </w:rPr>
        <w:t xml:space="preserve"> </w:t>
      </w:r>
      <w:r>
        <w:rPr>
          <w:sz w:val="24"/>
          <w:szCs w:val="24"/>
        </w:rPr>
        <w:t>In particular we would note:</w:t>
      </w:r>
    </w:p>
    <w:p w:rsidR="007F2F08" w:rsidRDefault="007F2F08" w:rsidP="00646C90">
      <w:pPr>
        <w:pStyle w:val="BodyText"/>
        <w:numPr>
          <w:ilvl w:val="0"/>
          <w:numId w:val="38"/>
        </w:numPr>
        <w:rPr>
          <w:sz w:val="24"/>
          <w:szCs w:val="24"/>
        </w:rPr>
      </w:pPr>
      <w:r>
        <w:rPr>
          <w:sz w:val="24"/>
          <w:szCs w:val="24"/>
        </w:rPr>
        <w:t>Financial Planning issued in November 2013 was categorised as “satisfactory” with only minor control weaknesses.  The report highlighted the following risk “The NHS Tayside Strategic Financial Plan contains £25.5 million for 2013/14 from non-recurring funds from deferred spend”.  The report outlines two risks to NHS Tayside in this approach – SGHSCD may reclaim the money and/or the SGHSCD may require NHS Tayside to spend the money more quickly reducing the ability to carry forward in future years resulting in an immediate cash shortfall.  The report notes that this risk is not accurately reflected in DATIX (the system used to record operational and strategic risks).  This report was reported to the Audit Committee but we cannot evidence of how this action was implemented by management and the Audit Committee updated on the implementation of the action.</w:t>
      </w:r>
    </w:p>
    <w:p w:rsidR="007F2F08" w:rsidRDefault="007F2F08" w:rsidP="00646C90">
      <w:pPr>
        <w:pStyle w:val="BodyText"/>
        <w:numPr>
          <w:ilvl w:val="0"/>
          <w:numId w:val="38"/>
        </w:numPr>
        <w:rPr>
          <w:sz w:val="24"/>
          <w:szCs w:val="24"/>
        </w:rPr>
      </w:pPr>
      <w:r>
        <w:rPr>
          <w:sz w:val="24"/>
          <w:szCs w:val="24"/>
        </w:rPr>
        <w:t xml:space="preserve">An Interim internal audit report was produced in 2015/16 around financial planning.  This report highlights “The draft financial framework 2016/17 to 2020/21 shows that committed earmarks will be used to offset overspends and unidentified savings meaning that NHS Tayside is spending less on these areas than specifically allocated by the Scottish Government”.  The report cross references to the previous Action in November 2013 as still being relevant.  In </w:t>
      </w:r>
      <w:r w:rsidR="00B478AA">
        <w:rPr>
          <w:sz w:val="24"/>
          <w:szCs w:val="24"/>
        </w:rPr>
        <w:t xml:space="preserve">three years it appears the action was still outstanding.  </w:t>
      </w:r>
    </w:p>
    <w:p w:rsidR="00B478AA" w:rsidRDefault="00B478AA" w:rsidP="00646C90">
      <w:pPr>
        <w:pStyle w:val="BodyText"/>
        <w:numPr>
          <w:ilvl w:val="0"/>
          <w:numId w:val="38"/>
        </w:numPr>
        <w:rPr>
          <w:sz w:val="24"/>
          <w:szCs w:val="24"/>
        </w:rPr>
      </w:pPr>
      <w:r>
        <w:rPr>
          <w:sz w:val="24"/>
          <w:szCs w:val="24"/>
        </w:rPr>
        <w:t xml:space="preserve">In 2016/17 a follow up of financial planning and management was issued in March 2017.  This report raises the same concerns reflected in the previous two reports.  </w:t>
      </w:r>
    </w:p>
    <w:p w:rsidR="00B478AA" w:rsidRDefault="00B478AA" w:rsidP="00EB3072">
      <w:pPr>
        <w:pStyle w:val="BodyText"/>
        <w:rPr>
          <w:sz w:val="24"/>
          <w:szCs w:val="24"/>
        </w:rPr>
      </w:pPr>
      <w:r>
        <w:rPr>
          <w:sz w:val="24"/>
          <w:szCs w:val="24"/>
        </w:rPr>
        <w:t>Based on our review of the NHS Tayside Audit Committee arrangements we would highlight the following findings:</w:t>
      </w:r>
    </w:p>
    <w:p w:rsidR="00B478AA" w:rsidRDefault="00B478AA" w:rsidP="00646C90">
      <w:pPr>
        <w:pStyle w:val="BodyText"/>
        <w:numPr>
          <w:ilvl w:val="0"/>
          <w:numId w:val="39"/>
        </w:numPr>
        <w:rPr>
          <w:sz w:val="24"/>
          <w:szCs w:val="24"/>
        </w:rPr>
      </w:pPr>
      <w:r>
        <w:rPr>
          <w:sz w:val="24"/>
          <w:szCs w:val="24"/>
        </w:rPr>
        <w:t>There was a lack of a robust mechanism for following up on management’s implementation of agreed internal audit recommendations.  Internal audit follow up reports were limited, presented by management (based on the cover paper) and did not demonstrate how the action being closed had been independently validated and legitimately actioned.</w:t>
      </w:r>
    </w:p>
    <w:p w:rsidR="00B478AA" w:rsidRDefault="00B478AA" w:rsidP="00646C90">
      <w:pPr>
        <w:pStyle w:val="BodyText"/>
        <w:numPr>
          <w:ilvl w:val="0"/>
          <w:numId w:val="39"/>
        </w:numPr>
        <w:rPr>
          <w:sz w:val="24"/>
          <w:szCs w:val="24"/>
        </w:rPr>
      </w:pPr>
      <w:r>
        <w:rPr>
          <w:sz w:val="24"/>
          <w:szCs w:val="24"/>
        </w:rPr>
        <w:t>The quality of the management response to internal audit recommendations was variable and often just stated “agreed”.  It was therefore difficult to determine what action management were taking, and the follow up was also difficult.</w:t>
      </w:r>
    </w:p>
    <w:p w:rsidR="00B478AA" w:rsidRDefault="00B478AA" w:rsidP="00646C90">
      <w:pPr>
        <w:pStyle w:val="BodyText"/>
        <w:numPr>
          <w:ilvl w:val="0"/>
          <w:numId w:val="39"/>
        </w:numPr>
        <w:rPr>
          <w:sz w:val="24"/>
          <w:szCs w:val="24"/>
        </w:rPr>
      </w:pPr>
      <w:r>
        <w:rPr>
          <w:sz w:val="24"/>
          <w:szCs w:val="24"/>
        </w:rPr>
        <w:t xml:space="preserve">Typically internal audit reports were lengthy although there have been improvements over the time period we reviewed.  This in our view would make it difficult for Committee members to easy identify the key areas of internal audit concern, and therefore the priority for them to focus on.  The internal audit assessment over the grading of the report was based on the review’s objectives which meant a number of differing grading’s as opposed to one overall grading.  </w:t>
      </w:r>
    </w:p>
    <w:p w:rsidR="00B478AA" w:rsidRDefault="00B478AA" w:rsidP="00646C90">
      <w:pPr>
        <w:pStyle w:val="BodyText"/>
        <w:numPr>
          <w:ilvl w:val="0"/>
          <w:numId w:val="39"/>
        </w:numPr>
        <w:rPr>
          <w:sz w:val="24"/>
          <w:szCs w:val="24"/>
        </w:rPr>
      </w:pPr>
      <w:r>
        <w:rPr>
          <w:sz w:val="24"/>
          <w:szCs w:val="24"/>
        </w:rPr>
        <w:lastRenderedPageBreak/>
        <w:t>Cover papers for internal audit reports were in the name of the Assistant Director of Finance.  This may have given the impression internal audit reported to the Assistant Director of Finance rather than as an independent source of assurance</w:t>
      </w:r>
    </w:p>
    <w:p w:rsidR="00245387" w:rsidRDefault="00245387" w:rsidP="006818FB">
      <w:pPr>
        <w:autoSpaceDE w:val="0"/>
        <w:autoSpaceDN w:val="0"/>
        <w:rPr>
          <w:b/>
          <w:color w:val="4F2D7F" w:themeColor="accent1"/>
          <w:sz w:val="24"/>
          <w:szCs w:val="24"/>
        </w:rPr>
      </w:pPr>
    </w:p>
    <w:p w:rsidR="006818FB" w:rsidRPr="006818FB" w:rsidRDefault="007F2F08" w:rsidP="006818FB">
      <w:pPr>
        <w:autoSpaceDE w:val="0"/>
        <w:autoSpaceDN w:val="0"/>
        <w:rPr>
          <w:b/>
          <w:color w:val="4F2D7F" w:themeColor="accent1"/>
          <w:sz w:val="24"/>
          <w:szCs w:val="24"/>
        </w:rPr>
      </w:pPr>
      <w:r>
        <w:rPr>
          <w:b/>
          <w:color w:val="4F2D7F" w:themeColor="accent1"/>
          <w:sz w:val="24"/>
          <w:szCs w:val="24"/>
        </w:rPr>
        <w:t xml:space="preserve">NHS Tayside </w:t>
      </w:r>
      <w:r w:rsidR="006818FB" w:rsidRPr="006818FB">
        <w:rPr>
          <w:b/>
          <w:color w:val="4F2D7F" w:themeColor="accent1"/>
          <w:sz w:val="24"/>
          <w:szCs w:val="24"/>
        </w:rPr>
        <w:t xml:space="preserve">External Audit </w:t>
      </w:r>
      <w:r>
        <w:rPr>
          <w:b/>
          <w:color w:val="4F2D7F" w:themeColor="accent1"/>
          <w:sz w:val="24"/>
          <w:szCs w:val="24"/>
        </w:rPr>
        <w:t>Reports</w:t>
      </w:r>
    </w:p>
    <w:p w:rsidR="006818FB" w:rsidRDefault="006818FB" w:rsidP="006818FB">
      <w:pPr>
        <w:autoSpaceDE w:val="0"/>
        <w:autoSpaceDN w:val="0"/>
        <w:rPr>
          <w:sz w:val="24"/>
          <w:szCs w:val="24"/>
        </w:rPr>
      </w:pPr>
      <w:r w:rsidRPr="006818FB">
        <w:rPr>
          <w:sz w:val="24"/>
          <w:szCs w:val="24"/>
        </w:rPr>
        <w:t>Auditors of public bodies across Scotland are required to conduct their audits in accordance with Audit Scotland’s Code of Practice (the Code)</w:t>
      </w:r>
      <w:r>
        <w:rPr>
          <w:sz w:val="24"/>
          <w:szCs w:val="24"/>
        </w:rPr>
        <w:t xml:space="preserve"> and International Standards of Auditing (ISAs)</w:t>
      </w:r>
      <w:r w:rsidRPr="006818FB">
        <w:rPr>
          <w:sz w:val="24"/>
          <w:szCs w:val="24"/>
        </w:rPr>
        <w:t xml:space="preserve">.  </w:t>
      </w:r>
    </w:p>
    <w:p w:rsidR="006818FB" w:rsidRDefault="006818FB" w:rsidP="006818FB">
      <w:pPr>
        <w:autoSpaceDE w:val="0"/>
        <w:autoSpaceDN w:val="0"/>
        <w:rPr>
          <w:sz w:val="24"/>
          <w:szCs w:val="24"/>
        </w:rPr>
      </w:pPr>
      <w:r>
        <w:rPr>
          <w:sz w:val="24"/>
          <w:szCs w:val="24"/>
        </w:rPr>
        <w:t>The relevant Audit Scotland Code of Practice</w:t>
      </w:r>
      <w:r w:rsidRPr="006818FB">
        <w:rPr>
          <w:sz w:val="24"/>
          <w:szCs w:val="24"/>
        </w:rPr>
        <w:t xml:space="preserve"> covering the period</w:t>
      </w:r>
      <w:r>
        <w:rPr>
          <w:sz w:val="24"/>
          <w:szCs w:val="24"/>
        </w:rPr>
        <w:t xml:space="preserve"> of</w:t>
      </w:r>
      <w:r w:rsidRPr="006818FB">
        <w:rPr>
          <w:sz w:val="24"/>
          <w:szCs w:val="24"/>
        </w:rPr>
        <w:t xml:space="preserve"> our review were issued in May 2011 and updated in May 2016.  </w:t>
      </w:r>
    </w:p>
    <w:p w:rsidR="006818FB" w:rsidRDefault="006818FB" w:rsidP="006818FB">
      <w:pPr>
        <w:autoSpaceDE w:val="0"/>
        <w:autoSpaceDN w:val="0"/>
        <w:rPr>
          <w:sz w:val="24"/>
          <w:szCs w:val="24"/>
        </w:rPr>
      </w:pPr>
      <w:r w:rsidRPr="006818FB">
        <w:rPr>
          <w:sz w:val="24"/>
          <w:szCs w:val="24"/>
        </w:rPr>
        <w:t>The Code provides a framework for public audit in Scotland and the principles which auditors should adopt in car</w:t>
      </w:r>
      <w:r>
        <w:rPr>
          <w:sz w:val="24"/>
          <w:szCs w:val="24"/>
        </w:rPr>
        <w:t>rying out their work. It sets out</w:t>
      </w:r>
      <w:r w:rsidRPr="006818FB">
        <w:rPr>
          <w:sz w:val="24"/>
          <w:szCs w:val="24"/>
        </w:rPr>
        <w:t xml:space="preserve"> requirements of auditors in relation to the audit of the financial statements as well as wider responsibilities of auditors of public sector bodies, including </w:t>
      </w:r>
      <w:r w:rsidR="000E4225">
        <w:rPr>
          <w:sz w:val="24"/>
          <w:szCs w:val="24"/>
        </w:rPr>
        <w:t xml:space="preserve">financial management and </w:t>
      </w:r>
      <w:r w:rsidRPr="006818FB">
        <w:rPr>
          <w:sz w:val="24"/>
          <w:szCs w:val="24"/>
        </w:rPr>
        <w:t xml:space="preserve">governance arrangements.  </w:t>
      </w:r>
    </w:p>
    <w:p w:rsidR="006818FB" w:rsidRPr="006818FB" w:rsidRDefault="000E4225" w:rsidP="006818FB">
      <w:pPr>
        <w:autoSpaceDE w:val="0"/>
        <w:autoSpaceDN w:val="0"/>
        <w:rPr>
          <w:sz w:val="24"/>
          <w:szCs w:val="24"/>
        </w:rPr>
      </w:pPr>
      <w:r>
        <w:rPr>
          <w:sz w:val="24"/>
          <w:szCs w:val="24"/>
        </w:rPr>
        <w:t>The Code of Audit Practice in 2011 sets out that</w:t>
      </w:r>
      <w:r w:rsidR="006818FB" w:rsidRPr="006818FB">
        <w:rPr>
          <w:sz w:val="24"/>
          <w:szCs w:val="24"/>
        </w:rPr>
        <w:t xml:space="preserve"> “Auditors should have regard to audited bodies’: financial performance in the period under audit; compliance with any statutory financial requirements and financial targets; ability to meet known or contingent statutory and other financial obligations; responses to developments which may have an impact on their financial position; and, financial plans for future periods.”</w:t>
      </w:r>
    </w:p>
    <w:p w:rsidR="006818FB" w:rsidRPr="006818FB" w:rsidRDefault="006818FB" w:rsidP="006818FB">
      <w:pPr>
        <w:rPr>
          <w:sz w:val="24"/>
          <w:szCs w:val="24"/>
        </w:rPr>
      </w:pPr>
      <w:r w:rsidRPr="006818FB">
        <w:rPr>
          <w:sz w:val="24"/>
          <w:szCs w:val="24"/>
        </w:rPr>
        <w:t>Based on our review of the</w:t>
      </w:r>
      <w:r w:rsidR="000E4225">
        <w:rPr>
          <w:sz w:val="24"/>
          <w:szCs w:val="24"/>
        </w:rPr>
        <w:t xml:space="preserve"> NHS Tayside External Audit</w:t>
      </w:r>
      <w:r w:rsidRPr="006818FB">
        <w:rPr>
          <w:sz w:val="24"/>
          <w:szCs w:val="24"/>
        </w:rPr>
        <w:t xml:space="preserve"> reports we note commentary across these wider scope areas.  As relevant to the </w:t>
      </w:r>
      <w:r w:rsidR="005E447B">
        <w:rPr>
          <w:sz w:val="24"/>
          <w:szCs w:val="24"/>
        </w:rPr>
        <w:t>scope of our review we</w:t>
      </w:r>
      <w:r w:rsidR="000E4225">
        <w:rPr>
          <w:sz w:val="24"/>
          <w:szCs w:val="24"/>
        </w:rPr>
        <w:t xml:space="preserve"> highlight</w:t>
      </w:r>
      <w:r w:rsidRPr="006818FB">
        <w:rPr>
          <w:sz w:val="24"/>
          <w:szCs w:val="24"/>
        </w:rPr>
        <w:t>:</w:t>
      </w:r>
    </w:p>
    <w:p w:rsidR="003D5484" w:rsidRDefault="006818FB" w:rsidP="00646C90">
      <w:pPr>
        <w:pStyle w:val="ListParagraph"/>
        <w:numPr>
          <w:ilvl w:val="0"/>
          <w:numId w:val="34"/>
        </w:numPr>
        <w:autoSpaceDE w:val="0"/>
        <w:autoSpaceDN w:val="0"/>
        <w:ind w:left="284" w:hanging="284"/>
        <w:rPr>
          <w:sz w:val="24"/>
          <w:szCs w:val="24"/>
        </w:rPr>
      </w:pPr>
      <w:r w:rsidRPr="003D5484">
        <w:rPr>
          <w:sz w:val="24"/>
          <w:szCs w:val="24"/>
        </w:rPr>
        <w:t xml:space="preserve">In each year the </w:t>
      </w:r>
      <w:r w:rsidR="000E4225">
        <w:rPr>
          <w:sz w:val="24"/>
          <w:szCs w:val="24"/>
        </w:rPr>
        <w:t xml:space="preserve">NHS Tayside </w:t>
      </w:r>
      <w:r w:rsidRPr="003D5484">
        <w:rPr>
          <w:sz w:val="24"/>
          <w:szCs w:val="24"/>
        </w:rPr>
        <w:t xml:space="preserve">external auditor comments on NHS Tayside’s overall governance arrangements focused on the NHS Tayside code of corporate governance.  In 2012/13 the report provides an overview of each of the NHS Tayside standing committees although we note this did not include the Finance and Resources Committee.  </w:t>
      </w:r>
    </w:p>
    <w:p w:rsidR="003D5484" w:rsidRDefault="003D5484" w:rsidP="003D5484">
      <w:pPr>
        <w:pStyle w:val="ListParagraph"/>
        <w:autoSpaceDE w:val="0"/>
        <w:autoSpaceDN w:val="0"/>
        <w:ind w:left="284"/>
        <w:rPr>
          <w:sz w:val="24"/>
          <w:szCs w:val="24"/>
        </w:rPr>
      </w:pPr>
    </w:p>
    <w:p w:rsidR="003D5484" w:rsidRDefault="000E4225" w:rsidP="00646C90">
      <w:pPr>
        <w:pStyle w:val="ListParagraph"/>
        <w:numPr>
          <w:ilvl w:val="0"/>
          <w:numId w:val="34"/>
        </w:numPr>
        <w:autoSpaceDE w:val="0"/>
        <w:autoSpaceDN w:val="0"/>
        <w:ind w:left="284" w:hanging="284"/>
        <w:rPr>
          <w:sz w:val="24"/>
          <w:szCs w:val="24"/>
        </w:rPr>
      </w:pPr>
      <w:r>
        <w:rPr>
          <w:sz w:val="24"/>
          <w:szCs w:val="24"/>
        </w:rPr>
        <w:t>In 2012</w:t>
      </w:r>
      <w:r w:rsidR="003D5484" w:rsidRPr="003D5484">
        <w:rPr>
          <w:sz w:val="24"/>
          <w:szCs w:val="24"/>
        </w:rPr>
        <w:t xml:space="preserve"> the External Audit Report concludes:</w:t>
      </w:r>
      <w:r w:rsidR="003D5484">
        <w:rPr>
          <w:sz w:val="24"/>
          <w:szCs w:val="24"/>
        </w:rPr>
        <w:t xml:space="preserve">  </w:t>
      </w:r>
      <w:r w:rsidR="003D5484" w:rsidRPr="003D5484">
        <w:rPr>
          <w:sz w:val="24"/>
          <w:szCs w:val="24"/>
        </w:rPr>
        <w:t>“We have assessed the Board’s overall governance arrangements including a review of Board and Key Committee structures and minutes, financial reporting to the Board, and risk management.  We consider that appropriate arrangements and reporting are in place”.</w:t>
      </w:r>
    </w:p>
    <w:p w:rsidR="00245387" w:rsidRPr="00245387" w:rsidRDefault="00245387" w:rsidP="00245387">
      <w:pPr>
        <w:pStyle w:val="ListParagraph"/>
        <w:rPr>
          <w:sz w:val="24"/>
          <w:szCs w:val="24"/>
        </w:rPr>
      </w:pPr>
    </w:p>
    <w:p w:rsidR="00245387" w:rsidRDefault="00245387" w:rsidP="00646C90">
      <w:pPr>
        <w:pStyle w:val="ListParagraph"/>
        <w:numPr>
          <w:ilvl w:val="0"/>
          <w:numId w:val="34"/>
        </w:numPr>
        <w:autoSpaceDE w:val="0"/>
        <w:autoSpaceDN w:val="0"/>
        <w:ind w:left="284" w:hanging="284"/>
        <w:rPr>
          <w:sz w:val="24"/>
          <w:szCs w:val="24"/>
        </w:rPr>
      </w:pPr>
      <w:r>
        <w:rPr>
          <w:sz w:val="24"/>
          <w:szCs w:val="24"/>
        </w:rPr>
        <w:t>On an annual basis the External Auditor concludes that the systems of internal control are appropriate and the governance arrangements in place are appropriate</w:t>
      </w:r>
    </w:p>
    <w:p w:rsidR="003D5484" w:rsidRPr="003D5484" w:rsidRDefault="003D5484" w:rsidP="003D5484">
      <w:pPr>
        <w:pStyle w:val="ListParagraph"/>
        <w:rPr>
          <w:sz w:val="24"/>
          <w:szCs w:val="24"/>
        </w:rPr>
      </w:pPr>
    </w:p>
    <w:p w:rsidR="000E4225" w:rsidRDefault="003D5484" w:rsidP="00646C90">
      <w:pPr>
        <w:pStyle w:val="ListParagraph"/>
        <w:numPr>
          <w:ilvl w:val="0"/>
          <w:numId w:val="34"/>
        </w:numPr>
        <w:autoSpaceDE w:val="0"/>
        <w:autoSpaceDN w:val="0"/>
        <w:ind w:left="284" w:hanging="284"/>
        <w:rPr>
          <w:sz w:val="24"/>
          <w:szCs w:val="24"/>
        </w:rPr>
      </w:pPr>
      <w:r>
        <w:rPr>
          <w:sz w:val="24"/>
          <w:szCs w:val="24"/>
        </w:rPr>
        <w:t>C</w:t>
      </w:r>
      <w:r w:rsidR="006818FB" w:rsidRPr="003D5484">
        <w:rPr>
          <w:sz w:val="24"/>
          <w:szCs w:val="24"/>
        </w:rPr>
        <w:t xml:space="preserve">ommentary is included in the reports on NHS Tayside’s financial management arrangements and future financial sustainability.  There is no reference in 2012/13 to the large deferred expenditure balance of </w:t>
      </w:r>
      <w:r w:rsidR="000E4225">
        <w:rPr>
          <w:sz w:val="24"/>
          <w:szCs w:val="24"/>
        </w:rPr>
        <w:t>£</w:t>
      </w:r>
      <w:r w:rsidR="006818FB" w:rsidRPr="003D5484">
        <w:rPr>
          <w:sz w:val="24"/>
          <w:szCs w:val="24"/>
        </w:rPr>
        <w:t>27 million, although</w:t>
      </w:r>
      <w:r w:rsidR="000E4225">
        <w:rPr>
          <w:sz w:val="24"/>
          <w:szCs w:val="24"/>
        </w:rPr>
        <w:t xml:space="preserve"> certain</w:t>
      </w:r>
      <w:r w:rsidR="006818FB" w:rsidRPr="003D5484">
        <w:rPr>
          <w:sz w:val="24"/>
          <w:szCs w:val="24"/>
        </w:rPr>
        <w:t xml:space="preserve"> financial pressures are noted.  In 2013/14 financial pressures are identified but there is no specific action identified for management in the action plan</w:t>
      </w:r>
      <w:r w:rsidR="000E4225">
        <w:rPr>
          <w:sz w:val="24"/>
          <w:szCs w:val="24"/>
        </w:rPr>
        <w:t>, and this is not specifically related to deferred expenditure</w:t>
      </w:r>
      <w:r w:rsidR="006818FB" w:rsidRPr="003D5484">
        <w:rPr>
          <w:sz w:val="24"/>
          <w:szCs w:val="24"/>
        </w:rPr>
        <w:t xml:space="preserve">. </w:t>
      </w:r>
    </w:p>
    <w:p w:rsidR="000E4225" w:rsidRPr="000E4225" w:rsidRDefault="000E4225" w:rsidP="000E4225">
      <w:pPr>
        <w:pStyle w:val="ListParagraph"/>
        <w:rPr>
          <w:sz w:val="24"/>
          <w:szCs w:val="24"/>
        </w:rPr>
      </w:pPr>
    </w:p>
    <w:p w:rsidR="000E4225" w:rsidRDefault="000E4225" w:rsidP="00646C90">
      <w:pPr>
        <w:pStyle w:val="ListParagraph"/>
        <w:numPr>
          <w:ilvl w:val="0"/>
          <w:numId w:val="34"/>
        </w:numPr>
        <w:autoSpaceDE w:val="0"/>
        <w:autoSpaceDN w:val="0"/>
        <w:ind w:left="284" w:hanging="284"/>
        <w:rPr>
          <w:sz w:val="24"/>
          <w:szCs w:val="24"/>
        </w:rPr>
      </w:pPr>
      <w:r>
        <w:rPr>
          <w:sz w:val="24"/>
          <w:szCs w:val="24"/>
        </w:rPr>
        <w:t>There is no explicit mention on the quality of the financial information reported to the NHS Tayside Finance and Resources Committee</w:t>
      </w:r>
      <w:r w:rsidR="00A718A3">
        <w:rPr>
          <w:sz w:val="24"/>
          <w:szCs w:val="24"/>
        </w:rPr>
        <w:t>.</w:t>
      </w:r>
    </w:p>
    <w:p w:rsidR="000E4225" w:rsidRPr="000E4225" w:rsidRDefault="000E4225" w:rsidP="000E4225">
      <w:pPr>
        <w:pStyle w:val="ListParagraph"/>
        <w:rPr>
          <w:sz w:val="24"/>
          <w:szCs w:val="24"/>
        </w:rPr>
      </w:pPr>
    </w:p>
    <w:p w:rsidR="006818FB" w:rsidRPr="003D5484" w:rsidRDefault="006818FB" w:rsidP="00646C90">
      <w:pPr>
        <w:pStyle w:val="ListParagraph"/>
        <w:numPr>
          <w:ilvl w:val="0"/>
          <w:numId w:val="34"/>
        </w:numPr>
        <w:autoSpaceDE w:val="0"/>
        <w:autoSpaceDN w:val="0"/>
        <w:ind w:left="284" w:hanging="284"/>
        <w:rPr>
          <w:sz w:val="24"/>
          <w:szCs w:val="24"/>
        </w:rPr>
      </w:pPr>
      <w:r w:rsidRPr="003D5484">
        <w:rPr>
          <w:sz w:val="24"/>
          <w:szCs w:val="24"/>
        </w:rPr>
        <w:t>The 2014/15 report include</w:t>
      </w:r>
      <w:r w:rsidR="005E447B">
        <w:rPr>
          <w:sz w:val="24"/>
          <w:szCs w:val="24"/>
        </w:rPr>
        <w:t>s</w:t>
      </w:r>
      <w:r w:rsidRPr="003D5484">
        <w:rPr>
          <w:sz w:val="24"/>
          <w:szCs w:val="24"/>
        </w:rPr>
        <w:t xml:space="preserve"> a</w:t>
      </w:r>
      <w:r w:rsidR="000E4225">
        <w:rPr>
          <w:sz w:val="24"/>
          <w:szCs w:val="24"/>
        </w:rPr>
        <w:t xml:space="preserve"> specific</w:t>
      </w:r>
      <w:r w:rsidRPr="003D5484">
        <w:rPr>
          <w:sz w:val="24"/>
          <w:szCs w:val="24"/>
        </w:rPr>
        <w:t xml:space="preserve"> recommendation rela</w:t>
      </w:r>
      <w:r w:rsidR="000E4225">
        <w:rPr>
          <w:sz w:val="24"/>
          <w:szCs w:val="24"/>
        </w:rPr>
        <w:t xml:space="preserve">ted to financial sustainability within the Action plan, and management have reflected a response.  </w:t>
      </w:r>
      <w:r w:rsidRPr="003D5484">
        <w:rPr>
          <w:sz w:val="24"/>
          <w:szCs w:val="24"/>
        </w:rPr>
        <w:t xml:space="preserve">  </w:t>
      </w:r>
    </w:p>
    <w:p w:rsidR="006818FB" w:rsidRPr="005E447B" w:rsidRDefault="005E447B" w:rsidP="00EB3072">
      <w:pPr>
        <w:pStyle w:val="BodyText"/>
        <w:rPr>
          <w:sz w:val="24"/>
          <w:szCs w:val="24"/>
        </w:rPr>
      </w:pPr>
      <w:r>
        <w:rPr>
          <w:sz w:val="24"/>
          <w:szCs w:val="24"/>
        </w:rPr>
        <w:lastRenderedPageBreak/>
        <w:t xml:space="preserve">In addition to the NHS Tayside External Audit Reports, we note that NHS Tayside has been subject to a number of Section 22 Reports by the Auditor General for Scotland and the future financial sustainability of NHS Tayside well documented.  </w:t>
      </w:r>
    </w:p>
    <w:p w:rsidR="003D5484" w:rsidRDefault="003D5484" w:rsidP="00EB3072">
      <w:pPr>
        <w:pStyle w:val="BodyText"/>
        <w:rPr>
          <w:b/>
          <w:color w:val="4F2D7F" w:themeColor="accent1"/>
          <w:sz w:val="24"/>
          <w:szCs w:val="24"/>
        </w:rPr>
      </w:pPr>
    </w:p>
    <w:p w:rsidR="00EB3072" w:rsidRDefault="00257468" w:rsidP="00EB3072">
      <w:pPr>
        <w:pStyle w:val="BodyText"/>
        <w:rPr>
          <w:b/>
          <w:color w:val="4F2D7F" w:themeColor="accent1"/>
          <w:sz w:val="24"/>
          <w:szCs w:val="24"/>
        </w:rPr>
      </w:pPr>
      <w:r>
        <w:rPr>
          <w:b/>
          <w:color w:val="4F2D7F" w:themeColor="accent1"/>
          <w:sz w:val="24"/>
          <w:szCs w:val="24"/>
        </w:rPr>
        <w:t>Current position on deferred expenditure</w:t>
      </w:r>
    </w:p>
    <w:p w:rsidR="001A4A71" w:rsidRDefault="00257468" w:rsidP="00EB3072">
      <w:pPr>
        <w:pStyle w:val="BodyText"/>
        <w:rPr>
          <w:sz w:val="24"/>
          <w:szCs w:val="24"/>
        </w:rPr>
      </w:pPr>
      <w:r>
        <w:rPr>
          <w:sz w:val="24"/>
          <w:szCs w:val="24"/>
        </w:rPr>
        <w:t xml:space="preserve">Following on from the eHealth report the Strategic Director of Finance and the NHS Tayside Finance team have gained an understanding of what the total deferred expenditure balance consists of as at 31 March 2018.  </w:t>
      </w:r>
    </w:p>
    <w:p w:rsidR="001A4A71" w:rsidRDefault="00257468" w:rsidP="00EB3072">
      <w:pPr>
        <w:pStyle w:val="BodyText"/>
        <w:rPr>
          <w:sz w:val="24"/>
          <w:szCs w:val="24"/>
        </w:rPr>
      </w:pPr>
      <w:r>
        <w:rPr>
          <w:sz w:val="24"/>
          <w:szCs w:val="24"/>
        </w:rPr>
        <w:t xml:space="preserve">This is split out, linked to the associated health priorities whether these are national priorities or those determined locally and understood how the expenditure will be incurred in 2018/19.  </w:t>
      </w:r>
    </w:p>
    <w:p w:rsidR="00257468" w:rsidRDefault="00257468" w:rsidP="00EB3072">
      <w:pPr>
        <w:pStyle w:val="BodyText"/>
        <w:rPr>
          <w:sz w:val="24"/>
          <w:szCs w:val="24"/>
        </w:rPr>
      </w:pPr>
      <w:r>
        <w:rPr>
          <w:sz w:val="24"/>
          <w:szCs w:val="24"/>
        </w:rPr>
        <w:t xml:space="preserve">Plans are now in place to substantially reduce the balance, and this is now fully transparent in the NHS Tayside finance reports and savings plans.  </w:t>
      </w:r>
      <w:r w:rsidR="001A4A71">
        <w:rPr>
          <w:sz w:val="24"/>
          <w:szCs w:val="24"/>
        </w:rPr>
        <w:t xml:space="preserve">Based on what we have reviewed we are satisfied that the future controls and reporting address the risks previously highlighted.  </w:t>
      </w:r>
    </w:p>
    <w:p w:rsidR="00583B04" w:rsidRDefault="001A4A71" w:rsidP="001A4A71">
      <w:pPr>
        <w:pStyle w:val="BodyText"/>
        <w:rPr>
          <w:sz w:val="24"/>
          <w:szCs w:val="24"/>
        </w:rPr>
      </w:pPr>
      <w:r>
        <w:rPr>
          <w:sz w:val="24"/>
          <w:szCs w:val="24"/>
        </w:rPr>
        <w:t>In addition there have been improvements made to the finance papers</w:t>
      </w:r>
      <w:r w:rsidR="00207B8D">
        <w:rPr>
          <w:sz w:val="24"/>
          <w:szCs w:val="24"/>
        </w:rPr>
        <w:t xml:space="preserve">.  These are shorter, easier to understand and do include deferred expenditure analysis.  </w:t>
      </w:r>
    </w:p>
    <w:p w:rsidR="00207B8D" w:rsidRDefault="00207B8D" w:rsidP="001A4A71">
      <w:pPr>
        <w:pStyle w:val="BodyText"/>
        <w:rPr>
          <w:b/>
          <w:color w:val="4F2D7F" w:themeColor="accent1"/>
          <w:sz w:val="24"/>
          <w:szCs w:val="24"/>
        </w:rPr>
      </w:pPr>
      <w:r>
        <w:rPr>
          <w:sz w:val="24"/>
          <w:szCs w:val="24"/>
        </w:rPr>
        <w:t>The Finance and Resources Committee is now a Finance and Performance Committee which better links the financial performance of NHS Tayside to oper</w:t>
      </w:r>
      <w:r w:rsidR="00105C89">
        <w:rPr>
          <w:sz w:val="24"/>
          <w:szCs w:val="24"/>
        </w:rPr>
        <w:t>ational delivery, performance and NHS Tayside workforce</w:t>
      </w:r>
      <w:r>
        <w:rPr>
          <w:sz w:val="24"/>
          <w:szCs w:val="24"/>
        </w:rPr>
        <w:t xml:space="preserve">.  </w:t>
      </w:r>
    </w:p>
    <w:p w:rsidR="00583B04" w:rsidRDefault="00583B04" w:rsidP="000B57B3">
      <w:pPr>
        <w:pStyle w:val="BodyText"/>
        <w:rPr>
          <w:b/>
          <w:color w:val="4F2D7F" w:themeColor="accent1"/>
          <w:sz w:val="24"/>
          <w:szCs w:val="24"/>
        </w:rPr>
      </w:pPr>
    </w:p>
    <w:p w:rsidR="00853465" w:rsidRDefault="00FB6783" w:rsidP="000B57B3">
      <w:pPr>
        <w:pStyle w:val="BodyText"/>
        <w:rPr>
          <w:b/>
          <w:color w:val="4F2D7F" w:themeColor="accent1"/>
          <w:sz w:val="24"/>
          <w:szCs w:val="24"/>
        </w:rPr>
      </w:pPr>
      <w:r>
        <w:rPr>
          <w:b/>
          <w:color w:val="4F2D7F" w:themeColor="accent1"/>
          <w:sz w:val="24"/>
          <w:szCs w:val="24"/>
        </w:rPr>
        <w:t>Update on eHealth Controls</w:t>
      </w:r>
      <w:r w:rsidR="004447EC">
        <w:rPr>
          <w:b/>
          <w:color w:val="4F2D7F" w:themeColor="accent1"/>
          <w:sz w:val="24"/>
          <w:szCs w:val="24"/>
        </w:rPr>
        <w:t xml:space="preserve"> </w:t>
      </w:r>
    </w:p>
    <w:p w:rsidR="004447EC" w:rsidRDefault="004447EC" w:rsidP="000B57B3">
      <w:pPr>
        <w:pStyle w:val="BodyText"/>
        <w:rPr>
          <w:sz w:val="24"/>
          <w:szCs w:val="24"/>
        </w:rPr>
      </w:pPr>
      <w:r>
        <w:rPr>
          <w:sz w:val="24"/>
          <w:szCs w:val="24"/>
        </w:rPr>
        <w:t>Management have implemented a range of controls and revised processes to address the issues identified in our e-Health funding review.</w:t>
      </w:r>
    </w:p>
    <w:p w:rsidR="004447EC" w:rsidRDefault="004447EC" w:rsidP="000B57B3">
      <w:pPr>
        <w:pStyle w:val="BodyText"/>
        <w:rPr>
          <w:sz w:val="24"/>
          <w:szCs w:val="24"/>
        </w:rPr>
      </w:pPr>
      <w:r>
        <w:rPr>
          <w:sz w:val="24"/>
          <w:szCs w:val="24"/>
        </w:rPr>
        <w:t xml:space="preserve">The revised arrangements are in the process of being implemented and therefore we are unable to provide an opinion on the operating effectiveness of these controls.  </w:t>
      </w:r>
    </w:p>
    <w:p w:rsidR="004447EC" w:rsidRDefault="004447EC" w:rsidP="000B57B3">
      <w:pPr>
        <w:pStyle w:val="BodyText"/>
        <w:rPr>
          <w:sz w:val="24"/>
          <w:szCs w:val="24"/>
        </w:rPr>
      </w:pPr>
      <w:r>
        <w:rPr>
          <w:sz w:val="24"/>
          <w:szCs w:val="24"/>
        </w:rPr>
        <w:t>However, we consider the design of these controls to be sufficiently robust to address the issues identified.  In particular, revised controls include:</w:t>
      </w:r>
    </w:p>
    <w:p w:rsidR="004447EC" w:rsidRPr="004447EC" w:rsidRDefault="004447EC" w:rsidP="00646C90">
      <w:pPr>
        <w:pStyle w:val="BodyText"/>
        <w:numPr>
          <w:ilvl w:val="0"/>
          <w:numId w:val="32"/>
        </w:numPr>
        <w:rPr>
          <w:b/>
          <w:color w:val="4F2D7F" w:themeColor="accent1"/>
          <w:sz w:val="24"/>
          <w:szCs w:val="24"/>
        </w:rPr>
      </w:pPr>
      <w:r>
        <w:rPr>
          <w:sz w:val="24"/>
          <w:szCs w:val="24"/>
        </w:rPr>
        <w:t>A revised financial reporting format which builds in RRL reporting</w:t>
      </w:r>
    </w:p>
    <w:p w:rsidR="004447EC" w:rsidRPr="00105C89" w:rsidRDefault="004447EC" w:rsidP="00646C90">
      <w:pPr>
        <w:pStyle w:val="BodyText"/>
        <w:numPr>
          <w:ilvl w:val="0"/>
          <w:numId w:val="32"/>
        </w:numPr>
        <w:rPr>
          <w:b/>
          <w:color w:val="4F2D7F" w:themeColor="accent1"/>
          <w:sz w:val="24"/>
          <w:szCs w:val="24"/>
        </w:rPr>
      </w:pPr>
      <w:r>
        <w:rPr>
          <w:sz w:val="24"/>
          <w:szCs w:val="24"/>
        </w:rPr>
        <w:t>Segregation of duties within the Finance team</w:t>
      </w:r>
    </w:p>
    <w:p w:rsidR="00105C89" w:rsidRPr="004447EC" w:rsidRDefault="00105C89" w:rsidP="00646C90">
      <w:pPr>
        <w:pStyle w:val="BodyText"/>
        <w:numPr>
          <w:ilvl w:val="0"/>
          <w:numId w:val="32"/>
        </w:numPr>
        <w:rPr>
          <w:b/>
          <w:color w:val="4F2D7F" w:themeColor="accent1"/>
          <w:sz w:val="24"/>
          <w:szCs w:val="24"/>
        </w:rPr>
      </w:pPr>
      <w:r>
        <w:rPr>
          <w:sz w:val="24"/>
          <w:szCs w:val="24"/>
        </w:rPr>
        <w:t>An understanding of the deferred expenditure balance to ensure no other areas similar to eHealth are within that balance</w:t>
      </w:r>
    </w:p>
    <w:p w:rsidR="00853465" w:rsidRDefault="00853465" w:rsidP="000B57B3">
      <w:pPr>
        <w:pStyle w:val="BodyText"/>
        <w:rPr>
          <w:b/>
          <w:color w:val="4F2D7F" w:themeColor="accent1"/>
          <w:sz w:val="24"/>
          <w:szCs w:val="24"/>
        </w:rPr>
      </w:pPr>
    </w:p>
    <w:p w:rsidR="00B478AA" w:rsidRDefault="00B478AA" w:rsidP="000B57B3">
      <w:pPr>
        <w:pStyle w:val="BodyText"/>
        <w:rPr>
          <w:b/>
          <w:color w:val="4F2D7F" w:themeColor="accent1"/>
          <w:sz w:val="24"/>
          <w:szCs w:val="24"/>
        </w:rPr>
      </w:pPr>
    </w:p>
    <w:p w:rsidR="00B478AA" w:rsidRDefault="00B478AA" w:rsidP="000B57B3">
      <w:pPr>
        <w:pStyle w:val="BodyText"/>
        <w:rPr>
          <w:b/>
          <w:color w:val="4F2D7F" w:themeColor="accent1"/>
          <w:sz w:val="24"/>
          <w:szCs w:val="24"/>
        </w:rPr>
      </w:pPr>
    </w:p>
    <w:p w:rsidR="00B478AA" w:rsidRDefault="00B478AA" w:rsidP="000B57B3">
      <w:pPr>
        <w:pStyle w:val="BodyText"/>
        <w:rPr>
          <w:b/>
          <w:color w:val="4F2D7F" w:themeColor="accent1"/>
          <w:sz w:val="24"/>
          <w:szCs w:val="24"/>
        </w:rPr>
      </w:pPr>
    </w:p>
    <w:p w:rsidR="00B478AA" w:rsidRDefault="00B478AA" w:rsidP="000B57B3">
      <w:pPr>
        <w:pStyle w:val="BodyText"/>
        <w:rPr>
          <w:b/>
          <w:color w:val="4F2D7F" w:themeColor="accent1"/>
          <w:sz w:val="24"/>
          <w:szCs w:val="24"/>
        </w:rPr>
      </w:pPr>
    </w:p>
    <w:p w:rsidR="00B478AA" w:rsidRDefault="00B478AA" w:rsidP="000B57B3">
      <w:pPr>
        <w:pStyle w:val="BodyText"/>
        <w:rPr>
          <w:b/>
          <w:color w:val="4F2D7F" w:themeColor="accent1"/>
          <w:sz w:val="24"/>
          <w:szCs w:val="24"/>
        </w:rPr>
      </w:pPr>
    </w:p>
    <w:p w:rsidR="00B478AA" w:rsidRDefault="00B478AA" w:rsidP="000B57B3">
      <w:pPr>
        <w:pStyle w:val="BodyText"/>
        <w:rPr>
          <w:b/>
          <w:color w:val="4F2D7F" w:themeColor="accent1"/>
          <w:sz w:val="24"/>
          <w:szCs w:val="24"/>
        </w:rPr>
      </w:pPr>
    </w:p>
    <w:p w:rsidR="00B478AA" w:rsidRDefault="00B478AA" w:rsidP="000B57B3">
      <w:pPr>
        <w:pStyle w:val="BodyText"/>
        <w:rPr>
          <w:b/>
          <w:color w:val="4F2D7F" w:themeColor="accent1"/>
          <w:sz w:val="24"/>
          <w:szCs w:val="24"/>
        </w:rPr>
      </w:pPr>
    </w:p>
    <w:p w:rsidR="00B478AA" w:rsidRDefault="00B478AA" w:rsidP="000B57B3">
      <w:pPr>
        <w:pStyle w:val="BodyText"/>
        <w:rPr>
          <w:b/>
          <w:color w:val="4F2D7F" w:themeColor="accent1"/>
          <w:sz w:val="24"/>
          <w:szCs w:val="24"/>
        </w:rPr>
      </w:pPr>
    </w:p>
    <w:p w:rsidR="00B478AA" w:rsidRDefault="00B478AA" w:rsidP="000B57B3">
      <w:pPr>
        <w:pStyle w:val="BodyText"/>
        <w:rPr>
          <w:b/>
          <w:color w:val="4F2D7F" w:themeColor="accent1"/>
          <w:sz w:val="24"/>
          <w:szCs w:val="24"/>
        </w:rPr>
      </w:pPr>
    </w:p>
    <w:p w:rsidR="000B57B3" w:rsidRDefault="000B57B3" w:rsidP="000B57B3">
      <w:pPr>
        <w:pStyle w:val="BodyText"/>
        <w:rPr>
          <w:b/>
          <w:color w:val="4F2D7F" w:themeColor="accent1"/>
          <w:sz w:val="24"/>
          <w:szCs w:val="24"/>
        </w:rPr>
      </w:pPr>
      <w:r>
        <w:rPr>
          <w:b/>
          <w:color w:val="4F2D7F" w:themeColor="accent1"/>
          <w:sz w:val="24"/>
          <w:szCs w:val="24"/>
        </w:rPr>
        <w:lastRenderedPageBreak/>
        <w:t>Recommendations</w:t>
      </w:r>
    </w:p>
    <w:p w:rsidR="000B57B3" w:rsidRPr="000B57B3" w:rsidRDefault="000B57B3" w:rsidP="000B57B3">
      <w:pPr>
        <w:pStyle w:val="BodyText"/>
        <w:rPr>
          <w:sz w:val="24"/>
          <w:szCs w:val="24"/>
        </w:rPr>
      </w:pPr>
      <w:r w:rsidRPr="000B57B3">
        <w:rPr>
          <w:sz w:val="24"/>
          <w:szCs w:val="24"/>
        </w:rPr>
        <w:t>Based on our work</w:t>
      </w:r>
      <w:r w:rsidR="00105C89">
        <w:rPr>
          <w:sz w:val="24"/>
          <w:szCs w:val="24"/>
        </w:rPr>
        <w:t xml:space="preserve"> on financial management and governance we</w:t>
      </w:r>
      <w:r w:rsidRPr="000B57B3">
        <w:rPr>
          <w:sz w:val="24"/>
          <w:szCs w:val="24"/>
        </w:rPr>
        <w:t xml:space="preserve"> make the following recommendations: </w:t>
      </w:r>
    </w:p>
    <w:p w:rsidR="00853465" w:rsidRPr="00CF5271" w:rsidRDefault="00853465" w:rsidP="00853465">
      <w:pPr>
        <w:rPr>
          <w:b/>
          <w:bCs/>
          <w:color w:val="4F2D7F" w:themeColor="accent1"/>
          <w:sz w:val="24"/>
          <w:szCs w:val="24"/>
        </w:rPr>
      </w:pPr>
      <w:r w:rsidRPr="00CF5271">
        <w:rPr>
          <w:b/>
          <w:bCs/>
          <w:color w:val="4F2D7F" w:themeColor="accent1"/>
          <w:sz w:val="24"/>
          <w:szCs w:val="24"/>
        </w:rPr>
        <w:t>NHS Tayside</w:t>
      </w:r>
    </w:p>
    <w:p w:rsidR="00853465" w:rsidRPr="00CF5271" w:rsidRDefault="00853465" w:rsidP="00646C90">
      <w:pPr>
        <w:pStyle w:val="ListParagraph"/>
        <w:numPr>
          <w:ilvl w:val="0"/>
          <w:numId w:val="24"/>
        </w:numPr>
        <w:rPr>
          <w:sz w:val="24"/>
          <w:szCs w:val="24"/>
        </w:rPr>
      </w:pPr>
      <w:r w:rsidRPr="00CF5271">
        <w:rPr>
          <w:sz w:val="24"/>
          <w:szCs w:val="24"/>
        </w:rPr>
        <w:t>Committee cover papers should only include the author of the paper and the author should be appropriate to the subject matter being considered, and approved by them.  It may be helpful to clearly state on the cover paper the assurances the paper and Management are providing to non-executives and on what rationale and how this relates to the strategic objectives of the NHS Board.</w:t>
      </w:r>
    </w:p>
    <w:p w:rsidR="00853465" w:rsidRPr="00CF5271" w:rsidRDefault="00853465" w:rsidP="00853465">
      <w:pPr>
        <w:pStyle w:val="ListParagraph"/>
        <w:rPr>
          <w:sz w:val="24"/>
          <w:szCs w:val="24"/>
        </w:rPr>
      </w:pPr>
    </w:p>
    <w:p w:rsidR="00853465" w:rsidRPr="00CF5271" w:rsidRDefault="00853465" w:rsidP="00646C90">
      <w:pPr>
        <w:pStyle w:val="ListParagraph"/>
        <w:numPr>
          <w:ilvl w:val="0"/>
          <w:numId w:val="24"/>
        </w:numPr>
        <w:rPr>
          <w:sz w:val="24"/>
          <w:szCs w:val="24"/>
        </w:rPr>
      </w:pPr>
      <w:r w:rsidRPr="00CF5271">
        <w:rPr>
          <w:sz w:val="24"/>
          <w:szCs w:val="24"/>
        </w:rPr>
        <w:t xml:space="preserve">The revised financial reporting adopted going forward is easier to read and understand particularly for those of a non-financial background.  Management should continue to review this, focused on clearly articulating the financial performance and reflecting an honest assessment of the associated risks of delivery.  The newly constituted finance and Performance Committee will allow finance to be more effectively linked to operational performance.  </w:t>
      </w:r>
    </w:p>
    <w:p w:rsidR="00853465" w:rsidRPr="00CF5271" w:rsidRDefault="00853465" w:rsidP="00853465">
      <w:pPr>
        <w:pStyle w:val="ListParagraph"/>
        <w:rPr>
          <w:sz w:val="24"/>
          <w:szCs w:val="24"/>
        </w:rPr>
      </w:pPr>
    </w:p>
    <w:p w:rsidR="00853465" w:rsidRDefault="00853465" w:rsidP="00646C90">
      <w:pPr>
        <w:pStyle w:val="ListParagraph"/>
        <w:numPr>
          <w:ilvl w:val="0"/>
          <w:numId w:val="24"/>
        </w:numPr>
        <w:rPr>
          <w:sz w:val="24"/>
          <w:szCs w:val="24"/>
        </w:rPr>
      </w:pPr>
      <w:r w:rsidRPr="00CF5271">
        <w:rPr>
          <w:sz w:val="24"/>
          <w:szCs w:val="24"/>
        </w:rPr>
        <w:t>To continue the role out of ownership and accountability for managing budgets to budget holders and supporting them in monitoring the position.  In particular, the analysis of the “deferred expenditure” and the NHS Board’s planned actions to clearly commit the associated expenditure in 2018/19 will support the reduction of this balance and it is now more clearly reported and understood.</w:t>
      </w:r>
    </w:p>
    <w:p w:rsidR="00FB6783" w:rsidRPr="00FB6783" w:rsidRDefault="00FB6783" w:rsidP="00FB6783">
      <w:pPr>
        <w:pStyle w:val="ListParagraph"/>
        <w:rPr>
          <w:sz w:val="24"/>
          <w:szCs w:val="24"/>
        </w:rPr>
      </w:pPr>
    </w:p>
    <w:p w:rsidR="00A718A3" w:rsidRDefault="00FB6783" w:rsidP="00A718A3">
      <w:pPr>
        <w:pStyle w:val="ListParagraph"/>
        <w:numPr>
          <w:ilvl w:val="0"/>
          <w:numId w:val="24"/>
        </w:numPr>
        <w:rPr>
          <w:sz w:val="24"/>
          <w:szCs w:val="24"/>
        </w:rPr>
      </w:pPr>
      <w:r>
        <w:rPr>
          <w:sz w:val="24"/>
          <w:szCs w:val="24"/>
        </w:rPr>
        <w:t xml:space="preserve">Finance should undertake a review of how in particular it forecasts ahead the likely financial position and how robust this is, and is there a consistent approach so month on month information is comparable and that the Board members can take confidence in the forecasting.  Accurate forecasting will ensure sound financial decisions are taken and potential areas of overspending captured earlier in the year.  </w:t>
      </w:r>
    </w:p>
    <w:p w:rsidR="00105C89" w:rsidRPr="00105C89" w:rsidRDefault="00105C89" w:rsidP="00105C89">
      <w:pPr>
        <w:rPr>
          <w:sz w:val="24"/>
          <w:szCs w:val="24"/>
        </w:rPr>
      </w:pPr>
    </w:p>
    <w:p w:rsidR="00853465" w:rsidRPr="00CF5271" w:rsidRDefault="00853465" w:rsidP="00646C90">
      <w:pPr>
        <w:pStyle w:val="ListParagraph"/>
        <w:numPr>
          <w:ilvl w:val="0"/>
          <w:numId w:val="24"/>
        </w:numPr>
        <w:rPr>
          <w:sz w:val="24"/>
          <w:szCs w:val="24"/>
        </w:rPr>
      </w:pPr>
      <w:r w:rsidRPr="00CF5271">
        <w:rPr>
          <w:sz w:val="24"/>
          <w:szCs w:val="24"/>
        </w:rPr>
        <w:t xml:space="preserve">A more robust recommendation tracker should be introduced for internal audit and external audit recommendations.  All recommendations should be captured, progress against the recommendation agreed implementation date reported and action evidenced to close off actions once complete.  This will be a key responsibility for the Audit Committee, in particular following up on why recommendations have not been implemented and overseeing their delivery.  </w:t>
      </w:r>
    </w:p>
    <w:p w:rsidR="00853465" w:rsidRPr="00CF5271" w:rsidRDefault="00853465" w:rsidP="00853465">
      <w:pPr>
        <w:pStyle w:val="ListParagraph"/>
        <w:rPr>
          <w:sz w:val="24"/>
          <w:szCs w:val="24"/>
        </w:rPr>
      </w:pPr>
    </w:p>
    <w:p w:rsidR="00853465" w:rsidRPr="00CF5271" w:rsidRDefault="00853465" w:rsidP="00646C90">
      <w:pPr>
        <w:pStyle w:val="ListParagraph"/>
        <w:numPr>
          <w:ilvl w:val="0"/>
          <w:numId w:val="24"/>
        </w:numPr>
        <w:rPr>
          <w:sz w:val="24"/>
          <w:szCs w:val="24"/>
        </w:rPr>
      </w:pPr>
      <w:r w:rsidRPr="00CF5271">
        <w:rPr>
          <w:sz w:val="24"/>
          <w:szCs w:val="24"/>
        </w:rPr>
        <w:t xml:space="preserve">There is an opportunity to further review and refresh the internal audit reporting style and overall assurance ratings applied in NHS Tayside to ensure that key messages and prioritisation of action is clear, and the reports are easy to understand and that the more significant messages are not lost in narrative.  This will also support the Audit Committee in discharging their role in respect of governance and scrutiny.   </w:t>
      </w:r>
    </w:p>
    <w:p w:rsidR="00853465" w:rsidRPr="00CF5271" w:rsidRDefault="00853465" w:rsidP="00853465">
      <w:pPr>
        <w:rPr>
          <w:sz w:val="24"/>
          <w:szCs w:val="24"/>
        </w:rPr>
      </w:pPr>
    </w:p>
    <w:p w:rsidR="00B478AA" w:rsidRDefault="00B478AA" w:rsidP="00853465">
      <w:pPr>
        <w:rPr>
          <w:b/>
          <w:bCs/>
          <w:color w:val="4F2D7F" w:themeColor="accent1"/>
          <w:sz w:val="24"/>
          <w:szCs w:val="24"/>
        </w:rPr>
      </w:pPr>
    </w:p>
    <w:p w:rsidR="00B478AA" w:rsidRDefault="00B478AA" w:rsidP="00853465">
      <w:pPr>
        <w:rPr>
          <w:b/>
          <w:bCs/>
          <w:color w:val="4F2D7F" w:themeColor="accent1"/>
          <w:sz w:val="24"/>
          <w:szCs w:val="24"/>
        </w:rPr>
      </w:pPr>
    </w:p>
    <w:p w:rsidR="00B478AA" w:rsidRDefault="00B478AA" w:rsidP="00853465">
      <w:pPr>
        <w:rPr>
          <w:b/>
          <w:bCs/>
          <w:color w:val="4F2D7F" w:themeColor="accent1"/>
          <w:sz w:val="24"/>
          <w:szCs w:val="24"/>
        </w:rPr>
      </w:pPr>
    </w:p>
    <w:p w:rsidR="00B478AA" w:rsidRDefault="00B478AA" w:rsidP="00853465">
      <w:pPr>
        <w:rPr>
          <w:b/>
          <w:bCs/>
          <w:color w:val="4F2D7F" w:themeColor="accent1"/>
          <w:sz w:val="24"/>
          <w:szCs w:val="24"/>
        </w:rPr>
      </w:pPr>
    </w:p>
    <w:p w:rsidR="00B478AA" w:rsidRDefault="00B478AA" w:rsidP="00853465">
      <w:pPr>
        <w:rPr>
          <w:b/>
          <w:bCs/>
          <w:color w:val="4F2D7F" w:themeColor="accent1"/>
          <w:sz w:val="24"/>
          <w:szCs w:val="24"/>
        </w:rPr>
      </w:pPr>
    </w:p>
    <w:p w:rsidR="00853465" w:rsidRPr="00CF5271" w:rsidRDefault="00853465" w:rsidP="00853465">
      <w:pPr>
        <w:rPr>
          <w:b/>
          <w:bCs/>
          <w:color w:val="4F2D7F" w:themeColor="accent1"/>
          <w:sz w:val="24"/>
          <w:szCs w:val="24"/>
        </w:rPr>
      </w:pPr>
      <w:r w:rsidRPr="00CF5271">
        <w:rPr>
          <w:b/>
          <w:bCs/>
          <w:color w:val="4F2D7F" w:themeColor="accent1"/>
          <w:sz w:val="24"/>
          <w:szCs w:val="24"/>
        </w:rPr>
        <w:t>Scottish Government Health and Social Care Directorate</w:t>
      </w:r>
      <w:r w:rsidR="00486F32">
        <w:rPr>
          <w:b/>
          <w:bCs/>
          <w:color w:val="4F2D7F" w:themeColor="accent1"/>
          <w:sz w:val="24"/>
          <w:szCs w:val="24"/>
        </w:rPr>
        <w:t xml:space="preserve"> </w:t>
      </w:r>
    </w:p>
    <w:p w:rsidR="00853465" w:rsidRPr="00CF5271" w:rsidRDefault="00853465" w:rsidP="00646C90">
      <w:pPr>
        <w:pStyle w:val="ListParagraph"/>
        <w:numPr>
          <w:ilvl w:val="0"/>
          <w:numId w:val="25"/>
        </w:numPr>
        <w:rPr>
          <w:sz w:val="24"/>
          <w:szCs w:val="24"/>
        </w:rPr>
      </w:pPr>
      <w:r w:rsidRPr="00CF5271">
        <w:rPr>
          <w:sz w:val="24"/>
          <w:szCs w:val="24"/>
        </w:rPr>
        <w:t xml:space="preserve">There is an opportunity to review the RRL process, in particular the timing of allocations during the year and whether allocations that do arise during the year relating to specific health outcomes/priorities could be notified from the outset of the year as this could give greater clarity to NHS Board’s over the absolute expenditure limit they need to manage to in-year.  </w:t>
      </w:r>
      <w:r w:rsidR="00486F32">
        <w:rPr>
          <w:sz w:val="24"/>
          <w:szCs w:val="24"/>
        </w:rPr>
        <w:t>We note that following the eHealth report SGHSCD have brought allocations forward to a September deadline and plan to improve narrative on allocations.  These revised procedures will be reviewed by Scottish Government Internal Audit IN June 2018</w:t>
      </w:r>
    </w:p>
    <w:p w:rsidR="00853465" w:rsidRPr="00CF5271" w:rsidRDefault="00853465" w:rsidP="00853465">
      <w:pPr>
        <w:pStyle w:val="ListParagraph"/>
        <w:rPr>
          <w:sz w:val="24"/>
          <w:szCs w:val="24"/>
        </w:rPr>
      </w:pPr>
    </w:p>
    <w:p w:rsidR="00853465" w:rsidRPr="00CF5271" w:rsidRDefault="00853465" w:rsidP="00646C90">
      <w:pPr>
        <w:pStyle w:val="ListParagraph"/>
        <w:numPr>
          <w:ilvl w:val="0"/>
          <w:numId w:val="25"/>
        </w:numPr>
        <w:rPr>
          <w:sz w:val="24"/>
          <w:szCs w:val="24"/>
        </w:rPr>
      </w:pPr>
      <w:r w:rsidRPr="00CF5271">
        <w:rPr>
          <w:sz w:val="24"/>
          <w:szCs w:val="24"/>
        </w:rPr>
        <w:t>Where RRL allocations are received in-year, particularly in the latter half of the year, SGHSCD should consider how they would prefer</w:t>
      </w:r>
      <w:r w:rsidR="00AF5EF1">
        <w:rPr>
          <w:sz w:val="24"/>
          <w:szCs w:val="24"/>
        </w:rPr>
        <w:t xml:space="preserve"> NHS Boards to record</w:t>
      </w:r>
      <w:r w:rsidRPr="00CF5271">
        <w:rPr>
          <w:sz w:val="24"/>
          <w:szCs w:val="24"/>
        </w:rPr>
        <w:t xml:space="preserve"> this, where expenditure does not occur within the same financial year, in particular how this is reported to the NHS Board but also SGHSCD for monitoring purposes.  This could lead to greater clarity in respective NHS Board’s medium term financial plans on the reliance on non-recurring means to achieve financial sustainability.</w:t>
      </w:r>
    </w:p>
    <w:p w:rsidR="00853465" w:rsidRPr="00CF5271" w:rsidRDefault="00853465" w:rsidP="00853465">
      <w:pPr>
        <w:pStyle w:val="ListParagraph"/>
        <w:rPr>
          <w:sz w:val="24"/>
          <w:szCs w:val="24"/>
        </w:rPr>
      </w:pPr>
    </w:p>
    <w:p w:rsidR="00853465" w:rsidRPr="00CF5271" w:rsidRDefault="00AF5EF1" w:rsidP="00646C90">
      <w:pPr>
        <w:pStyle w:val="ListParagraph"/>
        <w:numPr>
          <w:ilvl w:val="0"/>
          <w:numId w:val="25"/>
        </w:numPr>
        <w:rPr>
          <w:sz w:val="24"/>
          <w:szCs w:val="24"/>
        </w:rPr>
      </w:pPr>
      <w:r>
        <w:rPr>
          <w:sz w:val="24"/>
          <w:szCs w:val="24"/>
        </w:rPr>
        <w:t>Currently if an NHS Board is failing to manage expenditure in year to the limit set by SGHSCD (RRL) brokerage is provided</w:t>
      </w:r>
      <w:r w:rsidR="00853465" w:rsidRPr="00CF5271">
        <w:rPr>
          <w:sz w:val="24"/>
          <w:szCs w:val="24"/>
        </w:rPr>
        <w:t>.</w:t>
      </w:r>
      <w:r>
        <w:rPr>
          <w:sz w:val="24"/>
          <w:szCs w:val="24"/>
        </w:rPr>
        <w:t xml:space="preserve">  An alternative would be to not provide brokerage, this would result in the NHS Board recording a deficit in the financial statements, and would increase the transparency when reading the accounts of the underlying financial position of the NHS Board, whilst still managing the NHS in Scotland within the budget determined.  </w:t>
      </w:r>
    </w:p>
    <w:p w:rsidR="00583B04" w:rsidRDefault="00583B04" w:rsidP="00FB6783">
      <w:pPr>
        <w:pStyle w:val="BodyText"/>
        <w:rPr>
          <w:b/>
          <w:color w:val="4F2D7F" w:themeColor="accent1"/>
          <w:sz w:val="24"/>
          <w:szCs w:val="24"/>
        </w:rPr>
      </w:pPr>
    </w:p>
    <w:p w:rsidR="004B234B" w:rsidRDefault="00AC5C31" w:rsidP="004B234B">
      <w:pPr>
        <w:pStyle w:val="Heading1"/>
      </w:pPr>
      <w:r w:rsidRPr="006C6D88">
        <w:rPr>
          <w:highlight w:val="yellow"/>
        </w:rPr>
        <w:br w:type="page"/>
      </w:r>
      <w:r w:rsidR="004B234B">
        <w:lastRenderedPageBreak/>
        <w:t xml:space="preserve"> </w:t>
      </w:r>
    </w:p>
    <w:p w:rsidR="00A504AD" w:rsidRPr="007B5A1E" w:rsidRDefault="00A504AD" w:rsidP="00A504AD">
      <w:pPr>
        <w:pStyle w:val="Heading1"/>
        <w:rPr>
          <w:b/>
        </w:rPr>
      </w:pPr>
      <w:bookmarkStart w:id="3" w:name="_Toc514108620"/>
      <w:bookmarkStart w:id="4" w:name="_Toc514414959"/>
      <w:r w:rsidRPr="007B5A1E">
        <w:rPr>
          <w:b/>
        </w:rPr>
        <w:t>Appendix 1: Scope of the review</w:t>
      </w:r>
      <w:bookmarkEnd w:id="3"/>
      <w:bookmarkEnd w:id="4"/>
    </w:p>
    <w:p w:rsidR="00A504AD" w:rsidRPr="007B5A1E" w:rsidRDefault="00A504AD" w:rsidP="00A504AD">
      <w:pPr>
        <w:spacing w:after="284" w:line="240" w:lineRule="auto"/>
        <w:ind w:hanging="142"/>
        <w:rPr>
          <w:rFonts w:cstheme="minorHAnsi"/>
          <w:b/>
          <w:sz w:val="24"/>
          <w:szCs w:val="24"/>
        </w:rPr>
      </w:pPr>
    </w:p>
    <w:p w:rsidR="00A504AD" w:rsidRPr="00CA7177" w:rsidRDefault="00A504AD" w:rsidP="00A504AD">
      <w:pPr>
        <w:rPr>
          <w:rFonts w:cstheme="minorHAnsi"/>
          <w:color w:val="4F2D7F" w:themeColor="accent1"/>
          <w:sz w:val="24"/>
          <w:szCs w:val="24"/>
        </w:rPr>
      </w:pPr>
      <w:bookmarkStart w:id="5" w:name="_Toc514108621"/>
      <w:r w:rsidRPr="00CA7177">
        <w:rPr>
          <w:rFonts w:cstheme="minorHAnsi"/>
          <w:b/>
          <w:bCs/>
          <w:color w:val="4F2D7F" w:themeColor="accent1"/>
          <w:sz w:val="24"/>
          <w:szCs w:val="24"/>
        </w:rPr>
        <w:t xml:space="preserve">Background </w:t>
      </w:r>
    </w:p>
    <w:p w:rsidR="00A504AD" w:rsidRPr="007B5A1E" w:rsidRDefault="00A504AD" w:rsidP="00A504AD">
      <w:pPr>
        <w:rPr>
          <w:rFonts w:cstheme="minorHAnsi"/>
          <w:sz w:val="24"/>
          <w:szCs w:val="24"/>
        </w:rPr>
      </w:pPr>
      <w:r w:rsidRPr="007B5A1E">
        <w:rPr>
          <w:rFonts w:cstheme="minorHAnsi"/>
          <w:sz w:val="24"/>
          <w:szCs w:val="24"/>
        </w:rPr>
        <w:t xml:space="preserve">Following on from the independent review of eHealth monies in respect of NHS Tayside, NHS National Services Scotland and the Scottish Government a potential issue has been identified within NHS Tayside in respect of the use of endowment funds in 2013/14 to support the Board’s year-end financial position and the achievement of statutory targets.  In light of this, the Scottish Government Health and Social Care Directorate has asked Grant Thornton UK LLP to undertake an independent review of certain NHS Tayside arrangements as set out in this scope.  We note that OSCR in their role as Charity Regulator for Scotland are also undertaking an independent review in respect of the use of endowments in 2013/14 and our review will not duplicate this work, although they will be closely aligned.    </w:t>
      </w:r>
    </w:p>
    <w:p w:rsidR="00A504AD" w:rsidRDefault="00A504AD" w:rsidP="00A504AD">
      <w:pPr>
        <w:rPr>
          <w:rFonts w:cstheme="minorHAnsi"/>
          <w:b/>
          <w:sz w:val="24"/>
          <w:szCs w:val="24"/>
        </w:rPr>
      </w:pPr>
    </w:p>
    <w:p w:rsidR="00A504AD" w:rsidRPr="00CA7177" w:rsidRDefault="00A504AD" w:rsidP="00A504AD">
      <w:pPr>
        <w:rPr>
          <w:rFonts w:cstheme="minorHAnsi"/>
          <w:b/>
          <w:color w:val="4F2D7F" w:themeColor="accent1"/>
          <w:sz w:val="24"/>
          <w:szCs w:val="24"/>
        </w:rPr>
      </w:pPr>
      <w:r w:rsidRPr="00CA7177">
        <w:rPr>
          <w:rFonts w:cstheme="minorHAnsi"/>
          <w:b/>
          <w:color w:val="4F2D7F" w:themeColor="accent1"/>
          <w:sz w:val="24"/>
          <w:szCs w:val="24"/>
        </w:rPr>
        <w:t>Scope</w:t>
      </w:r>
    </w:p>
    <w:p w:rsidR="00A504AD" w:rsidRPr="007B5A1E" w:rsidRDefault="00A504AD" w:rsidP="00A504AD">
      <w:pPr>
        <w:rPr>
          <w:rFonts w:cstheme="minorHAnsi"/>
          <w:sz w:val="24"/>
          <w:szCs w:val="24"/>
        </w:rPr>
      </w:pPr>
      <w:r w:rsidRPr="007B5A1E">
        <w:rPr>
          <w:rFonts w:cstheme="minorHAnsi"/>
          <w:sz w:val="24"/>
          <w:szCs w:val="24"/>
        </w:rPr>
        <w:t xml:space="preserve">The overarching focus of our work will be to consider the NHS Tayside’s Board’s governance and financial management arrangements, including the assurance framework, related to endowments in 2013/14.  We will focus on the decisions taken by the NHS Board in their role as NHS Board Non-Executives.  The role of the Endowment Trustees will be considered by OSCR. </w:t>
      </w:r>
    </w:p>
    <w:p w:rsidR="00A504AD" w:rsidRPr="007B5A1E" w:rsidRDefault="00A504AD" w:rsidP="00A504AD">
      <w:pPr>
        <w:pStyle w:val="ListParagraph"/>
        <w:spacing w:after="200" w:line="276" w:lineRule="auto"/>
        <w:ind w:left="0"/>
        <w:rPr>
          <w:rFonts w:cstheme="minorHAnsi"/>
          <w:sz w:val="24"/>
          <w:szCs w:val="24"/>
        </w:rPr>
      </w:pPr>
      <w:r w:rsidRPr="007B5A1E">
        <w:rPr>
          <w:rFonts w:cstheme="minorHAnsi"/>
          <w:sz w:val="24"/>
          <w:szCs w:val="24"/>
        </w:rPr>
        <w:t>We will specifically cover:</w:t>
      </w:r>
    </w:p>
    <w:p w:rsidR="00A504AD" w:rsidRPr="007B5A1E" w:rsidRDefault="00A504AD" w:rsidP="00A504AD">
      <w:pPr>
        <w:pStyle w:val="ListParagraph"/>
        <w:spacing w:after="200" w:line="276" w:lineRule="auto"/>
        <w:ind w:left="0"/>
        <w:rPr>
          <w:rFonts w:cstheme="minorHAnsi"/>
          <w:sz w:val="24"/>
          <w:szCs w:val="24"/>
        </w:rPr>
      </w:pPr>
    </w:p>
    <w:p w:rsidR="00A504AD" w:rsidRPr="007B5A1E" w:rsidRDefault="00A504AD" w:rsidP="00646C90">
      <w:pPr>
        <w:pStyle w:val="ListParagraph"/>
        <w:numPr>
          <w:ilvl w:val="0"/>
          <w:numId w:val="29"/>
        </w:numPr>
        <w:spacing w:after="200" w:line="276" w:lineRule="auto"/>
        <w:ind w:left="426"/>
        <w:rPr>
          <w:rFonts w:cstheme="minorHAnsi"/>
          <w:b/>
          <w:sz w:val="24"/>
          <w:szCs w:val="24"/>
        </w:rPr>
      </w:pPr>
      <w:r w:rsidRPr="007B5A1E">
        <w:rPr>
          <w:rFonts w:cstheme="minorHAnsi"/>
          <w:sz w:val="24"/>
          <w:szCs w:val="24"/>
        </w:rPr>
        <w:t>The clarity of reporting of the NHS Tayside financial position during 2013/14 to the relevant Committee and the Board, including the openness and transparency of the decisions taken by the NHS Board in respect of endowment funds and the link to the Board’s financial position.</w:t>
      </w:r>
    </w:p>
    <w:p w:rsidR="00A504AD" w:rsidRPr="007B5A1E" w:rsidRDefault="00A504AD" w:rsidP="00646C90">
      <w:pPr>
        <w:pStyle w:val="ListParagraph"/>
        <w:numPr>
          <w:ilvl w:val="0"/>
          <w:numId w:val="29"/>
        </w:numPr>
        <w:spacing w:after="200" w:line="276" w:lineRule="auto"/>
        <w:ind w:left="426"/>
        <w:rPr>
          <w:rFonts w:cstheme="minorHAnsi"/>
          <w:b/>
          <w:sz w:val="24"/>
          <w:szCs w:val="24"/>
        </w:rPr>
      </w:pPr>
      <w:r w:rsidRPr="007B5A1E">
        <w:rPr>
          <w:rFonts w:cstheme="minorHAnsi"/>
          <w:sz w:val="24"/>
          <w:szCs w:val="24"/>
        </w:rPr>
        <w:t>The evidence available (minutes, board papers, emails, guidance, advice) to support the decision making process and how information was made available to the NHS Board to inform their decision making</w:t>
      </w:r>
    </w:p>
    <w:p w:rsidR="00A504AD" w:rsidRPr="007B5A1E" w:rsidRDefault="00A504AD" w:rsidP="00646C90">
      <w:pPr>
        <w:pStyle w:val="ListParagraph"/>
        <w:numPr>
          <w:ilvl w:val="0"/>
          <w:numId w:val="29"/>
        </w:numPr>
        <w:spacing w:after="200" w:line="276" w:lineRule="auto"/>
        <w:ind w:left="426"/>
        <w:rPr>
          <w:rFonts w:cstheme="minorHAnsi"/>
          <w:b/>
          <w:sz w:val="24"/>
          <w:szCs w:val="24"/>
        </w:rPr>
      </w:pPr>
      <w:r w:rsidRPr="007B5A1E">
        <w:rPr>
          <w:rFonts w:cstheme="minorHAnsi"/>
          <w:sz w:val="24"/>
          <w:szCs w:val="24"/>
        </w:rPr>
        <w:t>The timeline for events, including who was involved and when, and the advice and guidance sought during 2013/14 and how that guidance/advice was acted on</w:t>
      </w:r>
    </w:p>
    <w:p w:rsidR="00A504AD" w:rsidRPr="007B5A1E" w:rsidRDefault="00A504AD" w:rsidP="00646C90">
      <w:pPr>
        <w:pStyle w:val="ListParagraph"/>
        <w:numPr>
          <w:ilvl w:val="0"/>
          <w:numId w:val="29"/>
        </w:numPr>
        <w:spacing w:after="200" w:line="276" w:lineRule="auto"/>
        <w:ind w:left="426"/>
        <w:rPr>
          <w:rFonts w:cstheme="minorHAnsi"/>
          <w:b/>
          <w:sz w:val="24"/>
          <w:szCs w:val="24"/>
        </w:rPr>
      </w:pPr>
      <w:r w:rsidRPr="007B5A1E">
        <w:rPr>
          <w:rFonts w:cstheme="minorHAnsi"/>
          <w:sz w:val="24"/>
          <w:szCs w:val="24"/>
        </w:rPr>
        <w:t xml:space="preserve">The work of internal audit in respect of endowments including iterations between draft and final report stage, the advice of internal audit and how this was considered and the subsequent follow up of internal audit recommendations.  We will also consider internal audit reporting lines.  </w:t>
      </w:r>
    </w:p>
    <w:p w:rsidR="00A504AD" w:rsidRPr="007B5A1E" w:rsidRDefault="00A504AD" w:rsidP="00646C90">
      <w:pPr>
        <w:pStyle w:val="ListParagraph"/>
        <w:numPr>
          <w:ilvl w:val="0"/>
          <w:numId w:val="29"/>
        </w:numPr>
        <w:spacing w:after="200" w:line="276" w:lineRule="auto"/>
        <w:ind w:left="426"/>
        <w:rPr>
          <w:rFonts w:cstheme="minorHAnsi"/>
          <w:sz w:val="24"/>
          <w:szCs w:val="24"/>
        </w:rPr>
      </w:pPr>
      <w:r w:rsidRPr="007B5A1E">
        <w:rPr>
          <w:rFonts w:cstheme="minorHAnsi"/>
          <w:sz w:val="24"/>
          <w:szCs w:val="24"/>
        </w:rPr>
        <w:t xml:space="preserve">Based on the timeframe, what were the various assurance framework “check-points” and how did the wider system of internal controls operate in this instance </w:t>
      </w:r>
    </w:p>
    <w:p w:rsidR="00A504AD" w:rsidRPr="007B5A1E" w:rsidRDefault="00A504AD" w:rsidP="00A504AD">
      <w:pPr>
        <w:pStyle w:val="ListParagraph"/>
        <w:spacing w:after="200" w:line="276" w:lineRule="auto"/>
        <w:ind w:left="0"/>
        <w:rPr>
          <w:rFonts w:cstheme="minorHAnsi"/>
          <w:sz w:val="24"/>
          <w:szCs w:val="24"/>
        </w:rPr>
      </w:pPr>
    </w:p>
    <w:p w:rsidR="00A504AD" w:rsidRPr="007B5A1E" w:rsidRDefault="00A504AD" w:rsidP="00A504AD">
      <w:pPr>
        <w:pStyle w:val="ListParagraph"/>
        <w:spacing w:after="200" w:line="276" w:lineRule="auto"/>
        <w:ind w:left="0"/>
        <w:rPr>
          <w:rFonts w:cstheme="minorHAnsi"/>
          <w:sz w:val="24"/>
          <w:szCs w:val="24"/>
        </w:rPr>
      </w:pPr>
      <w:r w:rsidRPr="007B5A1E">
        <w:rPr>
          <w:rFonts w:cstheme="minorHAnsi"/>
          <w:sz w:val="24"/>
          <w:szCs w:val="24"/>
        </w:rPr>
        <w:t xml:space="preserve">In addition to the above, we will consider the planned financial control enhancements at NHS Tayside following the eHealth work, to mitigate future risk in this area at NHS Tayside.  We will also consider the analysis of deferred expenditure undertaken by the </w:t>
      </w:r>
      <w:r w:rsidRPr="007B5A1E">
        <w:rPr>
          <w:rFonts w:cstheme="minorHAnsi"/>
          <w:sz w:val="24"/>
          <w:szCs w:val="24"/>
        </w:rPr>
        <w:lastRenderedPageBreak/>
        <w:t xml:space="preserve">finance team, and the future controls around reporting in this area alongside the risk assessment of the balances and how they are supported by financial plans.  </w:t>
      </w:r>
    </w:p>
    <w:p w:rsidR="001E5A22" w:rsidRPr="007B5A1E" w:rsidRDefault="001E5A22" w:rsidP="001E5A22">
      <w:pPr>
        <w:pStyle w:val="Heading1"/>
        <w:rPr>
          <w:b/>
        </w:rPr>
      </w:pPr>
      <w:bookmarkStart w:id="6" w:name="_Toc514414960"/>
      <w:bookmarkStart w:id="7" w:name="_Toc514108622"/>
      <w:bookmarkEnd w:id="5"/>
      <w:r>
        <w:rPr>
          <w:b/>
        </w:rPr>
        <w:t>Appendix 2: Public Sector principles and codes of conduct</w:t>
      </w:r>
      <w:bookmarkEnd w:id="6"/>
      <w:r>
        <w:rPr>
          <w:b/>
        </w:rPr>
        <w:t xml:space="preserve"> </w:t>
      </w:r>
    </w:p>
    <w:p w:rsidR="009F4768" w:rsidRPr="009F4768" w:rsidRDefault="009F4768" w:rsidP="009F4768">
      <w:pPr>
        <w:rPr>
          <w:rFonts w:cstheme="minorHAnsi"/>
          <w:sz w:val="24"/>
          <w:szCs w:val="24"/>
        </w:rPr>
      </w:pPr>
      <w:r w:rsidRPr="009F4768">
        <w:rPr>
          <w:rFonts w:cstheme="minorHAnsi"/>
          <w:sz w:val="24"/>
          <w:szCs w:val="24"/>
        </w:rPr>
        <w:t xml:space="preserve">Within the Public Sector, and also specifically in the NHS in Scotland there are a number of overarching public life principles that apply throughout, and are accepted ethical principles and behaviours.  It is expected that everyone working in the public sector adhere to these principles, and there are also additional considerations if you are a Non-Executive member of the Board or in a senior leadership role.  </w:t>
      </w:r>
    </w:p>
    <w:p w:rsidR="009F4768" w:rsidRPr="009F4768" w:rsidRDefault="009F4768" w:rsidP="009F4768">
      <w:pPr>
        <w:rPr>
          <w:rFonts w:cstheme="minorHAnsi"/>
          <w:b/>
          <w:color w:val="4F2D7F" w:themeColor="accent1"/>
          <w:sz w:val="24"/>
          <w:szCs w:val="24"/>
        </w:rPr>
      </w:pPr>
      <w:r w:rsidRPr="009F4768">
        <w:rPr>
          <w:rFonts w:cstheme="minorHAnsi"/>
          <w:b/>
          <w:color w:val="4F2D7F" w:themeColor="accent1"/>
          <w:sz w:val="24"/>
          <w:szCs w:val="24"/>
        </w:rPr>
        <w:t>The 7 principles of public life (Nolan)</w:t>
      </w:r>
    </w:p>
    <w:tbl>
      <w:tblPr>
        <w:tblStyle w:val="GTITableStyle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18"/>
        <w:gridCol w:w="7031"/>
      </w:tblGrid>
      <w:tr w:rsidR="009F4768" w:rsidRPr="009F4768" w:rsidTr="00105C89">
        <w:trPr>
          <w:cnfStyle w:val="100000000000"/>
        </w:trPr>
        <w:tc>
          <w:tcPr>
            <w:tcW w:w="241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F4768" w:rsidRPr="00105C89" w:rsidRDefault="009F4768" w:rsidP="00806032">
            <w:pPr>
              <w:rPr>
                <w:rFonts w:cstheme="minorHAnsi"/>
                <w:sz w:val="24"/>
                <w:szCs w:val="24"/>
              </w:rPr>
            </w:pPr>
            <w:r w:rsidRPr="00105C89">
              <w:rPr>
                <w:rFonts w:cstheme="minorHAnsi"/>
                <w:sz w:val="24"/>
                <w:szCs w:val="24"/>
              </w:rPr>
              <w:t>Principle</w:t>
            </w:r>
          </w:p>
        </w:tc>
        <w:tc>
          <w:tcPr>
            <w:tcW w:w="767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F4768" w:rsidRPr="00105C89" w:rsidRDefault="009F4768" w:rsidP="00806032">
            <w:pPr>
              <w:rPr>
                <w:rFonts w:cstheme="minorHAnsi"/>
                <w:sz w:val="24"/>
                <w:szCs w:val="24"/>
              </w:rPr>
            </w:pPr>
            <w:r w:rsidRPr="00105C89">
              <w:rPr>
                <w:rFonts w:cstheme="minorHAnsi"/>
                <w:sz w:val="24"/>
                <w:szCs w:val="24"/>
              </w:rPr>
              <w:t xml:space="preserve">Definition </w:t>
            </w:r>
          </w:p>
        </w:tc>
      </w:tr>
      <w:tr w:rsidR="009F4768" w:rsidRPr="009F4768" w:rsidTr="00105C89">
        <w:tc>
          <w:tcPr>
            <w:tcW w:w="2410" w:type="dxa"/>
          </w:tcPr>
          <w:p w:rsidR="009F4768" w:rsidRPr="009F4768" w:rsidRDefault="009F4768" w:rsidP="00806032">
            <w:pPr>
              <w:rPr>
                <w:rFonts w:cstheme="minorHAnsi"/>
                <w:sz w:val="24"/>
                <w:szCs w:val="24"/>
              </w:rPr>
            </w:pPr>
            <w:r w:rsidRPr="009F4768">
              <w:rPr>
                <w:rFonts w:cstheme="minorHAnsi"/>
                <w:sz w:val="24"/>
                <w:szCs w:val="24"/>
              </w:rPr>
              <w:t>Selflessness</w:t>
            </w:r>
          </w:p>
        </w:tc>
        <w:tc>
          <w:tcPr>
            <w:tcW w:w="7671" w:type="dxa"/>
          </w:tcPr>
          <w:p w:rsidR="009F4768" w:rsidRPr="009F4768" w:rsidRDefault="009F4768" w:rsidP="00806032">
            <w:pPr>
              <w:rPr>
                <w:rFonts w:cstheme="minorHAnsi"/>
                <w:sz w:val="24"/>
                <w:szCs w:val="24"/>
              </w:rPr>
            </w:pPr>
            <w:r w:rsidRPr="009F4768">
              <w:rPr>
                <w:rFonts w:cstheme="minorHAnsi"/>
                <w:sz w:val="24"/>
                <w:szCs w:val="24"/>
              </w:rPr>
              <w:t>Holders of office should act solely in terms of the public interest</w:t>
            </w:r>
          </w:p>
        </w:tc>
      </w:tr>
      <w:tr w:rsidR="009F4768" w:rsidRPr="009F4768" w:rsidTr="00105C89">
        <w:tc>
          <w:tcPr>
            <w:tcW w:w="2410" w:type="dxa"/>
          </w:tcPr>
          <w:p w:rsidR="009F4768" w:rsidRPr="009F4768" w:rsidRDefault="009F4768" w:rsidP="00806032">
            <w:pPr>
              <w:rPr>
                <w:rFonts w:cstheme="minorHAnsi"/>
                <w:sz w:val="24"/>
                <w:szCs w:val="24"/>
              </w:rPr>
            </w:pPr>
            <w:r w:rsidRPr="009F4768">
              <w:rPr>
                <w:rFonts w:cstheme="minorHAnsi"/>
                <w:sz w:val="24"/>
                <w:szCs w:val="24"/>
              </w:rPr>
              <w:t>Integrity</w:t>
            </w:r>
          </w:p>
        </w:tc>
        <w:tc>
          <w:tcPr>
            <w:tcW w:w="7671" w:type="dxa"/>
          </w:tcPr>
          <w:p w:rsidR="009F4768" w:rsidRPr="009F4768" w:rsidRDefault="009F4768" w:rsidP="00806032">
            <w:pPr>
              <w:rPr>
                <w:rFonts w:cstheme="minorHAnsi"/>
                <w:sz w:val="24"/>
                <w:szCs w:val="24"/>
              </w:rPr>
            </w:pPr>
            <w:r w:rsidRPr="009F4768">
              <w:rPr>
                <w:rFonts w:cstheme="minorHAnsi"/>
                <w:sz w:val="24"/>
                <w:szCs w:val="24"/>
              </w:rPr>
              <w:t xml:space="preserve">Holders of public office must avoid placing themselves under any obligation to people or organisations that might try inappropriately to influence them in their work.  They should not act or take decisions in order to gain financial or other material benefits for themselves, their family, or their friends.  They must declare and resolve any interests and relationships </w:t>
            </w:r>
          </w:p>
        </w:tc>
      </w:tr>
      <w:tr w:rsidR="009F4768" w:rsidRPr="009F4768" w:rsidTr="00105C89">
        <w:tc>
          <w:tcPr>
            <w:tcW w:w="2410" w:type="dxa"/>
          </w:tcPr>
          <w:p w:rsidR="009F4768" w:rsidRPr="009F4768" w:rsidRDefault="009F4768" w:rsidP="00806032">
            <w:pPr>
              <w:rPr>
                <w:rFonts w:cstheme="minorHAnsi"/>
                <w:sz w:val="24"/>
                <w:szCs w:val="24"/>
              </w:rPr>
            </w:pPr>
            <w:r w:rsidRPr="009F4768">
              <w:rPr>
                <w:rFonts w:cstheme="minorHAnsi"/>
                <w:sz w:val="24"/>
                <w:szCs w:val="24"/>
              </w:rPr>
              <w:t>Objectivity</w:t>
            </w:r>
          </w:p>
        </w:tc>
        <w:tc>
          <w:tcPr>
            <w:tcW w:w="7671" w:type="dxa"/>
          </w:tcPr>
          <w:p w:rsidR="009F4768" w:rsidRPr="009F4768" w:rsidRDefault="009F4768" w:rsidP="00806032">
            <w:pPr>
              <w:rPr>
                <w:rFonts w:cstheme="minorHAnsi"/>
                <w:sz w:val="24"/>
                <w:szCs w:val="24"/>
              </w:rPr>
            </w:pPr>
            <w:r w:rsidRPr="009F4768">
              <w:rPr>
                <w:rFonts w:cstheme="minorHAnsi"/>
                <w:sz w:val="24"/>
                <w:szCs w:val="24"/>
              </w:rPr>
              <w:t xml:space="preserve">Holders of public office must act and take decisions impartially, fairly and on merit, using the best evidence and without discrimination or bias.  </w:t>
            </w:r>
          </w:p>
        </w:tc>
      </w:tr>
      <w:tr w:rsidR="009F4768" w:rsidRPr="009F4768" w:rsidTr="00105C89">
        <w:tc>
          <w:tcPr>
            <w:tcW w:w="2410" w:type="dxa"/>
          </w:tcPr>
          <w:p w:rsidR="009F4768" w:rsidRPr="009F4768" w:rsidRDefault="009F4768" w:rsidP="00806032">
            <w:pPr>
              <w:rPr>
                <w:rFonts w:cstheme="minorHAnsi"/>
                <w:sz w:val="24"/>
                <w:szCs w:val="24"/>
              </w:rPr>
            </w:pPr>
            <w:r w:rsidRPr="009F4768">
              <w:rPr>
                <w:rFonts w:cstheme="minorHAnsi"/>
                <w:sz w:val="24"/>
                <w:szCs w:val="24"/>
              </w:rPr>
              <w:t>Accountability</w:t>
            </w:r>
          </w:p>
        </w:tc>
        <w:tc>
          <w:tcPr>
            <w:tcW w:w="7671" w:type="dxa"/>
          </w:tcPr>
          <w:p w:rsidR="009F4768" w:rsidRPr="009F4768" w:rsidRDefault="009F4768" w:rsidP="00806032">
            <w:pPr>
              <w:rPr>
                <w:rFonts w:cstheme="minorHAnsi"/>
                <w:sz w:val="24"/>
                <w:szCs w:val="24"/>
              </w:rPr>
            </w:pPr>
            <w:r w:rsidRPr="009F4768">
              <w:rPr>
                <w:rFonts w:cstheme="minorHAnsi"/>
                <w:sz w:val="24"/>
                <w:szCs w:val="24"/>
              </w:rPr>
              <w:t>Holders of public officer are accountable to the public for their decisions and actions and must submit themselves to the scrutiny necessary to ensure this</w:t>
            </w:r>
          </w:p>
        </w:tc>
      </w:tr>
      <w:tr w:rsidR="009F4768" w:rsidRPr="009F4768" w:rsidTr="00105C89">
        <w:tc>
          <w:tcPr>
            <w:tcW w:w="2410" w:type="dxa"/>
          </w:tcPr>
          <w:p w:rsidR="009F4768" w:rsidRPr="009F4768" w:rsidRDefault="009F4768" w:rsidP="00806032">
            <w:pPr>
              <w:rPr>
                <w:rFonts w:cstheme="minorHAnsi"/>
                <w:sz w:val="24"/>
                <w:szCs w:val="24"/>
              </w:rPr>
            </w:pPr>
            <w:r w:rsidRPr="009F4768">
              <w:rPr>
                <w:rFonts w:cstheme="minorHAnsi"/>
                <w:sz w:val="24"/>
                <w:szCs w:val="24"/>
              </w:rPr>
              <w:t>Openness</w:t>
            </w:r>
          </w:p>
        </w:tc>
        <w:tc>
          <w:tcPr>
            <w:tcW w:w="7671" w:type="dxa"/>
          </w:tcPr>
          <w:p w:rsidR="009F4768" w:rsidRPr="009F4768" w:rsidRDefault="009F4768" w:rsidP="00806032">
            <w:pPr>
              <w:rPr>
                <w:rFonts w:cstheme="minorHAnsi"/>
                <w:sz w:val="24"/>
                <w:szCs w:val="24"/>
              </w:rPr>
            </w:pPr>
            <w:r w:rsidRPr="009F4768">
              <w:rPr>
                <w:rFonts w:cstheme="minorHAnsi"/>
                <w:sz w:val="24"/>
                <w:szCs w:val="24"/>
              </w:rPr>
              <w:t>Holders of public office should act and take decisions in an open and transparent manner.  Information should not be withheld from the public unless there are clear and lawful reasons for doing so</w:t>
            </w:r>
          </w:p>
        </w:tc>
      </w:tr>
      <w:tr w:rsidR="009F4768" w:rsidRPr="009F4768" w:rsidTr="00105C89">
        <w:tc>
          <w:tcPr>
            <w:tcW w:w="2410" w:type="dxa"/>
          </w:tcPr>
          <w:p w:rsidR="009F4768" w:rsidRPr="009F4768" w:rsidRDefault="009F4768" w:rsidP="00806032">
            <w:pPr>
              <w:rPr>
                <w:rFonts w:cstheme="minorHAnsi"/>
                <w:sz w:val="24"/>
                <w:szCs w:val="24"/>
              </w:rPr>
            </w:pPr>
            <w:r w:rsidRPr="009F4768">
              <w:rPr>
                <w:rFonts w:cstheme="minorHAnsi"/>
                <w:sz w:val="24"/>
                <w:szCs w:val="24"/>
              </w:rPr>
              <w:t>Honesty</w:t>
            </w:r>
          </w:p>
        </w:tc>
        <w:tc>
          <w:tcPr>
            <w:tcW w:w="7671" w:type="dxa"/>
          </w:tcPr>
          <w:p w:rsidR="009F4768" w:rsidRPr="009F4768" w:rsidRDefault="009F4768" w:rsidP="00806032">
            <w:pPr>
              <w:rPr>
                <w:rFonts w:cstheme="minorHAnsi"/>
                <w:sz w:val="24"/>
                <w:szCs w:val="24"/>
              </w:rPr>
            </w:pPr>
            <w:r w:rsidRPr="009F4768">
              <w:rPr>
                <w:rFonts w:cstheme="minorHAnsi"/>
                <w:sz w:val="24"/>
                <w:szCs w:val="24"/>
              </w:rPr>
              <w:t xml:space="preserve">Holders of public office should be truthful </w:t>
            </w:r>
          </w:p>
        </w:tc>
      </w:tr>
      <w:tr w:rsidR="009F4768" w:rsidRPr="009F4768" w:rsidTr="00105C89">
        <w:tc>
          <w:tcPr>
            <w:tcW w:w="2410" w:type="dxa"/>
          </w:tcPr>
          <w:p w:rsidR="009F4768" w:rsidRPr="009F4768" w:rsidRDefault="009F4768" w:rsidP="00806032">
            <w:pPr>
              <w:rPr>
                <w:rFonts w:cstheme="minorHAnsi"/>
                <w:sz w:val="24"/>
                <w:szCs w:val="24"/>
              </w:rPr>
            </w:pPr>
            <w:r w:rsidRPr="009F4768">
              <w:rPr>
                <w:rFonts w:cstheme="minorHAnsi"/>
                <w:sz w:val="24"/>
                <w:szCs w:val="24"/>
              </w:rPr>
              <w:t xml:space="preserve">Leadership </w:t>
            </w:r>
          </w:p>
        </w:tc>
        <w:tc>
          <w:tcPr>
            <w:tcW w:w="7671" w:type="dxa"/>
          </w:tcPr>
          <w:p w:rsidR="009F4768" w:rsidRPr="009F4768" w:rsidRDefault="009F4768" w:rsidP="00806032">
            <w:pPr>
              <w:rPr>
                <w:rFonts w:cstheme="minorHAnsi"/>
                <w:sz w:val="24"/>
                <w:szCs w:val="24"/>
              </w:rPr>
            </w:pPr>
            <w:r w:rsidRPr="009F4768">
              <w:rPr>
                <w:rFonts w:cstheme="minorHAnsi"/>
                <w:sz w:val="24"/>
                <w:szCs w:val="24"/>
              </w:rPr>
              <w:t>Holders of public office should exhibit these principles in their own behaviour.  They should actively promote and robustly support the principles and be willing to challenge poor behaviour whenever it occurs.</w:t>
            </w:r>
          </w:p>
        </w:tc>
      </w:tr>
    </w:tbl>
    <w:p w:rsidR="009F4768" w:rsidRPr="009F4768" w:rsidRDefault="009F4768" w:rsidP="009F4768">
      <w:pPr>
        <w:rPr>
          <w:rFonts w:cstheme="minorHAnsi"/>
          <w:sz w:val="24"/>
          <w:szCs w:val="24"/>
        </w:rPr>
      </w:pPr>
    </w:p>
    <w:p w:rsidR="009F4768" w:rsidRPr="009F4768" w:rsidRDefault="009F4768" w:rsidP="009F4768">
      <w:pPr>
        <w:rPr>
          <w:rFonts w:cstheme="minorHAnsi"/>
          <w:b/>
          <w:color w:val="4F2D7F" w:themeColor="accent1"/>
          <w:sz w:val="24"/>
          <w:szCs w:val="24"/>
        </w:rPr>
      </w:pPr>
      <w:r w:rsidRPr="009F4768">
        <w:rPr>
          <w:rFonts w:cstheme="minorHAnsi"/>
          <w:b/>
          <w:color w:val="4F2D7F" w:themeColor="accent1"/>
          <w:sz w:val="24"/>
          <w:szCs w:val="24"/>
        </w:rPr>
        <w:t xml:space="preserve">NHS Board Non-Executive Appointment </w:t>
      </w:r>
    </w:p>
    <w:p w:rsidR="009F4768" w:rsidRPr="009F4768" w:rsidRDefault="009F4768" w:rsidP="009F4768">
      <w:pPr>
        <w:rPr>
          <w:rFonts w:cstheme="minorHAnsi"/>
          <w:sz w:val="24"/>
          <w:szCs w:val="24"/>
        </w:rPr>
      </w:pPr>
      <w:r w:rsidRPr="009F4768">
        <w:rPr>
          <w:rFonts w:cstheme="minorHAnsi"/>
          <w:sz w:val="24"/>
          <w:szCs w:val="24"/>
        </w:rPr>
        <w:t>On appointment to an NHS Board the appointment letter states:</w:t>
      </w:r>
    </w:p>
    <w:p w:rsidR="009F4768" w:rsidRPr="009F4768" w:rsidRDefault="009F4768" w:rsidP="009F4768">
      <w:pPr>
        <w:rPr>
          <w:rFonts w:cstheme="minorHAnsi"/>
          <w:sz w:val="24"/>
          <w:szCs w:val="24"/>
        </w:rPr>
      </w:pPr>
      <w:r w:rsidRPr="009F4768">
        <w:rPr>
          <w:rFonts w:cstheme="minorHAnsi"/>
          <w:sz w:val="24"/>
          <w:szCs w:val="24"/>
        </w:rPr>
        <w:t>“All members must abide by the principles of collective responsibility and are expected to bring an impartial judgement to bear on the business of the Board”</w:t>
      </w:r>
    </w:p>
    <w:p w:rsidR="009F4768" w:rsidRPr="009F4768" w:rsidRDefault="009F4768" w:rsidP="009F4768">
      <w:pPr>
        <w:rPr>
          <w:rFonts w:cstheme="minorHAnsi"/>
          <w:sz w:val="24"/>
          <w:szCs w:val="24"/>
        </w:rPr>
      </w:pPr>
    </w:p>
    <w:p w:rsidR="00105C89" w:rsidRDefault="00105C89" w:rsidP="009F4768">
      <w:pPr>
        <w:rPr>
          <w:rFonts w:cstheme="minorHAnsi"/>
          <w:b/>
          <w:color w:val="4F2D7F" w:themeColor="accent1"/>
          <w:sz w:val="24"/>
          <w:szCs w:val="24"/>
        </w:rPr>
      </w:pPr>
    </w:p>
    <w:p w:rsidR="00105C89" w:rsidRDefault="00105C89" w:rsidP="009F4768">
      <w:pPr>
        <w:rPr>
          <w:rFonts w:cstheme="minorHAnsi"/>
          <w:b/>
          <w:color w:val="4F2D7F" w:themeColor="accent1"/>
          <w:sz w:val="24"/>
          <w:szCs w:val="24"/>
        </w:rPr>
      </w:pPr>
    </w:p>
    <w:p w:rsidR="00105C89" w:rsidRDefault="00105C89" w:rsidP="009F4768">
      <w:pPr>
        <w:rPr>
          <w:rFonts w:cstheme="minorHAnsi"/>
          <w:b/>
          <w:color w:val="4F2D7F" w:themeColor="accent1"/>
          <w:sz w:val="24"/>
          <w:szCs w:val="24"/>
        </w:rPr>
      </w:pPr>
    </w:p>
    <w:p w:rsidR="00105C89" w:rsidRDefault="00105C89" w:rsidP="009F4768">
      <w:pPr>
        <w:rPr>
          <w:rFonts w:cstheme="minorHAnsi"/>
          <w:b/>
          <w:color w:val="4F2D7F" w:themeColor="accent1"/>
          <w:sz w:val="24"/>
          <w:szCs w:val="24"/>
        </w:rPr>
      </w:pPr>
    </w:p>
    <w:p w:rsidR="00105C89" w:rsidRDefault="00105C89" w:rsidP="009F4768">
      <w:pPr>
        <w:rPr>
          <w:rFonts w:cstheme="minorHAnsi"/>
          <w:b/>
          <w:color w:val="4F2D7F" w:themeColor="accent1"/>
          <w:sz w:val="24"/>
          <w:szCs w:val="24"/>
        </w:rPr>
      </w:pPr>
    </w:p>
    <w:p w:rsidR="00105C89" w:rsidRDefault="00105C89" w:rsidP="009F4768">
      <w:pPr>
        <w:rPr>
          <w:rFonts w:cstheme="minorHAnsi"/>
          <w:b/>
          <w:color w:val="4F2D7F" w:themeColor="accent1"/>
          <w:sz w:val="24"/>
          <w:szCs w:val="24"/>
        </w:rPr>
      </w:pPr>
    </w:p>
    <w:p w:rsidR="009F4768" w:rsidRPr="009F4768" w:rsidRDefault="009F4768" w:rsidP="009F4768">
      <w:pPr>
        <w:rPr>
          <w:rFonts w:cstheme="minorHAnsi"/>
          <w:b/>
          <w:color w:val="4F2D7F" w:themeColor="accent1"/>
          <w:sz w:val="24"/>
          <w:szCs w:val="24"/>
        </w:rPr>
      </w:pPr>
      <w:r w:rsidRPr="009F4768">
        <w:rPr>
          <w:rFonts w:cstheme="minorHAnsi"/>
          <w:b/>
          <w:color w:val="4F2D7F" w:themeColor="accent1"/>
          <w:sz w:val="24"/>
          <w:szCs w:val="24"/>
        </w:rPr>
        <w:t xml:space="preserve">NHS Tayside Section B Members Code of Conduct </w:t>
      </w:r>
    </w:p>
    <w:p w:rsidR="009F4768" w:rsidRPr="009F4768" w:rsidRDefault="009F4768" w:rsidP="009F4768">
      <w:pPr>
        <w:rPr>
          <w:rFonts w:cstheme="minorHAnsi"/>
          <w:sz w:val="24"/>
          <w:szCs w:val="24"/>
        </w:rPr>
      </w:pPr>
      <w:r w:rsidRPr="009F4768">
        <w:rPr>
          <w:rFonts w:cstheme="minorHAnsi"/>
          <w:sz w:val="24"/>
          <w:szCs w:val="24"/>
        </w:rPr>
        <w:t xml:space="preserve">NHS Tayside have in place in Section in its code of conduct for Members of the NHS Tayside Board and its committees which all Non-Executive Board members are made aware of.  The code states that “as a member of the NHS Tayside Board it is your responsibility to make sure you know you are familiar with, and your actions comply with, the provisions of this code of conduct” </w:t>
      </w:r>
    </w:p>
    <w:p w:rsidR="009F4768" w:rsidRPr="009F4768" w:rsidRDefault="009F4768" w:rsidP="009F4768">
      <w:pPr>
        <w:rPr>
          <w:rFonts w:cstheme="minorHAnsi"/>
          <w:sz w:val="24"/>
          <w:szCs w:val="24"/>
        </w:rPr>
      </w:pPr>
      <w:r w:rsidRPr="009F4768">
        <w:rPr>
          <w:rFonts w:cstheme="minorHAnsi"/>
          <w:sz w:val="24"/>
          <w:szCs w:val="24"/>
        </w:rPr>
        <w:t xml:space="preserve">This code in section 2 outlines the Nolan principles, and also cross references to the Scottish Government Publication “On Board – A guide for Board members of public bodies in Scotland”  </w:t>
      </w:r>
    </w:p>
    <w:p w:rsidR="009F4768" w:rsidRPr="009F4768" w:rsidRDefault="009F4768" w:rsidP="009F4768">
      <w:pPr>
        <w:rPr>
          <w:rFonts w:cstheme="minorHAnsi"/>
          <w:sz w:val="24"/>
          <w:szCs w:val="24"/>
        </w:rPr>
      </w:pPr>
      <w:r w:rsidRPr="009F4768">
        <w:rPr>
          <w:rFonts w:cstheme="minorHAnsi"/>
          <w:sz w:val="24"/>
          <w:szCs w:val="24"/>
        </w:rPr>
        <w:t xml:space="preserve">Section 5 outlines declaration of interests and in particular 5.5 “As a member of the Tayside NHS Board you might serve on other bodies.  In relation to service on Board’s and management committees of limited liability companies, public bodies, societies, and other organisations, you must decide, in the particular circumstances surrounding any matter, whether to declare an interest.  Only if you believe that, in the particular circumstances, the nature of the interest is so remote or without significant, should it not be declared.” </w:t>
      </w:r>
    </w:p>
    <w:p w:rsidR="001E5A22" w:rsidRPr="009F4768" w:rsidRDefault="001E5A22">
      <w:pPr>
        <w:spacing w:after="0" w:line="240" w:lineRule="auto"/>
        <w:rPr>
          <w:rFonts w:cstheme="minorHAnsi"/>
          <w:sz w:val="24"/>
          <w:szCs w:val="24"/>
        </w:rPr>
      </w:pPr>
      <w:r w:rsidRPr="009F4768">
        <w:rPr>
          <w:rFonts w:cstheme="minorHAnsi"/>
          <w:sz w:val="24"/>
          <w:szCs w:val="24"/>
        </w:rPr>
        <w:br w:type="page"/>
      </w:r>
    </w:p>
    <w:p w:rsidR="0005764E" w:rsidRPr="007B5A1E" w:rsidRDefault="0005764E" w:rsidP="0005764E">
      <w:pPr>
        <w:pStyle w:val="Heading1"/>
        <w:rPr>
          <w:b/>
        </w:rPr>
      </w:pPr>
      <w:bookmarkStart w:id="8" w:name="_Toc514414961"/>
      <w:r>
        <w:rPr>
          <w:b/>
        </w:rPr>
        <w:lastRenderedPageBreak/>
        <w:t>Appendix 3: Approved minute of the NHS Tayside Endowment Fund Board of Trustees 24 January 2014</w:t>
      </w:r>
    </w:p>
    <w:p w:rsidR="0005764E" w:rsidRDefault="0005764E">
      <w:pPr>
        <w:spacing w:after="0" w:line="240" w:lineRule="auto"/>
        <w:rPr>
          <w:b/>
        </w:rPr>
      </w:pPr>
    </w:p>
    <w:p w:rsidR="0005764E" w:rsidRDefault="0005764E">
      <w:pPr>
        <w:spacing w:after="0" w:line="240" w:lineRule="auto"/>
        <w:rPr>
          <w:b/>
        </w:rPr>
      </w:pPr>
    </w:p>
    <w:p w:rsidR="0005764E" w:rsidRDefault="0005764E" w:rsidP="0005764E">
      <w:pPr>
        <w:jc w:val="both"/>
        <w:rPr>
          <w:rFonts w:ascii="Arial" w:hAnsi="Arial"/>
          <w:sz w:val="22"/>
          <w:szCs w:val="22"/>
        </w:rPr>
      </w:pPr>
      <w:r>
        <w:rPr>
          <w:rFonts w:ascii="Arial" w:hAnsi="Arial"/>
          <w:sz w:val="22"/>
          <w:szCs w:val="22"/>
        </w:rPr>
        <w:t xml:space="preserve">Minute of the Extraordinary Meeting Tayside NHS Board Endowment Fund Board of Trustees, held on </w:t>
      </w:r>
      <w:r>
        <w:rPr>
          <w:rFonts w:ascii="Arial" w:hAnsi="Arial"/>
          <w:b/>
          <w:bCs/>
          <w:sz w:val="22"/>
          <w:szCs w:val="22"/>
        </w:rPr>
        <w:t>Friday, 24 January, 2014</w:t>
      </w:r>
      <w:r>
        <w:rPr>
          <w:rFonts w:ascii="Arial" w:hAnsi="Arial"/>
          <w:sz w:val="22"/>
          <w:szCs w:val="22"/>
        </w:rPr>
        <w:t xml:space="preserve">, at 1.30pm, in the Seminar Room, </w:t>
      </w:r>
      <w:smartTag w:uri="urn:schemas-microsoft-com:office:smarttags" w:element="place">
        <w:smartTag w:uri="urn:schemas-microsoft-com:office:smarttags" w:element="City">
          <w:smartTag w:uri="urn:schemas-microsoft-com:office:smarttags" w:element="PlaceName">
            <w:smartTag w:uri="urn:schemas-microsoft-com:office:smarttags" w:element="PersonName">
              <w:r>
                <w:rPr>
                  <w:rFonts w:ascii="Arial" w:hAnsi="Arial"/>
                  <w:sz w:val="22"/>
                  <w:szCs w:val="22"/>
                </w:rPr>
                <w:t>Kings</w:t>
              </w:r>
            </w:smartTag>
          </w:smartTag>
          <w:r>
            <w:rPr>
              <w:rFonts w:ascii="Arial" w:hAnsi="Arial"/>
              <w:sz w:val="22"/>
              <w:szCs w:val="22"/>
            </w:rPr>
            <w:t xml:space="preserve"> </w:t>
          </w:r>
          <w:smartTag w:uri="urn:schemas-microsoft-com:office:smarttags" w:element="PlaceName">
            <w:smartTag w:uri="urn:schemas-microsoft-com:office:smarttags" w:element="PersonName">
              <w:r>
                <w:rPr>
                  <w:rFonts w:ascii="Arial" w:hAnsi="Arial"/>
                  <w:sz w:val="22"/>
                  <w:szCs w:val="22"/>
                </w:rPr>
                <w:t>Cross</w:t>
              </w:r>
            </w:smartTag>
          </w:smartTag>
          <w:r>
            <w:rPr>
              <w:rFonts w:ascii="Arial" w:hAnsi="Arial"/>
              <w:sz w:val="22"/>
              <w:szCs w:val="22"/>
            </w:rPr>
            <w:t xml:space="preserve"> </w:t>
          </w:r>
          <w:smartTag w:uri="urn:schemas-microsoft-com:office:smarttags" w:element="PlaceType">
            <w:smartTag w:uri="urn:schemas-microsoft-com:office:smarttags" w:element="country-region">
              <w:r>
                <w:rPr>
                  <w:rFonts w:ascii="Arial" w:hAnsi="Arial"/>
                  <w:sz w:val="22"/>
                  <w:szCs w:val="22"/>
                </w:rPr>
                <w:t>Hospital</w:t>
              </w:r>
            </w:smartTag>
          </w:smartTag>
        </w:smartTag>
      </w:smartTag>
      <w:r>
        <w:rPr>
          <w:rFonts w:ascii="Arial" w:hAnsi="Arial"/>
          <w:sz w:val="22"/>
          <w:szCs w:val="22"/>
        </w:rPr>
        <w:t>.</w:t>
      </w:r>
    </w:p>
    <w:p w:rsidR="0005764E" w:rsidRPr="00ED3166" w:rsidRDefault="0005764E" w:rsidP="0005764E">
      <w:pPr>
        <w:jc w:val="both"/>
        <w:rPr>
          <w:rFonts w:ascii="Arial" w:hAnsi="Arial"/>
          <w:sz w:val="22"/>
          <w:szCs w:val="22"/>
        </w:rPr>
      </w:pPr>
    </w:p>
    <w:p w:rsidR="0005764E" w:rsidRPr="00ED3166" w:rsidRDefault="0005764E" w:rsidP="0005764E">
      <w:pPr>
        <w:jc w:val="both"/>
        <w:rPr>
          <w:rFonts w:ascii="Arial" w:hAnsi="Arial"/>
          <w:sz w:val="22"/>
          <w:szCs w:val="22"/>
        </w:rPr>
      </w:pPr>
    </w:p>
    <w:p w:rsidR="0005764E" w:rsidRDefault="0005764E" w:rsidP="0005764E">
      <w:pPr>
        <w:pStyle w:val="Heading2"/>
        <w:rPr>
          <w:rFonts w:ascii="Arial" w:hAnsi="Arial" w:cs="Arial"/>
        </w:rPr>
      </w:pPr>
      <w:r>
        <w:rPr>
          <w:rFonts w:ascii="Arial" w:hAnsi="Arial" w:cs="Arial"/>
        </w:rPr>
        <w:t>Present</w:t>
      </w:r>
    </w:p>
    <w:p w:rsidR="0005764E" w:rsidRPr="00F00571" w:rsidRDefault="0005764E" w:rsidP="0005764E">
      <w:pPr>
        <w:tabs>
          <w:tab w:val="left" w:pos="2880"/>
        </w:tabs>
        <w:rPr>
          <w:rFonts w:ascii="Arial" w:hAnsi="Arial"/>
          <w:b/>
          <w:sz w:val="22"/>
          <w:szCs w:val="22"/>
        </w:rPr>
      </w:pPr>
      <w:r w:rsidRPr="00F00571">
        <w:rPr>
          <w:rFonts w:ascii="Arial" w:hAnsi="Arial"/>
          <w:b/>
          <w:sz w:val="22"/>
          <w:szCs w:val="22"/>
        </w:rPr>
        <w:t>Name</w:t>
      </w:r>
      <w:r w:rsidRPr="00F00571">
        <w:rPr>
          <w:rFonts w:ascii="Arial" w:hAnsi="Arial"/>
          <w:b/>
          <w:sz w:val="22"/>
          <w:szCs w:val="22"/>
        </w:rPr>
        <w:tab/>
        <w:t>Designation</w:t>
      </w:r>
    </w:p>
    <w:p w:rsidR="0005764E" w:rsidRDefault="0005764E" w:rsidP="0005764E">
      <w:pPr>
        <w:tabs>
          <w:tab w:val="left" w:pos="2880"/>
        </w:tabs>
        <w:jc w:val="both"/>
        <w:rPr>
          <w:rFonts w:ascii="Arial" w:hAnsi="Arial"/>
          <w:sz w:val="22"/>
          <w:szCs w:val="22"/>
        </w:rPr>
      </w:pPr>
      <w:r>
        <w:rPr>
          <w:rFonts w:ascii="Arial" w:hAnsi="Arial"/>
          <w:sz w:val="22"/>
          <w:szCs w:val="22"/>
        </w:rPr>
        <w:t>Dr A Cowie</w:t>
      </w:r>
      <w:r>
        <w:rPr>
          <w:rFonts w:ascii="Arial" w:hAnsi="Arial"/>
          <w:sz w:val="22"/>
          <w:szCs w:val="22"/>
        </w:rPr>
        <w:tab/>
        <w:t>Non Executive Member, NHS Tayside</w:t>
      </w:r>
    </w:p>
    <w:p w:rsidR="0005764E" w:rsidRDefault="0005764E" w:rsidP="0005764E">
      <w:pPr>
        <w:tabs>
          <w:tab w:val="left" w:pos="2880"/>
        </w:tabs>
        <w:jc w:val="both"/>
        <w:rPr>
          <w:rFonts w:ascii="Arial" w:hAnsi="Arial"/>
          <w:sz w:val="22"/>
          <w:szCs w:val="22"/>
        </w:rPr>
      </w:pPr>
      <w:r>
        <w:rPr>
          <w:rFonts w:ascii="Arial" w:hAnsi="Arial"/>
          <w:sz w:val="22"/>
          <w:szCs w:val="22"/>
        </w:rPr>
        <w:t>Mr D Cross</w:t>
      </w:r>
      <w:r>
        <w:rPr>
          <w:rFonts w:ascii="Arial" w:hAnsi="Arial"/>
          <w:sz w:val="22"/>
          <w:szCs w:val="22"/>
        </w:rPr>
        <w:tab/>
        <w:t>Non Executive Member, NHS Tayside</w:t>
      </w:r>
    </w:p>
    <w:p w:rsidR="0005764E" w:rsidRDefault="0005764E" w:rsidP="0005764E">
      <w:pPr>
        <w:tabs>
          <w:tab w:val="left" w:pos="2880"/>
        </w:tabs>
        <w:jc w:val="both"/>
        <w:rPr>
          <w:rFonts w:ascii="Arial" w:hAnsi="Arial"/>
          <w:sz w:val="22"/>
          <w:szCs w:val="22"/>
        </w:rPr>
      </w:pPr>
      <w:r>
        <w:rPr>
          <w:rFonts w:ascii="Arial" w:hAnsi="Arial"/>
          <w:sz w:val="22"/>
          <w:szCs w:val="22"/>
        </w:rPr>
        <w:t>Mrs L Dunion</w:t>
      </w:r>
      <w:r>
        <w:rPr>
          <w:rFonts w:ascii="Arial" w:hAnsi="Arial"/>
          <w:sz w:val="22"/>
          <w:szCs w:val="22"/>
        </w:rPr>
        <w:tab/>
        <w:t>Non Executive Member, NHS Tayside</w:t>
      </w:r>
    </w:p>
    <w:p w:rsidR="0005764E" w:rsidRPr="008D239B" w:rsidRDefault="0005764E" w:rsidP="0005764E">
      <w:pPr>
        <w:tabs>
          <w:tab w:val="left" w:pos="2880"/>
        </w:tabs>
        <w:jc w:val="both"/>
        <w:rPr>
          <w:rFonts w:ascii="Arial" w:hAnsi="Arial"/>
          <w:sz w:val="22"/>
          <w:szCs w:val="22"/>
        </w:rPr>
      </w:pPr>
      <w:r w:rsidRPr="008D239B">
        <w:rPr>
          <w:rFonts w:ascii="Arial" w:hAnsi="Arial"/>
          <w:sz w:val="22"/>
          <w:szCs w:val="22"/>
        </w:rPr>
        <w:t>Mrs J Golden</w:t>
      </w:r>
      <w:r w:rsidRPr="008D239B">
        <w:rPr>
          <w:rFonts w:ascii="Arial" w:hAnsi="Arial"/>
          <w:sz w:val="22"/>
          <w:szCs w:val="22"/>
        </w:rPr>
        <w:tab/>
        <w:t>Employee Director, NHS Tayside</w:t>
      </w:r>
    </w:p>
    <w:p w:rsidR="0005764E" w:rsidRDefault="0005764E" w:rsidP="0005764E">
      <w:pPr>
        <w:tabs>
          <w:tab w:val="left" w:pos="2880"/>
        </w:tabs>
        <w:jc w:val="both"/>
        <w:rPr>
          <w:rFonts w:ascii="Arial" w:hAnsi="Arial"/>
          <w:sz w:val="22"/>
          <w:szCs w:val="22"/>
        </w:rPr>
      </w:pPr>
      <w:r>
        <w:rPr>
          <w:rFonts w:ascii="Arial" w:hAnsi="Arial"/>
          <w:sz w:val="22"/>
          <w:szCs w:val="22"/>
        </w:rPr>
        <w:t xml:space="preserve">Cllr K </w:t>
      </w:r>
      <w:smartTag w:uri="urn:schemas-microsoft-com:office:smarttags" w:element="City">
        <w:smartTag w:uri="urn:schemas-microsoft-com:office:smarttags" w:element="place">
          <w:r>
            <w:rPr>
              <w:rFonts w:ascii="Arial" w:hAnsi="Arial"/>
              <w:sz w:val="22"/>
              <w:szCs w:val="22"/>
            </w:rPr>
            <w:t>Lynn</w:t>
          </w:r>
        </w:smartTag>
      </w:smartTag>
      <w:r>
        <w:rPr>
          <w:rFonts w:ascii="Arial" w:hAnsi="Arial"/>
          <w:sz w:val="22"/>
          <w:szCs w:val="22"/>
        </w:rPr>
        <w:tab/>
        <w:t>Non Executive Member, NHS Tayside</w:t>
      </w:r>
    </w:p>
    <w:p w:rsidR="0005764E" w:rsidRDefault="0005764E" w:rsidP="0005764E">
      <w:pPr>
        <w:tabs>
          <w:tab w:val="left" w:pos="2880"/>
        </w:tabs>
        <w:jc w:val="both"/>
        <w:rPr>
          <w:rFonts w:ascii="Arial" w:hAnsi="Arial"/>
          <w:sz w:val="22"/>
          <w:szCs w:val="22"/>
        </w:rPr>
      </w:pPr>
      <w:r>
        <w:rPr>
          <w:rFonts w:ascii="Arial" w:hAnsi="Arial"/>
          <w:sz w:val="22"/>
          <w:szCs w:val="22"/>
        </w:rPr>
        <w:t>Y Cllr M Landsburgh</w:t>
      </w:r>
      <w:r>
        <w:rPr>
          <w:rFonts w:ascii="Arial" w:hAnsi="Arial"/>
          <w:sz w:val="22"/>
          <w:szCs w:val="22"/>
        </w:rPr>
        <w:tab/>
        <w:t>Non Executive Member, NHS Tayside</w:t>
      </w:r>
    </w:p>
    <w:p w:rsidR="0005764E" w:rsidRDefault="0005764E" w:rsidP="0005764E">
      <w:pPr>
        <w:tabs>
          <w:tab w:val="left" w:pos="2880"/>
        </w:tabs>
        <w:jc w:val="both"/>
        <w:rPr>
          <w:rFonts w:ascii="Arial" w:hAnsi="Arial"/>
          <w:sz w:val="22"/>
          <w:szCs w:val="22"/>
        </w:rPr>
      </w:pPr>
      <w:r>
        <w:rPr>
          <w:rFonts w:ascii="Arial" w:hAnsi="Arial"/>
          <w:sz w:val="22"/>
          <w:szCs w:val="22"/>
        </w:rPr>
        <w:t>Mr I McDonald</w:t>
      </w:r>
      <w:r>
        <w:rPr>
          <w:rFonts w:ascii="Arial" w:hAnsi="Arial"/>
          <w:sz w:val="22"/>
          <w:szCs w:val="22"/>
        </w:rPr>
        <w:tab/>
        <w:t>Director of Finance, NHS Tayside</w:t>
      </w:r>
    </w:p>
    <w:p w:rsidR="0005764E" w:rsidRDefault="0005764E" w:rsidP="0005764E">
      <w:pPr>
        <w:tabs>
          <w:tab w:val="left" w:pos="2880"/>
        </w:tabs>
        <w:jc w:val="both"/>
        <w:rPr>
          <w:rFonts w:ascii="Arial" w:hAnsi="Arial"/>
          <w:sz w:val="22"/>
          <w:szCs w:val="22"/>
        </w:rPr>
      </w:pPr>
      <w:r>
        <w:rPr>
          <w:rFonts w:ascii="Arial" w:hAnsi="Arial"/>
          <w:sz w:val="22"/>
          <w:szCs w:val="22"/>
        </w:rPr>
        <w:t>Dr M McGuire</w:t>
      </w:r>
      <w:r>
        <w:rPr>
          <w:rFonts w:ascii="Arial" w:hAnsi="Arial"/>
          <w:sz w:val="22"/>
          <w:szCs w:val="22"/>
        </w:rPr>
        <w:tab/>
        <w:t>Nursing Director, NHS Tayside</w:t>
      </w:r>
    </w:p>
    <w:p w:rsidR="0005764E" w:rsidRDefault="0005764E" w:rsidP="0005764E">
      <w:pPr>
        <w:tabs>
          <w:tab w:val="left" w:pos="2880"/>
        </w:tabs>
        <w:jc w:val="both"/>
        <w:rPr>
          <w:rFonts w:ascii="Arial" w:hAnsi="Arial"/>
          <w:sz w:val="22"/>
          <w:szCs w:val="22"/>
        </w:rPr>
      </w:pPr>
      <w:r>
        <w:rPr>
          <w:rFonts w:ascii="Arial" w:hAnsi="Arial"/>
          <w:sz w:val="22"/>
          <w:szCs w:val="22"/>
        </w:rPr>
        <w:t>Ms L McLay</w:t>
      </w:r>
      <w:r>
        <w:rPr>
          <w:rFonts w:ascii="Arial" w:hAnsi="Arial"/>
          <w:sz w:val="22"/>
          <w:szCs w:val="22"/>
        </w:rPr>
        <w:tab/>
        <w:t>Chief Executive</w:t>
      </w:r>
    </w:p>
    <w:p w:rsidR="0005764E" w:rsidRDefault="0005764E" w:rsidP="0005764E">
      <w:pPr>
        <w:tabs>
          <w:tab w:val="left" w:pos="2880"/>
        </w:tabs>
        <w:jc w:val="both"/>
        <w:rPr>
          <w:rFonts w:ascii="Arial" w:hAnsi="Arial"/>
          <w:sz w:val="22"/>
          <w:szCs w:val="22"/>
        </w:rPr>
      </w:pPr>
      <w:r>
        <w:rPr>
          <w:rFonts w:ascii="Arial" w:hAnsi="Arial"/>
          <w:sz w:val="22"/>
          <w:szCs w:val="22"/>
        </w:rPr>
        <w:t>Councillor G Middleton</w:t>
      </w:r>
      <w:r>
        <w:rPr>
          <w:rFonts w:ascii="Arial" w:hAnsi="Arial"/>
          <w:sz w:val="22"/>
          <w:szCs w:val="22"/>
        </w:rPr>
        <w:tab/>
        <w:t>Non Executive Member, NHS Tayside</w:t>
      </w:r>
    </w:p>
    <w:p w:rsidR="0005764E" w:rsidRDefault="0005764E" w:rsidP="0005764E">
      <w:pPr>
        <w:tabs>
          <w:tab w:val="left" w:pos="2880"/>
        </w:tabs>
        <w:jc w:val="both"/>
        <w:rPr>
          <w:rFonts w:ascii="Arial" w:hAnsi="Arial"/>
          <w:sz w:val="22"/>
          <w:szCs w:val="22"/>
        </w:rPr>
      </w:pPr>
      <w:r>
        <w:rPr>
          <w:rFonts w:ascii="Arial" w:hAnsi="Arial"/>
          <w:sz w:val="22"/>
          <w:szCs w:val="22"/>
        </w:rPr>
        <w:t>Mrs A Rogers</w:t>
      </w:r>
      <w:r>
        <w:rPr>
          <w:rFonts w:ascii="Arial" w:hAnsi="Arial"/>
          <w:sz w:val="22"/>
          <w:szCs w:val="22"/>
        </w:rPr>
        <w:tab/>
        <w:t>Non Executive Member, NHS Tayside</w:t>
      </w:r>
    </w:p>
    <w:p w:rsidR="0005764E" w:rsidRDefault="0005764E" w:rsidP="0005764E">
      <w:pPr>
        <w:tabs>
          <w:tab w:val="left" w:pos="2880"/>
        </w:tabs>
        <w:jc w:val="both"/>
        <w:rPr>
          <w:rFonts w:ascii="Arial" w:hAnsi="Arial"/>
          <w:sz w:val="22"/>
          <w:szCs w:val="22"/>
        </w:rPr>
      </w:pPr>
      <w:r>
        <w:rPr>
          <w:rFonts w:ascii="Arial" w:hAnsi="Arial"/>
          <w:sz w:val="22"/>
          <w:szCs w:val="22"/>
        </w:rPr>
        <w:t>Dr A Russell</w:t>
      </w:r>
      <w:r>
        <w:rPr>
          <w:rFonts w:ascii="Arial" w:hAnsi="Arial"/>
          <w:sz w:val="22"/>
          <w:szCs w:val="22"/>
        </w:rPr>
        <w:tab/>
        <w:t>Medical Director, NHS Tayside</w:t>
      </w:r>
    </w:p>
    <w:p w:rsidR="0005764E" w:rsidRPr="003A0640" w:rsidRDefault="0005764E" w:rsidP="0005764E">
      <w:pPr>
        <w:tabs>
          <w:tab w:val="left" w:pos="2880"/>
        </w:tabs>
        <w:jc w:val="both"/>
        <w:rPr>
          <w:rFonts w:ascii="Arial" w:hAnsi="Arial"/>
          <w:sz w:val="22"/>
          <w:szCs w:val="22"/>
        </w:rPr>
      </w:pPr>
      <w:r w:rsidRPr="003A0640">
        <w:rPr>
          <w:rFonts w:ascii="Arial" w:hAnsi="Arial"/>
          <w:sz w:val="22"/>
          <w:szCs w:val="22"/>
        </w:rPr>
        <w:t>Mrs S Tunstall-James</w:t>
      </w:r>
      <w:r w:rsidRPr="003A0640">
        <w:rPr>
          <w:rFonts w:ascii="Arial" w:hAnsi="Arial"/>
          <w:sz w:val="22"/>
          <w:szCs w:val="22"/>
        </w:rPr>
        <w:tab/>
        <w:t>Non Executive Member, NHS Tayside</w:t>
      </w:r>
    </w:p>
    <w:p w:rsidR="0005764E" w:rsidRDefault="0005764E" w:rsidP="0005764E">
      <w:pPr>
        <w:tabs>
          <w:tab w:val="left" w:pos="2880"/>
        </w:tabs>
        <w:jc w:val="both"/>
        <w:rPr>
          <w:rFonts w:ascii="Arial" w:hAnsi="Arial"/>
          <w:sz w:val="22"/>
          <w:szCs w:val="22"/>
        </w:rPr>
      </w:pPr>
      <w:r>
        <w:rPr>
          <w:rFonts w:ascii="Arial" w:hAnsi="Arial"/>
          <w:sz w:val="22"/>
          <w:szCs w:val="22"/>
        </w:rPr>
        <w:t>Mr S Watson</w:t>
      </w:r>
      <w:r>
        <w:rPr>
          <w:rFonts w:ascii="Arial" w:hAnsi="Arial"/>
          <w:sz w:val="22"/>
          <w:szCs w:val="22"/>
        </w:rPr>
        <w:tab/>
        <w:t>Chairman, NHS Tayside</w:t>
      </w:r>
    </w:p>
    <w:p w:rsidR="0005764E" w:rsidRPr="00ED3166" w:rsidRDefault="0005764E" w:rsidP="0005764E">
      <w:pPr>
        <w:tabs>
          <w:tab w:val="left" w:pos="2880"/>
        </w:tabs>
        <w:jc w:val="both"/>
        <w:rPr>
          <w:rFonts w:ascii="Arial" w:hAnsi="Arial"/>
          <w:sz w:val="22"/>
          <w:szCs w:val="22"/>
        </w:rPr>
      </w:pPr>
    </w:p>
    <w:p w:rsidR="0005764E" w:rsidRDefault="0005764E" w:rsidP="0005764E">
      <w:pPr>
        <w:pStyle w:val="Heading2"/>
        <w:tabs>
          <w:tab w:val="left" w:pos="2880"/>
        </w:tabs>
        <w:rPr>
          <w:rFonts w:ascii="Arial" w:hAnsi="Arial" w:cs="Arial"/>
        </w:rPr>
      </w:pPr>
      <w:r>
        <w:rPr>
          <w:rFonts w:ascii="Arial" w:hAnsi="Arial" w:cs="Arial"/>
        </w:rPr>
        <w:t>Apologies:-</w:t>
      </w:r>
    </w:p>
    <w:p w:rsidR="0005764E" w:rsidRDefault="0005764E" w:rsidP="0005764E">
      <w:pPr>
        <w:tabs>
          <w:tab w:val="left" w:pos="2880"/>
        </w:tabs>
        <w:jc w:val="both"/>
        <w:rPr>
          <w:rFonts w:ascii="Arial" w:hAnsi="Arial"/>
          <w:sz w:val="22"/>
          <w:szCs w:val="22"/>
        </w:rPr>
      </w:pPr>
      <w:r>
        <w:rPr>
          <w:rFonts w:ascii="Arial" w:hAnsi="Arial"/>
          <w:sz w:val="22"/>
          <w:szCs w:val="22"/>
        </w:rPr>
        <w:t>Cllr D Doogan</w:t>
      </w:r>
      <w:r>
        <w:rPr>
          <w:rFonts w:ascii="Arial" w:hAnsi="Arial"/>
          <w:sz w:val="22"/>
          <w:szCs w:val="22"/>
        </w:rPr>
        <w:tab/>
        <w:t>Non Executive Member, NHS Tayside</w:t>
      </w:r>
    </w:p>
    <w:p w:rsidR="0005764E" w:rsidRDefault="0005764E" w:rsidP="0005764E">
      <w:pPr>
        <w:tabs>
          <w:tab w:val="left" w:pos="2880"/>
        </w:tabs>
        <w:jc w:val="both"/>
        <w:rPr>
          <w:rFonts w:ascii="Arial" w:hAnsi="Arial"/>
          <w:sz w:val="22"/>
          <w:szCs w:val="22"/>
        </w:rPr>
      </w:pPr>
      <w:r>
        <w:rPr>
          <w:rFonts w:ascii="Arial" w:hAnsi="Arial"/>
          <w:sz w:val="22"/>
          <w:szCs w:val="22"/>
        </w:rPr>
        <w:t>Mr S Hay</w:t>
      </w:r>
      <w:r w:rsidRPr="00820118">
        <w:rPr>
          <w:rFonts w:ascii="Arial" w:hAnsi="Arial"/>
          <w:sz w:val="22"/>
          <w:szCs w:val="22"/>
        </w:rPr>
        <w:tab/>
        <w:t>Non Executive Member, NHS Tayside</w:t>
      </w:r>
    </w:p>
    <w:p w:rsidR="0005764E" w:rsidRDefault="0005764E" w:rsidP="0005764E">
      <w:pPr>
        <w:tabs>
          <w:tab w:val="left" w:pos="2880"/>
        </w:tabs>
        <w:jc w:val="both"/>
        <w:rPr>
          <w:rFonts w:ascii="Arial" w:hAnsi="Arial"/>
          <w:sz w:val="22"/>
          <w:szCs w:val="22"/>
        </w:rPr>
      </w:pPr>
      <w:r>
        <w:rPr>
          <w:rFonts w:ascii="Arial" w:hAnsi="Arial"/>
          <w:sz w:val="22"/>
          <w:szCs w:val="22"/>
        </w:rPr>
        <w:t>Mr M Hussain</w:t>
      </w:r>
      <w:r>
        <w:rPr>
          <w:rFonts w:ascii="Arial" w:hAnsi="Arial"/>
          <w:sz w:val="22"/>
          <w:szCs w:val="22"/>
        </w:rPr>
        <w:tab/>
        <w:t>Non Executive Member, NHS Tayside</w:t>
      </w:r>
    </w:p>
    <w:p w:rsidR="0005764E" w:rsidRPr="00820118" w:rsidRDefault="0005764E" w:rsidP="0005764E">
      <w:pPr>
        <w:tabs>
          <w:tab w:val="left" w:pos="2880"/>
        </w:tabs>
        <w:jc w:val="both"/>
        <w:rPr>
          <w:rFonts w:ascii="Arial" w:hAnsi="Arial"/>
          <w:sz w:val="22"/>
          <w:szCs w:val="22"/>
        </w:rPr>
      </w:pPr>
      <w:r>
        <w:rPr>
          <w:rFonts w:ascii="Arial" w:hAnsi="Arial"/>
          <w:sz w:val="22"/>
          <w:szCs w:val="22"/>
        </w:rPr>
        <w:t>Mr H Robertson</w:t>
      </w:r>
      <w:r>
        <w:rPr>
          <w:rFonts w:ascii="Arial" w:hAnsi="Arial"/>
          <w:sz w:val="22"/>
          <w:szCs w:val="22"/>
        </w:rPr>
        <w:tab/>
        <w:t>Non Executive Member, NHS Tayside</w:t>
      </w:r>
    </w:p>
    <w:p w:rsidR="0005764E" w:rsidRPr="008D239B" w:rsidRDefault="0005764E" w:rsidP="0005764E">
      <w:pPr>
        <w:tabs>
          <w:tab w:val="left" w:pos="2880"/>
        </w:tabs>
        <w:jc w:val="both"/>
        <w:rPr>
          <w:rFonts w:ascii="Arial" w:hAnsi="Arial"/>
          <w:sz w:val="22"/>
          <w:szCs w:val="22"/>
        </w:rPr>
      </w:pPr>
      <w:r w:rsidRPr="008D239B">
        <w:rPr>
          <w:rFonts w:ascii="Arial" w:hAnsi="Arial"/>
          <w:sz w:val="22"/>
          <w:szCs w:val="22"/>
        </w:rPr>
        <w:t>Dr D Walker</w:t>
      </w:r>
      <w:r w:rsidRPr="008D239B">
        <w:rPr>
          <w:rFonts w:ascii="Arial" w:hAnsi="Arial"/>
          <w:sz w:val="22"/>
          <w:szCs w:val="22"/>
        </w:rPr>
        <w:tab/>
        <w:t>Director of Public Health, NHS Tayside</w:t>
      </w:r>
    </w:p>
    <w:p w:rsidR="0005764E" w:rsidRPr="00ED3166" w:rsidRDefault="0005764E" w:rsidP="0005764E">
      <w:pPr>
        <w:tabs>
          <w:tab w:val="left" w:pos="2880"/>
        </w:tabs>
        <w:jc w:val="both"/>
        <w:rPr>
          <w:rFonts w:ascii="Arial" w:hAnsi="Arial"/>
          <w:sz w:val="22"/>
          <w:szCs w:val="22"/>
        </w:rPr>
      </w:pPr>
    </w:p>
    <w:p w:rsidR="0005764E" w:rsidRDefault="0005764E" w:rsidP="0005764E">
      <w:pPr>
        <w:pStyle w:val="Heading2"/>
        <w:tabs>
          <w:tab w:val="left" w:pos="2880"/>
        </w:tabs>
        <w:rPr>
          <w:rFonts w:ascii="Arial" w:hAnsi="Arial" w:cs="Arial"/>
        </w:rPr>
      </w:pPr>
      <w:r>
        <w:rPr>
          <w:rFonts w:ascii="Arial" w:hAnsi="Arial" w:cs="Arial"/>
        </w:rPr>
        <w:t>In Attendance:-</w:t>
      </w:r>
    </w:p>
    <w:p w:rsidR="0005764E" w:rsidRDefault="0005764E" w:rsidP="0005764E">
      <w:pPr>
        <w:tabs>
          <w:tab w:val="left" w:pos="2880"/>
        </w:tabs>
        <w:jc w:val="both"/>
        <w:rPr>
          <w:rFonts w:ascii="Arial" w:hAnsi="Arial"/>
          <w:sz w:val="22"/>
          <w:szCs w:val="22"/>
        </w:rPr>
      </w:pPr>
      <w:r>
        <w:rPr>
          <w:rFonts w:ascii="Arial" w:hAnsi="Arial"/>
          <w:sz w:val="22"/>
          <w:szCs w:val="22"/>
        </w:rPr>
        <w:t>Mr D Carson</w:t>
      </w:r>
      <w:r>
        <w:rPr>
          <w:rFonts w:ascii="Arial" w:hAnsi="Arial"/>
          <w:sz w:val="22"/>
          <w:szCs w:val="22"/>
        </w:rPr>
        <w:tab/>
        <w:t>Assistant Director of Finance – Governance &amp; Corporate Finance</w:t>
      </w:r>
    </w:p>
    <w:p w:rsidR="0005764E" w:rsidRDefault="0005764E" w:rsidP="0005764E">
      <w:pPr>
        <w:tabs>
          <w:tab w:val="left" w:pos="2880"/>
        </w:tabs>
        <w:jc w:val="both"/>
        <w:rPr>
          <w:rFonts w:ascii="Arial" w:hAnsi="Arial"/>
          <w:sz w:val="22"/>
          <w:szCs w:val="22"/>
        </w:rPr>
      </w:pPr>
      <w:r>
        <w:rPr>
          <w:rFonts w:ascii="Arial" w:hAnsi="Arial"/>
          <w:sz w:val="22"/>
          <w:szCs w:val="22"/>
        </w:rPr>
        <w:t>Mrs J Duncan</w:t>
      </w:r>
      <w:r>
        <w:rPr>
          <w:rFonts w:ascii="Arial" w:hAnsi="Arial"/>
          <w:sz w:val="22"/>
          <w:szCs w:val="22"/>
        </w:rPr>
        <w:tab/>
        <w:t>Communications Manager, NHS Tayside</w:t>
      </w:r>
    </w:p>
    <w:p w:rsidR="0005764E" w:rsidRDefault="0005764E" w:rsidP="0005764E">
      <w:pPr>
        <w:tabs>
          <w:tab w:val="left" w:pos="2880"/>
        </w:tabs>
        <w:jc w:val="both"/>
        <w:rPr>
          <w:rFonts w:ascii="Arial" w:hAnsi="Arial"/>
          <w:sz w:val="22"/>
          <w:szCs w:val="22"/>
        </w:rPr>
      </w:pPr>
      <w:r>
        <w:rPr>
          <w:rFonts w:ascii="Arial" w:hAnsi="Arial"/>
          <w:sz w:val="22"/>
          <w:szCs w:val="22"/>
        </w:rPr>
        <w:t>Ms M Dunning</w:t>
      </w:r>
      <w:r>
        <w:rPr>
          <w:rFonts w:ascii="Arial" w:hAnsi="Arial"/>
          <w:sz w:val="22"/>
          <w:szCs w:val="22"/>
        </w:rPr>
        <w:tab/>
        <w:t>Board Secretary, NHS Tayside</w:t>
      </w:r>
    </w:p>
    <w:p w:rsidR="0005764E" w:rsidRDefault="0005764E" w:rsidP="0005764E">
      <w:pPr>
        <w:tabs>
          <w:tab w:val="left" w:pos="2880"/>
        </w:tabs>
        <w:jc w:val="both"/>
        <w:rPr>
          <w:rFonts w:ascii="Arial" w:hAnsi="Arial"/>
          <w:sz w:val="22"/>
          <w:szCs w:val="22"/>
        </w:rPr>
      </w:pPr>
      <w:r>
        <w:rPr>
          <w:rFonts w:ascii="Arial" w:hAnsi="Arial"/>
          <w:sz w:val="22"/>
          <w:szCs w:val="22"/>
        </w:rPr>
        <w:t>Miss A Stibbles</w:t>
      </w:r>
      <w:r>
        <w:rPr>
          <w:rFonts w:ascii="Arial" w:hAnsi="Arial"/>
          <w:sz w:val="22"/>
          <w:szCs w:val="22"/>
        </w:rPr>
        <w:tab/>
        <w:t>PA to Associate Director of Finance</w:t>
      </w:r>
    </w:p>
    <w:p w:rsidR="0005764E" w:rsidRDefault="0005764E" w:rsidP="0005764E">
      <w:pPr>
        <w:tabs>
          <w:tab w:val="left" w:pos="2880"/>
        </w:tabs>
        <w:jc w:val="both"/>
        <w:rPr>
          <w:rFonts w:ascii="Arial" w:hAnsi="Arial"/>
          <w:sz w:val="22"/>
          <w:szCs w:val="22"/>
        </w:rPr>
      </w:pPr>
      <w:r>
        <w:rPr>
          <w:rFonts w:ascii="Arial" w:hAnsi="Arial"/>
          <w:sz w:val="22"/>
          <w:szCs w:val="22"/>
        </w:rPr>
        <w:t>Mr G Wilson</w:t>
      </w:r>
      <w:r>
        <w:rPr>
          <w:rFonts w:ascii="Arial" w:hAnsi="Arial"/>
          <w:sz w:val="22"/>
          <w:szCs w:val="22"/>
        </w:rPr>
        <w:tab/>
        <w:t>Finance Manager, NHS Tayside</w:t>
      </w:r>
    </w:p>
    <w:p w:rsidR="0005764E" w:rsidRDefault="0005764E" w:rsidP="0005764E">
      <w:pPr>
        <w:jc w:val="both"/>
        <w:rPr>
          <w:rFonts w:ascii="Arial" w:hAnsi="Arial"/>
          <w:sz w:val="22"/>
          <w:szCs w:val="22"/>
        </w:rPr>
      </w:pPr>
    </w:p>
    <w:p w:rsidR="0005764E" w:rsidRPr="0005764E" w:rsidRDefault="0005764E" w:rsidP="0005764E">
      <w:pPr>
        <w:jc w:val="both"/>
        <w:rPr>
          <w:rFonts w:ascii="Arial" w:hAnsi="Arial"/>
          <w:b/>
          <w:sz w:val="22"/>
          <w:szCs w:val="22"/>
        </w:rPr>
      </w:pPr>
      <w:r>
        <w:rPr>
          <w:rFonts w:ascii="Arial" w:hAnsi="Arial"/>
          <w:b/>
          <w:sz w:val="22"/>
          <w:szCs w:val="22"/>
        </w:rPr>
        <w:t>Mr S Watson</w:t>
      </w:r>
      <w:r w:rsidRPr="00530A9C">
        <w:rPr>
          <w:rFonts w:ascii="Arial" w:hAnsi="Arial"/>
          <w:b/>
          <w:sz w:val="22"/>
          <w:szCs w:val="22"/>
        </w:rPr>
        <w:t xml:space="preserve"> in the Chair</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8640"/>
        <w:gridCol w:w="1152"/>
      </w:tblGrid>
      <w:tr w:rsidR="0005764E" w:rsidRPr="008F33CD" w:rsidTr="0005764E">
        <w:tc>
          <w:tcPr>
            <w:tcW w:w="576" w:type="dxa"/>
            <w:tcBorders>
              <w:top w:val="nil"/>
              <w:left w:val="nil"/>
              <w:bottom w:val="nil"/>
              <w:right w:val="nil"/>
            </w:tcBorders>
          </w:tcPr>
          <w:p w:rsidR="0005764E" w:rsidRPr="008F33CD" w:rsidRDefault="0005764E" w:rsidP="0005764E">
            <w:pPr>
              <w:jc w:val="both"/>
              <w:rPr>
                <w:rFonts w:ascii="Arial" w:hAnsi="Arial"/>
                <w:b/>
                <w:sz w:val="22"/>
                <w:szCs w:val="22"/>
              </w:rPr>
            </w:pPr>
          </w:p>
        </w:tc>
        <w:tc>
          <w:tcPr>
            <w:tcW w:w="8640" w:type="dxa"/>
            <w:tcBorders>
              <w:top w:val="nil"/>
              <w:left w:val="nil"/>
              <w:bottom w:val="nil"/>
              <w:right w:val="single" w:sz="4" w:space="0" w:color="auto"/>
            </w:tcBorders>
          </w:tcPr>
          <w:p w:rsidR="0005764E" w:rsidRPr="009F5854" w:rsidRDefault="0005764E" w:rsidP="0005764E">
            <w:pPr>
              <w:jc w:val="both"/>
              <w:rPr>
                <w:rFonts w:ascii="Arial" w:hAnsi="Arial"/>
                <w:sz w:val="22"/>
                <w:szCs w:val="22"/>
              </w:rPr>
            </w:pPr>
          </w:p>
        </w:tc>
        <w:tc>
          <w:tcPr>
            <w:tcW w:w="1152" w:type="dxa"/>
            <w:tcBorders>
              <w:top w:val="nil"/>
              <w:left w:val="single" w:sz="4" w:space="0" w:color="auto"/>
              <w:bottom w:val="nil"/>
              <w:right w:val="nil"/>
            </w:tcBorders>
          </w:tcPr>
          <w:p w:rsidR="0005764E" w:rsidRPr="008F33CD" w:rsidRDefault="0005764E" w:rsidP="0005764E">
            <w:pPr>
              <w:jc w:val="right"/>
              <w:rPr>
                <w:rFonts w:ascii="Arial" w:hAnsi="Arial"/>
                <w:b/>
                <w:sz w:val="22"/>
                <w:szCs w:val="22"/>
              </w:rPr>
            </w:pPr>
            <w:r w:rsidRPr="008F33CD">
              <w:rPr>
                <w:rFonts w:ascii="Arial" w:hAnsi="Arial"/>
                <w:b/>
                <w:sz w:val="22"/>
                <w:szCs w:val="22"/>
              </w:rPr>
              <w:t>Action</w:t>
            </w:r>
          </w:p>
        </w:tc>
      </w:tr>
      <w:tr w:rsidR="0005764E" w:rsidRPr="008F33CD" w:rsidTr="0005764E">
        <w:tc>
          <w:tcPr>
            <w:tcW w:w="576" w:type="dxa"/>
            <w:tcBorders>
              <w:top w:val="nil"/>
              <w:left w:val="nil"/>
              <w:bottom w:val="nil"/>
              <w:right w:val="nil"/>
            </w:tcBorders>
          </w:tcPr>
          <w:p w:rsidR="0005764E" w:rsidRPr="008F33CD" w:rsidRDefault="0005764E" w:rsidP="0005764E">
            <w:pPr>
              <w:jc w:val="both"/>
              <w:rPr>
                <w:rFonts w:ascii="Arial" w:hAnsi="Arial"/>
                <w:b/>
                <w:sz w:val="22"/>
                <w:szCs w:val="22"/>
              </w:rPr>
            </w:pPr>
            <w:r>
              <w:rPr>
                <w:rFonts w:ascii="Arial" w:hAnsi="Arial"/>
                <w:b/>
                <w:sz w:val="22"/>
                <w:szCs w:val="22"/>
              </w:rPr>
              <w:t>1.</w:t>
            </w:r>
          </w:p>
        </w:tc>
        <w:tc>
          <w:tcPr>
            <w:tcW w:w="8640" w:type="dxa"/>
            <w:tcBorders>
              <w:top w:val="nil"/>
              <w:left w:val="nil"/>
              <w:bottom w:val="nil"/>
              <w:right w:val="single" w:sz="4" w:space="0" w:color="auto"/>
            </w:tcBorders>
          </w:tcPr>
          <w:p w:rsidR="0005764E" w:rsidRPr="009F5854" w:rsidRDefault="0005764E" w:rsidP="0005764E">
            <w:pPr>
              <w:pStyle w:val="Heading2"/>
              <w:rPr>
                <w:rFonts w:ascii="Arial" w:hAnsi="Arial" w:cs="Arial"/>
                <w:bCs/>
              </w:rPr>
            </w:pPr>
            <w:r w:rsidRPr="009F5854">
              <w:rPr>
                <w:rFonts w:ascii="Arial" w:hAnsi="Arial" w:cs="Arial"/>
              </w:rPr>
              <w:t>APOLOGIES</w:t>
            </w:r>
          </w:p>
          <w:p w:rsidR="0005764E" w:rsidRPr="009F5854" w:rsidRDefault="0005764E" w:rsidP="0005764E">
            <w:pPr>
              <w:jc w:val="both"/>
              <w:rPr>
                <w:rFonts w:ascii="Arial" w:hAnsi="Arial"/>
                <w:sz w:val="22"/>
                <w:szCs w:val="22"/>
              </w:rPr>
            </w:pPr>
          </w:p>
          <w:p w:rsidR="0005764E" w:rsidRPr="009F5854" w:rsidRDefault="0005764E" w:rsidP="0005764E">
            <w:pPr>
              <w:jc w:val="both"/>
              <w:rPr>
                <w:rFonts w:ascii="Arial" w:hAnsi="Arial"/>
                <w:b/>
                <w:sz w:val="22"/>
                <w:szCs w:val="22"/>
              </w:rPr>
            </w:pPr>
            <w:r w:rsidRPr="009F5854">
              <w:rPr>
                <w:rFonts w:ascii="Arial" w:hAnsi="Arial"/>
                <w:sz w:val="22"/>
                <w:szCs w:val="22"/>
              </w:rPr>
              <w:t>Apologies were noted as above.</w:t>
            </w:r>
          </w:p>
        </w:tc>
        <w:tc>
          <w:tcPr>
            <w:tcW w:w="1152" w:type="dxa"/>
            <w:tcBorders>
              <w:top w:val="nil"/>
              <w:left w:val="single" w:sz="4" w:space="0" w:color="auto"/>
              <w:bottom w:val="nil"/>
              <w:right w:val="nil"/>
            </w:tcBorders>
          </w:tcPr>
          <w:p w:rsidR="0005764E" w:rsidRPr="008F33CD" w:rsidRDefault="0005764E" w:rsidP="0005764E">
            <w:pPr>
              <w:jc w:val="right"/>
              <w:rPr>
                <w:rFonts w:ascii="Arial" w:hAnsi="Arial"/>
                <w:b/>
                <w:sz w:val="22"/>
                <w:szCs w:val="22"/>
              </w:rPr>
            </w:pPr>
          </w:p>
        </w:tc>
      </w:tr>
      <w:tr w:rsidR="0005764E" w:rsidRPr="008F33CD" w:rsidTr="0005764E">
        <w:tc>
          <w:tcPr>
            <w:tcW w:w="576" w:type="dxa"/>
            <w:tcBorders>
              <w:top w:val="nil"/>
              <w:left w:val="nil"/>
              <w:bottom w:val="nil"/>
              <w:right w:val="nil"/>
            </w:tcBorders>
          </w:tcPr>
          <w:p w:rsidR="0005764E" w:rsidRPr="008F33CD" w:rsidRDefault="0005764E" w:rsidP="0005764E">
            <w:pPr>
              <w:jc w:val="both"/>
              <w:rPr>
                <w:rFonts w:ascii="Arial" w:hAnsi="Arial"/>
                <w:b/>
                <w:sz w:val="22"/>
                <w:szCs w:val="22"/>
              </w:rPr>
            </w:pPr>
            <w:r>
              <w:rPr>
                <w:rFonts w:ascii="Arial" w:hAnsi="Arial"/>
                <w:b/>
                <w:sz w:val="22"/>
                <w:szCs w:val="22"/>
              </w:rPr>
              <w:t>2.</w:t>
            </w:r>
            <w:r w:rsidRPr="008F33CD">
              <w:rPr>
                <w:rFonts w:ascii="Arial" w:hAnsi="Arial"/>
                <w:b/>
                <w:sz w:val="22"/>
                <w:szCs w:val="22"/>
              </w:rPr>
              <w:t>.</w:t>
            </w:r>
          </w:p>
        </w:tc>
        <w:tc>
          <w:tcPr>
            <w:tcW w:w="8640" w:type="dxa"/>
            <w:tcBorders>
              <w:top w:val="nil"/>
              <w:left w:val="nil"/>
              <w:bottom w:val="nil"/>
              <w:right w:val="single" w:sz="4" w:space="0" w:color="auto"/>
            </w:tcBorders>
          </w:tcPr>
          <w:p w:rsidR="0005764E" w:rsidRPr="009F5854" w:rsidRDefault="0005764E" w:rsidP="0005764E">
            <w:pPr>
              <w:pStyle w:val="Heading2"/>
              <w:tabs>
                <w:tab w:val="left" w:pos="504"/>
              </w:tabs>
              <w:rPr>
                <w:rFonts w:ascii="Arial" w:hAnsi="Arial" w:cs="Arial"/>
                <w:bCs/>
              </w:rPr>
            </w:pPr>
            <w:r w:rsidRPr="009F5854">
              <w:rPr>
                <w:rFonts w:ascii="Arial" w:hAnsi="Arial" w:cs="Arial"/>
              </w:rPr>
              <w:t>DECLARATION OF INTERESTS</w:t>
            </w:r>
          </w:p>
          <w:p w:rsidR="0005764E" w:rsidRPr="009F5854" w:rsidRDefault="0005764E" w:rsidP="0005764E">
            <w:pPr>
              <w:jc w:val="both"/>
              <w:rPr>
                <w:rFonts w:ascii="Arial" w:hAnsi="Arial"/>
                <w:sz w:val="22"/>
                <w:szCs w:val="22"/>
              </w:rPr>
            </w:pPr>
          </w:p>
          <w:p w:rsidR="0005764E" w:rsidRPr="009F5854" w:rsidRDefault="0005764E" w:rsidP="0005764E">
            <w:pPr>
              <w:jc w:val="both"/>
              <w:rPr>
                <w:rFonts w:ascii="Arial" w:hAnsi="Arial"/>
                <w:sz w:val="22"/>
                <w:szCs w:val="22"/>
              </w:rPr>
            </w:pPr>
            <w:r w:rsidRPr="009F5854">
              <w:rPr>
                <w:rFonts w:ascii="Arial" w:hAnsi="Arial"/>
                <w:sz w:val="22"/>
                <w:szCs w:val="22"/>
              </w:rPr>
              <w:t>There were no declarations of interest.</w:t>
            </w:r>
          </w:p>
        </w:tc>
        <w:tc>
          <w:tcPr>
            <w:tcW w:w="1152" w:type="dxa"/>
            <w:tcBorders>
              <w:top w:val="nil"/>
              <w:left w:val="single" w:sz="4" w:space="0" w:color="auto"/>
              <w:bottom w:val="nil"/>
              <w:right w:val="nil"/>
            </w:tcBorders>
          </w:tcPr>
          <w:p w:rsidR="0005764E" w:rsidRPr="008F33CD" w:rsidRDefault="0005764E" w:rsidP="0005764E">
            <w:pPr>
              <w:jc w:val="both"/>
              <w:rPr>
                <w:rFonts w:ascii="Arial" w:hAnsi="Arial"/>
                <w:b/>
                <w:sz w:val="22"/>
                <w:szCs w:val="22"/>
              </w:rPr>
            </w:pPr>
          </w:p>
        </w:tc>
      </w:tr>
      <w:tr w:rsidR="0005764E" w:rsidRPr="00B13E8A" w:rsidTr="0005764E">
        <w:tc>
          <w:tcPr>
            <w:tcW w:w="576" w:type="dxa"/>
            <w:tcBorders>
              <w:top w:val="nil"/>
              <w:left w:val="nil"/>
              <w:bottom w:val="nil"/>
              <w:right w:val="nil"/>
            </w:tcBorders>
          </w:tcPr>
          <w:p w:rsidR="0005764E" w:rsidRPr="00B13E8A" w:rsidRDefault="0005764E" w:rsidP="0005764E">
            <w:pPr>
              <w:jc w:val="both"/>
              <w:rPr>
                <w:rFonts w:ascii="Arial" w:hAnsi="Arial"/>
                <w:b/>
                <w:sz w:val="22"/>
                <w:szCs w:val="22"/>
              </w:rPr>
            </w:pPr>
            <w:r w:rsidRPr="00B13E8A">
              <w:rPr>
                <w:rFonts w:ascii="Arial" w:hAnsi="Arial"/>
                <w:b/>
                <w:sz w:val="22"/>
                <w:szCs w:val="22"/>
              </w:rPr>
              <w:t>3..</w:t>
            </w:r>
          </w:p>
        </w:tc>
        <w:tc>
          <w:tcPr>
            <w:tcW w:w="8640" w:type="dxa"/>
            <w:tcBorders>
              <w:top w:val="nil"/>
              <w:left w:val="nil"/>
              <w:bottom w:val="nil"/>
              <w:right w:val="single" w:sz="4" w:space="0" w:color="auto"/>
            </w:tcBorders>
          </w:tcPr>
          <w:p w:rsidR="0005764E" w:rsidRPr="009F5854" w:rsidRDefault="0005764E" w:rsidP="0005764E">
            <w:pPr>
              <w:pStyle w:val="Heading2"/>
              <w:tabs>
                <w:tab w:val="left" w:pos="504"/>
              </w:tabs>
              <w:rPr>
                <w:rFonts w:ascii="Arial" w:hAnsi="Arial" w:cs="Arial"/>
                <w:b/>
                <w:bCs/>
              </w:rPr>
            </w:pPr>
            <w:r w:rsidRPr="009F5854">
              <w:rPr>
                <w:rFonts w:ascii="Arial" w:hAnsi="Arial" w:cs="Arial"/>
              </w:rPr>
              <w:t>PROPOSED VARIATION TO TAYSIDE NHS BOARD ENDOWMENT FUND POLICY &amp; PROCEDURES</w:t>
            </w:r>
          </w:p>
          <w:p w:rsidR="0005764E" w:rsidRPr="009F5854" w:rsidRDefault="0005764E" w:rsidP="0005764E">
            <w:pPr>
              <w:jc w:val="both"/>
              <w:rPr>
                <w:rFonts w:ascii="Arial" w:hAnsi="Arial"/>
                <w:sz w:val="22"/>
                <w:szCs w:val="22"/>
              </w:rPr>
            </w:pPr>
          </w:p>
          <w:p w:rsidR="0005764E" w:rsidRPr="009F5854" w:rsidRDefault="0005764E" w:rsidP="0005764E">
            <w:pPr>
              <w:jc w:val="both"/>
              <w:rPr>
                <w:rFonts w:ascii="Arial" w:hAnsi="Arial"/>
                <w:sz w:val="22"/>
                <w:szCs w:val="22"/>
              </w:rPr>
            </w:pPr>
            <w:r w:rsidRPr="009F5854">
              <w:rPr>
                <w:rFonts w:ascii="Arial" w:hAnsi="Arial"/>
                <w:sz w:val="22"/>
                <w:szCs w:val="22"/>
              </w:rPr>
              <w:t xml:space="preserve">Mr McDonald advised Trustees that he had met with the Standing Committee Chairs Thursday morning to brief them on the financial position of Tayside NHS Board.  Following discussion with the relevant Chairs, it was agreed to look at temporarily suspending the retrospective element within the Policy and Procedures, to allow certain applications to come forward for consideration by Endowment Advisory Group (EAG), and/or Board of Trustees.  He confirmed health board procedures and the new national guidelines had been looked at, and there was no conflict which would prevent this happening.  </w:t>
            </w:r>
            <w:r w:rsidRPr="009F5854">
              <w:rPr>
                <w:rFonts w:ascii="Arial" w:hAnsi="Arial"/>
                <w:i/>
                <w:sz w:val="22"/>
                <w:szCs w:val="22"/>
              </w:rPr>
              <w:t>Dr Cowie joined the meeting</w:t>
            </w:r>
            <w:r w:rsidRPr="009F5854">
              <w:rPr>
                <w:rFonts w:ascii="Arial" w:hAnsi="Arial"/>
                <w:sz w:val="22"/>
                <w:szCs w:val="22"/>
              </w:rPr>
              <w:t xml:space="preserve"> Mr McDonald advised Trustees that Mr Carson and the Endowment Team had conducted work around OSCR, Central Legal Office (CLO) and the National guidelines to ensure there were no conflicts.</w:t>
            </w:r>
          </w:p>
          <w:p w:rsidR="0005764E" w:rsidRPr="009F5854" w:rsidRDefault="0005764E" w:rsidP="0005764E">
            <w:pPr>
              <w:jc w:val="both"/>
              <w:rPr>
                <w:rFonts w:ascii="Arial" w:hAnsi="Arial"/>
                <w:sz w:val="22"/>
                <w:szCs w:val="22"/>
              </w:rPr>
            </w:pPr>
            <w:r w:rsidRPr="009F5854">
              <w:rPr>
                <w:rFonts w:ascii="Arial" w:hAnsi="Arial"/>
                <w:sz w:val="22"/>
                <w:szCs w:val="22"/>
              </w:rPr>
              <w:t xml:space="preserve">Mr Carson advised Trustees that the charitable purpose of the Endowment Fund is within the legal framework of the Health Service Act 1978, and the definition is as broad as “for advancement of health”, which means the Endowment Fund can fund anything it can as long as it is for health advancement.  Trustees further noted that the Endowment Fund is not accountable to OSCR, but the guidelines are observed.  The National Guidelines were recently finalised following a review by a National Steering Group chaired by Mr Paul James, Director of Finance in NHS Glasgow.  Trustees noted there are a couple of issues that require to be looked at, mainly tax implications with HMRC, but there is nothing to suggest that we are out of step with the procedures and technical issues contained within the report.  </w:t>
            </w:r>
          </w:p>
          <w:p w:rsidR="0005764E" w:rsidRPr="009F5854" w:rsidRDefault="0005764E" w:rsidP="0005764E">
            <w:pPr>
              <w:jc w:val="both"/>
              <w:rPr>
                <w:rFonts w:ascii="Arial" w:hAnsi="Arial"/>
                <w:sz w:val="22"/>
                <w:szCs w:val="22"/>
              </w:rPr>
            </w:pPr>
            <w:r w:rsidRPr="009F5854">
              <w:rPr>
                <w:rFonts w:ascii="Arial" w:hAnsi="Arial"/>
                <w:sz w:val="22"/>
                <w:szCs w:val="22"/>
              </w:rPr>
              <w:t>Mr Carson advised the grey area is what is core and what is non-core.  Going by the policy, anything covered by exchequer should not be coming out of endowments, but there are various “shades of grey”.  Trustees noted that NHS Tayside is looking to fund items that meet the endowment criteria and which can therefore be appropriately funded from endowments,.  Bids are currently being put together, which will have General Manager support, and a temporary lifting of the retrospective barrier within the Policy and Procedures would allow these bids to be considered.</w:t>
            </w:r>
          </w:p>
          <w:p w:rsidR="0005764E" w:rsidRPr="009F5854" w:rsidRDefault="0005764E" w:rsidP="0005764E">
            <w:pPr>
              <w:jc w:val="both"/>
              <w:rPr>
                <w:rFonts w:ascii="Arial" w:hAnsi="Arial"/>
                <w:sz w:val="22"/>
                <w:szCs w:val="22"/>
              </w:rPr>
            </w:pPr>
            <w:r w:rsidRPr="009F5854">
              <w:rPr>
                <w:rFonts w:ascii="Arial" w:hAnsi="Arial"/>
                <w:sz w:val="22"/>
                <w:szCs w:val="22"/>
              </w:rPr>
              <w:t>The Chairman clarified that by suspending the retrospective element in the Policy and Procedures, this allows NHS Tayside to look at a number of projects that have gone through exchequer in the past year, and pick out the elements of spend that can be met appropriately from endowment funds.  Trustees noted that the Committee Chairs had been briefed on this, and had come away with a recommendation to go down this road.  He stressed this was only in relation to the retrospective element, and was not about changing the Policy and Procedures.</w:t>
            </w:r>
          </w:p>
          <w:p w:rsidR="0005764E" w:rsidRPr="009F5854" w:rsidRDefault="0005764E" w:rsidP="0005764E">
            <w:pPr>
              <w:jc w:val="both"/>
              <w:rPr>
                <w:rFonts w:ascii="Arial" w:hAnsi="Arial"/>
                <w:sz w:val="22"/>
                <w:szCs w:val="22"/>
              </w:rPr>
            </w:pPr>
          </w:p>
          <w:p w:rsidR="0005764E" w:rsidRPr="009F5854" w:rsidRDefault="0005764E" w:rsidP="0005764E">
            <w:pPr>
              <w:jc w:val="both"/>
              <w:rPr>
                <w:rFonts w:ascii="Arial" w:hAnsi="Arial"/>
                <w:sz w:val="22"/>
                <w:szCs w:val="22"/>
              </w:rPr>
            </w:pPr>
            <w:r w:rsidRPr="009F5854">
              <w:rPr>
                <w:rFonts w:ascii="Arial" w:hAnsi="Arial"/>
                <w:sz w:val="22"/>
                <w:szCs w:val="22"/>
              </w:rPr>
              <w:t>Cllr Middleton noted the bids would only relate to the financial year 2013/14, but was keen to learn how long the temporary suspension would last.  She acknowledged it was deemed legal to do this, but felt uncomfortable that it was being considered.</w:t>
            </w:r>
          </w:p>
          <w:p w:rsidR="0005764E" w:rsidRPr="009F5854" w:rsidRDefault="0005764E" w:rsidP="0005764E">
            <w:pPr>
              <w:jc w:val="both"/>
              <w:rPr>
                <w:rFonts w:ascii="Arial" w:hAnsi="Arial"/>
                <w:sz w:val="22"/>
                <w:szCs w:val="22"/>
              </w:rPr>
            </w:pPr>
            <w:r w:rsidRPr="009F5854">
              <w:rPr>
                <w:rFonts w:ascii="Arial" w:hAnsi="Arial"/>
                <w:sz w:val="22"/>
                <w:szCs w:val="22"/>
              </w:rPr>
              <w:t>Trustees noted that Mr McDonald provided assurance as Director of Finance that anything being put forward would be appropriate and relevant for endowment funding.  He added that this temporary suspension being sought would be only for the month of February, and would not go beyond this, but in future bids would be worked up prospectively, should they meet endowment funding criteria, and be submitted for consideration.</w:t>
            </w:r>
          </w:p>
          <w:p w:rsidR="0005764E" w:rsidRPr="009F5854" w:rsidRDefault="0005764E" w:rsidP="0005764E">
            <w:pPr>
              <w:jc w:val="both"/>
              <w:rPr>
                <w:rFonts w:ascii="Arial" w:hAnsi="Arial"/>
                <w:sz w:val="22"/>
                <w:szCs w:val="22"/>
              </w:rPr>
            </w:pPr>
            <w:r w:rsidRPr="009F5854">
              <w:rPr>
                <w:rFonts w:ascii="Arial" w:hAnsi="Arial"/>
                <w:sz w:val="22"/>
                <w:szCs w:val="22"/>
              </w:rPr>
              <w:t>Mrs Dunion advised she was present at the meeting yesterday.  She remarked that the news had been completely unexpected, especially given there had been Board of Trustees and Finance &amp; Resources Committee meetings just last week.  She was still concerned that we may yet still fall foul of OSCR, but noted that we observe the guidelines, but are not constrained.  She referred to an incident in Shetland Council, where it had been deemed that the Trustees had acted in the interest of Shetland Council and not in the interest of their endowment fund.  She further advised that she had spoken with the Chairman and Mr McDonald with regard to her concerns, and wished the assurances received to be explicitly minuted.  Mrs Dunion commented on the potential reputation risk to NHS Tayside, and that if a journalist was to look at this, the potential headline could be NHS Tayside are dipping into endowment funds in order to balance the books, and she felt very robust communications PR work would be required.  Mrs Duncan acknowledged that if this was made public, everything from the past would be dredged up, and advised that there would need to be very robust lines for how decisions were made, referring to guidelines, and ensuring we are covered by OSCR and CLO.  She further advised that in terms of publicity for endowments, communications tended to more reactive than proactive.  Trustees noted there are now dedicated Health Reporters attached to some newspapers, who are looking at F&amp;R papers more closely and are reporting on them.  One possible way forward was to do a “what your donations and legacies have raised over the past 12 months”, which would generate good press coverage.  There was obviously a risk attached to this, but it may be a good way to thank the public at the end of the financial year.</w:t>
            </w:r>
          </w:p>
          <w:p w:rsidR="0005764E" w:rsidRPr="009F5854" w:rsidRDefault="0005764E" w:rsidP="0005764E">
            <w:pPr>
              <w:jc w:val="both"/>
              <w:rPr>
                <w:rFonts w:ascii="Arial" w:hAnsi="Arial"/>
                <w:sz w:val="22"/>
                <w:szCs w:val="22"/>
              </w:rPr>
            </w:pPr>
            <w:r w:rsidRPr="009F5854">
              <w:rPr>
                <w:rFonts w:ascii="Arial" w:hAnsi="Arial"/>
                <w:sz w:val="22"/>
                <w:szCs w:val="22"/>
              </w:rPr>
              <w:t xml:space="preserve">Trustees noted that any retrospective bids would be scrutinised in the usual way that all bids are when presented to EAG, and it may well be that not all are approved or recommended for approval.  Further noted that in this instance, the F&amp;R template would be used for these papers.  </w:t>
            </w:r>
          </w:p>
          <w:p w:rsidR="0005764E" w:rsidRPr="009F5854" w:rsidRDefault="0005764E" w:rsidP="0005764E">
            <w:pPr>
              <w:jc w:val="both"/>
              <w:rPr>
                <w:rFonts w:ascii="Arial" w:hAnsi="Arial"/>
                <w:sz w:val="22"/>
                <w:szCs w:val="22"/>
              </w:rPr>
            </w:pPr>
            <w:r w:rsidRPr="009F5854">
              <w:rPr>
                <w:rFonts w:ascii="Arial" w:hAnsi="Arial"/>
                <w:sz w:val="22"/>
                <w:szCs w:val="22"/>
              </w:rPr>
              <w:t>Cllr Middleton advised she felt Trustees could be as proactive as possible, but it still did not get away from the fact that funding had initially been provided from exchequer, and it was now coming from endowments.  She felt it better to say nothing, but have the lines ready if the situation arose.</w:t>
            </w:r>
          </w:p>
          <w:p w:rsidR="0005764E" w:rsidRPr="009F5854" w:rsidRDefault="0005764E" w:rsidP="0005764E">
            <w:pPr>
              <w:jc w:val="both"/>
              <w:rPr>
                <w:rFonts w:ascii="Arial" w:hAnsi="Arial"/>
                <w:sz w:val="22"/>
                <w:szCs w:val="22"/>
              </w:rPr>
            </w:pPr>
            <w:r w:rsidRPr="009F5854">
              <w:rPr>
                <w:rFonts w:ascii="Arial" w:hAnsi="Arial"/>
                <w:sz w:val="22"/>
                <w:szCs w:val="22"/>
              </w:rPr>
              <w:t>Mr Cross recognised this was just the first stage in a process, and advised he was supportive but that by no means did it mean bids would automatically be approved.  He noted that reliance would be placed on EAG to scrutinise all bids.  Referring to the financial position, he wished to have an understanding of how NHS Tayside has got to this position in the first place, and an assurance that it will not be repeated, and that steps will already be taken to ensure savings are in place for next year.</w:t>
            </w:r>
          </w:p>
          <w:p w:rsidR="0005764E" w:rsidRPr="009F5854" w:rsidRDefault="0005764E" w:rsidP="0005764E">
            <w:pPr>
              <w:jc w:val="both"/>
              <w:rPr>
                <w:rFonts w:ascii="Arial" w:hAnsi="Arial"/>
                <w:sz w:val="22"/>
                <w:szCs w:val="22"/>
              </w:rPr>
            </w:pPr>
            <w:r w:rsidRPr="009F5854">
              <w:rPr>
                <w:rFonts w:ascii="Arial" w:hAnsi="Arial"/>
                <w:sz w:val="22"/>
                <w:szCs w:val="22"/>
              </w:rPr>
              <w:t>Mrs Golden felt Trustees had to ask what the reputational risk would be if we did not suspend the clause, and what was the alternative for the Board.  She noted that this year would be the first year of consolidated accounts, and if she were a member of the public, would be asking why she had to wait so long for “x, y and z” when there is a lot of money sitting there.  Mrs Dunning reminded Trustees that they were meeting as Trustees, and not as Board Members.</w:t>
            </w:r>
          </w:p>
          <w:p w:rsidR="0005764E" w:rsidRPr="009F5854" w:rsidRDefault="0005764E" w:rsidP="0005764E">
            <w:pPr>
              <w:jc w:val="both"/>
              <w:rPr>
                <w:rFonts w:ascii="Arial" w:hAnsi="Arial"/>
                <w:sz w:val="22"/>
                <w:szCs w:val="22"/>
              </w:rPr>
            </w:pPr>
          </w:p>
          <w:p w:rsidR="0005764E" w:rsidRPr="009F5854" w:rsidRDefault="0005764E" w:rsidP="0005764E">
            <w:pPr>
              <w:jc w:val="both"/>
              <w:rPr>
                <w:rFonts w:ascii="Arial" w:hAnsi="Arial"/>
                <w:sz w:val="22"/>
                <w:szCs w:val="22"/>
              </w:rPr>
            </w:pPr>
            <w:r w:rsidRPr="009F5854">
              <w:rPr>
                <w:rFonts w:ascii="Arial" w:hAnsi="Arial"/>
                <w:sz w:val="22"/>
                <w:szCs w:val="22"/>
              </w:rPr>
              <w:t>The Chairman advised that the reality was if the clause was not suspended, the Chief Executive and Director of Finance would have to put together massive cuts package, and the content of that would be damaging.</w:t>
            </w:r>
          </w:p>
          <w:p w:rsidR="0005764E" w:rsidRPr="009F5854" w:rsidRDefault="0005764E" w:rsidP="0005764E">
            <w:pPr>
              <w:jc w:val="both"/>
              <w:rPr>
                <w:rFonts w:ascii="Arial" w:hAnsi="Arial"/>
                <w:sz w:val="22"/>
                <w:szCs w:val="22"/>
              </w:rPr>
            </w:pPr>
            <w:r w:rsidRPr="009F5854">
              <w:rPr>
                <w:rFonts w:ascii="Arial" w:hAnsi="Arial"/>
                <w:sz w:val="22"/>
                <w:szCs w:val="22"/>
              </w:rPr>
              <w:t>Mrs Rogers pointed out that the use of aged funds has often been discussed at EAG, and how funds have not been used as quickly as they should be.  This may be a way of addressing that issue, as donors expect their donations to be used.  She advised that as long as funds were being used as per the criteria, etc. she would be supportive of this.</w:t>
            </w:r>
          </w:p>
          <w:p w:rsidR="0005764E" w:rsidRPr="009F5854" w:rsidRDefault="0005764E" w:rsidP="0005764E">
            <w:pPr>
              <w:jc w:val="both"/>
              <w:rPr>
                <w:rFonts w:ascii="Arial" w:hAnsi="Arial"/>
                <w:sz w:val="22"/>
                <w:szCs w:val="22"/>
              </w:rPr>
            </w:pPr>
          </w:p>
          <w:p w:rsidR="0005764E" w:rsidRPr="0005764E" w:rsidRDefault="0005764E" w:rsidP="0005764E">
            <w:pPr>
              <w:jc w:val="both"/>
              <w:rPr>
                <w:rFonts w:ascii="Arial" w:hAnsi="Arial"/>
                <w:sz w:val="22"/>
                <w:szCs w:val="22"/>
              </w:rPr>
            </w:pPr>
            <w:r w:rsidRPr="0005764E">
              <w:rPr>
                <w:rFonts w:ascii="Arial" w:hAnsi="Arial"/>
                <w:sz w:val="22"/>
                <w:szCs w:val="22"/>
              </w:rPr>
              <w:t>Trustees:-</w:t>
            </w:r>
          </w:p>
          <w:p w:rsidR="0005764E" w:rsidRPr="0005764E" w:rsidRDefault="0005764E" w:rsidP="0005764E">
            <w:pPr>
              <w:jc w:val="both"/>
              <w:rPr>
                <w:rFonts w:ascii="Arial" w:hAnsi="Arial"/>
                <w:sz w:val="22"/>
                <w:szCs w:val="22"/>
              </w:rPr>
            </w:pPr>
          </w:p>
          <w:p w:rsidR="0005764E" w:rsidRPr="0005764E" w:rsidRDefault="0005764E" w:rsidP="0005764E">
            <w:pPr>
              <w:numPr>
                <w:ilvl w:val="0"/>
                <w:numId w:val="40"/>
              </w:numPr>
              <w:tabs>
                <w:tab w:val="left" w:pos="324"/>
              </w:tabs>
              <w:spacing w:after="0" w:line="240" w:lineRule="auto"/>
              <w:ind w:left="324" w:hanging="270"/>
              <w:jc w:val="both"/>
              <w:rPr>
                <w:rFonts w:ascii="Arial" w:hAnsi="Arial"/>
                <w:sz w:val="22"/>
                <w:szCs w:val="22"/>
              </w:rPr>
            </w:pPr>
            <w:r w:rsidRPr="0005764E">
              <w:rPr>
                <w:rFonts w:ascii="Arial" w:hAnsi="Arial"/>
                <w:sz w:val="22"/>
                <w:szCs w:val="22"/>
              </w:rPr>
              <w:t>noted and accepted the current position of Tayside NHS Board, and agreed a temporary variation in the Endowment Fund’s Policy and Procedures to allow retrospective applications to be considered.</w:t>
            </w:r>
          </w:p>
          <w:p w:rsidR="0005764E" w:rsidRPr="0005764E" w:rsidRDefault="0005764E" w:rsidP="0005764E">
            <w:pPr>
              <w:jc w:val="both"/>
              <w:rPr>
                <w:rFonts w:ascii="Arial" w:hAnsi="Arial"/>
                <w:sz w:val="22"/>
                <w:szCs w:val="22"/>
              </w:rPr>
            </w:pPr>
          </w:p>
          <w:p w:rsidR="0005764E" w:rsidRPr="0005764E" w:rsidRDefault="0005764E" w:rsidP="0005764E">
            <w:pPr>
              <w:jc w:val="both"/>
              <w:rPr>
                <w:rFonts w:ascii="Arial" w:hAnsi="Arial"/>
                <w:sz w:val="22"/>
                <w:szCs w:val="22"/>
              </w:rPr>
            </w:pPr>
            <w:r w:rsidRPr="0005764E">
              <w:rPr>
                <w:rFonts w:ascii="Arial" w:hAnsi="Arial"/>
                <w:sz w:val="22"/>
                <w:szCs w:val="22"/>
              </w:rPr>
              <w:t>Trustees further noted:-</w:t>
            </w:r>
          </w:p>
          <w:p w:rsidR="0005764E" w:rsidRPr="0005764E" w:rsidRDefault="0005764E" w:rsidP="0005764E">
            <w:pPr>
              <w:jc w:val="both"/>
              <w:rPr>
                <w:rFonts w:ascii="Arial" w:hAnsi="Arial"/>
                <w:sz w:val="22"/>
                <w:szCs w:val="22"/>
              </w:rPr>
            </w:pPr>
          </w:p>
          <w:p w:rsidR="0005764E" w:rsidRPr="0005764E" w:rsidRDefault="0005764E" w:rsidP="0005764E">
            <w:pPr>
              <w:numPr>
                <w:ilvl w:val="0"/>
                <w:numId w:val="40"/>
              </w:numPr>
              <w:tabs>
                <w:tab w:val="left" w:pos="324"/>
              </w:tabs>
              <w:spacing w:after="0" w:line="240" w:lineRule="auto"/>
              <w:ind w:left="324" w:hanging="270"/>
              <w:jc w:val="both"/>
              <w:rPr>
                <w:rFonts w:ascii="Arial" w:hAnsi="Arial"/>
                <w:sz w:val="22"/>
                <w:szCs w:val="22"/>
              </w:rPr>
            </w:pPr>
            <w:r w:rsidRPr="0005764E">
              <w:rPr>
                <w:rFonts w:ascii="Arial" w:hAnsi="Arial"/>
                <w:sz w:val="22"/>
                <w:szCs w:val="22"/>
              </w:rPr>
              <w:t>Finance colleagues have advised that the Health Service Act 1978 states that the endowment funds are for the advancement of health;</w:t>
            </w:r>
          </w:p>
          <w:p w:rsidR="0005764E" w:rsidRPr="0005764E" w:rsidRDefault="0005764E" w:rsidP="0005764E">
            <w:pPr>
              <w:numPr>
                <w:ilvl w:val="0"/>
                <w:numId w:val="40"/>
              </w:numPr>
              <w:tabs>
                <w:tab w:val="left" w:pos="324"/>
              </w:tabs>
              <w:spacing w:after="0" w:line="240" w:lineRule="auto"/>
              <w:ind w:left="324" w:hanging="270"/>
              <w:jc w:val="both"/>
              <w:rPr>
                <w:rFonts w:ascii="Arial" w:hAnsi="Arial"/>
                <w:sz w:val="22"/>
                <w:szCs w:val="22"/>
              </w:rPr>
            </w:pPr>
            <w:r w:rsidRPr="0005764E">
              <w:rPr>
                <w:rFonts w:ascii="Arial" w:hAnsi="Arial"/>
                <w:sz w:val="22"/>
                <w:szCs w:val="22"/>
              </w:rPr>
              <w:t>the relationship with OSCR, but that the Endowment Fund was not accountable to OSCR;</w:t>
            </w:r>
          </w:p>
          <w:p w:rsidR="0005764E" w:rsidRPr="0005764E" w:rsidRDefault="0005764E" w:rsidP="0005764E">
            <w:pPr>
              <w:numPr>
                <w:ilvl w:val="0"/>
                <w:numId w:val="40"/>
              </w:numPr>
              <w:tabs>
                <w:tab w:val="left" w:pos="324"/>
              </w:tabs>
              <w:spacing w:after="0" w:line="240" w:lineRule="auto"/>
              <w:ind w:left="324" w:hanging="270"/>
              <w:jc w:val="both"/>
              <w:rPr>
                <w:rFonts w:ascii="Arial" w:hAnsi="Arial"/>
                <w:sz w:val="22"/>
                <w:szCs w:val="22"/>
              </w:rPr>
            </w:pPr>
            <w:r w:rsidRPr="0005764E">
              <w:rPr>
                <w:rFonts w:ascii="Arial" w:hAnsi="Arial"/>
                <w:sz w:val="22"/>
                <w:szCs w:val="22"/>
              </w:rPr>
              <w:t>the criteria for endowment funds will not be changed;</w:t>
            </w:r>
          </w:p>
          <w:p w:rsidR="0005764E" w:rsidRPr="0005764E" w:rsidRDefault="0005764E" w:rsidP="0005764E">
            <w:pPr>
              <w:numPr>
                <w:ilvl w:val="0"/>
                <w:numId w:val="40"/>
              </w:numPr>
              <w:tabs>
                <w:tab w:val="left" w:pos="324"/>
              </w:tabs>
              <w:spacing w:after="0" w:line="240" w:lineRule="auto"/>
              <w:ind w:left="324" w:hanging="270"/>
              <w:jc w:val="both"/>
              <w:rPr>
                <w:rFonts w:ascii="Arial" w:hAnsi="Arial"/>
                <w:sz w:val="22"/>
                <w:szCs w:val="22"/>
              </w:rPr>
            </w:pPr>
            <w:r w:rsidRPr="0005764E">
              <w:rPr>
                <w:rFonts w:ascii="Arial" w:hAnsi="Arial"/>
                <w:sz w:val="22"/>
                <w:szCs w:val="22"/>
              </w:rPr>
              <w:t>there is a clear understanding that the temporary suspension of retrospective bids covers expenditure only in the current financial year, and</w:t>
            </w:r>
          </w:p>
          <w:p w:rsidR="0005764E" w:rsidRPr="0005764E" w:rsidRDefault="0005764E" w:rsidP="0005764E">
            <w:pPr>
              <w:numPr>
                <w:ilvl w:val="0"/>
                <w:numId w:val="40"/>
              </w:numPr>
              <w:tabs>
                <w:tab w:val="left" w:pos="324"/>
              </w:tabs>
              <w:spacing w:after="0" w:line="240" w:lineRule="auto"/>
              <w:ind w:left="324" w:hanging="270"/>
              <w:jc w:val="both"/>
              <w:rPr>
                <w:rFonts w:ascii="Arial" w:hAnsi="Arial"/>
                <w:sz w:val="22"/>
                <w:szCs w:val="22"/>
              </w:rPr>
            </w:pPr>
            <w:r w:rsidRPr="0005764E">
              <w:rPr>
                <w:rFonts w:ascii="Arial" w:hAnsi="Arial"/>
                <w:sz w:val="22"/>
                <w:szCs w:val="22"/>
              </w:rPr>
              <w:t>specific proposals will be brought forward to EAG/Board of Trustees for consideration.</w:t>
            </w:r>
          </w:p>
          <w:p w:rsidR="0005764E" w:rsidRPr="009F5854" w:rsidRDefault="0005764E" w:rsidP="0005764E">
            <w:pPr>
              <w:jc w:val="both"/>
              <w:rPr>
                <w:rFonts w:ascii="Arial" w:hAnsi="Arial"/>
                <w:sz w:val="22"/>
                <w:szCs w:val="22"/>
              </w:rPr>
            </w:pPr>
          </w:p>
          <w:p w:rsidR="0005764E" w:rsidRPr="009F5854" w:rsidRDefault="0005764E" w:rsidP="0005764E">
            <w:pPr>
              <w:jc w:val="both"/>
              <w:rPr>
                <w:rFonts w:ascii="Arial" w:hAnsi="Arial"/>
                <w:sz w:val="22"/>
                <w:szCs w:val="22"/>
              </w:rPr>
            </w:pPr>
            <w:r w:rsidRPr="009F5854">
              <w:rPr>
                <w:rFonts w:ascii="Arial" w:hAnsi="Arial"/>
                <w:sz w:val="22"/>
                <w:szCs w:val="22"/>
              </w:rPr>
              <w:t>Mr McDonald advised that the tax issue with HMRC is the delay factor in bringing the National Guidelines to Board of Trustees, but agreed to bring a paper, with the guidelines attached, to the next meeting of Trustees.</w:t>
            </w:r>
          </w:p>
          <w:p w:rsidR="0005764E" w:rsidRPr="009F5854" w:rsidRDefault="0005764E" w:rsidP="0005764E">
            <w:pPr>
              <w:jc w:val="both"/>
              <w:rPr>
                <w:rFonts w:ascii="Arial" w:hAnsi="Arial"/>
                <w:sz w:val="22"/>
                <w:szCs w:val="22"/>
              </w:rPr>
            </w:pPr>
          </w:p>
          <w:p w:rsidR="0005764E" w:rsidRPr="009F5854" w:rsidRDefault="0005764E" w:rsidP="0005764E">
            <w:pPr>
              <w:jc w:val="both"/>
              <w:rPr>
                <w:rFonts w:ascii="Arial" w:hAnsi="Arial"/>
                <w:b/>
                <w:bCs/>
                <w:sz w:val="22"/>
                <w:szCs w:val="22"/>
              </w:rPr>
            </w:pPr>
            <w:r w:rsidRPr="009F5854">
              <w:rPr>
                <w:rFonts w:ascii="Arial" w:hAnsi="Arial"/>
                <w:sz w:val="22"/>
                <w:szCs w:val="22"/>
              </w:rPr>
              <w:t>The meeting closed at 2.05pm.</w:t>
            </w:r>
          </w:p>
        </w:tc>
        <w:tc>
          <w:tcPr>
            <w:tcW w:w="1152" w:type="dxa"/>
            <w:tcBorders>
              <w:top w:val="nil"/>
              <w:left w:val="single" w:sz="4" w:space="0" w:color="auto"/>
              <w:bottom w:val="nil"/>
              <w:right w:val="nil"/>
            </w:tcBorders>
          </w:tcPr>
          <w:p w:rsidR="0005764E" w:rsidRPr="00B13E8A" w:rsidRDefault="0005764E" w:rsidP="0005764E">
            <w:pPr>
              <w:jc w:val="both"/>
              <w:rPr>
                <w:rFonts w:ascii="Arial" w:hAnsi="Arial"/>
                <w:b/>
                <w:sz w:val="22"/>
                <w:szCs w:val="22"/>
              </w:rPr>
            </w:pPr>
          </w:p>
        </w:tc>
      </w:tr>
      <w:tr w:rsidR="0005764E" w:rsidRPr="00B13E8A" w:rsidTr="0005764E">
        <w:tc>
          <w:tcPr>
            <w:tcW w:w="576" w:type="dxa"/>
            <w:tcBorders>
              <w:top w:val="nil"/>
              <w:left w:val="nil"/>
              <w:bottom w:val="nil"/>
              <w:right w:val="nil"/>
            </w:tcBorders>
          </w:tcPr>
          <w:p w:rsidR="0005764E" w:rsidRPr="00B13E8A" w:rsidRDefault="0005764E" w:rsidP="0005764E">
            <w:pPr>
              <w:jc w:val="both"/>
              <w:rPr>
                <w:rFonts w:ascii="Arial" w:hAnsi="Arial"/>
                <w:b/>
                <w:sz w:val="22"/>
                <w:szCs w:val="22"/>
              </w:rPr>
            </w:pPr>
          </w:p>
        </w:tc>
        <w:tc>
          <w:tcPr>
            <w:tcW w:w="8640" w:type="dxa"/>
            <w:tcBorders>
              <w:top w:val="nil"/>
              <w:left w:val="nil"/>
              <w:bottom w:val="nil"/>
              <w:right w:val="single" w:sz="4" w:space="0" w:color="auto"/>
            </w:tcBorders>
          </w:tcPr>
          <w:p w:rsidR="0005764E" w:rsidRPr="009F5854" w:rsidRDefault="0005764E" w:rsidP="0005764E">
            <w:pPr>
              <w:pStyle w:val="Heading2"/>
              <w:tabs>
                <w:tab w:val="left" w:pos="504"/>
              </w:tabs>
              <w:rPr>
                <w:rFonts w:ascii="Arial" w:hAnsi="Arial" w:cs="Arial"/>
                <w:bCs/>
              </w:rPr>
            </w:pPr>
          </w:p>
        </w:tc>
        <w:tc>
          <w:tcPr>
            <w:tcW w:w="1152" w:type="dxa"/>
            <w:tcBorders>
              <w:top w:val="nil"/>
              <w:left w:val="single" w:sz="4" w:space="0" w:color="auto"/>
              <w:bottom w:val="nil"/>
              <w:right w:val="nil"/>
            </w:tcBorders>
          </w:tcPr>
          <w:p w:rsidR="0005764E" w:rsidRPr="00B13E8A" w:rsidRDefault="0005764E" w:rsidP="0005764E">
            <w:pPr>
              <w:jc w:val="both"/>
              <w:rPr>
                <w:rFonts w:ascii="Arial" w:hAnsi="Arial"/>
                <w:sz w:val="22"/>
                <w:szCs w:val="22"/>
              </w:rPr>
            </w:pPr>
          </w:p>
        </w:tc>
      </w:tr>
    </w:tbl>
    <w:p w:rsidR="0005764E" w:rsidRDefault="0005764E">
      <w:pPr>
        <w:spacing w:after="0" w:line="240" w:lineRule="auto"/>
        <w:rPr>
          <w:rFonts w:asciiTheme="majorHAnsi" w:hAnsiTheme="majorHAnsi" w:cstheme="majorHAnsi"/>
          <w:b/>
          <w:bCs/>
          <w:color w:val="4F2D7F" w:themeColor="accent1"/>
          <w:kern w:val="32"/>
          <w:sz w:val="36"/>
          <w:szCs w:val="28"/>
        </w:rPr>
      </w:pPr>
      <w:r>
        <w:rPr>
          <w:b/>
        </w:rPr>
        <w:br w:type="page"/>
      </w:r>
    </w:p>
    <w:p w:rsidR="00A504AD" w:rsidRPr="007B5A1E" w:rsidRDefault="0005764E" w:rsidP="00A504AD">
      <w:pPr>
        <w:pStyle w:val="Heading1"/>
        <w:rPr>
          <w:b/>
        </w:rPr>
      </w:pPr>
      <w:r>
        <w:rPr>
          <w:b/>
        </w:rPr>
        <w:lastRenderedPageBreak/>
        <w:t>Appendix 4</w:t>
      </w:r>
      <w:r w:rsidR="00A504AD" w:rsidRPr="007B5A1E">
        <w:rPr>
          <w:b/>
        </w:rPr>
        <w:t>: Roles and responsibilities</w:t>
      </w:r>
      <w:bookmarkEnd w:id="7"/>
      <w:bookmarkEnd w:id="8"/>
    </w:p>
    <w:p w:rsidR="00A504AD" w:rsidRPr="007B5A1E" w:rsidRDefault="00A504AD" w:rsidP="00A504AD">
      <w:pPr>
        <w:pStyle w:val="BodyText"/>
        <w:jc w:val="both"/>
      </w:pPr>
    </w:p>
    <w:p w:rsidR="00A504AD" w:rsidRDefault="00105C89" w:rsidP="00A504AD">
      <w:pPr>
        <w:pStyle w:val="BodyText"/>
        <w:rPr>
          <w:sz w:val="24"/>
          <w:szCs w:val="24"/>
        </w:rPr>
      </w:pPr>
      <w:r>
        <w:rPr>
          <w:sz w:val="24"/>
          <w:szCs w:val="24"/>
        </w:rPr>
        <w:t>Set out below, for</w:t>
      </w:r>
      <w:r w:rsidR="0015369C">
        <w:rPr>
          <w:sz w:val="24"/>
          <w:szCs w:val="24"/>
        </w:rPr>
        <w:t xml:space="preserve"> additional context to the reader</w:t>
      </w:r>
      <w:r>
        <w:rPr>
          <w:sz w:val="24"/>
          <w:szCs w:val="24"/>
        </w:rPr>
        <w:t>,</w:t>
      </w:r>
      <w:r w:rsidR="0015369C">
        <w:rPr>
          <w:sz w:val="24"/>
          <w:szCs w:val="24"/>
        </w:rPr>
        <w:t xml:space="preserve"> is an explanation of the roles/remits set out in this report:   </w:t>
      </w:r>
    </w:p>
    <w:tbl>
      <w:tblPr>
        <w:tblStyle w:val="GTITableStyle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2"/>
        <w:gridCol w:w="6311"/>
      </w:tblGrid>
      <w:tr w:rsidR="0015369C" w:rsidTr="0015369C">
        <w:trPr>
          <w:cnfStyle w:val="100000000000"/>
        </w:trPr>
        <w:tc>
          <w:tcPr>
            <w:tcW w:w="297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5369C" w:rsidRDefault="0015369C" w:rsidP="00A504AD">
            <w:pPr>
              <w:pStyle w:val="BodyText"/>
              <w:rPr>
                <w:sz w:val="24"/>
                <w:szCs w:val="24"/>
              </w:rPr>
            </w:pPr>
            <w:r>
              <w:rPr>
                <w:sz w:val="24"/>
                <w:szCs w:val="24"/>
              </w:rPr>
              <w:t xml:space="preserve">Role </w:t>
            </w:r>
          </w:p>
        </w:tc>
        <w:tc>
          <w:tcPr>
            <w:tcW w:w="63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5369C" w:rsidRDefault="0015369C" w:rsidP="00A504AD">
            <w:pPr>
              <w:pStyle w:val="BodyText"/>
              <w:rPr>
                <w:sz w:val="24"/>
                <w:szCs w:val="24"/>
              </w:rPr>
            </w:pPr>
            <w:r>
              <w:rPr>
                <w:sz w:val="24"/>
                <w:szCs w:val="24"/>
              </w:rPr>
              <w:t xml:space="preserve">Description/Requirements </w:t>
            </w:r>
          </w:p>
        </w:tc>
      </w:tr>
      <w:tr w:rsidR="0015369C" w:rsidTr="0015369C">
        <w:tc>
          <w:tcPr>
            <w:tcW w:w="2972" w:type="dxa"/>
          </w:tcPr>
          <w:p w:rsidR="0015369C" w:rsidRDefault="0015369C" w:rsidP="00A504AD">
            <w:pPr>
              <w:pStyle w:val="BodyText"/>
              <w:rPr>
                <w:sz w:val="24"/>
                <w:szCs w:val="24"/>
              </w:rPr>
            </w:pPr>
            <w:r w:rsidRPr="0015369C">
              <w:rPr>
                <w:rFonts w:ascii="Arial" w:hAnsi="Arial"/>
                <w:sz w:val="22"/>
                <w:szCs w:val="22"/>
              </w:rPr>
              <w:t>Accountable Officer</w:t>
            </w:r>
            <w:r>
              <w:rPr>
                <w:sz w:val="24"/>
                <w:szCs w:val="24"/>
              </w:rPr>
              <w:t xml:space="preserve"> </w:t>
            </w:r>
          </w:p>
        </w:tc>
        <w:tc>
          <w:tcPr>
            <w:tcW w:w="6311" w:type="dxa"/>
          </w:tcPr>
          <w:p w:rsidR="0015369C" w:rsidRPr="001B61C9" w:rsidRDefault="0015369C" w:rsidP="0015369C">
            <w:pPr>
              <w:autoSpaceDE w:val="0"/>
              <w:autoSpaceDN w:val="0"/>
              <w:adjustRightInd w:val="0"/>
              <w:spacing w:after="0" w:line="240" w:lineRule="auto"/>
              <w:rPr>
                <w:rFonts w:ascii="Arial" w:hAnsi="Arial"/>
                <w:sz w:val="22"/>
                <w:szCs w:val="22"/>
              </w:rPr>
            </w:pPr>
            <w:r w:rsidRPr="001B61C9">
              <w:rPr>
                <w:rFonts w:ascii="Arial" w:hAnsi="Arial"/>
                <w:sz w:val="22"/>
                <w:szCs w:val="22"/>
              </w:rPr>
              <w:t>Under Section 15 of the Public Finance and Accountability (Scotland) Act, 2000, the Principal</w:t>
            </w:r>
          </w:p>
          <w:p w:rsidR="0015369C" w:rsidRDefault="0015369C" w:rsidP="0015369C">
            <w:pPr>
              <w:autoSpaceDE w:val="0"/>
              <w:autoSpaceDN w:val="0"/>
              <w:adjustRightInd w:val="0"/>
              <w:spacing w:after="0" w:line="240" w:lineRule="auto"/>
              <w:rPr>
                <w:rFonts w:ascii="Arial" w:hAnsi="Arial"/>
                <w:sz w:val="22"/>
                <w:szCs w:val="22"/>
              </w:rPr>
            </w:pPr>
            <w:r w:rsidRPr="001B61C9">
              <w:rPr>
                <w:rFonts w:ascii="Arial" w:hAnsi="Arial"/>
                <w:sz w:val="22"/>
                <w:szCs w:val="22"/>
              </w:rPr>
              <w:t>Accountable Officer (PAO) of the Sc</w:t>
            </w:r>
            <w:r>
              <w:rPr>
                <w:rFonts w:ascii="Arial" w:hAnsi="Arial"/>
                <w:sz w:val="22"/>
                <w:szCs w:val="22"/>
              </w:rPr>
              <w:t xml:space="preserve">ottish Government </w:t>
            </w:r>
            <w:r w:rsidRPr="001B61C9">
              <w:rPr>
                <w:rFonts w:ascii="Arial" w:hAnsi="Arial"/>
                <w:sz w:val="22"/>
                <w:szCs w:val="22"/>
              </w:rPr>
              <w:t>appoints the Accountable Officer of Tayside Health Board.  The accounta</w:t>
            </w:r>
            <w:r>
              <w:rPr>
                <w:rFonts w:ascii="Arial" w:hAnsi="Arial"/>
                <w:sz w:val="22"/>
                <w:szCs w:val="22"/>
              </w:rPr>
              <w:t>ble officer is responsible for:</w:t>
            </w:r>
          </w:p>
          <w:p w:rsidR="0015369C" w:rsidRDefault="0015369C" w:rsidP="0015369C">
            <w:pPr>
              <w:autoSpaceDE w:val="0"/>
              <w:autoSpaceDN w:val="0"/>
              <w:adjustRightInd w:val="0"/>
              <w:spacing w:after="0" w:line="240" w:lineRule="auto"/>
              <w:rPr>
                <w:rFonts w:ascii="Arial" w:hAnsi="Arial"/>
                <w:sz w:val="22"/>
                <w:szCs w:val="22"/>
              </w:rPr>
            </w:pPr>
          </w:p>
          <w:p w:rsidR="0015369C" w:rsidRDefault="0015369C" w:rsidP="00646C90">
            <w:pPr>
              <w:pStyle w:val="ListParagraph"/>
              <w:numPr>
                <w:ilvl w:val="0"/>
                <w:numId w:val="36"/>
              </w:numPr>
              <w:autoSpaceDE w:val="0"/>
              <w:autoSpaceDN w:val="0"/>
              <w:adjustRightInd w:val="0"/>
              <w:spacing w:after="0" w:line="240" w:lineRule="auto"/>
              <w:rPr>
                <w:rFonts w:ascii="Arial" w:hAnsi="Arial"/>
                <w:sz w:val="22"/>
                <w:szCs w:val="22"/>
              </w:rPr>
            </w:pPr>
            <w:r w:rsidRPr="0015369C">
              <w:rPr>
                <w:rFonts w:ascii="Arial" w:hAnsi="Arial"/>
                <w:sz w:val="22"/>
                <w:szCs w:val="22"/>
              </w:rPr>
              <w:t>the propriety and regularity of financial transactions under their control;</w:t>
            </w:r>
          </w:p>
          <w:p w:rsidR="0015369C" w:rsidRDefault="0015369C" w:rsidP="00646C90">
            <w:pPr>
              <w:pStyle w:val="ListParagraph"/>
              <w:numPr>
                <w:ilvl w:val="0"/>
                <w:numId w:val="36"/>
              </w:numPr>
              <w:autoSpaceDE w:val="0"/>
              <w:autoSpaceDN w:val="0"/>
              <w:adjustRightInd w:val="0"/>
              <w:spacing w:after="0" w:line="240" w:lineRule="auto"/>
              <w:rPr>
                <w:rFonts w:ascii="Arial" w:hAnsi="Arial"/>
                <w:sz w:val="22"/>
                <w:szCs w:val="22"/>
              </w:rPr>
            </w:pPr>
            <w:r w:rsidRPr="0015369C">
              <w:rPr>
                <w:rFonts w:ascii="Arial" w:hAnsi="Arial"/>
                <w:sz w:val="22"/>
                <w:szCs w:val="22"/>
              </w:rPr>
              <w:t>for the economical, efficient and effective use of resources placed at the Board’s disposal; and</w:t>
            </w:r>
          </w:p>
          <w:p w:rsidR="0015369C" w:rsidRPr="0015369C" w:rsidRDefault="0015369C" w:rsidP="00646C90">
            <w:pPr>
              <w:pStyle w:val="ListParagraph"/>
              <w:numPr>
                <w:ilvl w:val="0"/>
                <w:numId w:val="36"/>
              </w:numPr>
              <w:autoSpaceDE w:val="0"/>
              <w:autoSpaceDN w:val="0"/>
              <w:adjustRightInd w:val="0"/>
              <w:spacing w:after="0" w:line="240" w:lineRule="auto"/>
              <w:rPr>
                <w:rFonts w:ascii="Arial" w:hAnsi="Arial"/>
                <w:sz w:val="22"/>
                <w:szCs w:val="22"/>
              </w:rPr>
            </w:pPr>
            <w:r w:rsidRPr="0015369C">
              <w:rPr>
                <w:rFonts w:ascii="Arial" w:hAnsi="Arial"/>
                <w:sz w:val="22"/>
                <w:szCs w:val="22"/>
              </w:rPr>
              <w:t>Safeguarding the assets of the Board.</w:t>
            </w:r>
          </w:p>
          <w:p w:rsidR="0015369C" w:rsidRDefault="0015369C" w:rsidP="00A504AD">
            <w:pPr>
              <w:pStyle w:val="BodyText"/>
              <w:rPr>
                <w:sz w:val="24"/>
                <w:szCs w:val="24"/>
              </w:rPr>
            </w:pPr>
          </w:p>
        </w:tc>
      </w:tr>
      <w:tr w:rsidR="0015369C" w:rsidTr="0015369C">
        <w:tc>
          <w:tcPr>
            <w:tcW w:w="2972" w:type="dxa"/>
          </w:tcPr>
          <w:p w:rsidR="0015369C" w:rsidRPr="0015369C" w:rsidRDefault="0015369C" w:rsidP="00A504AD">
            <w:pPr>
              <w:pStyle w:val="BodyText"/>
              <w:rPr>
                <w:rFonts w:ascii="Arial" w:hAnsi="Arial"/>
                <w:sz w:val="22"/>
                <w:szCs w:val="22"/>
              </w:rPr>
            </w:pPr>
            <w:r>
              <w:rPr>
                <w:rFonts w:ascii="Arial" w:hAnsi="Arial"/>
                <w:sz w:val="22"/>
                <w:szCs w:val="22"/>
              </w:rPr>
              <w:t xml:space="preserve">Board responsibilities </w:t>
            </w:r>
          </w:p>
        </w:tc>
        <w:tc>
          <w:tcPr>
            <w:tcW w:w="6311" w:type="dxa"/>
          </w:tcPr>
          <w:p w:rsidR="0015369C" w:rsidRPr="0015369C" w:rsidRDefault="0015369C" w:rsidP="0015369C">
            <w:pPr>
              <w:autoSpaceDE w:val="0"/>
              <w:autoSpaceDN w:val="0"/>
              <w:adjustRightInd w:val="0"/>
              <w:spacing w:after="0" w:line="240" w:lineRule="auto"/>
              <w:rPr>
                <w:rFonts w:ascii="Arial" w:hAnsi="Arial"/>
                <w:sz w:val="22"/>
                <w:szCs w:val="22"/>
              </w:rPr>
            </w:pPr>
            <w:r w:rsidRPr="0015369C">
              <w:rPr>
                <w:rFonts w:ascii="Arial" w:hAnsi="Arial"/>
                <w:sz w:val="22"/>
                <w:szCs w:val="22"/>
              </w:rPr>
              <w:t xml:space="preserve">The role of the Board and its members (Senior Management and Non-Executive members) is to provide strategic leadership, direction, support and guidance for the organisation and promote commitment to its core values, policies and objectives. </w:t>
            </w:r>
          </w:p>
          <w:p w:rsidR="0015369C" w:rsidRPr="0015369C" w:rsidRDefault="0015369C" w:rsidP="00A504AD">
            <w:pPr>
              <w:pStyle w:val="BodyText"/>
              <w:rPr>
                <w:rFonts w:ascii="Arial" w:hAnsi="Arial"/>
                <w:sz w:val="22"/>
                <w:szCs w:val="22"/>
              </w:rPr>
            </w:pPr>
          </w:p>
        </w:tc>
      </w:tr>
      <w:tr w:rsidR="0015369C" w:rsidTr="0015369C">
        <w:tc>
          <w:tcPr>
            <w:tcW w:w="2972" w:type="dxa"/>
          </w:tcPr>
          <w:p w:rsidR="0015369C" w:rsidRPr="0015369C" w:rsidRDefault="0015369C" w:rsidP="00A504AD">
            <w:pPr>
              <w:pStyle w:val="BodyText"/>
              <w:rPr>
                <w:rFonts w:ascii="Arial" w:hAnsi="Arial"/>
                <w:sz w:val="22"/>
                <w:szCs w:val="22"/>
              </w:rPr>
            </w:pPr>
            <w:r>
              <w:rPr>
                <w:rFonts w:ascii="Arial" w:hAnsi="Arial"/>
                <w:sz w:val="22"/>
                <w:szCs w:val="22"/>
              </w:rPr>
              <w:t>Endowment Fund Trustees</w:t>
            </w:r>
          </w:p>
        </w:tc>
        <w:tc>
          <w:tcPr>
            <w:tcW w:w="6311" w:type="dxa"/>
          </w:tcPr>
          <w:p w:rsidR="0015369C" w:rsidRPr="0015369C" w:rsidRDefault="0015369C" w:rsidP="0015369C">
            <w:pPr>
              <w:autoSpaceDE w:val="0"/>
              <w:autoSpaceDN w:val="0"/>
              <w:adjustRightInd w:val="0"/>
              <w:spacing w:after="0" w:line="240" w:lineRule="auto"/>
              <w:rPr>
                <w:rFonts w:ascii="Arial" w:hAnsi="Arial"/>
                <w:sz w:val="22"/>
                <w:szCs w:val="22"/>
              </w:rPr>
            </w:pPr>
            <w:r w:rsidRPr="0015369C">
              <w:rPr>
                <w:rFonts w:ascii="Arial" w:hAnsi="Arial"/>
                <w:sz w:val="22"/>
                <w:szCs w:val="22"/>
              </w:rPr>
              <w:t>Trustees of the Endowment Fund have specific responsibilities in relation to their role as trustees of the fund.  In particular, Trustees are required to act in accordance with the Trust deed of the Endowment fund and within the framework of charity law</w:t>
            </w:r>
          </w:p>
          <w:p w:rsidR="0015369C" w:rsidRPr="0015369C" w:rsidRDefault="0015369C" w:rsidP="00A504AD">
            <w:pPr>
              <w:pStyle w:val="BodyText"/>
              <w:rPr>
                <w:rFonts w:ascii="Arial" w:hAnsi="Arial"/>
                <w:sz w:val="22"/>
                <w:szCs w:val="22"/>
              </w:rPr>
            </w:pPr>
          </w:p>
        </w:tc>
      </w:tr>
      <w:tr w:rsidR="0015369C" w:rsidTr="0015369C">
        <w:tc>
          <w:tcPr>
            <w:tcW w:w="2972" w:type="dxa"/>
          </w:tcPr>
          <w:p w:rsidR="0015369C" w:rsidRPr="0015369C" w:rsidRDefault="0015369C" w:rsidP="00A504AD">
            <w:pPr>
              <w:pStyle w:val="BodyText"/>
              <w:rPr>
                <w:rFonts w:ascii="Arial" w:hAnsi="Arial"/>
                <w:sz w:val="22"/>
                <w:szCs w:val="22"/>
              </w:rPr>
            </w:pPr>
            <w:r>
              <w:rPr>
                <w:rFonts w:ascii="Arial" w:hAnsi="Arial"/>
                <w:sz w:val="22"/>
                <w:szCs w:val="22"/>
              </w:rPr>
              <w:t xml:space="preserve">Endowment Fund External Auditors </w:t>
            </w:r>
          </w:p>
        </w:tc>
        <w:tc>
          <w:tcPr>
            <w:tcW w:w="6311" w:type="dxa"/>
          </w:tcPr>
          <w:p w:rsidR="0015369C" w:rsidRPr="0015369C" w:rsidRDefault="0015369C" w:rsidP="0015369C">
            <w:pPr>
              <w:pStyle w:val="Default"/>
              <w:rPr>
                <w:rFonts w:ascii="Arial" w:hAnsi="Arial" w:cs="Arial"/>
                <w:color w:val="auto"/>
                <w:sz w:val="22"/>
                <w:szCs w:val="22"/>
              </w:rPr>
            </w:pPr>
            <w:r w:rsidRPr="0015369C">
              <w:rPr>
                <w:rFonts w:ascii="Arial" w:hAnsi="Arial" w:cs="Arial"/>
                <w:color w:val="auto"/>
                <w:sz w:val="22"/>
                <w:szCs w:val="22"/>
              </w:rPr>
              <w:t xml:space="preserve">The External Auditors of the Fund are appointed by the Trustees.  The appointment process is independent of Audit Scotland and the auditors work does not fall under the remit of Auditor General for Scotland.  </w:t>
            </w:r>
          </w:p>
          <w:p w:rsidR="0015369C" w:rsidRPr="0015369C" w:rsidRDefault="0015369C" w:rsidP="0015369C">
            <w:pPr>
              <w:pStyle w:val="Default"/>
              <w:rPr>
                <w:rFonts w:ascii="Arial" w:hAnsi="Arial" w:cs="Arial"/>
                <w:color w:val="auto"/>
                <w:sz w:val="22"/>
                <w:szCs w:val="22"/>
              </w:rPr>
            </w:pPr>
          </w:p>
          <w:p w:rsidR="0015369C" w:rsidRPr="0015369C" w:rsidRDefault="0015369C" w:rsidP="0015369C">
            <w:pPr>
              <w:pStyle w:val="Default"/>
              <w:rPr>
                <w:rFonts w:ascii="Arial" w:hAnsi="Arial" w:cs="Arial"/>
                <w:color w:val="auto"/>
                <w:sz w:val="22"/>
                <w:szCs w:val="22"/>
              </w:rPr>
            </w:pPr>
            <w:r w:rsidRPr="0015369C">
              <w:rPr>
                <w:rFonts w:ascii="Arial" w:hAnsi="Arial" w:cs="Arial"/>
                <w:color w:val="auto"/>
                <w:sz w:val="22"/>
                <w:szCs w:val="22"/>
              </w:rPr>
              <w:t>The appointed audito</w:t>
            </w:r>
            <w:r w:rsidR="00861A1E">
              <w:rPr>
                <w:rFonts w:ascii="Arial" w:hAnsi="Arial" w:cs="Arial"/>
                <w:color w:val="auto"/>
                <w:sz w:val="22"/>
                <w:szCs w:val="22"/>
              </w:rPr>
              <w:t>rs of the fund are MMG Archbold</w:t>
            </w:r>
            <w:r w:rsidRPr="0015369C">
              <w:rPr>
                <w:rFonts w:ascii="Arial" w:hAnsi="Arial" w:cs="Arial"/>
                <w:color w:val="auto"/>
                <w:sz w:val="22"/>
                <w:szCs w:val="22"/>
              </w:rPr>
              <w:t xml:space="preserve"> CA.   The auditor is appointed under section 44(1) (c) of the Charities and Trustee Investment (Scotland) Act 2005 and is responsible for the audit and to express an opinion on the financial statements.  </w:t>
            </w:r>
          </w:p>
          <w:p w:rsidR="0015369C" w:rsidRPr="0015369C" w:rsidRDefault="0015369C" w:rsidP="00A504AD">
            <w:pPr>
              <w:pStyle w:val="BodyText"/>
              <w:rPr>
                <w:rFonts w:ascii="Arial" w:hAnsi="Arial"/>
                <w:sz w:val="22"/>
                <w:szCs w:val="22"/>
              </w:rPr>
            </w:pPr>
          </w:p>
        </w:tc>
      </w:tr>
      <w:tr w:rsidR="0015369C" w:rsidTr="0015369C">
        <w:tc>
          <w:tcPr>
            <w:tcW w:w="2972" w:type="dxa"/>
          </w:tcPr>
          <w:p w:rsidR="0015369C" w:rsidRPr="0015369C" w:rsidRDefault="0015369C" w:rsidP="00A504AD">
            <w:pPr>
              <w:pStyle w:val="BodyText"/>
              <w:rPr>
                <w:rFonts w:ascii="Arial" w:hAnsi="Arial"/>
                <w:sz w:val="22"/>
                <w:szCs w:val="22"/>
              </w:rPr>
            </w:pPr>
            <w:r>
              <w:rPr>
                <w:rFonts w:ascii="Arial" w:hAnsi="Arial"/>
                <w:sz w:val="22"/>
                <w:szCs w:val="22"/>
              </w:rPr>
              <w:t xml:space="preserve">NHS Tayside Board External Auditors </w:t>
            </w:r>
          </w:p>
        </w:tc>
        <w:tc>
          <w:tcPr>
            <w:tcW w:w="6311" w:type="dxa"/>
          </w:tcPr>
          <w:p w:rsidR="0015369C" w:rsidRPr="0015369C" w:rsidRDefault="0015369C" w:rsidP="0015369C">
            <w:pPr>
              <w:pStyle w:val="CM12"/>
              <w:spacing w:after="245" w:line="240" w:lineRule="atLeast"/>
              <w:rPr>
                <w:rFonts w:ascii="Arial" w:hAnsi="Arial" w:cs="Arial"/>
                <w:sz w:val="22"/>
                <w:szCs w:val="22"/>
              </w:rPr>
            </w:pPr>
            <w:r w:rsidRPr="0015369C">
              <w:rPr>
                <w:rFonts w:ascii="Arial" w:hAnsi="Arial" w:cs="Arial"/>
                <w:sz w:val="22"/>
                <w:szCs w:val="22"/>
              </w:rPr>
              <w:t xml:space="preserve">The external auditors’ responsibilities in relation to the audit of the financial statements and relevant sections of the Remuneration report of NHS Tayside are to give an opinion on: </w:t>
            </w:r>
          </w:p>
          <w:p w:rsidR="0015369C" w:rsidRPr="0015369C" w:rsidRDefault="0015369C" w:rsidP="00646C90">
            <w:pPr>
              <w:pStyle w:val="CM12"/>
              <w:numPr>
                <w:ilvl w:val="0"/>
                <w:numId w:val="28"/>
              </w:numPr>
              <w:spacing w:after="245" w:line="228" w:lineRule="atLeast"/>
              <w:ind w:right="79"/>
              <w:rPr>
                <w:rFonts w:ascii="Arial" w:hAnsi="Arial" w:cs="Arial"/>
                <w:sz w:val="22"/>
                <w:szCs w:val="22"/>
              </w:rPr>
            </w:pPr>
            <w:r w:rsidRPr="0015369C">
              <w:rPr>
                <w:rFonts w:ascii="Arial" w:hAnsi="Arial" w:cs="Arial"/>
                <w:sz w:val="22"/>
                <w:szCs w:val="22"/>
              </w:rPr>
              <w:t>whether they give a true and fair view of the financial position of the Board and its expenditure and income for the period in question;</w:t>
            </w:r>
          </w:p>
          <w:p w:rsidR="0015369C" w:rsidRPr="0015369C" w:rsidRDefault="0015369C" w:rsidP="00646C90">
            <w:pPr>
              <w:pStyle w:val="CM12"/>
              <w:numPr>
                <w:ilvl w:val="0"/>
                <w:numId w:val="28"/>
              </w:numPr>
              <w:spacing w:after="245" w:line="228" w:lineRule="atLeast"/>
              <w:ind w:right="79"/>
              <w:rPr>
                <w:rFonts w:ascii="Arial" w:hAnsi="Arial" w:cs="Arial"/>
                <w:sz w:val="22"/>
                <w:szCs w:val="22"/>
              </w:rPr>
            </w:pPr>
            <w:r w:rsidRPr="0015369C">
              <w:rPr>
                <w:rFonts w:ascii="Arial" w:hAnsi="Arial" w:cs="Arial"/>
                <w:sz w:val="22"/>
                <w:szCs w:val="22"/>
              </w:rPr>
              <w:t xml:space="preserve">whether they were prepared properly in accordance with relevant legislation, applicable accounting standards and other reporting requirements; </w:t>
            </w:r>
          </w:p>
          <w:p w:rsidR="0015369C" w:rsidRPr="0015369C" w:rsidRDefault="0015369C" w:rsidP="00646C90">
            <w:pPr>
              <w:pStyle w:val="CM12"/>
              <w:numPr>
                <w:ilvl w:val="0"/>
                <w:numId w:val="28"/>
              </w:numPr>
              <w:spacing w:after="245" w:line="228" w:lineRule="atLeast"/>
              <w:ind w:right="79"/>
              <w:rPr>
                <w:rFonts w:ascii="Arial" w:hAnsi="Arial" w:cs="Arial"/>
                <w:sz w:val="22"/>
                <w:szCs w:val="22"/>
              </w:rPr>
            </w:pPr>
            <w:r w:rsidRPr="0015369C">
              <w:rPr>
                <w:rFonts w:ascii="Arial" w:hAnsi="Arial" w:cs="Arial"/>
                <w:sz w:val="22"/>
                <w:szCs w:val="22"/>
              </w:rPr>
              <w:t xml:space="preserve">whether the information which comprises the annual report included with the financial statements is </w:t>
            </w:r>
            <w:r w:rsidRPr="0015369C">
              <w:rPr>
                <w:rFonts w:ascii="Arial" w:hAnsi="Arial" w:cs="Arial"/>
                <w:sz w:val="22"/>
                <w:szCs w:val="22"/>
              </w:rPr>
              <w:lastRenderedPageBreak/>
              <w:t xml:space="preserve">consistent with the financial statements; and </w:t>
            </w:r>
          </w:p>
          <w:p w:rsidR="0015369C" w:rsidRPr="0015369C" w:rsidRDefault="0015369C" w:rsidP="00646C90">
            <w:pPr>
              <w:pStyle w:val="CM12"/>
              <w:numPr>
                <w:ilvl w:val="0"/>
                <w:numId w:val="28"/>
              </w:numPr>
              <w:spacing w:after="245" w:line="228" w:lineRule="atLeast"/>
              <w:ind w:right="79"/>
              <w:rPr>
                <w:rFonts w:ascii="Arial" w:hAnsi="Arial" w:cs="Arial"/>
                <w:sz w:val="22"/>
                <w:szCs w:val="22"/>
              </w:rPr>
            </w:pPr>
            <w:r w:rsidRPr="0015369C">
              <w:rPr>
                <w:rFonts w:ascii="Arial" w:hAnsi="Arial" w:cs="Arial"/>
                <w:sz w:val="22"/>
                <w:szCs w:val="22"/>
              </w:rPr>
              <w:t xml:space="preserve">whether expenditure and receipts have been incurred and applied in accordance with guidance from Scottish Ministers (the regularity opinion). </w:t>
            </w:r>
          </w:p>
          <w:p w:rsidR="0015369C" w:rsidRPr="0015369C" w:rsidRDefault="0015369C" w:rsidP="0015369C">
            <w:pPr>
              <w:pStyle w:val="Default"/>
              <w:rPr>
                <w:rFonts w:ascii="Arial" w:hAnsi="Arial" w:cs="Arial"/>
                <w:color w:val="auto"/>
                <w:sz w:val="22"/>
                <w:szCs w:val="22"/>
              </w:rPr>
            </w:pPr>
            <w:r w:rsidRPr="0015369C">
              <w:rPr>
                <w:rFonts w:ascii="Arial" w:hAnsi="Arial" w:cs="Arial"/>
                <w:color w:val="auto"/>
                <w:sz w:val="22"/>
                <w:szCs w:val="22"/>
              </w:rPr>
              <w:t>External Audit work is undertaken in accordance with International Standards of Auditing (ISA’s).</w:t>
            </w:r>
          </w:p>
          <w:p w:rsidR="0015369C" w:rsidRPr="0015369C" w:rsidRDefault="0015369C" w:rsidP="0015369C">
            <w:pPr>
              <w:pStyle w:val="Default"/>
              <w:rPr>
                <w:rFonts w:ascii="Arial" w:hAnsi="Arial" w:cs="Arial"/>
                <w:color w:val="auto"/>
                <w:sz w:val="22"/>
                <w:szCs w:val="22"/>
              </w:rPr>
            </w:pPr>
          </w:p>
          <w:p w:rsidR="0015369C" w:rsidRPr="0015369C" w:rsidRDefault="0015369C" w:rsidP="0015369C">
            <w:pPr>
              <w:pStyle w:val="Default"/>
              <w:rPr>
                <w:rFonts w:ascii="Arial" w:hAnsi="Arial" w:cs="Arial"/>
                <w:color w:val="auto"/>
                <w:sz w:val="22"/>
                <w:szCs w:val="22"/>
              </w:rPr>
            </w:pPr>
            <w:r w:rsidRPr="0015369C">
              <w:rPr>
                <w:rFonts w:ascii="Arial" w:hAnsi="Arial" w:cs="Arial"/>
                <w:color w:val="auto"/>
                <w:sz w:val="22"/>
                <w:szCs w:val="22"/>
              </w:rPr>
              <w:t xml:space="preserve">In accordance with Audit Scotland’s Code of Audit Practice (relevant versions are dated 2011 and 2016) require auditors’ responsibilities to extend beyond that of the audit of the financial statements.  Auditors are required to consider and report on health board’s use of resources, financial management, financial sustainability and transparency and governance arrangements.   </w:t>
            </w:r>
          </w:p>
          <w:p w:rsidR="0015369C" w:rsidRPr="0015369C" w:rsidRDefault="0015369C" w:rsidP="00A504AD">
            <w:pPr>
              <w:pStyle w:val="BodyText"/>
              <w:rPr>
                <w:rFonts w:ascii="Arial" w:hAnsi="Arial"/>
                <w:sz w:val="22"/>
                <w:szCs w:val="22"/>
              </w:rPr>
            </w:pPr>
          </w:p>
        </w:tc>
      </w:tr>
      <w:tr w:rsidR="0015369C" w:rsidTr="0015369C">
        <w:tc>
          <w:tcPr>
            <w:tcW w:w="2972" w:type="dxa"/>
          </w:tcPr>
          <w:p w:rsidR="0015369C" w:rsidRPr="0015369C" w:rsidRDefault="0015369C" w:rsidP="00A504AD">
            <w:pPr>
              <w:pStyle w:val="BodyText"/>
              <w:rPr>
                <w:rFonts w:ascii="Arial" w:hAnsi="Arial"/>
                <w:sz w:val="22"/>
                <w:szCs w:val="22"/>
              </w:rPr>
            </w:pPr>
            <w:r>
              <w:rPr>
                <w:rFonts w:ascii="Arial" w:hAnsi="Arial"/>
                <w:sz w:val="22"/>
                <w:szCs w:val="22"/>
              </w:rPr>
              <w:lastRenderedPageBreak/>
              <w:t xml:space="preserve">Internal Audit </w:t>
            </w:r>
          </w:p>
        </w:tc>
        <w:tc>
          <w:tcPr>
            <w:tcW w:w="6311" w:type="dxa"/>
          </w:tcPr>
          <w:p w:rsidR="0015369C" w:rsidRDefault="0015369C" w:rsidP="0015369C">
            <w:pPr>
              <w:pStyle w:val="ListParagraph"/>
              <w:ind w:left="-23" w:firstLine="23"/>
              <w:rPr>
                <w:rFonts w:ascii="Arial" w:hAnsi="Arial"/>
                <w:sz w:val="22"/>
                <w:szCs w:val="22"/>
              </w:rPr>
            </w:pPr>
            <w:r>
              <w:rPr>
                <w:rFonts w:ascii="Arial" w:hAnsi="Arial"/>
                <w:sz w:val="22"/>
                <w:szCs w:val="22"/>
              </w:rPr>
              <w:t xml:space="preserve">As set out in the Scottish Government On Board publication:  </w:t>
            </w:r>
          </w:p>
          <w:p w:rsidR="0015369C" w:rsidRDefault="0015369C" w:rsidP="0015369C">
            <w:pPr>
              <w:pStyle w:val="ListParagraph"/>
              <w:ind w:left="-23" w:firstLine="23"/>
              <w:rPr>
                <w:rFonts w:ascii="Arial" w:hAnsi="Arial"/>
                <w:sz w:val="22"/>
                <w:szCs w:val="22"/>
              </w:rPr>
            </w:pPr>
          </w:p>
          <w:p w:rsidR="0015369C" w:rsidRDefault="0015369C" w:rsidP="0015369C">
            <w:pPr>
              <w:pStyle w:val="ListParagraph"/>
              <w:ind w:left="-23" w:firstLine="23"/>
              <w:rPr>
                <w:rFonts w:ascii="Arial" w:hAnsi="Arial"/>
                <w:sz w:val="22"/>
                <w:szCs w:val="22"/>
              </w:rPr>
            </w:pPr>
            <w:r>
              <w:rPr>
                <w:rFonts w:ascii="Arial" w:hAnsi="Arial"/>
                <w:sz w:val="22"/>
                <w:szCs w:val="22"/>
              </w:rPr>
              <w:t>Internal Audit</w:t>
            </w:r>
            <w:r w:rsidRPr="0015369C">
              <w:rPr>
                <w:rFonts w:ascii="Arial" w:hAnsi="Arial"/>
                <w:sz w:val="22"/>
                <w:szCs w:val="22"/>
              </w:rPr>
              <w:t xml:space="preserve"> is an internal appraisal service, established by the management of an organisation, which reviews the internal control system. It should objectively examine, evaluate and report on the adequacy of internal control as a contribution to the proper, economic, efficient and effective use of resources. To achieve full effectiveness, the scope of the internal audit service should provide an unrestricted range of coverage of the organisation's operations. </w:t>
            </w:r>
          </w:p>
          <w:p w:rsidR="0015369C" w:rsidRDefault="0015369C" w:rsidP="0015369C">
            <w:pPr>
              <w:pStyle w:val="ListParagraph"/>
              <w:ind w:left="-23" w:firstLine="23"/>
              <w:rPr>
                <w:rFonts w:ascii="Arial" w:hAnsi="Arial"/>
                <w:sz w:val="22"/>
                <w:szCs w:val="22"/>
              </w:rPr>
            </w:pPr>
          </w:p>
          <w:p w:rsidR="0015369C" w:rsidRPr="0015369C" w:rsidRDefault="0015369C" w:rsidP="0015369C">
            <w:pPr>
              <w:pStyle w:val="ListParagraph"/>
              <w:ind w:left="-23" w:firstLine="23"/>
              <w:rPr>
                <w:rFonts w:ascii="Arial" w:hAnsi="Arial"/>
                <w:sz w:val="22"/>
                <w:szCs w:val="22"/>
              </w:rPr>
            </w:pPr>
            <w:r w:rsidRPr="0015369C">
              <w:rPr>
                <w:rFonts w:ascii="Arial" w:hAnsi="Arial"/>
                <w:sz w:val="22"/>
                <w:szCs w:val="22"/>
              </w:rPr>
              <w:t>The internal auditors should have sufficient authority to allow them access to such assets, records and personnel as are necessary for the proper fulfilment of their responsibilities and report to the Board where they feel it is necessary.</w:t>
            </w:r>
          </w:p>
          <w:p w:rsidR="0015369C" w:rsidRPr="0015369C" w:rsidRDefault="0015369C" w:rsidP="00A504AD">
            <w:pPr>
              <w:pStyle w:val="BodyText"/>
              <w:rPr>
                <w:rFonts w:ascii="Arial" w:hAnsi="Arial"/>
                <w:sz w:val="22"/>
                <w:szCs w:val="22"/>
              </w:rPr>
            </w:pPr>
            <w:r>
              <w:rPr>
                <w:rFonts w:ascii="Arial" w:hAnsi="Arial"/>
                <w:sz w:val="22"/>
                <w:szCs w:val="22"/>
              </w:rPr>
              <w:t xml:space="preserve">Internal audit are independent of management and their work is undertaken and complies with Public Sector Internal Audit Standards.  Their plans are risk based and focused on controls and processes rather than individual financial transactions.  </w:t>
            </w:r>
          </w:p>
        </w:tc>
      </w:tr>
    </w:tbl>
    <w:p w:rsidR="00A20F7D" w:rsidRDefault="00A20F7D" w:rsidP="00A504AD">
      <w:pPr>
        <w:pStyle w:val="BodyText"/>
        <w:rPr>
          <w:sz w:val="24"/>
          <w:szCs w:val="24"/>
        </w:rPr>
      </w:pPr>
    </w:p>
    <w:p w:rsidR="00A504AD" w:rsidRDefault="0015369C" w:rsidP="00A504AD">
      <w:pPr>
        <w:autoSpaceDE w:val="0"/>
        <w:autoSpaceDN w:val="0"/>
        <w:adjustRightInd w:val="0"/>
        <w:spacing w:after="0" w:line="240" w:lineRule="auto"/>
        <w:rPr>
          <w:rFonts w:ascii="Arial" w:hAnsi="Arial"/>
          <w:sz w:val="22"/>
          <w:szCs w:val="22"/>
        </w:rPr>
      </w:pPr>
      <w:r>
        <w:rPr>
          <w:rFonts w:ascii="Arial" w:hAnsi="Arial"/>
          <w:sz w:val="22"/>
          <w:szCs w:val="22"/>
        </w:rPr>
        <w:t>Our review covered the period 2012/13 to 2017/18 and over this time different individuals were in post, and this is noted below for information:</w:t>
      </w:r>
    </w:p>
    <w:p w:rsidR="0015369C" w:rsidRDefault="0015369C" w:rsidP="00A504AD">
      <w:pPr>
        <w:autoSpaceDE w:val="0"/>
        <w:autoSpaceDN w:val="0"/>
        <w:adjustRightInd w:val="0"/>
        <w:spacing w:after="0" w:line="240" w:lineRule="auto"/>
        <w:rPr>
          <w:rFonts w:ascii="Arial" w:hAnsi="Arial"/>
          <w:sz w:val="22"/>
          <w:szCs w:val="22"/>
        </w:rPr>
      </w:pPr>
    </w:p>
    <w:p w:rsidR="0015369C" w:rsidRPr="006B0C36" w:rsidRDefault="0015369C" w:rsidP="006B0C36">
      <w:pPr>
        <w:autoSpaceDE w:val="0"/>
        <w:autoSpaceDN w:val="0"/>
        <w:adjustRightInd w:val="0"/>
        <w:spacing w:after="0" w:line="240" w:lineRule="auto"/>
        <w:rPr>
          <w:rFonts w:ascii="Arial" w:hAnsi="Arial"/>
          <w:sz w:val="22"/>
          <w:szCs w:val="22"/>
        </w:rPr>
      </w:pPr>
      <w:r w:rsidRPr="006B0C36">
        <w:rPr>
          <w:rFonts w:ascii="Arial" w:hAnsi="Arial"/>
          <w:sz w:val="22"/>
          <w:szCs w:val="22"/>
        </w:rPr>
        <w:t>Acc</w:t>
      </w:r>
      <w:r w:rsidR="006B0C36" w:rsidRPr="006B0C36">
        <w:rPr>
          <w:rFonts w:ascii="Arial" w:hAnsi="Arial"/>
          <w:sz w:val="22"/>
          <w:szCs w:val="22"/>
        </w:rPr>
        <w:t>ountable Officer was Lesley McL</w:t>
      </w:r>
      <w:r w:rsidRPr="006B0C36">
        <w:rPr>
          <w:rFonts w:ascii="Arial" w:hAnsi="Arial"/>
          <w:sz w:val="22"/>
          <w:szCs w:val="22"/>
        </w:rPr>
        <w:t>ay from December 2013</w:t>
      </w:r>
      <w:r w:rsidR="00105C89">
        <w:rPr>
          <w:rFonts w:ascii="Arial" w:hAnsi="Arial"/>
          <w:sz w:val="22"/>
          <w:szCs w:val="22"/>
        </w:rPr>
        <w:t xml:space="preserve"> onwards</w:t>
      </w:r>
    </w:p>
    <w:p w:rsidR="0015369C" w:rsidRPr="006B0C36" w:rsidRDefault="0015369C" w:rsidP="006B0C36">
      <w:pPr>
        <w:autoSpaceDE w:val="0"/>
        <w:autoSpaceDN w:val="0"/>
        <w:adjustRightInd w:val="0"/>
        <w:spacing w:after="0" w:line="240" w:lineRule="auto"/>
        <w:rPr>
          <w:rFonts w:ascii="Arial" w:hAnsi="Arial"/>
          <w:sz w:val="22"/>
          <w:szCs w:val="22"/>
        </w:rPr>
      </w:pPr>
      <w:r w:rsidRPr="006B0C36">
        <w:rPr>
          <w:rFonts w:ascii="Arial" w:hAnsi="Arial"/>
          <w:sz w:val="22"/>
          <w:szCs w:val="22"/>
        </w:rPr>
        <w:t xml:space="preserve">The Chairman was Sandy </w:t>
      </w:r>
      <w:r w:rsidR="006B0C36" w:rsidRPr="006B0C36">
        <w:rPr>
          <w:rFonts w:ascii="Arial" w:hAnsi="Arial"/>
          <w:sz w:val="22"/>
          <w:szCs w:val="22"/>
        </w:rPr>
        <w:t>Watson, OBE up until 2015</w:t>
      </w:r>
    </w:p>
    <w:p w:rsidR="006B0C36" w:rsidRPr="006B0C36" w:rsidRDefault="00105C89" w:rsidP="006B0C36">
      <w:pPr>
        <w:autoSpaceDE w:val="0"/>
        <w:autoSpaceDN w:val="0"/>
        <w:adjustRightInd w:val="0"/>
        <w:spacing w:after="0" w:line="240" w:lineRule="auto"/>
        <w:rPr>
          <w:rFonts w:ascii="Arial" w:hAnsi="Arial"/>
          <w:sz w:val="22"/>
          <w:szCs w:val="22"/>
        </w:rPr>
      </w:pPr>
      <w:r>
        <w:rPr>
          <w:rFonts w:ascii="Arial" w:hAnsi="Arial"/>
          <w:sz w:val="22"/>
          <w:szCs w:val="22"/>
        </w:rPr>
        <w:t>From 2015 onwards</w:t>
      </w:r>
      <w:r w:rsidR="006B0C36" w:rsidRPr="006B0C36">
        <w:rPr>
          <w:rFonts w:ascii="Arial" w:hAnsi="Arial"/>
          <w:sz w:val="22"/>
          <w:szCs w:val="22"/>
        </w:rPr>
        <w:t xml:space="preserve"> the Chairman was Professor John Connell</w:t>
      </w:r>
    </w:p>
    <w:p w:rsidR="006B0C36" w:rsidRDefault="006B0C36" w:rsidP="006B0C36">
      <w:pPr>
        <w:autoSpaceDE w:val="0"/>
        <w:autoSpaceDN w:val="0"/>
        <w:adjustRightInd w:val="0"/>
        <w:spacing w:after="0" w:line="240" w:lineRule="auto"/>
        <w:rPr>
          <w:rFonts w:ascii="Arial" w:hAnsi="Arial"/>
          <w:sz w:val="22"/>
          <w:szCs w:val="22"/>
        </w:rPr>
      </w:pPr>
      <w:r w:rsidRPr="006B0C36">
        <w:rPr>
          <w:rFonts w:ascii="Arial" w:hAnsi="Arial"/>
          <w:sz w:val="22"/>
          <w:szCs w:val="22"/>
        </w:rPr>
        <w:t>The Director of Finance up until 2015 was Iain McDonald and after that Lindsey Bedford</w:t>
      </w:r>
    </w:p>
    <w:p w:rsidR="00105C89" w:rsidRPr="006B0C36" w:rsidRDefault="00105C89" w:rsidP="006B0C36">
      <w:pPr>
        <w:autoSpaceDE w:val="0"/>
        <w:autoSpaceDN w:val="0"/>
        <w:adjustRightInd w:val="0"/>
        <w:spacing w:after="0" w:line="240" w:lineRule="auto"/>
        <w:rPr>
          <w:rFonts w:ascii="Arial" w:hAnsi="Arial"/>
          <w:sz w:val="22"/>
          <w:szCs w:val="22"/>
        </w:rPr>
      </w:pPr>
      <w:r>
        <w:rPr>
          <w:rFonts w:ascii="Arial" w:hAnsi="Arial"/>
          <w:sz w:val="22"/>
          <w:szCs w:val="22"/>
        </w:rPr>
        <w:t>The Assistant Director of Finance up until 2015 was David Carson</w:t>
      </w:r>
    </w:p>
    <w:p w:rsidR="00A504AD" w:rsidRPr="007B5A1E" w:rsidRDefault="00A504AD" w:rsidP="00A504AD">
      <w:pPr>
        <w:autoSpaceDE w:val="0"/>
        <w:autoSpaceDN w:val="0"/>
        <w:adjustRightInd w:val="0"/>
        <w:spacing w:after="0" w:line="240" w:lineRule="auto"/>
        <w:rPr>
          <w:rFonts w:ascii="Arial" w:hAnsi="Arial"/>
          <w:sz w:val="22"/>
          <w:szCs w:val="22"/>
        </w:rPr>
      </w:pPr>
    </w:p>
    <w:p w:rsidR="00A504AD" w:rsidRPr="006C6D88" w:rsidRDefault="00A504AD" w:rsidP="00A504AD">
      <w:pPr>
        <w:pStyle w:val="BodyText"/>
        <w:rPr>
          <w:sz w:val="24"/>
          <w:szCs w:val="24"/>
          <w:highlight w:val="yellow"/>
        </w:rPr>
      </w:pPr>
    </w:p>
    <w:p w:rsidR="00A504AD" w:rsidRDefault="00A504AD" w:rsidP="00A504AD">
      <w:pPr>
        <w:pStyle w:val="BodyText"/>
        <w:jc w:val="both"/>
        <w:rPr>
          <w:rFonts w:ascii="Arial" w:hAnsi="Arial"/>
          <w:b/>
          <w:color w:val="4F2D7F" w:themeColor="accent1"/>
          <w:sz w:val="24"/>
          <w:szCs w:val="24"/>
        </w:rPr>
      </w:pPr>
    </w:p>
    <w:p w:rsidR="00A504AD" w:rsidRDefault="00A504AD" w:rsidP="00A504AD">
      <w:pPr>
        <w:pStyle w:val="BodyText"/>
        <w:jc w:val="both"/>
        <w:rPr>
          <w:rFonts w:ascii="Arial" w:hAnsi="Arial"/>
          <w:b/>
          <w:color w:val="4F2D7F" w:themeColor="accent1"/>
          <w:sz w:val="24"/>
          <w:szCs w:val="24"/>
        </w:rPr>
      </w:pPr>
    </w:p>
    <w:p w:rsidR="00A504AD" w:rsidRDefault="00A504AD" w:rsidP="00A504AD">
      <w:pPr>
        <w:pStyle w:val="BodyText"/>
        <w:jc w:val="both"/>
        <w:rPr>
          <w:rFonts w:ascii="Arial" w:hAnsi="Arial"/>
          <w:b/>
          <w:color w:val="4F2D7F" w:themeColor="accent1"/>
          <w:sz w:val="24"/>
          <w:szCs w:val="24"/>
        </w:rPr>
      </w:pPr>
    </w:p>
    <w:p w:rsidR="00A504AD" w:rsidRDefault="00A504AD" w:rsidP="00A504AD">
      <w:pPr>
        <w:pStyle w:val="BodyText"/>
        <w:jc w:val="both"/>
        <w:rPr>
          <w:rFonts w:ascii="Arial" w:hAnsi="Arial"/>
          <w:b/>
          <w:color w:val="4F2D7F" w:themeColor="accent1"/>
          <w:sz w:val="24"/>
          <w:szCs w:val="24"/>
        </w:rPr>
      </w:pPr>
    </w:p>
    <w:p w:rsidR="00A504AD" w:rsidRDefault="00A504AD" w:rsidP="00A504AD">
      <w:pPr>
        <w:pStyle w:val="BodyText"/>
        <w:jc w:val="both"/>
        <w:rPr>
          <w:rFonts w:ascii="Arial" w:hAnsi="Arial"/>
          <w:b/>
          <w:color w:val="4F2D7F" w:themeColor="accent1"/>
          <w:sz w:val="24"/>
          <w:szCs w:val="24"/>
        </w:rPr>
      </w:pPr>
    </w:p>
    <w:p w:rsidR="00A504AD" w:rsidRDefault="00A504AD" w:rsidP="00A504AD">
      <w:pPr>
        <w:pStyle w:val="BodyText"/>
        <w:jc w:val="both"/>
        <w:rPr>
          <w:rFonts w:ascii="Arial" w:hAnsi="Arial"/>
          <w:b/>
          <w:color w:val="4F2D7F" w:themeColor="accent1"/>
          <w:sz w:val="24"/>
          <w:szCs w:val="24"/>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B478AA" w:rsidRDefault="00B478AA" w:rsidP="00B478AA">
      <w:pPr>
        <w:pStyle w:val="BodyText"/>
        <w:kinsoku w:val="0"/>
        <w:overflowPunct w:val="0"/>
        <w:spacing w:line="247" w:lineRule="auto"/>
        <w:ind w:right="67"/>
        <w:rPr>
          <w:spacing w:val="3"/>
          <w:w w:val="105"/>
          <w:sz w:val="17"/>
          <w:szCs w:val="17"/>
        </w:rPr>
      </w:pPr>
    </w:p>
    <w:p w:rsidR="00C469F6" w:rsidRDefault="00B478AA" w:rsidP="00B478AA">
      <w:pPr>
        <w:pStyle w:val="BodyText"/>
        <w:kinsoku w:val="0"/>
        <w:overflowPunct w:val="0"/>
        <w:spacing w:line="247" w:lineRule="auto"/>
        <w:ind w:right="67"/>
        <w:rPr>
          <w:spacing w:val="-20"/>
          <w:w w:val="105"/>
          <w:sz w:val="17"/>
          <w:szCs w:val="17"/>
        </w:rPr>
      </w:pPr>
      <w:r>
        <w:rPr>
          <w:spacing w:val="3"/>
          <w:w w:val="105"/>
          <w:sz w:val="17"/>
          <w:szCs w:val="17"/>
        </w:rPr>
        <w:t>This</w:t>
      </w:r>
      <w:r>
        <w:rPr>
          <w:spacing w:val="-13"/>
          <w:w w:val="105"/>
          <w:sz w:val="17"/>
          <w:szCs w:val="17"/>
        </w:rPr>
        <w:t xml:space="preserve"> </w:t>
      </w:r>
      <w:r>
        <w:rPr>
          <w:spacing w:val="3"/>
          <w:w w:val="105"/>
          <w:sz w:val="17"/>
          <w:szCs w:val="17"/>
        </w:rPr>
        <w:t>report</w:t>
      </w:r>
      <w:r>
        <w:rPr>
          <w:spacing w:val="-16"/>
          <w:w w:val="105"/>
          <w:sz w:val="17"/>
          <w:szCs w:val="17"/>
        </w:rPr>
        <w:t xml:space="preserve"> </w:t>
      </w:r>
      <w:r>
        <w:rPr>
          <w:spacing w:val="3"/>
          <w:w w:val="105"/>
          <w:sz w:val="17"/>
          <w:szCs w:val="17"/>
        </w:rPr>
        <w:t>is</w:t>
      </w:r>
      <w:r>
        <w:rPr>
          <w:spacing w:val="-11"/>
          <w:w w:val="105"/>
          <w:sz w:val="17"/>
          <w:szCs w:val="17"/>
        </w:rPr>
        <w:t xml:space="preserve"> </w:t>
      </w:r>
      <w:r>
        <w:rPr>
          <w:spacing w:val="2"/>
          <w:w w:val="105"/>
          <w:sz w:val="17"/>
          <w:szCs w:val="17"/>
        </w:rPr>
        <w:t>confidential</w:t>
      </w:r>
      <w:r>
        <w:rPr>
          <w:spacing w:val="-5"/>
          <w:w w:val="105"/>
          <w:sz w:val="17"/>
          <w:szCs w:val="17"/>
        </w:rPr>
        <w:t xml:space="preserve"> </w:t>
      </w:r>
      <w:r>
        <w:rPr>
          <w:w w:val="105"/>
          <w:sz w:val="17"/>
          <w:szCs w:val="17"/>
        </w:rPr>
        <w:t>and</w:t>
      </w:r>
      <w:r>
        <w:rPr>
          <w:spacing w:val="-5"/>
          <w:w w:val="105"/>
          <w:sz w:val="17"/>
          <w:szCs w:val="17"/>
        </w:rPr>
        <w:t xml:space="preserve"> </w:t>
      </w:r>
      <w:r>
        <w:rPr>
          <w:spacing w:val="3"/>
          <w:w w:val="105"/>
          <w:sz w:val="17"/>
          <w:szCs w:val="17"/>
        </w:rPr>
        <w:t>is</w:t>
      </w:r>
      <w:r>
        <w:rPr>
          <w:spacing w:val="-13"/>
          <w:w w:val="105"/>
          <w:sz w:val="17"/>
          <w:szCs w:val="17"/>
        </w:rPr>
        <w:t xml:space="preserve"> </w:t>
      </w:r>
      <w:r>
        <w:rPr>
          <w:spacing w:val="3"/>
          <w:w w:val="105"/>
          <w:sz w:val="17"/>
          <w:szCs w:val="17"/>
        </w:rPr>
        <w:t>intended</w:t>
      </w:r>
      <w:r>
        <w:rPr>
          <w:spacing w:val="-5"/>
          <w:w w:val="105"/>
          <w:sz w:val="17"/>
          <w:szCs w:val="17"/>
        </w:rPr>
        <w:t xml:space="preserve"> </w:t>
      </w:r>
      <w:r>
        <w:rPr>
          <w:spacing w:val="3"/>
          <w:w w:val="105"/>
          <w:sz w:val="17"/>
          <w:szCs w:val="17"/>
        </w:rPr>
        <w:t>for</w:t>
      </w:r>
      <w:r>
        <w:rPr>
          <w:spacing w:val="-8"/>
          <w:w w:val="105"/>
          <w:sz w:val="17"/>
          <w:szCs w:val="17"/>
        </w:rPr>
        <w:t xml:space="preserve"> </w:t>
      </w:r>
      <w:r>
        <w:rPr>
          <w:spacing w:val="2"/>
          <w:w w:val="105"/>
          <w:sz w:val="17"/>
          <w:szCs w:val="17"/>
        </w:rPr>
        <w:t>use</w:t>
      </w:r>
      <w:r>
        <w:rPr>
          <w:spacing w:val="-7"/>
          <w:w w:val="105"/>
          <w:sz w:val="17"/>
          <w:szCs w:val="17"/>
        </w:rPr>
        <w:t xml:space="preserve"> </w:t>
      </w:r>
      <w:r>
        <w:rPr>
          <w:w w:val="105"/>
          <w:sz w:val="17"/>
          <w:szCs w:val="17"/>
        </w:rPr>
        <w:t>by</w:t>
      </w:r>
      <w:r>
        <w:rPr>
          <w:spacing w:val="-6"/>
          <w:w w:val="105"/>
          <w:sz w:val="17"/>
          <w:szCs w:val="17"/>
        </w:rPr>
        <w:t xml:space="preserve"> </w:t>
      </w:r>
      <w:r>
        <w:rPr>
          <w:w w:val="105"/>
          <w:sz w:val="17"/>
          <w:szCs w:val="17"/>
        </w:rPr>
        <w:t>Scottish Government Health and Social Care Directorate</w:t>
      </w:r>
      <w:r>
        <w:rPr>
          <w:spacing w:val="2"/>
          <w:w w:val="105"/>
          <w:sz w:val="17"/>
          <w:szCs w:val="17"/>
        </w:rPr>
        <w:t>.</w:t>
      </w:r>
      <w:r>
        <w:rPr>
          <w:spacing w:val="-20"/>
          <w:w w:val="105"/>
          <w:sz w:val="17"/>
          <w:szCs w:val="17"/>
        </w:rPr>
        <w:t xml:space="preserve"> </w:t>
      </w:r>
    </w:p>
    <w:p w:rsidR="00B478AA" w:rsidRDefault="00B478AA" w:rsidP="00B478AA">
      <w:pPr>
        <w:pStyle w:val="BodyText"/>
        <w:kinsoku w:val="0"/>
        <w:overflowPunct w:val="0"/>
        <w:spacing w:line="247" w:lineRule="auto"/>
        <w:ind w:right="67"/>
        <w:rPr>
          <w:spacing w:val="2"/>
          <w:sz w:val="17"/>
          <w:szCs w:val="17"/>
        </w:rPr>
      </w:pPr>
      <w:r>
        <w:rPr>
          <w:w w:val="105"/>
          <w:sz w:val="17"/>
          <w:szCs w:val="17"/>
        </w:rPr>
        <w:t>We</w:t>
      </w:r>
      <w:r>
        <w:rPr>
          <w:spacing w:val="-7"/>
          <w:w w:val="105"/>
          <w:sz w:val="17"/>
          <w:szCs w:val="17"/>
        </w:rPr>
        <w:t xml:space="preserve"> </w:t>
      </w:r>
      <w:r>
        <w:rPr>
          <w:spacing w:val="3"/>
          <w:w w:val="105"/>
          <w:sz w:val="17"/>
          <w:szCs w:val="17"/>
        </w:rPr>
        <w:t>do</w:t>
      </w:r>
      <w:r>
        <w:rPr>
          <w:spacing w:val="-8"/>
          <w:w w:val="105"/>
          <w:sz w:val="17"/>
          <w:szCs w:val="17"/>
        </w:rPr>
        <w:t xml:space="preserve"> </w:t>
      </w:r>
      <w:r>
        <w:rPr>
          <w:spacing w:val="2"/>
          <w:w w:val="105"/>
          <w:sz w:val="17"/>
          <w:szCs w:val="17"/>
        </w:rPr>
        <w:t>not</w:t>
      </w:r>
      <w:r>
        <w:rPr>
          <w:spacing w:val="-17"/>
          <w:w w:val="105"/>
          <w:sz w:val="17"/>
          <w:szCs w:val="17"/>
        </w:rPr>
        <w:t xml:space="preserve"> </w:t>
      </w:r>
      <w:r>
        <w:rPr>
          <w:spacing w:val="4"/>
          <w:w w:val="105"/>
          <w:sz w:val="17"/>
          <w:szCs w:val="17"/>
        </w:rPr>
        <w:t>accept</w:t>
      </w:r>
      <w:r>
        <w:rPr>
          <w:spacing w:val="-1"/>
          <w:w w:val="105"/>
          <w:sz w:val="17"/>
          <w:szCs w:val="17"/>
        </w:rPr>
        <w:t xml:space="preserve"> </w:t>
      </w:r>
      <w:r>
        <w:rPr>
          <w:spacing w:val="2"/>
          <w:w w:val="105"/>
          <w:sz w:val="17"/>
          <w:szCs w:val="17"/>
        </w:rPr>
        <w:t>responsibility</w:t>
      </w:r>
      <w:r>
        <w:rPr>
          <w:spacing w:val="-7"/>
          <w:w w:val="105"/>
          <w:sz w:val="17"/>
          <w:szCs w:val="17"/>
        </w:rPr>
        <w:t xml:space="preserve"> </w:t>
      </w:r>
      <w:r>
        <w:rPr>
          <w:spacing w:val="3"/>
          <w:w w:val="105"/>
          <w:sz w:val="17"/>
          <w:szCs w:val="17"/>
        </w:rPr>
        <w:t>for</w:t>
      </w:r>
      <w:r>
        <w:rPr>
          <w:spacing w:val="-9"/>
          <w:w w:val="105"/>
          <w:sz w:val="17"/>
          <w:szCs w:val="17"/>
        </w:rPr>
        <w:t xml:space="preserve"> </w:t>
      </w:r>
      <w:r>
        <w:rPr>
          <w:w w:val="105"/>
          <w:sz w:val="17"/>
          <w:szCs w:val="17"/>
        </w:rPr>
        <w:t>any</w:t>
      </w:r>
      <w:r>
        <w:rPr>
          <w:spacing w:val="-7"/>
          <w:w w:val="105"/>
          <w:sz w:val="17"/>
          <w:szCs w:val="17"/>
        </w:rPr>
        <w:t xml:space="preserve"> </w:t>
      </w:r>
      <w:r>
        <w:rPr>
          <w:spacing w:val="2"/>
          <w:w w:val="105"/>
          <w:sz w:val="17"/>
          <w:szCs w:val="17"/>
        </w:rPr>
        <w:t>reliance</w:t>
      </w:r>
      <w:r>
        <w:rPr>
          <w:spacing w:val="-7"/>
          <w:w w:val="105"/>
          <w:sz w:val="17"/>
          <w:szCs w:val="17"/>
        </w:rPr>
        <w:t xml:space="preserve"> </w:t>
      </w:r>
      <w:r>
        <w:rPr>
          <w:w w:val="105"/>
          <w:sz w:val="17"/>
          <w:szCs w:val="17"/>
        </w:rPr>
        <w:t>that</w:t>
      </w:r>
      <w:r>
        <w:rPr>
          <w:spacing w:val="-17"/>
          <w:w w:val="105"/>
          <w:sz w:val="17"/>
          <w:szCs w:val="17"/>
        </w:rPr>
        <w:t xml:space="preserve"> </w:t>
      </w:r>
      <w:r>
        <w:rPr>
          <w:w w:val="105"/>
          <w:sz w:val="17"/>
          <w:szCs w:val="17"/>
        </w:rPr>
        <w:t>third</w:t>
      </w:r>
      <w:r>
        <w:rPr>
          <w:spacing w:val="-6"/>
          <w:w w:val="105"/>
          <w:sz w:val="17"/>
          <w:szCs w:val="17"/>
        </w:rPr>
        <w:t xml:space="preserve"> </w:t>
      </w:r>
      <w:r>
        <w:rPr>
          <w:w w:val="105"/>
          <w:sz w:val="17"/>
          <w:szCs w:val="17"/>
        </w:rPr>
        <w:t>parties</w:t>
      </w:r>
      <w:r>
        <w:rPr>
          <w:spacing w:val="-14"/>
          <w:w w:val="105"/>
          <w:sz w:val="17"/>
          <w:szCs w:val="17"/>
        </w:rPr>
        <w:t xml:space="preserve"> </w:t>
      </w:r>
      <w:r>
        <w:rPr>
          <w:w w:val="105"/>
          <w:sz w:val="17"/>
          <w:szCs w:val="17"/>
        </w:rPr>
        <w:t>may</w:t>
      </w:r>
      <w:r>
        <w:rPr>
          <w:spacing w:val="8"/>
          <w:w w:val="105"/>
          <w:sz w:val="17"/>
          <w:szCs w:val="17"/>
        </w:rPr>
        <w:t xml:space="preserve"> </w:t>
      </w:r>
      <w:r>
        <w:rPr>
          <w:w w:val="105"/>
          <w:sz w:val="17"/>
          <w:szCs w:val="17"/>
        </w:rPr>
        <w:t>place</w:t>
      </w:r>
      <w:r>
        <w:rPr>
          <w:spacing w:val="-7"/>
          <w:w w:val="105"/>
          <w:sz w:val="17"/>
          <w:szCs w:val="17"/>
        </w:rPr>
        <w:t xml:space="preserve"> </w:t>
      </w:r>
      <w:r>
        <w:rPr>
          <w:spacing w:val="4"/>
          <w:w w:val="105"/>
          <w:sz w:val="17"/>
          <w:szCs w:val="17"/>
        </w:rPr>
        <w:t>upon</w:t>
      </w:r>
      <w:r>
        <w:rPr>
          <w:spacing w:val="-8"/>
          <w:w w:val="105"/>
          <w:sz w:val="17"/>
          <w:szCs w:val="17"/>
        </w:rPr>
        <w:t xml:space="preserve"> </w:t>
      </w:r>
      <w:r>
        <w:rPr>
          <w:w w:val="105"/>
          <w:sz w:val="17"/>
          <w:szCs w:val="17"/>
        </w:rPr>
        <w:t>this</w:t>
      </w:r>
      <w:r>
        <w:rPr>
          <w:spacing w:val="-14"/>
          <w:w w:val="105"/>
          <w:sz w:val="17"/>
          <w:szCs w:val="17"/>
        </w:rPr>
        <w:t xml:space="preserve"> </w:t>
      </w:r>
      <w:r>
        <w:rPr>
          <w:spacing w:val="2"/>
          <w:w w:val="105"/>
          <w:sz w:val="17"/>
          <w:szCs w:val="17"/>
        </w:rPr>
        <w:t>report.</w:t>
      </w:r>
      <w:r>
        <w:rPr>
          <w:spacing w:val="-20"/>
          <w:w w:val="105"/>
          <w:sz w:val="17"/>
          <w:szCs w:val="17"/>
        </w:rPr>
        <w:t xml:space="preserve"> </w:t>
      </w:r>
      <w:r>
        <w:rPr>
          <w:w w:val="105"/>
          <w:sz w:val="17"/>
          <w:szCs w:val="17"/>
        </w:rPr>
        <w:t>Any</w:t>
      </w:r>
      <w:r>
        <w:rPr>
          <w:spacing w:val="8"/>
          <w:w w:val="105"/>
          <w:sz w:val="17"/>
          <w:szCs w:val="17"/>
        </w:rPr>
        <w:t xml:space="preserve"> </w:t>
      </w:r>
      <w:r>
        <w:rPr>
          <w:w w:val="105"/>
          <w:sz w:val="17"/>
          <w:szCs w:val="17"/>
        </w:rPr>
        <w:t>third</w:t>
      </w:r>
      <w:r>
        <w:rPr>
          <w:spacing w:val="-6"/>
          <w:w w:val="105"/>
          <w:sz w:val="17"/>
          <w:szCs w:val="17"/>
        </w:rPr>
        <w:t xml:space="preserve"> </w:t>
      </w:r>
      <w:r>
        <w:rPr>
          <w:w w:val="105"/>
          <w:sz w:val="17"/>
          <w:szCs w:val="17"/>
        </w:rPr>
        <w:t>party</w:t>
      </w:r>
      <w:r>
        <w:rPr>
          <w:spacing w:val="8"/>
          <w:w w:val="105"/>
          <w:sz w:val="17"/>
          <w:szCs w:val="17"/>
        </w:rPr>
        <w:t xml:space="preserve"> </w:t>
      </w:r>
      <w:r>
        <w:rPr>
          <w:spacing w:val="4"/>
          <w:w w:val="105"/>
          <w:sz w:val="17"/>
          <w:szCs w:val="17"/>
        </w:rPr>
        <w:t xml:space="preserve">relying </w:t>
      </w:r>
      <w:r>
        <w:rPr>
          <w:w w:val="105"/>
          <w:sz w:val="17"/>
          <w:szCs w:val="17"/>
        </w:rPr>
        <w:t>on</w:t>
      </w:r>
      <w:r>
        <w:rPr>
          <w:spacing w:val="-7"/>
          <w:w w:val="105"/>
          <w:sz w:val="17"/>
          <w:szCs w:val="17"/>
        </w:rPr>
        <w:t xml:space="preserve"> </w:t>
      </w:r>
      <w:r>
        <w:rPr>
          <w:w w:val="105"/>
          <w:sz w:val="17"/>
          <w:szCs w:val="17"/>
        </w:rPr>
        <w:t>this</w:t>
      </w:r>
      <w:r>
        <w:rPr>
          <w:spacing w:val="4"/>
          <w:w w:val="105"/>
          <w:sz w:val="17"/>
          <w:szCs w:val="17"/>
        </w:rPr>
        <w:t xml:space="preserve"> </w:t>
      </w:r>
      <w:r>
        <w:rPr>
          <w:spacing w:val="3"/>
          <w:w w:val="105"/>
          <w:sz w:val="17"/>
          <w:szCs w:val="17"/>
        </w:rPr>
        <w:t>report</w:t>
      </w:r>
      <w:r>
        <w:rPr>
          <w:spacing w:val="-16"/>
          <w:w w:val="105"/>
          <w:sz w:val="17"/>
          <w:szCs w:val="17"/>
        </w:rPr>
        <w:t xml:space="preserve"> </w:t>
      </w:r>
      <w:r>
        <w:rPr>
          <w:spacing w:val="4"/>
          <w:w w:val="105"/>
          <w:sz w:val="17"/>
          <w:szCs w:val="17"/>
        </w:rPr>
        <w:t>does</w:t>
      </w:r>
      <w:r>
        <w:rPr>
          <w:spacing w:val="-13"/>
          <w:w w:val="105"/>
          <w:sz w:val="17"/>
          <w:szCs w:val="17"/>
        </w:rPr>
        <w:t xml:space="preserve"> </w:t>
      </w:r>
      <w:r>
        <w:rPr>
          <w:w w:val="105"/>
          <w:sz w:val="17"/>
          <w:szCs w:val="17"/>
        </w:rPr>
        <w:t>so</w:t>
      </w:r>
      <w:r>
        <w:rPr>
          <w:spacing w:val="-7"/>
          <w:w w:val="105"/>
          <w:sz w:val="17"/>
          <w:szCs w:val="17"/>
        </w:rPr>
        <w:t xml:space="preserve"> </w:t>
      </w:r>
      <w:r>
        <w:rPr>
          <w:spacing w:val="3"/>
          <w:w w:val="105"/>
          <w:sz w:val="17"/>
          <w:szCs w:val="17"/>
        </w:rPr>
        <w:t>entirely</w:t>
      </w:r>
      <w:r>
        <w:rPr>
          <w:spacing w:val="-6"/>
          <w:w w:val="105"/>
          <w:sz w:val="17"/>
          <w:szCs w:val="17"/>
        </w:rPr>
        <w:t xml:space="preserve"> </w:t>
      </w:r>
      <w:r>
        <w:rPr>
          <w:spacing w:val="-4"/>
          <w:w w:val="105"/>
          <w:sz w:val="17"/>
          <w:szCs w:val="17"/>
        </w:rPr>
        <w:t>at</w:t>
      </w:r>
      <w:r>
        <w:rPr>
          <w:w w:val="105"/>
          <w:sz w:val="17"/>
          <w:szCs w:val="17"/>
        </w:rPr>
        <w:t xml:space="preserve"> its</w:t>
      </w:r>
      <w:r>
        <w:rPr>
          <w:spacing w:val="-13"/>
          <w:w w:val="105"/>
          <w:sz w:val="17"/>
          <w:szCs w:val="17"/>
        </w:rPr>
        <w:t xml:space="preserve"> </w:t>
      </w:r>
      <w:r>
        <w:rPr>
          <w:spacing w:val="4"/>
          <w:w w:val="105"/>
          <w:sz w:val="17"/>
          <w:szCs w:val="17"/>
        </w:rPr>
        <w:t>own</w:t>
      </w:r>
      <w:r>
        <w:rPr>
          <w:spacing w:val="-7"/>
          <w:w w:val="105"/>
          <w:sz w:val="17"/>
          <w:szCs w:val="17"/>
        </w:rPr>
        <w:t xml:space="preserve"> </w:t>
      </w:r>
      <w:r>
        <w:rPr>
          <w:w w:val="105"/>
          <w:sz w:val="17"/>
          <w:szCs w:val="17"/>
        </w:rPr>
        <w:t>risk.</w:t>
      </w:r>
      <w:r>
        <w:rPr>
          <w:spacing w:val="1"/>
          <w:w w:val="105"/>
          <w:sz w:val="17"/>
          <w:szCs w:val="17"/>
        </w:rPr>
        <w:t xml:space="preserve"> </w:t>
      </w:r>
      <w:r>
        <w:rPr>
          <w:w w:val="105"/>
          <w:sz w:val="17"/>
          <w:szCs w:val="17"/>
        </w:rPr>
        <w:t>We</w:t>
      </w:r>
      <w:r>
        <w:rPr>
          <w:spacing w:val="10"/>
          <w:w w:val="105"/>
          <w:sz w:val="17"/>
          <w:szCs w:val="17"/>
        </w:rPr>
        <w:t xml:space="preserve"> </w:t>
      </w:r>
      <w:r>
        <w:rPr>
          <w:w w:val="105"/>
          <w:sz w:val="17"/>
          <w:szCs w:val="17"/>
        </w:rPr>
        <w:t>accept</w:t>
      </w:r>
      <w:r>
        <w:rPr>
          <w:spacing w:val="-16"/>
          <w:w w:val="105"/>
          <w:sz w:val="17"/>
          <w:szCs w:val="17"/>
        </w:rPr>
        <w:t xml:space="preserve"> </w:t>
      </w:r>
      <w:r>
        <w:rPr>
          <w:w w:val="105"/>
          <w:sz w:val="17"/>
          <w:szCs w:val="17"/>
        </w:rPr>
        <w:t>no</w:t>
      </w:r>
      <w:r>
        <w:rPr>
          <w:spacing w:val="-7"/>
          <w:w w:val="105"/>
          <w:sz w:val="17"/>
          <w:szCs w:val="17"/>
        </w:rPr>
        <w:t xml:space="preserve"> </w:t>
      </w:r>
      <w:r>
        <w:rPr>
          <w:spacing w:val="2"/>
          <w:w w:val="105"/>
          <w:sz w:val="17"/>
          <w:szCs w:val="17"/>
        </w:rPr>
        <w:t>liability</w:t>
      </w:r>
      <w:r>
        <w:rPr>
          <w:spacing w:val="-6"/>
          <w:w w:val="105"/>
          <w:sz w:val="17"/>
          <w:szCs w:val="17"/>
        </w:rPr>
        <w:t xml:space="preserve"> </w:t>
      </w:r>
      <w:r>
        <w:rPr>
          <w:w w:val="105"/>
          <w:sz w:val="17"/>
          <w:szCs w:val="17"/>
        </w:rPr>
        <w:t>to</w:t>
      </w:r>
      <w:r>
        <w:rPr>
          <w:spacing w:val="-7"/>
          <w:w w:val="105"/>
          <w:sz w:val="17"/>
          <w:szCs w:val="17"/>
        </w:rPr>
        <w:t xml:space="preserve"> </w:t>
      </w:r>
      <w:r>
        <w:rPr>
          <w:w w:val="105"/>
          <w:sz w:val="17"/>
          <w:szCs w:val="17"/>
        </w:rPr>
        <w:t>any</w:t>
      </w:r>
      <w:r>
        <w:rPr>
          <w:spacing w:val="10"/>
          <w:w w:val="105"/>
          <w:sz w:val="17"/>
          <w:szCs w:val="17"/>
        </w:rPr>
        <w:t xml:space="preserve"> </w:t>
      </w:r>
      <w:r>
        <w:rPr>
          <w:w w:val="105"/>
          <w:sz w:val="17"/>
          <w:szCs w:val="17"/>
        </w:rPr>
        <w:t>third</w:t>
      </w:r>
      <w:r>
        <w:rPr>
          <w:spacing w:val="-5"/>
          <w:w w:val="105"/>
          <w:sz w:val="17"/>
          <w:szCs w:val="17"/>
        </w:rPr>
        <w:t xml:space="preserve"> </w:t>
      </w:r>
      <w:r>
        <w:rPr>
          <w:w w:val="105"/>
          <w:sz w:val="17"/>
          <w:szCs w:val="17"/>
        </w:rPr>
        <w:t>party</w:t>
      </w:r>
      <w:r>
        <w:rPr>
          <w:spacing w:val="10"/>
          <w:w w:val="105"/>
          <w:sz w:val="17"/>
          <w:szCs w:val="17"/>
        </w:rPr>
        <w:t xml:space="preserve"> </w:t>
      </w:r>
      <w:r>
        <w:rPr>
          <w:spacing w:val="3"/>
          <w:w w:val="105"/>
          <w:sz w:val="17"/>
          <w:szCs w:val="17"/>
        </w:rPr>
        <w:t>for</w:t>
      </w:r>
      <w:r>
        <w:rPr>
          <w:spacing w:val="-8"/>
          <w:w w:val="105"/>
          <w:sz w:val="17"/>
          <w:szCs w:val="17"/>
        </w:rPr>
        <w:t xml:space="preserve"> </w:t>
      </w:r>
      <w:r>
        <w:rPr>
          <w:w w:val="105"/>
          <w:sz w:val="17"/>
          <w:szCs w:val="17"/>
        </w:rPr>
        <w:t>any</w:t>
      </w:r>
      <w:r>
        <w:rPr>
          <w:spacing w:val="-6"/>
          <w:w w:val="105"/>
          <w:sz w:val="17"/>
          <w:szCs w:val="17"/>
        </w:rPr>
        <w:t xml:space="preserve"> </w:t>
      </w:r>
      <w:r>
        <w:rPr>
          <w:spacing w:val="2"/>
          <w:w w:val="105"/>
          <w:sz w:val="17"/>
          <w:szCs w:val="17"/>
        </w:rPr>
        <w:t xml:space="preserve">loss </w:t>
      </w:r>
      <w:r>
        <w:rPr>
          <w:w w:val="105"/>
          <w:sz w:val="17"/>
          <w:szCs w:val="17"/>
        </w:rPr>
        <w:t>or</w:t>
      </w:r>
      <w:r>
        <w:rPr>
          <w:spacing w:val="-8"/>
          <w:w w:val="105"/>
          <w:sz w:val="17"/>
          <w:szCs w:val="17"/>
        </w:rPr>
        <w:t xml:space="preserve"> </w:t>
      </w:r>
      <w:r>
        <w:rPr>
          <w:w w:val="105"/>
          <w:sz w:val="17"/>
          <w:szCs w:val="17"/>
        </w:rPr>
        <w:t>damage</w:t>
      </w:r>
      <w:r>
        <w:rPr>
          <w:spacing w:val="10"/>
          <w:w w:val="105"/>
          <w:sz w:val="17"/>
          <w:szCs w:val="17"/>
        </w:rPr>
        <w:t xml:space="preserve"> </w:t>
      </w:r>
      <w:r>
        <w:rPr>
          <w:spacing w:val="4"/>
          <w:w w:val="105"/>
          <w:sz w:val="17"/>
          <w:szCs w:val="17"/>
        </w:rPr>
        <w:t>suffered</w:t>
      </w:r>
      <w:r>
        <w:rPr>
          <w:spacing w:val="-5"/>
          <w:w w:val="105"/>
          <w:sz w:val="17"/>
          <w:szCs w:val="17"/>
        </w:rPr>
        <w:t xml:space="preserve"> </w:t>
      </w:r>
      <w:r>
        <w:rPr>
          <w:w w:val="105"/>
          <w:sz w:val="17"/>
          <w:szCs w:val="17"/>
        </w:rPr>
        <w:t>or</w:t>
      </w:r>
      <w:r>
        <w:rPr>
          <w:spacing w:val="-8"/>
          <w:w w:val="105"/>
          <w:sz w:val="17"/>
          <w:szCs w:val="17"/>
        </w:rPr>
        <w:t xml:space="preserve"> </w:t>
      </w:r>
      <w:r>
        <w:rPr>
          <w:w w:val="105"/>
          <w:sz w:val="17"/>
          <w:szCs w:val="17"/>
        </w:rPr>
        <w:t>costs</w:t>
      </w:r>
      <w:r>
        <w:rPr>
          <w:spacing w:val="-13"/>
          <w:w w:val="105"/>
          <w:sz w:val="17"/>
          <w:szCs w:val="17"/>
        </w:rPr>
        <w:t xml:space="preserve"> </w:t>
      </w:r>
      <w:r>
        <w:rPr>
          <w:spacing w:val="4"/>
          <w:w w:val="105"/>
          <w:sz w:val="17"/>
          <w:szCs w:val="17"/>
        </w:rPr>
        <w:t>incurred,</w:t>
      </w:r>
      <w:r>
        <w:rPr>
          <w:spacing w:val="-19"/>
          <w:w w:val="105"/>
          <w:sz w:val="17"/>
          <w:szCs w:val="17"/>
        </w:rPr>
        <w:t xml:space="preserve"> </w:t>
      </w:r>
      <w:r>
        <w:rPr>
          <w:w w:val="105"/>
          <w:sz w:val="17"/>
          <w:szCs w:val="17"/>
        </w:rPr>
        <w:t>arising</w:t>
      </w:r>
      <w:r>
        <w:rPr>
          <w:spacing w:val="5"/>
          <w:w w:val="105"/>
          <w:sz w:val="17"/>
          <w:szCs w:val="17"/>
        </w:rPr>
        <w:t xml:space="preserve"> </w:t>
      </w:r>
      <w:r>
        <w:rPr>
          <w:spacing w:val="4"/>
          <w:w w:val="105"/>
          <w:sz w:val="17"/>
          <w:szCs w:val="17"/>
        </w:rPr>
        <w:t>out</w:t>
      </w:r>
      <w:r>
        <w:rPr>
          <w:spacing w:val="-16"/>
          <w:w w:val="105"/>
          <w:sz w:val="17"/>
          <w:szCs w:val="17"/>
        </w:rPr>
        <w:t xml:space="preserve"> </w:t>
      </w:r>
      <w:r>
        <w:rPr>
          <w:w w:val="105"/>
          <w:sz w:val="17"/>
          <w:szCs w:val="17"/>
        </w:rPr>
        <w:t>of</w:t>
      </w:r>
      <w:r>
        <w:rPr>
          <w:spacing w:val="-6"/>
          <w:w w:val="105"/>
          <w:sz w:val="17"/>
          <w:szCs w:val="17"/>
        </w:rPr>
        <w:t xml:space="preserve"> </w:t>
      </w:r>
      <w:r>
        <w:rPr>
          <w:w w:val="105"/>
          <w:sz w:val="17"/>
          <w:szCs w:val="17"/>
        </w:rPr>
        <w:t>or</w:t>
      </w:r>
      <w:r>
        <w:rPr>
          <w:spacing w:val="-8"/>
          <w:w w:val="105"/>
          <w:sz w:val="17"/>
          <w:szCs w:val="17"/>
        </w:rPr>
        <w:t xml:space="preserve"> </w:t>
      </w:r>
      <w:r>
        <w:rPr>
          <w:spacing w:val="3"/>
          <w:w w:val="105"/>
          <w:sz w:val="17"/>
          <w:szCs w:val="17"/>
        </w:rPr>
        <w:t>in</w:t>
      </w:r>
      <w:r>
        <w:rPr>
          <w:spacing w:val="-7"/>
          <w:w w:val="105"/>
          <w:sz w:val="17"/>
          <w:szCs w:val="17"/>
        </w:rPr>
        <w:t xml:space="preserve"> </w:t>
      </w:r>
      <w:r>
        <w:rPr>
          <w:spacing w:val="3"/>
          <w:w w:val="105"/>
          <w:sz w:val="17"/>
          <w:szCs w:val="17"/>
        </w:rPr>
        <w:t>connection</w:t>
      </w:r>
      <w:r>
        <w:rPr>
          <w:spacing w:val="-7"/>
          <w:w w:val="105"/>
          <w:sz w:val="17"/>
          <w:szCs w:val="17"/>
        </w:rPr>
        <w:t xml:space="preserve"> </w:t>
      </w:r>
      <w:r>
        <w:rPr>
          <w:spacing w:val="2"/>
          <w:w w:val="105"/>
          <w:sz w:val="17"/>
          <w:szCs w:val="17"/>
        </w:rPr>
        <w:t>with</w:t>
      </w:r>
      <w:r>
        <w:rPr>
          <w:spacing w:val="-7"/>
          <w:w w:val="105"/>
          <w:sz w:val="17"/>
          <w:szCs w:val="17"/>
        </w:rPr>
        <w:t xml:space="preserve"> </w:t>
      </w:r>
      <w:r>
        <w:rPr>
          <w:w w:val="105"/>
          <w:sz w:val="17"/>
          <w:szCs w:val="17"/>
        </w:rPr>
        <w:t>the</w:t>
      </w:r>
      <w:r>
        <w:rPr>
          <w:spacing w:val="-6"/>
          <w:w w:val="105"/>
          <w:sz w:val="17"/>
          <w:szCs w:val="17"/>
        </w:rPr>
        <w:t xml:space="preserve"> </w:t>
      </w:r>
      <w:r>
        <w:rPr>
          <w:spacing w:val="2"/>
          <w:w w:val="105"/>
          <w:sz w:val="17"/>
          <w:szCs w:val="17"/>
        </w:rPr>
        <w:t>use</w:t>
      </w:r>
      <w:r>
        <w:rPr>
          <w:spacing w:val="-7"/>
          <w:w w:val="105"/>
          <w:sz w:val="17"/>
          <w:szCs w:val="17"/>
        </w:rPr>
        <w:t xml:space="preserve"> </w:t>
      </w:r>
      <w:r>
        <w:rPr>
          <w:w w:val="105"/>
          <w:sz w:val="17"/>
          <w:szCs w:val="17"/>
        </w:rPr>
        <w:t>of</w:t>
      </w:r>
      <w:r>
        <w:rPr>
          <w:spacing w:val="-6"/>
          <w:w w:val="105"/>
          <w:sz w:val="17"/>
          <w:szCs w:val="17"/>
        </w:rPr>
        <w:t xml:space="preserve"> </w:t>
      </w:r>
      <w:r>
        <w:rPr>
          <w:w w:val="105"/>
          <w:sz w:val="17"/>
          <w:szCs w:val="17"/>
        </w:rPr>
        <w:t xml:space="preserve">this </w:t>
      </w:r>
      <w:r>
        <w:rPr>
          <w:spacing w:val="2"/>
          <w:w w:val="105"/>
          <w:sz w:val="17"/>
          <w:szCs w:val="17"/>
        </w:rPr>
        <w:t>report,</w:t>
      </w:r>
      <w:r>
        <w:rPr>
          <w:spacing w:val="-20"/>
          <w:w w:val="105"/>
          <w:sz w:val="17"/>
          <w:szCs w:val="17"/>
        </w:rPr>
        <w:t xml:space="preserve"> </w:t>
      </w:r>
      <w:r>
        <w:rPr>
          <w:spacing w:val="3"/>
          <w:w w:val="105"/>
          <w:sz w:val="17"/>
          <w:szCs w:val="17"/>
        </w:rPr>
        <w:t>however</w:t>
      </w:r>
      <w:r>
        <w:rPr>
          <w:spacing w:val="-9"/>
          <w:w w:val="105"/>
          <w:sz w:val="17"/>
          <w:szCs w:val="17"/>
        </w:rPr>
        <w:t xml:space="preserve"> </w:t>
      </w:r>
      <w:r>
        <w:rPr>
          <w:spacing w:val="3"/>
          <w:w w:val="105"/>
          <w:sz w:val="17"/>
          <w:szCs w:val="17"/>
        </w:rPr>
        <w:t>such</w:t>
      </w:r>
      <w:r>
        <w:rPr>
          <w:spacing w:val="-8"/>
          <w:w w:val="105"/>
          <w:sz w:val="17"/>
          <w:szCs w:val="17"/>
        </w:rPr>
        <w:t xml:space="preserve"> </w:t>
      </w:r>
      <w:r>
        <w:rPr>
          <w:spacing w:val="2"/>
          <w:w w:val="105"/>
          <w:sz w:val="17"/>
          <w:szCs w:val="17"/>
        </w:rPr>
        <w:t>loss</w:t>
      </w:r>
      <w:r>
        <w:rPr>
          <w:spacing w:val="-14"/>
          <w:w w:val="105"/>
          <w:sz w:val="17"/>
          <w:szCs w:val="17"/>
        </w:rPr>
        <w:t xml:space="preserve"> </w:t>
      </w:r>
      <w:r>
        <w:rPr>
          <w:w w:val="105"/>
          <w:sz w:val="17"/>
          <w:szCs w:val="17"/>
        </w:rPr>
        <w:t>or</w:t>
      </w:r>
      <w:r>
        <w:rPr>
          <w:spacing w:val="-9"/>
          <w:w w:val="105"/>
          <w:sz w:val="17"/>
          <w:szCs w:val="17"/>
        </w:rPr>
        <w:t xml:space="preserve"> </w:t>
      </w:r>
      <w:r>
        <w:rPr>
          <w:w w:val="105"/>
          <w:sz w:val="17"/>
          <w:szCs w:val="17"/>
        </w:rPr>
        <w:t>damage</w:t>
      </w:r>
      <w:r>
        <w:rPr>
          <w:spacing w:val="7"/>
          <w:w w:val="105"/>
          <w:sz w:val="17"/>
          <w:szCs w:val="17"/>
        </w:rPr>
        <w:t xml:space="preserve"> </w:t>
      </w:r>
      <w:r>
        <w:rPr>
          <w:spacing w:val="3"/>
          <w:w w:val="105"/>
          <w:sz w:val="17"/>
          <w:szCs w:val="17"/>
        </w:rPr>
        <w:t>is</w:t>
      </w:r>
      <w:r>
        <w:rPr>
          <w:spacing w:val="-14"/>
          <w:w w:val="105"/>
          <w:sz w:val="17"/>
          <w:szCs w:val="17"/>
        </w:rPr>
        <w:t xml:space="preserve"> </w:t>
      </w:r>
      <w:r>
        <w:rPr>
          <w:spacing w:val="2"/>
          <w:w w:val="105"/>
          <w:sz w:val="17"/>
          <w:szCs w:val="17"/>
        </w:rPr>
        <w:t>caused.</w:t>
      </w:r>
    </w:p>
    <w:p w:rsidR="00B478AA" w:rsidRDefault="00B478AA" w:rsidP="00B478AA">
      <w:pPr>
        <w:pStyle w:val="BodyText"/>
        <w:kinsoku w:val="0"/>
        <w:overflowPunct w:val="0"/>
        <w:spacing w:before="1"/>
        <w:rPr>
          <w:szCs w:val="18"/>
        </w:rPr>
      </w:pPr>
    </w:p>
    <w:p w:rsidR="00160E14" w:rsidRPr="00AC5C31" w:rsidRDefault="00160E14" w:rsidP="007B5A1E">
      <w:pPr>
        <w:pStyle w:val="Default"/>
      </w:pPr>
    </w:p>
    <w:sectPr w:rsidR="00160E14" w:rsidRPr="00AC5C31" w:rsidSect="0080491F">
      <w:headerReference w:type="default" r:id="rId9"/>
      <w:footerReference w:type="default" r:id="rId10"/>
      <w:pgSz w:w="11907" w:h="16840" w:code="9"/>
      <w:pgMar w:top="993" w:right="1701" w:bottom="913" w:left="913" w:header="68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51D" w:rsidRDefault="00AF451D">
      <w:r>
        <w:separator/>
      </w:r>
    </w:p>
  </w:endnote>
  <w:endnote w:type="continuationSeparator" w:id="0">
    <w:p w:rsidR="00AF451D" w:rsidRDefault="00AF45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Univers 45 Light">
    <w:altName w:val="Univers 45 Light"/>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j-ea">
    <w:panose1 w:val="00000000000000000000"/>
    <w:charset w:val="00"/>
    <w:family w:val="roman"/>
    <w:notTrueType/>
    <w:pitch w:val="default"/>
    <w:sig w:usb0="00000000" w:usb1="00000000" w:usb2="00000000" w:usb3="00000000" w:csb0="00000000"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3006796"/>
      <w:docPartObj>
        <w:docPartGallery w:val="Page Numbers (Bottom of Page)"/>
        <w:docPartUnique/>
      </w:docPartObj>
    </w:sdtPr>
    <w:sdtEndPr>
      <w:rPr>
        <w:noProof/>
      </w:rPr>
    </w:sdtEndPr>
    <w:sdtContent>
      <w:p w:rsidR="0005764E" w:rsidRDefault="00026CEF">
        <w:pPr>
          <w:pStyle w:val="Footer"/>
        </w:pPr>
        <w:r>
          <w:fldChar w:fldCharType="begin"/>
        </w:r>
        <w:r w:rsidR="0005764E">
          <w:instrText xml:space="preserve"> PAGE   \* MERGEFORMAT </w:instrText>
        </w:r>
        <w:r>
          <w:fldChar w:fldCharType="separate"/>
        </w:r>
        <w:r w:rsidR="00274D5C">
          <w:rPr>
            <w:noProof/>
          </w:rPr>
          <w:t>2</w:t>
        </w:r>
        <w:r>
          <w:rPr>
            <w:noProof/>
          </w:rPr>
          <w:fldChar w:fldCharType="end"/>
        </w:r>
      </w:p>
    </w:sdtContent>
  </w:sdt>
  <w:p w:rsidR="0005764E" w:rsidRDefault="000576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51D" w:rsidRDefault="00AF451D">
      <w:r>
        <w:separator/>
      </w:r>
    </w:p>
  </w:footnote>
  <w:footnote w:type="continuationSeparator" w:id="0">
    <w:p w:rsidR="00AF451D" w:rsidRDefault="00AF45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64E" w:rsidRDefault="0005764E" w:rsidP="00941227">
    <w:pPr>
      <w:pStyle w:val="Header"/>
      <w:pBdr>
        <w:bottom w:val="single" w:sz="4" w:space="8" w:color="4F2D7F" w:themeColor="accent1"/>
      </w:pBdr>
      <w:spacing w:after="360"/>
      <w:contextualSpacing/>
      <w:rPr>
        <w:color w:val="404040" w:themeColor="text1" w:themeTint="BF"/>
      </w:rPr>
    </w:pPr>
  </w:p>
  <w:p w:rsidR="0005764E" w:rsidRDefault="0005764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41ACB62"/>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CEC861FE"/>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1"/>
    <w:multiLevelType w:val="singleLevel"/>
    <w:tmpl w:val="672A361A"/>
    <w:lvl w:ilvl="0">
      <w:start w:val="1"/>
      <w:numFmt w:val="bullet"/>
      <w:pStyle w:val="ListBullet4"/>
      <w:lvlText w:val=""/>
      <w:lvlJc w:val="left"/>
      <w:pPr>
        <w:tabs>
          <w:tab w:val="num" w:pos="1209"/>
        </w:tabs>
        <w:ind w:left="1209" w:hanging="360"/>
      </w:pPr>
      <w:rPr>
        <w:rFonts w:ascii="Symbol" w:hAnsi="Symbol" w:hint="default"/>
      </w:rPr>
    </w:lvl>
  </w:abstractNum>
  <w:abstractNum w:abstractNumId="3">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7"/>
        </w:tabs>
        <w:ind w:left="567" w:hanging="283"/>
      </w:pPr>
      <w:rPr>
        <w:rFonts w:ascii="Symbol" w:hAnsi="Symbol" w:hint="default"/>
        <w:color w:val="808080" w:themeColor="background1" w:themeShade="80"/>
      </w:rPr>
    </w:lvl>
    <w:lvl w:ilvl="2">
      <w:start w:val="1"/>
      <w:numFmt w:val="bullet"/>
      <w:pStyle w:val="TableBullet3"/>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4">
    <w:nsid w:val="00AA24D4"/>
    <w:multiLevelType w:val="hybridMultilevel"/>
    <w:tmpl w:val="42947C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1E0292E"/>
    <w:multiLevelType w:val="hybridMultilevel"/>
    <w:tmpl w:val="F80EC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7">
    <w:nsid w:val="11646E56"/>
    <w:multiLevelType w:val="hybridMultilevel"/>
    <w:tmpl w:val="38B62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29B6DF3"/>
    <w:multiLevelType w:val="hybridMultilevel"/>
    <w:tmpl w:val="C4906E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10">
    <w:nsid w:val="1A933704"/>
    <w:multiLevelType w:val="multilevel"/>
    <w:tmpl w:val="8460F8B0"/>
    <w:numStyleLink w:val="GTTableBullets"/>
  </w:abstractNum>
  <w:abstractNum w:abstractNumId="11">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pStyle w:val="TableNumber2"/>
      <w:lvlText w:val="%2"/>
      <w:lvlJc w:val="left"/>
      <w:pPr>
        <w:tabs>
          <w:tab w:val="num" w:pos="567"/>
        </w:tabs>
        <w:ind w:left="567" w:hanging="283"/>
      </w:pPr>
      <w:rPr>
        <w:rFonts w:hint="default"/>
      </w:rPr>
    </w:lvl>
    <w:lvl w:ilvl="2">
      <w:start w:val="1"/>
      <w:numFmt w:val="lowerRoman"/>
      <w:pStyle w:val="TableNumber3"/>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12">
    <w:nsid w:val="1E124855"/>
    <w:multiLevelType w:val="hybridMultilevel"/>
    <w:tmpl w:val="FDA075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0441ABC"/>
    <w:multiLevelType w:val="hybridMultilevel"/>
    <w:tmpl w:val="1E6C5546"/>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
    <w:nsid w:val="249825EF"/>
    <w:multiLevelType w:val="hybridMultilevel"/>
    <w:tmpl w:val="DB748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9031903"/>
    <w:multiLevelType w:val="hybridMultilevel"/>
    <w:tmpl w:val="A18031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99F0146"/>
    <w:multiLevelType w:val="hybridMultilevel"/>
    <w:tmpl w:val="148226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9E617F9"/>
    <w:multiLevelType w:val="hybridMultilevel"/>
    <w:tmpl w:val="C52CDBEC"/>
    <w:lvl w:ilvl="0" w:tplc="71E2521E">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9">
    <w:nsid w:val="3BA976CF"/>
    <w:multiLevelType w:val="multilevel"/>
    <w:tmpl w:val="98FC98AC"/>
    <w:numStyleLink w:val="GTListNumber"/>
  </w:abstractNum>
  <w:abstractNum w:abstractNumId="20">
    <w:nsid w:val="3CCB718C"/>
    <w:multiLevelType w:val="hybridMultilevel"/>
    <w:tmpl w:val="A18031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E910C3F"/>
    <w:multiLevelType w:val="hybridMultilevel"/>
    <w:tmpl w:val="175EDA64"/>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2">
    <w:nsid w:val="41E11360"/>
    <w:multiLevelType w:val="hybridMultilevel"/>
    <w:tmpl w:val="A8F09252"/>
    <w:lvl w:ilvl="0" w:tplc="71E2521E">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77766A3"/>
    <w:multiLevelType w:val="hybridMultilevel"/>
    <w:tmpl w:val="6FBA9A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DB60382"/>
    <w:multiLevelType w:val="multilevel"/>
    <w:tmpl w:val="8BC6C6B6"/>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1134"/>
        </w:tabs>
        <w:ind w:left="1134" w:hanging="680"/>
      </w:pPr>
      <w:rPr>
        <w:rFonts w:hint="default"/>
      </w:rPr>
    </w:lvl>
    <w:lvl w:ilvl="2">
      <w:start w:val="1"/>
      <w:numFmt w:val="decimal"/>
      <w:lvlText w:val="%1.%2.%3."/>
      <w:lvlJc w:val="left"/>
      <w:pPr>
        <w:tabs>
          <w:tab w:val="num" w:pos="2155"/>
        </w:tabs>
        <w:ind w:left="2155" w:hanging="1021"/>
      </w:pPr>
      <w:rPr>
        <w:rFonts w:hint="default"/>
      </w:rPr>
    </w:lvl>
    <w:lvl w:ilvl="3">
      <w:start w:val="1"/>
      <w:numFmt w:val="decimal"/>
      <w:pStyle w:val="ListNumber4"/>
      <w:lvlText w:val="%1.%2.%3.%4."/>
      <w:lvlJc w:val="left"/>
      <w:pPr>
        <w:tabs>
          <w:tab w:val="num" w:pos="3515"/>
        </w:tabs>
        <w:ind w:left="3515" w:hanging="136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52BD6E2A"/>
    <w:multiLevelType w:val="multilevel"/>
    <w:tmpl w:val="98FC98AC"/>
    <w:styleLink w:val="GTListNumber"/>
    <w:lvl w:ilvl="0">
      <w:start w:val="1"/>
      <w:numFmt w:val="decimal"/>
      <w:pStyle w:val="ListNumber"/>
      <w:lvlText w:val="%1"/>
      <w:lvlJc w:val="left"/>
      <w:pPr>
        <w:tabs>
          <w:tab w:val="num" w:pos="284"/>
        </w:tabs>
        <w:ind w:left="284" w:hanging="284"/>
      </w:pPr>
      <w:rPr>
        <w:rFonts w:hint="default"/>
      </w:rPr>
    </w:lvl>
    <w:lvl w:ilvl="1">
      <w:start w:val="1"/>
      <w:numFmt w:val="lowerLetter"/>
      <w:pStyle w:val="ListNumber2"/>
      <w:lvlText w:val="%2"/>
      <w:lvlJc w:val="left"/>
      <w:pPr>
        <w:tabs>
          <w:tab w:val="num" w:pos="567"/>
        </w:tabs>
        <w:ind w:left="567" w:hanging="283"/>
      </w:pPr>
      <w:rPr>
        <w:rFonts w:hint="default"/>
      </w:rPr>
    </w:lvl>
    <w:lvl w:ilvl="2">
      <w:start w:val="1"/>
      <w:numFmt w:val="lowerRoman"/>
      <w:pStyle w:val="ListNumber3"/>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6">
    <w:nsid w:val="55FC78EC"/>
    <w:multiLevelType w:val="hybridMultilevel"/>
    <w:tmpl w:val="B3126856"/>
    <w:lvl w:ilvl="0" w:tplc="E58E0380">
      <w:start w:val="1"/>
      <w:numFmt w:val="bullet"/>
      <w:pStyle w:val="BulletOne"/>
      <w:lvlText w:val=""/>
      <w:lvlJc w:val="left"/>
      <w:pPr>
        <w:tabs>
          <w:tab w:val="num" w:pos="227"/>
        </w:tabs>
        <w:ind w:left="227"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91B18A0"/>
    <w:multiLevelType w:val="hybridMultilevel"/>
    <w:tmpl w:val="35A454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A443A74"/>
    <w:multiLevelType w:val="hybridMultilevel"/>
    <w:tmpl w:val="4CD050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C2117D7"/>
    <w:multiLevelType w:val="hybridMultilevel"/>
    <w:tmpl w:val="8AC40B4A"/>
    <w:lvl w:ilvl="0" w:tplc="08090013">
      <w:start w:val="1"/>
      <w:numFmt w:val="upperRoman"/>
      <w:lvlText w:val="%1."/>
      <w:lvlJc w:val="righ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0">
    <w:nsid w:val="5DDB5E6E"/>
    <w:multiLevelType w:val="multilevel"/>
    <w:tmpl w:val="FAE6F968"/>
    <w:numStyleLink w:val="GTListBullet"/>
  </w:abstractNum>
  <w:abstractNum w:abstractNumId="31">
    <w:nsid w:val="60306B70"/>
    <w:multiLevelType w:val="hybridMultilevel"/>
    <w:tmpl w:val="F6444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0697782"/>
    <w:multiLevelType w:val="hybridMultilevel"/>
    <w:tmpl w:val="1DF006DE"/>
    <w:lvl w:ilvl="0" w:tplc="08090001">
      <w:start w:val="1"/>
      <w:numFmt w:val="bullet"/>
      <w:lvlText w:val=""/>
      <w:lvlJc w:val="left"/>
      <w:pPr>
        <w:ind w:left="-1058" w:hanging="360"/>
      </w:pPr>
      <w:rPr>
        <w:rFonts w:ascii="Symbol" w:hAnsi="Symbol" w:hint="default"/>
      </w:rPr>
    </w:lvl>
    <w:lvl w:ilvl="1" w:tplc="08090003" w:tentative="1">
      <w:start w:val="1"/>
      <w:numFmt w:val="bullet"/>
      <w:lvlText w:val="o"/>
      <w:lvlJc w:val="left"/>
      <w:pPr>
        <w:ind w:left="-338" w:hanging="360"/>
      </w:pPr>
      <w:rPr>
        <w:rFonts w:ascii="Courier New" w:hAnsi="Courier New" w:cs="Courier New" w:hint="default"/>
      </w:rPr>
    </w:lvl>
    <w:lvl w:ilvl="2" w:tplc="08090005" w:tentative="1">
      <w:start w:val="1"/>
      <w:numFmt w:val="bullet"/>
      <w:lvlText w:val=""/>
      <w:lvlJc w:val="left"/>
      <w:pPr>
        <w:ind w:left="382" w:hanging="360"/>
      </w:pPr>
      <w:rPr>
        <w:rFonts w:ascii="Wingdings" w:hAnsi="Wingdings" w:hint="default"/>
      </w:rPr>
    </w:lvl>
    <w:lvl w:ilvl="3" w:tplc="08090001" w:tentative="1">
      <w:start w:val="1"/>
      <w:numFmt w:val="bullet"/>
      <w:lvlText w:val=""/>
      <w:lvlJc w:val="left"/>
      <w:pPr>
        <w:ind w:left="1102" w:hanging="360"/>
      </w:pPr>
      <w:rPr>
        <w:rFonts w:ascii="Symbol" w:hAnsi="Symbol" w:hint="default"/>
      </w:rPr>
    </w:lvl>
    <w:lvl w:ilvl="4" w:tplc="08090003" w:tentative="1">
      <w:start w:val="1"/>
      <w:numFmt w:val="bullet"/>
      <w:lvlText w:val="o"/>
      <w:lvlJc w:val="left"/>
      <w:pPr>
        <w:ind w:left="1822" w:hanging="360"/>
      </w:pPr>
      <w:rPr>
        <w:rFonts w:ascii="Courier New" w:hAnsi="Courier New" w:cs="Courier New" w:hint="default"/>
      </w:rPr>
    </w:lvl>
    <w:lvl w:ilvl="5" w:tplc="08090005" w:tentative="1">
      <w:start w:val="1"/>
      <w:numFmt w:val="bullet"/>
      <w:lvlText w:val=""/>
      <w:lvlJc w:val="left"/>
      <w:pPr>
        <w:ind w:left="2542" w:hanging="360"/>
      </w:pPr>
      <w:rPr>
        <w:rFonts w:ascii="Wingdings" w:hAnsi="Wingdings" w:hint="default"/>
      </w:rPr>
    </w:lvl>
    <w:lvl w:ilvl="6" w:tplc="08090001" w:tentative="1">
      <w:start w:val="1"/>
      <w:numFmt w:val="bullet"/>
      <w:lvlText w:val=""/>
      <w:lvlJc w:val="left"/>
      <w:pPr>
        <w:ind w:left="3262" w:hanging="360"/>
      </w:pPr>
      <w:rPr>
        <w:rFonts w:ascii="Symbol" w:hAnsi="Symbol" w:hint="default"/>
      </w:rPr>
    </w:lvl>
    <w:lvl w:ilvl="7" w:tplc="08090003" w:tentative="1">
      <w:start w:val="1"/>
      <w:numFmt w:val="bullet"/>
      <w:lvlText w:val="o"/>
      <w:lvlJc w:val="left"/>
      <w:pPr>
        <w:ind w:left="3982" w:hanging="360"/>
      </w:pPr>
      <w:rPr>
        <w:rFonts w:ascii="Courier New" w:hAnsi="Courier New" w:cs="Courier New" w:hint="default"/>
      </w:rPr>
    </w:lvl>
    <w:lvl w:ilvl="8" w:tplc="08090005" w:tentative="1">
      <w:start w:val="1"/>
      <w:numFmt w:val="bullet"/>
      <w:lvlText w:val=""/>
      <w:lvlJc w:val="left"/>
      <w:pPr>
        <w:ind w:left="4702" w:hanging="360"/>
      </w:pPr>
      <w:rPr>
        <w:rFonts w:ascii="Wingdings" w:hAnsi="Wingdings" w:hint="default"/>
      </w:rPr>
    </w:lvl>
  </w:abstractNum>
  <w:abstractNum w:abstractNumId="33">
    <w:nsid w:val="61BC3D3D"/>
    <w:multiLevelType w:val="multilevel"/>
    <w:tmpl w:val="FAE6F968"/>
    <w:styleLink w:val="GTListBulle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rPr>
    </w:lvl>
    <w:lvl w:ilvl="2">
      <w:start w:val="1"/>
      <w:numFmt w:val="bullet"/>
      <w:lvlRestart w:val="0"/>
      <w:pStyle w:val="ListBullet3"/>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34">
    <w:nsid w:val="631B51B3"/>
    <w:multiLevelType w:val="hybridMultilevel"/>
    <w:tmpl w:val="1312D674"/>
    <w:lvl w:ilvl="0" w:tplc="0809000F">
      <w:start w:val="1"/>
      <w:numFmt w:val="decimal"/>
      <w:lvlText w:val="%1."/>
      <w:lvlJc w:val="left"/>
      <w:pPr>
        <w:ind w:left="1004" w:hanging="360"/>
      </w:pPr>
      <w:rPr>
        <w:rFont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5">
    <w:nsid w:val="68682F4F"/>
    <w:multiLevelType w:val="hybridMultilevel"/>
    <w:tmpl w:val="2AA6760C"/>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6">
    <w:nsid w:val="7D22515D"/>
    <w:multiLevelType w:val="hybridMultilevel"/>
    <w:tmpl w:val="24DEE4D0"/>
    <w:lvl w:ilvl="0" w:tplc="08090001">
      <w:start w:val="1"/>
      <w:numFmt w:val="bullet"/>
      <w:lvlText w:val=""/>
      <w:lvlJc w:val="left"/>
      <w:pPr>
        <w:ind w:left="962" w:hanging="360"/>
      </w:pPr>
      <w:rPr>
        <w:rFonts w:ascii="Symbol" w:hAnsi="Symbol" w:hint="default"/>
      </w:rPr>
    </w:lvl>
    <w:lvl w:ilvl="1" w:tplc="08090003" w:tentative="1">
      <w:start w:val="1"/>
      <w:numFmt w:val="bullet"/>
      <w:lvlText w:val="o"/>
      <w:lvlJc w:val="left"/>
      <w:pPr>
        <w:ind w:left="1682" w:hanging="360"/>
      </w:pPr>
      <w:rPr>
        <w:rFonts w:ascii="Courier New" w:hAnsi="Courier New" w:cs="Courier New" w:hint="default"/>
      </w:rPr>
    </w:lvl>
    <w:lvl w:ilvl="2" w:tplc="08090005" w:tentative="1">
      <w:start w:val="1"/>
      <w:numFmt w:val="bullet"/>
      <w:lvlText w:val=""/>
      <w:lvlJc w:val="left"/>
      <w:pPr>
        <w:ind w:left="2402" w:hanging="360"/>
      </w:pPr>
      <w:rPr>
        <w:rFonts w:ascii="Wingdings" w:hAnsi="Wingdings" w:hint="default"/>
      </w:rPr>
    </w:lvl>
    <w:lvl w:ilvl="3" w:tplc="08090001" w:tentative="1">
      <w:start w:val="1"/>
      <w:numFmt w:val="bullet"/>
      <w:lvlText w:val=""/>
      <w:lvlJc w:val="left"/>
      <w:pPr>
        <w:ind w:left="3122" w:hanging="360"/>
      </w:pPr>
      <w:rPr>
        <w:rFonts w:ascii="Symbol" w:hAnsi="Symbol" w:hint="default"/>
      </w:rPr>
    </w:lvl>
    <w:lvl w:ilvl="4" w:tplc="08090003" w:tentative="1">
      <w:start w:val="1"/>
      <w:numFmt w:val="bullet"/>
      <w:lvlText w:val="o"/>
      <w:lvlJc w:val="left"/>
      <w:pPr>
        <w:ind w:left="3842" w:hanging="360"/>
      </w:pPr>
      <w:rPr>
        <w:rFonts w:ascii="Courier New" w:hAnsi="Courier New" w:cs="Courier New" w:hint="default"/>
      </w:rPr>
    </w:lvl>
    <w:lvl w:ilvl="5" w:tplc="08090005" w:tentative="1">
      <w:start w:val="1"/>
      <w:numFmt w:val="bullet"/>
      <w:lvlText w:val=""/>
      <w:lvlJc w:val="left"/>
      <w:pPr>
        <w:ind w:left="4562" w:hanging="360"/>
      </w:pPr>
      <w:rPr>
        <w:rFonts w:ascii="Wingdings" w:hAnsi="Wingdings" w:hint="default"/>
      </w:rPr>
    </w:lvl>
    <w:lvl w:ilvl="6" w:tplc="08090001" w:tentative="1">
      <w:start w:val="1"/>
      <w:numFmt w:val="bullet"/>
      <w:lvlText w:val=""/>
      <w:lvlJc w:val="left"/>
      <w:pPr>
        <w:ind w:left="5282" w:hanging="360"/>
      </w:pPr>
      <w:rPr>
        <w:rFonts w:ascii="Symbol" w:hAnsi="Symbol" w:hint="default"/>
      </w:rPr>
    </w:lvl>
    <w:lvl w:ilvl="7" w:tplc="08090003" w:tentative="1">
      <w:start w:val="1"/>
      <w:numFmt w:val="bullet"/>
      <w:lvlText w:val="o"/>
      <w:lvlJc w:val="left"/>
      <w:pPr>
        <w:ind w:left="6002" w:hanging="360"/>
      </w:pPr>
      <w:rPr>
        <w:rFonts w:ascii="Courier New" w:hAnsi="Courier New" w:cs="Courier New" w:hint="default"/>
      </w:rPr>
    </w:lvl>
    <w:lvl w:ilvl="8" w:tplc="08090005" w:tentative="1">
      <w:start w:val="1"/>
      <w:numFmt w:val="bullet"/>
      <w:lvlText w:val=""/>
      <w:lvlJc w:val="left"/>
      <w:pPr>
        <w:ind w:left="6722" w:hanging="360"/>
      </w:pPr>
      <w:rPr>
        <w:rFonts w:ascii="Wingdings" w:hAnsi="Wingdings" w:hint="default"/>
      </w:rPr>
    </w:lvl>
  </w:abstractNum>
  <w:abstractNum w:abstractNumId="37">
    <w:nsid w:val="7F924C95"/>
    <w:multiLevelType w:val="multilevel"/>
    <w:tmpl w:val="0D561ACA"/>
    <w:numStyleLink w:val="GTNumberedHeadings"/>
  </w:abstractNum>
  <w:num w:numId="1">
    <w:abstractNumId w:val="24"/>
  </w:num>
  <w:num w:numId="2">
    <w:abstractNumId w:val="6"/>
  </w:num>
  <w:num w:numId="3">
    <w:abstractNumId w:val="9"/>
  </w:num>
  <w:num w:numId="4">
    <w:abstractNumId w:val="18"/>
  </w:num>
  <w:num w:numId="5">
    <w:abstractNumId w:val="37"/>
  </w:num>
  <w:num w:numId="6">
    <w:abstractNumId w:val="6"/>
  </w:num>
  <w:num w:numId="7">
    <w:abstractNumId w:val="2"/>
  </w:num>
  <w:num w:numId="8">
    <w:abstractNumId w:val="1"/>
  </w:num>
  <w:num w:numId="9">
    <w:abstractNumId w:val="0"/>
  </w:num>
  <w:num w:numId="10">
    <w:abstractNumId w:val="33"/>
  </w:num>
  <w:num w:numId="11">
    <w:abstractNumId w:val="25"/>
  </w:num>
  <w:num w:numId="12">
    <w:abstractNumId w:val="3"/>
  </w:num>
  <w:num w:numId="13">
    <w:abstractNumId w:val="11"/>
  </w:num>
  <w:num w:numId="14">
    <w:abstractNumId w:val="10"/>
  </w:num>
  <w:num w:numId="15">
    <w:abstractNumId w:val="11"/>
  </w:num>
  <w:num w:numId="16">
    <w:abstractNumId w:val="30"/>
  </w:num>
  <w:num w:numId="17">
    <w:abstractNumId w:val="19"/>
  </w:num>
  <w:num w:numId="18">
    <w:abstractNumId w:val="13"/>
  </w:num>
  <w:num w:numId="19">
    <w:abstractNumId w:val="29"/>
  </w:num>
  <w:num w:numId="20">
    <w:abstractNumId w:val="26"/>
  </w:num>
  <w:num w:numId="21">
    <w:abstractNumId w:val="34"/>
  </w:num>
  <w:num w:numId="22">
    <w:abstractNumId w:val="14"/>
  </w:num>
  <w:num w:numId="23">
    <w:abstractNumId w:val="21"/>
  </w:num>
  <w:num w:numId="24">
    <w:abstractNumId w:val="15"/>
  </w:num>
  <w:num w:numId="25">
    <w:abstractNumId w:val="8"/>
  </w:num>
  <w:num w:numId="26">
    <w:abstractNumId w:val="7"/>
  </w:num>
  <w:num w:numId="27">
    <w:abstractNumId w:val="5"/>
  </w:num>
  <w:num w:numId="28">
    <w:abstractNumId w:val="36"/>
  </w:num>
  <w:num w:numId="29">
    <w:abstractNumId w:val="32"/>
  </w:num>
  <w:num w:numId="30">
    <w:abstractNumId w:val="20"/>
  </w:num>
  <w:num w:numId="31">
    <w:abstractNumId w:val="16"/>
  </w:num>
  <w:num w:numId="32">
    <w:abstractNumId w:val="35"/>
  </w:num>
  <w:num w:numId="33">
    <w:abstractNumId w:val="23"/>
  </w:num>
  <w:num w:numId="34">
    <w:abstractNumId w:val="4"/>
  </w:num>
  <w:num w:numId="35">
    <w:abstractNumId w:val="31"/>
  </w:num>
  <w:num w:numId="36">
    <w:abstractNumId w:val="28"/>
  </w:num>
  <w:num w:numId="37">
    <w:abstractNumId w:val="12"/>
  </w:num>
  <w:num w:numId="38">
    <w:abstractNumId w:val="22"/>
  </w:num>
  <w:num w:numId="39">
    <w:abstractNumId w:val="17"/>
  </w:num>
  <w:num w:numId="40">
    <w:abstractNumId w:val="27"/>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804"/>
  <w:defaultTabStop w:val="720"/>
  <w:characterSpacingControl w:val="doNotCompress"/>
  <w:hdrShapeDefaults>
    <o:shapedefaults v:ext="edit" spidmax="4097"/>
  </w:hdrShapeDefaults>
  <w:footnotePr>
    <w:footnote w:id="-1"/>
    <w:footnote w:id="0"/>
  </w:footnotePr>
  <w:endnotePr>
    <w:endnote w:id="-1"/>
    <w:endnote w:id="0"/>
  </w:endnotePr>
  <w:compat>
    <w:doNotExpandShiftReturn/>
  </w:compat>
  <w:rsids>
    <w:rsidRoot w:val="00AC5C31"/>
    <w:rsid w:val="00002295"/>
    <w:rsid w:val="00005D59"/>
    <w:rsid w:val="0001479E"/>
    <w:rsid w:val="00016FF7"/>
    <w:rsid w:val="00021064"/>
    <w:rsid w:val="00026CEF"/>
    <w:rsid w:val="00027F90"/>
    <w:rsid w:val="000332F0"/>
    <w:rsid w:val="0004547B"/>
    <w:rsid w:val="000516A5"/>
    <w:rsid w:val="00054626"/>
    <w:rsid w:val="00054C7E"/>
    <w:rsid w:val="0005764E"/>
    <w:rsid w:val="00063343"/>
    <w:rsid w:val="00081745"/>
    <w:rsid w:val="0008511A"/>
    <w:rsid w:val="00086F7C"/>
    <w:rsid w:val="00086FE9"/>
    <w:rsid w:val="000A3233"/>
    <w:rsid w:val="000A3D96"/>
    <w:rsid w:val="000B435B"/>
    <w:rsid w:val="000B5042"/>
    <w:rsid w:val="000B57B3"/>
    <w:rsid w:val="000C5E8E"/>
    <w:rsid w:val="000D3D26"/>
    <w:rsid w:val="000D3DA7"/>
    <w:rsid w:val="000E2F66"/>
    <w:rsid w:val="000E412F"/>
    <w:rsid w:val="000E4225"/>
    <w:rsid w:val="000F6C0B"/>
    <w:rsid w:val="00104311"/>
    <w:rsid w:val="00105C89"/>
    <w:rsid w:val="00106EE1"/>
    <w:rsid w:val="00112790"/>
    <w:rsid w:val="00136EF4"/>
    <w:rsid w:val="00137FF3"/>
    <w:rsid w:val="0015104F"/>
    <w:rsid w:val="0015369C"/>
    <w:rsid w:val="00160E14"/>
    <w:rsid w:val="00161A95"/>
    <w:rsid w:val="00164658"/>
    <w:rsid w:val="00164ACA"/>
    <w:rsid w:val="00177321"/>
    <w:rsid w:val="001809A4"/>
    <w:rsid w:val="001A11B6"/>
    <w:rsid w:val="001A4A71"/>
    <w:rsid w:val="001B0A35"/>
    <w:rsid w:val="001B0E18"/>
    <w:rsid w:val="001B2406"/>
    <w:rsid w:val="001B3C6A"/>
    <w:rsid w:val="001B61C9"/>
    <w:rsid w:val="001C386E"/>
    <w:rsid w:val="001D6BAB"/>
    <w:rsid w:val="001E595C"/>
    <w:rsid w:val="001E5A22"/>
    <w:rsid w:val="0020543F"/>
    <w:rsid w:val="00206126"/>
    <w:rsid w:val="00206B93"/>
    <w:rsid w:val="00207B8D"/>
    <w:rsid w:val="002165F2"/>
    <w:rsid w:val="00221089"/>
    <w:rsid w:val="0023167B"/>
    <w:rsid w:val="0023404B"/>
    <w:rsid w:val="002360C2"/>
    <w:rsid w:val="00236106"/>
    <w:rsid w:val="002446A8"/>
    <w:rsid w:val="00245387"/>
    <w:rsid w:val="002459FF"/>
    <w:rsid w:val="00250BF8"/>
    <w:rsid w:val="00251287"/>
    <w:rsid w:val="00257468"/>
    <w:rsid w:val="002646AA"/>
    <w:rsid w:val="002725E8"/>
    <w:rsid w:val="00274D5C"/>
    <w:rsid w:val="0027724E"/>
    <w:rsid w:val="002822F5"/>
    <w:rsid w:val="00284ACF"/>
    <w:rsid w:val="00286D17"/>
    <w:rsid w:val="0029000C"/>
    <w:rsid w:val="00290477"/>
    <w:rsid w:val="0029184E"/>
    <w:rsid w:val="0029624D"/>
    <w:rsid w:val="002A0E5C"/>
    <w:rsid w:val="002A1B3D"/>
    <w:rsid w:val="002A3D1E"/>
    <w:rsid w:val="002B3A99"/>
    <w:rsid w:val="002C042F"/>
    <w:rsid w:val="002E0A93"/>
    <w:rsid w:val="002E259C"/>
    <w:rsid w:val="002F4932"/>
    <w:rsid w:val="002F5A0A"/>
    <w:rsid w:val="003039C1"/>
    <w:rsid w:val="0030575F"/>
    <w:rsid w:val="0030717D"/>
    <w:rsid w:val="0031311D"/>
    <w:rsid w:val="00313788"/>
    <w:rsid w:val="003139A6"/>
    <w:rsid w:val="00315BDB"/>
    <w:rsid w:val="00317ED0"/>
    <w:rsid w:val="003271F3"/>
    <w:rsid w:val="0033511C"/>
    <w:rsid w:val="003432DB"/>
    <w:rsid w:val="00346379"/>
    <w:rsid w:val="003527EE"/>
    <w:rsid w:val="00360457"/>
    <w:rsid w:val="003654F8"/>
    <w:rsid w:val="00370AD1"/>
    <w:rsid w:val="00370C22"/>
    <w:rsid w:val="00377033"/>
    <w:rsid w:val="00382D52"/>
    <w:rsid w:val="003A3B86"/>
    <w:rsid w:val="003A507A"/>
    <w:rsid w:val="003A744F"/>
    <w:rsid w:val="003B60DA"/>
    <w:rsid w:val="003C39F1"/>
    <w:rsid w:val="003C6025"/>
    <w:rsid w:val="003C67A7"/>
    <w:rsid w:val="003D0476"/>
    <w:rsid w:val="003D3646"/>
    <w:rsid w:val="003D5484"/>
    <w:rsid w:val="003F2033"/>
    <w:rsid w:val="003F2959"/>
    <w:rsid w:val="003F2D11"/>
    <w:rsid w:val="00400E60"/>
    <w:rsid w:val="0041608A"/>
    <w:rsid w:val="00416765"/>
    <w:rsid w:val="00424559"/>
    <w:rsid w:val="004264A2"/>
    <w:rsid w:val="00426CA3"/>
    <w:rsid w:val="004416B1"/>
    <w:rsid w:val="004447EC"/>
    <w:rsid w:val="0046663C"/>
    <w:rsid w:val="004678DF"/>
    <w:rsid w:val="00472E18"/>
    <w:rsid w:val="00477F5A"/>
    <w:rsid w:val="00486F32"/>
    <w:rsid w:val="004914BE"/>
    <w:rsid w:val="00493230"/>
    <w:rsid w:val="0049404B"/>
    <w:rsid w:val="00494118"/>
    <w:rsid w:val="004A4CC2"/>
    <w:rsid w:val="004A56FD"/>
    <w:rsid w:val="004B211B"/>
    <w:rsid w:val="004B234B"/>
    <w:rsid w:val="004B4BA2"/>
    <w:rsid w:val="004B56EB"/>
    <w:rsid w:val="004C762D"/>
    <w:rsid w:val="004D0A70"/>
    <w:rsid w:val="004E2D55"/>
    <w:rsid w:val="004E5D54"/>
    <w:rsid w:val="0050413B"/>
    <w:rsid w:val="0050564E"/>
    <w:rsid w:val="00506FBD"/>
    <w:rsid w:val="005122B7"/>
    <w:rsid w:val="00522CD3"/>
    <w:rsid w:val="00533BD2"/>
    <w:rsid w:val="005353EE"/>
    <w:rsid w:val="00540A8C"/>
    <w:rsid w:val="00545083"/>
    <w:rsid w:val="00545F82"/>
    <w:rsid w:val="005473C0"/>
    <w:rsid w:val="0055057F"/>
    <w:rsid w:val="00553D45"/>
    <w:rsid w:val="00555BBD"/>
    <w:rsid w:val="00555CEA"/>
    <w:rsid w:val="00555E1F"/>
    <w:rsid w:val="00566809"/>
    <w:rsid w:val="00566950"/>
    <w:rsid w:val="00572554"/>
    <w:rsid w:val="00575943"/>
    <w:rsid w:val="00583B04"/>
    <w:rsid w:val="005968F6"/>
    <w:rsid w:val="005A363A"/>
    <w:rsid w:val="005A69EE"/>
    <w:rsid w:val="005A6E36"/>
    <w:rsid w:val="005B7D9D"/>
    <w:rsid w:val="005C7DEE"/>
    <w:rsid w:val="005E404C"/>
    <w:rsid w:val="005E447B"/>
    <w:rsid w:val="005E7B49"/>
    <w:rsid w:val="00625D8D"/>
    <w:rsid w:val="00637E6C"/>
    <w:rsid w:val="00646C90"/>
    <w:rsid w:val="00650E40"/>
    <w:rsid w:val="006576A6"/>
    <w:rsid w:val="0066319C"/>
    <w:rsid w:val="00663F63"/>
    <w:rsid w:val="00671044"/>
    <w:rsid w:val="006818FB"/>
    <w:rsid w:val="006A681F"/>
    <w:rsid w:val="006A6CEE"/>
    <w:rsid w:val="006B0C36"/>
    <w:rsid w:val="006B1DA3"/>
    <w:rsid w:val="006C0041"/>
    <w:rsid w:val="006C6D88"/>
    <w:rsid w:val="006D143F"/>
    <w:rsid w:val="006D300A"/>
    <w:rsid w:val="006D4EC6"/>
    <w:rsid w:val="006D7024"/>
    <w:rsid w:val="006F5EE1"/>
    <w:rsid w:val="00705EEB"/>
    <w:rsid w:val="007069A4"/>
    <w:rsid w:val="00706A7E"/>
    <w:rsid w:val="00711063"/>
    <w:rsid w:val="00711665"/>
    <w:rsid w:val="00712AC3"/>
    <w:rsid w:val="00746CFF"/>
    <w:rsid w:val="0075680C"/>
    <w:rsid w:val="00760303"/>
    <w:rsid w:val="00762F6F"/>
    <w:rsid w:val="00763474"/>
    <w:rsid w:val="0076405A"/>
    <w:rsid w:val="00783CDE"/>
    <w:rsid w:val="007965CC"/>
    <w:rsid w:val="007A0EBB"/>
    <w:rsid w:val="007A199D"/>
    <w:rsid w:val="007B5A1E"/>
    <w:rsid w:val="007B6E94"/>
    <w:rsid w:val="007B75D2"/>
    <w:rsid w:val="007D2263"/>
    <w:rsid w:val="007D2851"/>
    <w:rsid w:val="007D3508"/>
    <w:rsid w:val="007D533A"/>
    <w:rsid w:val="007E1DB0"/>
    <w:rsid w:val="007F16E5"/>
    <w:rsid w:val="007F2D94"/>
    <w:rsid w:val="007F2F08"/>
    <w:rsid w:val="007F6064"/>
    <w:rsid w:val="007F669E"/>
    <w:rsid w:val="00804508"/>
    <w:rsid w:val="0080491F"/>
    <w:rsid w:val="00806032"/>
    <w:rsid w:val="00814A58"/>
    <w:rsid w:val="00821D6F"/>
    <w:rsid w:val="00824019"/>
    <w:rsid w:val="00836707"/>
    <w:rsid w:val="00853465"/>
    <w:rsid w:val="008607CB"/>
    <w:rsid w:val="00861A1E"/>
    <w:rsid w:val="00863307"/>
    <w:rsid w:val="0086421E"/>
    <w:rsid w:val="00864922"/>
    <w:rsid w:val="00874FE6"/>
    <w:rsid w:val="008779A8"/>
    <w:rsid w:val="00885980"/>
    <w:rsid w:val="00890756"/>
    <w:rsid w:val="00891613"/>
    <w:rsid w:val="0089718D"/>
    <w:rsid w:val="008B79B5"/>
    <w:rsid w:val="008C225F"/>
    <w:rsid w:val="008C40CD"/>
    <w:rsid w:val="008E5F05"/>
    <w:rsid w:val="008F3490"/>
    <w:rsid w:val="008F4A7B"/>
    <w:rsid w:val="008F795A"/>
    <w:rsid w:val="009158E9"/>
    <w:rsid w:val="00916016"/>
    <w:rsid w:val="00921A1C"/>
    <w:rsid w:val="009226FC"/>
    <w:rsid w:val="00941227"/>
    <w:rsid w:val="00942687"/>
    <w:rsid w:val="00945689"/>
    <w:rsid w:val="009473EF"/>
    <w:rsid w:val="00947BEE"/>
    <w:rsid w:val="00950380"/>
    <w:rsid w:val="0096426B"/>
    <w:rsid w:val="00965CD9"/>
    <w:rsid w:val="00975390"/>
    <w:rsid w:val="00985E87"/>
    <w:rsid w:val="00987C95"/>
    <w:rsid w:val="009A2FEE"/>
    <w:rsid w:val="009A3A08"/>
    <w:rsid w:val="009B4F32"/>
    <w:rsid w:val="009B69FE"/>
    <w:rsid w:val="009C0EB7"/>
    <w:rsid w:val="009F1864"/>
    <w:rsid w:val="009F4768"/>
    <w:rsid w:val="00A05D59"/>
    <w:rsid w:val="00A14A22"/>
    <w:rsid w:val="00A20379"/>
    <w:rsid w:val="00A20F7D"/>
    <w:rsid w:val="00A23251"/>
    <w:rsid w:val="00A249BB"/>
    <w:rsid w:val="00A35B79"/>
    <w:rsid w:val="00A504AD"/>
    <w:rsid w:val="00A55AA3"/>
    <w:rsid w:val="00A55E13"/>
    <w:rsid w:val="00A6579C"/>
    <w:rsid w:val="00A70F96"/>
    <w:rsid w:val="00A718A3"/>
    <w:rsid w:val="00A7267B"/>
    <w:rsid w:val="00A8323D"/>
    <w:rsid w:val="00A83697"/>
    <w:rsid w:val="00A872B1"/>
    <w:rsid w:val="00A90C84"/>
    <w:rsid w:val="00A93DA9"/>
    <w:rsid w:val="00A9534A"/>
    <w:rsid w:val="00AA230D"/>
    <w:rsid w:val="00AA427C"/>
    <w:rsid w:val="00AB2873"/>
    <w:rsid w:val="00AB33D4"/>
    <w:rsid w:val="00AB625F"/>
    <w:rsid w:val="00AC5C31"/>
    <w:rsid w:val="00AC6693"/>
    <w:rsid w:val="00AE2A3C"/>
    <w:rsid w:val="00AF175E"/>
    <w:rsid w:val="00AF2057"/>
    <w:rsid w:val="00AF451D"/>
    <w:rsid w:val="00AF5E4C"/>
    <w:rsid w:val="00AF5EF1"/>
    <w:rsid w:val="00B01310"/>
    <w:rsid w:val="00B0198E"/>
    <w:rsid w:val="00B04962"/>
    <w:rsid w:val="00B10ED3"/>
    <w:rsid w:val="00B12D6C"/>
    <w:rsid w:val="00B14D50"/>
    <w:rsid w:val="00B36095"/>
    <w:rsid w:val="00B3705A"/>
    <w:rsid w:val="00B42633"/>
    <w:rsid w:val="00B478AA"/>
    <w:rsid w:val="00B52455"/>
    <w:rsid w:val="00B61506"/>
    <w:rsid w:val="00B63557"/>
    <w:rsid w:val="00B65AFB"/>
    <w:rsid w:val="00B66FA9"/>
    <w:rsid w:val="00B67CE5"/>
    <w:rsid w:val="00B7271F"/>
    <w:rsid w:val="00B74C6D"/>
    <w:rsid w:val="00B767D7"/>
    <w:rsid w:val="00B81F72"/>
    <w:rsid w:val="00B95968"/>
    <w:rsid w:val="00BA181A"/>
    <w:rsid w:val="00BA339E"/>
    <w:rsid w:val="00BA487B"/>
    <w:rsid w:val="00BA74BC"/>
    <w:rsid w:val="00BB6265"/>
    <w:rsid w:val="00BD4990"/>
    <w:rsid w:val="00BD545B"/>
    <w:rsid w:val="00C0482F"/>
    <w:rsid w:val="00C17017"/>
    <w:rsid w:val="00C20FAC"/>
    <w:rsid w:val="00C2394C"/>
    <w:rsid w:val="00C27EE9"/>
    <w:rsid w:val="00C469F6"/>
    <w:rsid w:val="00C46FB6"/>
    <w:rsid w:val="00C55AA0"/>
    <w:rsid w:val="00C62EAE"/>
    <w:rsid w:val="00C64833"/>
    <w:rsid w:val="00C72059"/>
    <w:rsid w:val="00C761D0"/>
    <w:rsid w:val="00C84C95"/>
    <w:rsid w:val="00C86193"/>
    <w:rsid w:val="00C869F7"/>
    <w:rsid w:val="00C954E2"/>
    <w:rsid w:val="00C967EE"/>
    <w:rsid w:val="00CA3296"/>
    <w:rsid w:val="00CA42B5"/>
    <w:rsid w:val="00CC4054"/>
    <w:rsid w:val="00CE32D5"/>
    <w:rsid w:val="00CE4811"/>
    <w:rsid w:val="00CE7253"/>
    <w:rsid w:val="00CF181C"/>
    <w:rsid w:val="00CF5271"/>
    <w:rsid w:val="00D0734A"/>
    <w:rsid w:val="00D07F5C"/>
    <w:rsid w:val="00D1166D"/>
    <w:rsid w:val="00D26B68"/>
    <w:rsid w:val="00D50FAD"/>
    <w:rsid w:val="00D53756"/>
    <w:rsid w:val="00D60D22"/>
    <w:rsid w:val="00D62358"/>
    <w:rsid w:val="00D92675"/>
    <w:rsid w:val="00DA3B26"/>
    <w:rsid w:val="00DA65F3"/>
    <w:rsid w:val="00DB0A7A"/>
    <w:rsid w:val="00DB6B3D"/>
    <w:rsid w:val="00DC2BA7"/>
    <w:rsid w:val="00DC4251"/>
    <w:rsid w:val="00DC774D"/>
    <w:rsid w:val="00DE50EE"/>
    <w:rsid w:val="00DE5606"/>
    <w:rsid w:val="00DF39D4"/>
    <w:rsid w:val="00E002FA"/>
    <w:rsid w:val="00E129E4"/>
    <w:rsid w:val="00E163F0"/>
    <w:rsid w:val="00E165DB"/>
    <w:rsid w:val="00E1661A"/>
    <w:rsid w:val="00E16CEE"/>
    <w:rsid w:val="00E20A84"/>
    <w:rsid w:val="00E26978"/>
    <w:rsid w:val="00E26D0D"/>
    <w:rsid w:val="00E35A99"/>
    <w:rsid w:val="00E37BAF"/>
    <w:rsid w:val="00E40C89"/>
    <w:rsid w:val="00E54D88"/>
    <w:rsid w:val="00E5690F"/>
    <w:rsid w:val="00E57C3B"/>
    <w:rsid w:val="00E61D8B"/>
    <w:rsid w:val="00E67BF7"/>
    <w:rsid w:val="00E77072"/>
    <w:rsid w:val="00E80CA5"/>
    <w:rsid w:val="00E813D2"/>
    <w:rsid w:val="00E81A37"/>
    <w:rsid w:val="00EA4DDF"/>
    <w:rsid w:val="00EB3072"/>
    <w:rsid w:val="00EB427F"/>
    <w:rsid w:val="00EB44C5"/>
    <w:rsid w:val="00ED1070"/>
    <w:rsid w:val="00EE1D15"/>
    <w:rsid w:val="00EE7952"/>
    <w:rsid w:val="00EF3A1C"/>
    <w:rsid w:val="00EF607B"/>
    <w:rsid w:val="00EF6766"/>
    <w:rsid w:val="00F4128E"/>
    <w:rsid w:val="00F437F5"/>
    <w:rsid w:val="00F4401F"/>
    <w:rsid w:val="00F45A2B"/>
    <w:rsid w:val="00F478C7"/>
    <w:rsid w:val="00F6078A"/>
    <w:rsid w:val="00F648BF"/>
    <w:rsid w:val="00F66446"/>
    <w:rsid w:val="00F74FFC"/>
    <w:rsid w:val="00F9463B"/>
    <w:rsid w:val="00FA0498"/>
    <w:rsid w:val="00FA2290"/>
    <w:rsid w:val="00FA6C7F"/>
    <w:rsid w:val="00FB29C6"/>
    <w:rsid w:val="00FB30C3"/>
    <w:rsid w:val="00FB5CFC"/>
    <w:rsid w:val="00FB6783"/>
    <w:rsid w:val="00FC2E28"/>
    <w:rsid w:val="00FC2FA1"/>
    <w:rsid w:val="00FD4D47"/>
    <w:rsid w:val="00FE1E7D"/>
    <w:rsid w:val="00FE1E97"/>
    <w:rsid w:val="00FE5D35"/>
    <w:rsid w:val="00FE5E06"/>
    <w:rsid w:val="00FF3B7C"/>
    <w:rsid w:val="00FF4C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ersonName"/>
  <w:smartTagType w:namespaceuri="urn:schemas-microsoft-com:office:smarttags" w:name="PlaceTyp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iPriority="9" w:unhideWhenUsed="0"/>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toa heading" w:unhideWhenUsed="0"/>
    <w:lsdException w:name="List Bullet" w:uiPriority="1" w:qFormat="1"/>
    <w:lsdException w:name="List Number" w:semiHidden="0" w:uiPriority="1" w:unhideWhenUsed="0" w:qFormat="1"/>
    <w:lsdException w:name="List 2" w:unhideWhenUsed="0"/>
    <w:lsdException w:name="List Bullet 2" w:uiPriority="1" w:qFormat="1"/>
    <w:lsdException w:name="List Bullet 3" w:uiPriority="1" w:qFormat="1"/>
    <w:lsdException w:name="List Number 2" w:uiPriority="1" w:qFormat="1"/>
    <w:lsdException w:name="List Number 3" w:uiPriority="1" w:qFormat="1"/>
    <w:lsdException w:name="Title" w:semiHidden="0" w:uiPriority="9" w:unhideWhenUsed="0" w:qFormat="1"/>
    <w:lsdException w:name="Default Paragraph Font" w:uiPriority="1"/>
    <w:lsdException w:name="Body Text" w:qFormat="1"/>
    <w:lsdException w:name="List Continue 4" w:semiHidden="0" w:unhideWhenUsed="0"/>
    <w:lsdException w:name="List Continue 5" w:unhideWhenUsed="0"/>
    <w:lsdException w:name="Message Header" w:unhideWhenUsed="0"/>
    <w:lsdException w:name="Subtitle" w:semiHidden="0" w:uiPriority="9" w:unhideWhenUsed="0" w:qFormat="1"/>
    <w:lsdException w:name="Hyperlink" w:uiPriority="99"/>
    <w:lsdException w:name="Strong" w:semiHidden="0" w:unhideWhenUsed="0"/>
    <w:lsdException w:name="Emphasis" w:semiHidden="0" w:unhideWhenUsed="0"/>
    <w:lsdException w:name="Normal (Web)" w:uiPriority="99"/>
    <w:lsdException w:name="No List" w:uiPriority="99"/>
    <w:lsdException w:name="Balloon Text" w:semiHidden="0" w:uiPriority="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uiPriority="33" w:unhideWhenUsed="0" w:qFormat="1"/>
    <w:lsdException w:name="Bibliography" w:uiPriority="37"/>
    <w:lsdException w:name="TOC Heading" w:uiPriority="39" w:qFormat="1"/>
  </w:latentStyles>
  <w:style w:type="paragraph" w:default="1" w:styleId="Normal">
    <w:name w:val="Normal"/>
    <w:uiPriority w:val="9"/>
    <w:rsid w:val="00762F6F"/>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29000C"/>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29000C"/>
    <w:pPr>
      <w:spacing w:line="320" w:lineRule="exact"/>
      <w:outlineLvl w:val="1"/>
    </w:pPr>
    <w:rPr>
      <w:bCs w:val="0"/>
      <w:sz w:val="26"/>
      <w:szCs w:val="19"/>
    </w:rPr>
  </w:style>
  <w:style w:type="paragraph" w:styleId="Heading3">
    <w:name w:val="heading 3"/>
    <w:basedOn w:val="Heading2"/>
    <w:next w:val="BodyText"/>
    <w:link w:val="Heading3Char"/>
    <w:qFormat/>
    <w:rsid w:val="0029000C"/>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29000C"/>
    <w:pPr>
      <w:spacing w:before="0" w:after="0"/>
      <w:outlineLvl w:val="3"/>
    </w:pPr>
    <w:rPr>
      <w:b w:val="0"/>
      <w:bCs w:val="0"/>
    </w:rPr>
  </w:style>
  <w:style w:type="paragraph" w:styleId="Heading5">
    <w:name w:val="heading 5"/>
    <w:basedOn w:val="Normal"/>
    <w:next w:val="Normal"/>
    <w:semiHidden/>
    <w:qFormat/>
    <w:rsid w:val="00027F90"/>
    <w:pPr>
      <w:numPr>
        <w:ilvl w:val="4"/>
        <w:numId w:val="4"/>
      </w:numPr>
      <w:spacing w:before="240"/>
      <w:outlineLvl w:val="4"/>
    </w:pPr>
    <w:rPr>
      <w:b/>
      <w:bCs/>
      <w:i/>
      <w:iCs/>
      <w:sz w:val="24"/>
      <w:szCs w:val="26"/>
    </w:rPr>
  </w:style>
  <w:style w:type="paragraph" w:styleId="Heading6">
    <w:name w:val="heading 6"/>
    <w:basedOn w:val="Normal"/>
    <w:next w:val="Normal"/>
    <w:semiHidden/>
    <w:qFormat/>
    <w:rsid w:val="00027F90"/>
    <w:pPr>
      <w:numPr>
        <w:ilvl w:val="5"/>
        <w:numId w:val="4"/>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027F90"/>
    <w:pPr>
      <w:numPr>
        <w:ilvl w:val="6"/>
        <w:numId w:val="4"/>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027F90"/>
    <w:pPr>
      <w:numPr>
        <w:ilvl w:val="7"/>
        <w:numId w:val="4"/>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027F90"/>
    <w:pPr>
      <w:numPr>
        <w:ilvl w:val="8"/>
        <w:numId w:val="4"/>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027F90"/>
  </w:style>
  <w:style w:type="paragraph" w:styleId="ListBullet">
    <w:name w:val="List Bullet"/>
    <w:basedOn w:val="Normal"/>
    <w:link w:val="ListBulletChar"/>
    <w:uiPriority w:val="1"/>
    <w:qFormat/>
    <w:rsid w:val="007A199D"/>
    <w:pPr>
      <w:numPr>
        <w:numId w:val="16"/>
      </w:numPr>
    </w:pPr>
  </w:style>
  <w:style w:type="paragraph" w:styleId="ListNumber">
    <w:name w:val="List Number"/>
    <w:basedOn w:val="Normal"/>
    <w:uiPriority w:val="1"/>
    <w:qFormat/>
    <w:rsid w:val="007A199D"/>
    <w:pPr>
      <w:numPr>
        <w:numId w:val="17"/>
      </w:numPr>
    </w:pPr>
  </w:style>
  <w:style w:type="paragraph" w:styleId="BodyText2">
    <w:name w:val="Body Text 2"/>
    <w:basedOn w:val="BodyText"/>
    <w:semiHidden/>
    <w:rsid w:val="00026CEF"/>
    <w:pPr>
      <w:ind w:left="567"/>
    </w:pPr>
  </w:style>
  <w:style w:type="paragraph" w:styleId="BodyText3">
    <w:name w:val="Body Text 3"/>
    <w:basedOn w:val="BodyText"/>
    <w:semiHidden/>
    <w:rsid w:val="00026CEF"/>
    <w:pPr>
      <w:ind w:left="1134"/>
    </w:pPr>
    <w:rPr>
      <w:szCs w:val="16"/>
    </w:rPr>
  </w:style>
  <w:style w:type="paragraph" w:styleId="ListBullet2">
    <w:name w:val="List Bullet 2"/>
    <w:basedOn w:val="Normal"/>
    <w:uiPriority w:val="1"/>
    <w:qFormat/>
    <w:rsid w:val="007A199D"/>
    <w:pPr>
      <w:numPr>
        <w:ilvl w:val="1"/>
        <w:numId w:val="16"/>
      </w:numPr>
    </w:pPr>
  </w:style>
  <w:style w:type="paragraph" w:styleId="ListBullet3">
    <w:name w:val="List Bullet 3"/>
    <w:basedOn w:val="Normal"/>
    <w:uiPriority w:val="1"/>
    <w:qFormat/>
    <w:rsid w:val="007A199D"/>
    <w:pPr>
      <w:numPr>
        <w:ilvl w:val="2"/>
        <w:numId w:val="16"/>
      </w:numPr>
      <w:contextualSpacing/>
    </w:pPr>
  </w:style>
  <w:style w:type="paragraph" w:styleId="ListNumber2">
    <w:name w:val="List Number 2"/>
    <w:basedOn w:val="Normal"/>
    <w:uiPriority w:val="1"/>
    <w:qFormat/>
    <w:rsid w:val="007A199D"/>
    <w:pPr>
      <w:numPr>
        <w:ilvl w:val="1"/>
        <w:numId w:val="17"/>
      </w:numPr>
    </w:pPr>
  </w:style>
  <w:style w:type="paragraph" w:styleId="ListNumber3">
    <w:name w:val="List Number 3"/>
    <w:basedOn w:val="Normal"/>
    <w:uiPriority w:val="1"/>
    <w:qFormat/>
    <w:rsid w:val="007A199D"/>
    <w:pPr>
      <w:numPr>
        <w:ilvl w:val="2"/>
        <w:numId w:val="17"/>
      </w:numPr>
    </w:pPr>
  </w:style>
  <w:style w:type="paragraph" w:styleId="ListNumber4">
    <w:name w:val="List Number 4"/>
    <w:basedOn w:val="BodyText"/>
    <w:rsid w:val="00026CEF"/>
    <w:pPr>
      <w:numPr>
        <w:ilvl w:val="3"/>
        <w:numId w:val="1"/>
      </w:numPr>
      <w:spacing w:before="110"/>
    </w:pPr>
  </w:style>
  <w:style w:type="paragraph" w:styleId="ListContinue">
    <w:name w:val="List Continue"/>
    <w:basedOn w:val="BodyText"/>
    <w:semiHidden/>
    <w:rsid w:val="00026CEF"/>
    <w:pPr>
      <w:spacing w:before="110"/>
      <w:ind w:left="454"/>
    </w:pPr>
  </w:style>
  <w:style w:type="paragraph" w:styleId="ListContinue2">
    <w:name w:val="List Continue 2"/>
    <w:basedOn w:val="BodyText"/>
    <w:semiHidden/>
    <w:rsid w:val="00026CEF"/>
    <w:pPr>
      <w:spacing w:before="110"/>
      <w:ind w:left="1134"/>
    </w:pPr>
  </w:style>
  <w:style w:type="paragraph" w:styleId="ListContinue3">
    <w:name w:val="List Continue 3"/>
    <w:basedOn w:val="BodyText"/>
    <w:semiHidden/>
    <w:rsid w:val="00026CEF"/>
    <w:pPr>
      <w:spacing w:before="110"/>
      <w:ind w:left="2155"/>
    </w:pPr>
  </w:style>
  <w:style w:type="paragraph" w:styleId="ListContinue4">
    <w:name w:val="List Continue 4"/>
    <w:basedOn w:val="BodyText"/>
    <w:semiHidden/>
    <w:rsid w:val="00026CEF"/>
    <w:pPr>
      <w:spacing w:before="110"/>
      <w:ind w:left="3515"/>
    </w:pPr>
  </w:style>
  <w:style w:type="paragraph" w:styleId="Header">
    <w:name w:val="header"/>
    <w:link w:val="HeaderChar"/>
    <w:rsid w:val="00027F90"/>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9"/>
    <w:rsid w:val="00DA65F3"/>
    <w:pPr>
      <w:tabs>
        <w:tab w:val="right" w:pos="8636"/>
      </w:tabs>
      <w:jc w:val="right"/>
    </w:pPr>
    <w:rPr>
      <w:rFonts w:asciiTheme="minorHAnsi" w:hAnsiTheme="minorHAnsi" w:cstheme="minorHAnsi"/>
      <w:color w:val="747678" w:themeColor="background2"/>
      <w:sz w:val="12"/>
      <w:szCs w:val="16"/>
      <w:lang w:val="en-GB"/>
    </w:rPr>
  </w:style>
  <w:style w:type="paragraph" w:styleId="Title">
    <w:name w:val="Title"/>
    <w:basedOn w:val="Normal"/>
    <w:next w:val="BodyText"/>
    <w:uiPriority w:val="1"/>
    <w:qFormat/>
    <w:rsid w:val="00027F90"/>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AppendicesTitle">
    <w:name w:val="Appendices Title"/>
    <w:basedOn w:val="Heading2"/>
    <w:next w:val="Normal"/>
    <w:uiPriority w:val="9"/>
    <w:semiHidden/>
    <w:rsid w:val="00027F90"/>
    <w:rPr>
      <w:color w:val="auto"/>
    </w:rPr>
  </w:style>
  <w:style w:type="paragraph" w:customStyle="1" w:styleId="AppendixTitle">
    <w:name w:val="Appendix Title"/>
    <w:basedOn w:val="Normal"/>
    <w:next w:val="BodyText"/>
    <w:rsid w:val="007A199D"/>
    <w:pPr>
      <w:pageBreakBefore/>
      <w:framePr w:w="9072" w:wrap="around" w:vAnchor="page" w:hAnchor="text" w:y="3403" w:anchorLock="1"/>
      <w:spacing w:line="800" w:lineRule="exact"/>
    </w:pPr>
    <w:rPr>
      <w:rFonts w:asciiTheme="majorHAnsi" w:hAnsiTheme="majorHAnsi" w:cstheme="majorHAnsi"/>
      <w:bCs/>
      <w:color w:val="4F2D7F" w:themeColor="accent1"/>
      <w:kern w:val="28"/>
      <w:sz w:val="72"/>
      <w:szCs w:val="32"/>
    </w:rPr>
  </w:style>
  <w:style w:type="paragraph" w:customStyle="1" w:styleId="ChapterTitle">
    <w:name w:val="Chapter Title"/>
    <w:basedOn w:val="Subtitle"/>
    <w:uiPriority w:val="9"/>
    <w:semiHidden/>
    <w:rsid w:val="00027F90"/>
    <w:pPr>
      <w:pBdr>
        <w:bottom w:val="single" w:sz="4" w:space="5" w:color="auto"/>
      </w:pBdr>
      <w:spacing w:after="720" w:line="240" w:lineRule="atLeast"/>
    </w:pPr>
    <w:rPr>
      <w:sz w:val="18"/>
    </w:rPr>
  </w:style>
  <w:style w:type="paragraph" w:styleId="Subtitle">
    <w:name w:val="Subtitle"/>
    <w:link w:val="SubtitleChar"/>
    <w:uiPriority w:val="9"/>
    <w:rsid w:val="00137FF3"/>
    <w:pPr>
      <w:spacing w:after="840" w:line="280" w:lineRule="atLeast"/>
      <w:outlineLvl w:val="1"/>
    </w:pPr>
    <w:rPr>
      <w:rFonts w:asciiTheme="majorHAnsi" w:hAnsiTheme="majorHAnsi" w:cs="Arial"/>
      <w:bCs/>
      <w:color w:val="000000" w:themeColor="text1"/>
      <w:kern w:val="28"/>
      <w:sz w:val="36"/>
      <w:szCs w:val="24"/>
      <w:lang w:val="en-GB"/>
    </w:rPr>
  </w:style>
  <w:style w:type="paragraph" w:customStyle="1" w:styleId="ContactDetails">
    <w:name w:val="Contact Details"/>
    <w:uiPriority w:val="9"/>
    <w:unhideWhenUsed/>
    <w:rsid w:val="00027F90"/>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027F90"/>
    <w:rPr>
      <w:b/>
    </w:rPr>
  </w:style>
  <w:style w:type="paragraph" w:customStyle="1" w:styleId="Contents">
    <w:name w:val="Contents"/>
    <w:next w:val="Normal"/>
    <w:uiPriority w:val="9"/>
    <w:unhideWhenUsed/>
    <w:rsid w:val="00027F90"/>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027F90"/>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027F90"/>
    <w:pPr>
      <w:tabs>
        <w:tab w:val="clear" w:pos="8562"/>
        <w:tab w:val="right" w:pos="13438"/>
      </w:tabs>
    </w:pPr>
  </w:style>
  <w:style w:type="paragraph" w:styleId="MacroText">
    <w:name w:val="macro"/>
    <w:semiHidden/>
    <w:rsid w:val="00027F9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MarginNotes">
    <w:name w:val="Margin Notes"/>
    <w:semiHidden/>
    <w:rsid w:val="00027F90"/>
    <w:rPr>
      <w:rFonts w:asciiTheme="minorHAnsi" w:hAnsiTheme="minorHAnsi" w:cs="Arial"/>
      <w:sz w:val="16"/>
      <w:lang w:val="en-GB"/>
    </w:rPr>
  </w:style>
  <w:style w:type="paragraph" w:customStyle="1" w:styleId="MarginNotesHeading">
    <w:name w:val="Margin Notes Heading"/>
    <w:basedOn w:val="MarginNotes"/>
    <w:semiHidden/>
    <w:rsid w:val="00027F90"/>
    <w:rPr>
      <w:b/>
    </w:rPr>
  </w:style>
  <w:style w:type="paragraph" w:customStyle="1" w:styleId="ParagraphBullet">
    <w:name w:val="Paragraph Bullet"/>
    <w:basedOn w:val="Normal"/>
    <w:uiPriority w:val="1"/>
    <w:rsid w:val="00027F90"/>
    <w:pPr>
      <w:numPr>
        <w:numId w:val="6"/>
      </w:numPr>
    </w:pPr>
  </w:style>
  <w:style w:type="paragraph" w:customStyle="1" w:styleId="ParagraphBullet2">
    <w:name w:val="Paragraph Bullet 2"/>
    <w:basedOn w:val="Normal"/>
    <w:uiPriority w:val="1"/>
    <w:rsid w:val="00027F90"/>
    <w:pPr>
      <w:numPr>
        <w:ilvl w:val="1"/>
        <w:numId w:val="6"/>
      </w:numPr>
    </w:pPr>
  </w:style>
  <w:style w:type="paragraph" w:styleId="Quote">
    <w:name w:val="Quote"/>
    <w:basedOn w:val="BodyText"/>
    <w:uiPriority w:val="9"/>
    <w:unhideWhenUsed/>
    <w:rsid w:val="00027F90"/>
    <w:rPr>
      <w:sz w:val="28"/>
    </w:rPr>
  </w:style>
  <w:style w:type="paragraph" w:customStyle="1" w:styleId="ReferenceText">
    <w:name w:val="Reference Text"/>
    <w:uiPriority w:val="9"/>
    <w:unhideWhenUsed/>
    <w:rsid w:val="00027F90"/>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027F90"/>
    <w:pPr>
      <w:spacing w:after="120" w:line="240" w:lineRule="atLeast"/>
    </w:pPr>
    <w:rPr>
      <w:rFonts w:asciiTheme="minorHAnsi" w:hAnsiTheme="minorHAnsi" w:cs="Arial"/>
      <w:b/>
      <w:kern w:val="32"/>
      <w:sz w:val="18"/>
      <w:szCs w:val="24"/>
      <w:lang w:val="en-GB"/>
    </w:rPr>
  </w:style>
  <w:style w:type="paragraph" w:customStyle="1" w:styleId="SectionTitle">
    <w:name w:val="Section Title"/>
    <w:next w:val="BodyText"/>
    <w:rsid w:val="007A199D"/>
    <w:pPr>
      <w:pageBreakBefore/>
      <w:framePr w:w="9072" w:wrap="around" w:vAnchor="page" w:hAnchor="text" w:y="3403"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29000C"/>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29000C"/>
    <w:pPr>
      <w:spacing w:before="60" w:after="60"/>
    </w:pPr>
    <w:rPr>
      <w:rFonts w:asciiTheme="minorHAnsi" w:hAnsiTheme="minorHAnsi" w:cs="Arial"/>
      <w:sz w:val="18"/>
      <w:lang w:val="en-GB"/>
    </w:rPr>
  </w:style>
  <w:style w:type="paragraph" w:customStyle="1" w:styleId="TintBoxTextBlack">
    <w:name w:val="Tint Box Text Black"/>
    <w:semiHidden/>
    <w:rsid w:val="00027F90"/>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027F90"/>
    <w:rPr>
      <w:color w:val="FFFFFF"/>
    </w:rPr>
  </w:style>
  <w:style w:type="paragraph" w:styleId="TOC1">
    <w:name w:val="toc 1"/>
    <w:next w:val="Normal"/>
    <w:uiPriority w:val="39"/>
    <w:rsid w:val="00027F90"/>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027F90"/>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027F90"/>
    <w:pPr>
      <w:ind w:left="403"/>
    </w:pPr>
  </w:style>
  <w:style w:type="paragraph" w:customStyle="1" w:styleId="NumberedHeading1">
    <w:name w:val="Numbered Heading 1"/>
    <w:next w:val="BodyText"/>
    <w:uiPriority w:val="3"/>
    <w:qFormat/>
    <w:rsid w:val="00027F90"/>
    <w:pPr>
      <w:numPr>
        <w:numId w:val="5"/>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75680C"/>
    <w:pPr>
      <w:numPr>
        <w:ilvl w:val="1"/>
        <w:numId w:val="5"/>
      </w:numPr>
      <w:spacing w:before="240" w:after="120" w:line="320" w:lineRule="exact"/>
    </w:pPr>
    <w:rPr>
      <w:rFonts w:asciiTheme="majorHAnsi" w:hAnsiTheme="majorHAnsi" w:cstheme="majorHAnsi"/>
      <w:color w:val="4F2D7F" w:themeColor="accent1"/>
      <w:sz w:val="26"/>
      <w:szCs w:val="28"/>
      <w:lang w:val="en-GB"/>
    </w:rPr>
  </w:style>
  <w:style w:type="table" w:customStyle="1" w:styleId="GTITableStyle1">
    <w:name w:val="GTI Table Style 1"/>
    <w:basedOn w:val="TableNormal"/>
    <w:uiPriority w:val="99"/>
    <w:rsid w:val="0029000C"/>
    <w:rPr>
      <w:rFonts w:asciiTheme="minorHAnsi" w:hAnsiTheme="minorHAnsi"/>
    </w:rPr>
    <w:tblPr>
      <w:tblInd w:w="0" w:type="dxa"/>
      <w:tblBorders>
        <w:bottom w:val="single" w:sz="2" w:space="0" w:color="4F2D7F" w:themeColor="accent1"/>
        <w:insideH w:val="single" w:sz="2" w:space="0" w:color="4F2D7F" w:themeColor="accent1"/>
      </w:tblBorders>
      <w:tblCellMar>
        <w:top w:w="0" w:type="dxa"/>
        <w:left w:w="28" w:type="dxa"/>
        <w:bottom w:w="0"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table" w:styleId="TableGrid">
    <w:name w:val="Table Grid"/>
    <w:basedOn w:val="TableNormal"/>
    <w:rsid w:val="00027F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027F90"/>
    <w:rPr>
      <w:rFonts w:asciiTheme="minorHAnsi" w:hAnsiTheme="minorHAnsi" w:cs="Arial"/>
      <w:sz w:val="18"/>
      <w:lang w:val="en-GB"/>
    </w:rPr>
  </w:style>
  <w:style w:type="numbering" w:customStyle="1" w:styleId="GTListBullet">
    <w:name w:val="GT List Bullet"/>
    <w:uiPriority w:val="99"/>
    <w:rsid w:val="007A199D"/>
    <w:pPr>
      <w:numPr>
        <w:numId w:val="10"/>
      </w:numPr>
    </w:pPr>
  </w:style>
  <w:style w:type="numbering" w:customStyle="1" w:styleId="GTListNumber">
    <w:name w:val="GT List Number"/>
    <w:uiPriority w:val="99"/>
    <w:rsid w:val="007A199D"/>
    <w:pPr>
      <w:numPr>
        <w:numId w:val="11"/>
      </w:numPr>
    </w:pPr>
  </w:style>
  <w:style w:type="numbering" w:customStyle="1" w:styleId="GTNumberedHeadings">
    <w:name w:val="GT Numbered Headings"/>
    <w:uiPriority w:val="99"/>
    <w:rsid w:val="00027F90"/>
    <w:pPr>
      <w:numPr>
        <w:numId w:val="3"/>
      </w:numPr>
    </w:pPr>
  </w:style>
  <w:style w:type="numbering" w:customStyle="1" w:styleId="GTParagraphBullet">
    <w:name w:val="GT Paragraph Bullet"/>
    <w:uiPriority w:val="99"/>
    <w:rsid w:val="00027F90"/>
    <w:pPr>
      <w:numPr>
        <w:numId w:val="2"/>
      </w:numPr>
    </w:pPr>
  </w:style>
  <w:style w:type="paragraph" w:customStyle="1" w:styleId="HalfLineBreak">
    <w:name w:val="Half Line Break"/>
    <w:semiHidden/>
    <w:rsid w:val="00027F90"/>
    <w:pPr>
      <w:framePr w:wrap="around" w:vAnchor="page" w:hAnchor="page" w:x="9016" w:y="3970"/>
      <w:suppressOverlap/>
    </w:pPr>
    <w:rPr>
      <w:rFonts w:asciiTheme="minorHAnsi" w:eastAsia="SimHei" w:hAnsiTheme="minorHAnsi" w:cs="Arial"/>
      <w:b/>
      <w:sz w:val="7"/>
      <w:lang w:val="en-GB"/>
    </w:rPr>
  </w:style>
  <w:style w:type="character" w:styleId="Hyperlink">
    <w:name w:val="Hyperlink"/>
    <w:basedOn w:val="DefaultParagraphFont"/>
    <w:uiPriority w:val="99"/>
    <w:rsid w:val="00027F90"/>
    <w:rPr>
      <w:color w:val="0000FF"/>
      <w:u w:val="single"/>
      <w:lang w:val="en-GB"/>
    </w:rPr>
  </w:style>
  <w:style w:type="paragraph" w:styleId="NoSpacing">
    <w:name w:val="No Spacing"/>
    <w:link w:val="NoSpacingChar"/>
    <w:uiPriority w:val="1"/>
    <w:qFormat/>
    <w:rsid w:val="00027F90"/>
    <w:rPr>
      <w:rFonts w:asciiTheme="minorHAnsi" w:hAnsiTheme="minorHAnsi" w:cs="Arial"/>
      <w:sz w:val="18"/>
      <w:lang w:val="en-GB"/>
    </w:rPr>
  </w:style>
  <w:style w:type="paragraph" w:customStyle="1" w:styleId="PartnerAddress">
    <w:name w:val="Partner Address"/>
    <w:semiHidden/>
    <w:rsid w:val="00027F90"/>
    <w:rPr>
      <w:rFonts w:asciiTheme="minorHAnsi" w:eastAsia="SimHei" w:hAnsiTheme="minorHAnsi" w:cs="Arial"/>
      <w:sz w:val="14"/>
      <w:lang w:val="en-GB"/>
    </w:rPr>
  </w:style>
  <w:style w:type="paragraph" w:styleId="PlainText">
    <w:name w:val="Plain Text"/>
    <w:basedOn w:val="Normal"/>
    <w:link w:val="PlainTextChar"/>
    <w:semiHidden/>
    <w:unhideWhenUsed/>
    <w:rsid w:val="00027F90"/>
    <w:pPr>
      <w:spacing w:after="0" w:line="240" w:lineRule="auto"/>
    </w:pPr>
    <w:rPr>
      <w:szCs w:val="21"/>
    </w:rPr>
  </w:style>
  <w:style w:type="character" w:customStyle="1" w:styleId="PlainTextChar">
    <w:name w:val="Plain Text Char"/>
    <w:basedOn w:val="DefaultParagraphFont"/>
    <w:link w:val="PlainText"/>
    <w:semiHidden/>
    <w:rsid w:val="00027F90"/>
    <w:rPr>
      <w:rFonts w:asciiTheme="minorHAnsi" w:hAnsiTheme="minorHAnsi" w:cs="Arial"/>
      <w:sz w:val="18"/>
      <w:szCs w:val="21"/>
      <w:lang w:val="en-GB"/>
    </w:rPr>
  </w:style>
  <w:style w:type="paragraph" w:styleId="BalloonText">
    <w:name w:val="Balloon Text"/>
    <w:basedOn w:val="Normal"/>
    <w:link w:val="BalloonTextChar"/>
    <w:uiPriority w:val="9"/>
    <w:semiHidden/>
    <w:rsid w:val="00027F90"/>
    <w:rPr>
      <w:rFonts w:cs="Tahoma"/>
      <w:sz w:val="16"/>
      <w:szCs w:val="16"/>
    </w:rPr>
  </w:style>
  <w:style w:type="character" w:customStyle="1" w:styleId="BalloonTextChar">
    <w:name w:val="Balloon Text Char"/>
    <w:basedOn w:val="DefaultParagraphFont"/>
    <w:link w:val="BalloonText"/>
    <w:uiPriority w:val="9"/>
    <w:semiHidden/>
    <w:rsid w:val="00027F90"/>
    <w:rPr>
      <w:rFonts w:asciiTheme="minorHAnsi" w:hAnsiTheme="minorHAnsi" w:cs="Tahoma"/>
      <w:sz w:val="16"/>
      <w:szCs w:val="16"/>
      <w:lang w:val="en-GB"/>
    </w:rPr>
  </w:style>
  <w:style w:type="character" w:customStyle="1" w:styleId="Heading1Char">
    <w:name w:val="Heading 1 Char"/>
    <w:basedOn w:val="DefaultParagraphFont"/>
    <w:link w:val="Heading1"/>
    <w:rsid w:val="0029000C"/>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29000C"/>
    <w:rPr>
      <w:rFonts w:asciiTheme="majorHAnsi" w:hAnsiTheme="majorHAnsi" w:cstheme="majorHAnsi"/>
      <w:color w:val="4F2D7F" w:themeColor="accent1"/>
      <w:kern w:val="32"/>
      <w:sz w:val="26"/>
      <w:szCs w:val="19"/>
      <w:lang w:val="en-GB"/>
    </w:rPr>
  </w:style>
  <w:style w:type="character" w:customStyle="1" w:styleId="Heading3Char">
    <w:name w:val="Heading 3 Char"/>
    <w:basedOn w:val="DefaultParagraphFont"/>
    <w:link w:val="Heading3"/>
    <w:rsid w:val="0029000C"/>
    <w:rPr>
      <w:rFonts w:asciiTheme="minorHAnsi" w:hAnsiTheme="minorHAnsi" w:cstheme="minorHAnsi"/>
      <w:b/>
      <w:bCs/>
      <w:color w:val="4F2D7F" w:themeColor="accent1"/>
      <w:kern w:val="32"/>
      <w:sz w:val="18"/>
      <w:szCs w:val="18"/>
      <w:lang w:val="en-GB"/>
    </w:rPr>
  </w:style>
  <w:style w:type="character" w:customStyle="1" w:styleId="Heading4Char">
    <w:name w:val="Heading 4 Char"/>
    <w:basedOn w:val="DefaultParagraphFont"/>
    <w:link w:val="Heading4"/>
    <w:rsid w:val="0029000C"/>
    <w:rPr>
      <w:rFonts w:asciiTheme="minorHAnsi" w:hAnsiTheme="minorHAnsi" w:cstheme="minorHAnsi"/>
      <w:color w:val="4F2D7F" w:themeColor="accent1"/>
      <w:kern w:val="32"/>
      <w:sz w:val="18"/>
      <w:szCs w:val="18"/>
      <w:lang w:val="en-GB"/>
    </w:rPr>
  </w:style>
  <w:style w:type="character" w:customStyle="1" w:styleId="SubtitleChar">
    <w:name w:val="Subtitle Char"/>
    <w:basedOn w:val="DefaultParagraphFont"/>
    <w:link w:val="Subtitle"/>
    <w:uiPriority w:val="9"/>
    <w:rsid w:val="00137FF3"/>
    <w:rPr>
      <w:rFonts w:asciiTheme="majorHAnsi" w:hAnsiTheme="majorHAnsi" w:cs="Arial"/>
      <w:bCs/>
      <w:color w:val="000000" w:themeColor="text1"/>
      <w:kern w:val="28"/>
      <w:sz w:val="36"/>
      <w:szCs w:val="24"/>
      <w:lang w:val="en-GB"/>
    </w:rPr>
  </w:style>
  <w:style w:type="paragraph" w:customStyle="1" w:styleId="Address1">
    <w:name w:val="Address1"/>
    <w:basedOn w:val="PartnerAddress"/>
    <w:rsid w:val="00027F90"/>
    <w:pPr>
      <w:spacing w:after="120"/>
    </w:pPr>
    <w:rPr>
      <w:color w:val="4F2D7F" w:themeColor="accent1"/>
      <w:szCs w:val="16"/>
    </w:rPr>
  </w:style>
  <w:style w:type="paragraph" w:customStyle="1" w:styleId="AppendixTitleLandscape">
    <w:name w:val="Appendix Title Landscape"/>
    <w:basedOn w:val="Normal"/>
    <w:next w:val="BodyText"/>
    <w:uiPriority w:val="4"/>
    <w:rsid w:val="00027F90"/>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customStyle="1" w:styleId="Backpage">
    <w:name w:val="Back page"/>
    <w:uiPriority w:val="9"/>
    <w:semiHidden/>
    <w:rsid w:val="00027F90"/>
    <w:rPr>
      <w:rFonts w:asciiTheme="majorHAnsi" w:hAnsiTheme="majorHAnsi" w:cs="Arial"/>
      <w:b/>
      <w:sz w:val="18"/>
      <w:lang w:val="en-GB"/>
    </w:rPr>
  </w:style>
  <w:style w:type="paragraph" w:customStyle="1" w:styleId="ClientAddress">
    <w:name w:val="Client Address"/>
    <w:basedOn w:val="BodyText"/>
    <w:rsid w:val="00027F90"/>
    <w:pPr>
      <w:framePr w:hSpace="180" w:wrap="around" w:vAnchor="text" w:hAnchor="text" w:y="1"/>
      <w:spacing w:after="0" w:line="240" w:lineRule="auto"/>
      <w:suppressOverlap/>
    </w:pPr>
  </w:style>
  <w:style w:type="paragraph" w:customStyle="1" w:styleId="LandscapeFooter">
    <w:name w:val="Landscape Footer"/>
    <w:basedOn w:val="Footer"/>
    <w:uiPriority w:val="9"/>
    <w:semiHidden/>
    <w:rsid w:val="00027F90"/>
    <w:pPr>
      <w:tabs>
        <w:tab w:val="clear" w:pos="8636"/>
        <w:tab w:val="right" w:pos="13461"/>
      </w:tabs>
    </w:pPr>
  </w:style>
  <w:style w:type="paragraph" w:customStyle="1" w:styleId="LetterFooter">
    <w:name w:val="Letter Footer"/>
    <w:uiPriority w:val="9"/>
    <w:semiHidden/>
    <w:rsid w:val="00136EF4"/>
    <w:pPr>
      <w:spacing w:line="140" w:lineRule="atLeast"/>
    </w:pPr>
    <w:rPr>
      <w:rFonts w:ascii="Arial Narrow" w:hAnsi="Arial Narrow" w:cs="Arial"/>
      <w:sz w:val="12"/>
      <w:lang w:val="en-GB"/>
    </w:rPr>
  </w:style>
  <w:style w:type="paragraph" w:customStyle="1" w:styleId="LetterFooterTitle">
    <w:name w:val="Letter Footer Title"/>
    <w:next w:val="LetterFooter"/>
    <w:uiPriority w:val="9"/>
    <w:semiHidden/>
    <w:rsid w:val="00136EF4"/>
    <w:pPr>
      <w:spacing w:line="140" w:lineRule="atLeast"/>
    </w:pPr>
    <w:rPr>
      <w:rFonts w:ascii="Arial Narrow" w:hAnsi="Arial Narrow" w:cs="Arial"/>
      <w:b/>
      <w:sz w:val="12"/>
      <w:lang w:val="en-GB"/>
    </w:rPr>
  </w:style>
  <w:style w:type="character" w:styleId="PageNumber">
    <w:name w:val="page number"/>
    <w:basedOn w:val="DefaultParagraphFont"/>
    <w:semiHidden/>
    <w:rsid w:val="00027F90"/>
    <w:rPr>
      <w:rFonts w:asciiTheme="minorHAnsi" w:hAnsiTheme="minorHAnsi"/>
      <w:lang w:val="en-GB"/>
    </w:rPr>
  </w:style>
  <w:style w:type="character" w:customStyle="1" w:styleId="ReportColour">
    <w:name w:val="Report Colour"/>
    <w:basedOn w:val="DefaultParagraphFont"/>
    <w:rsid w:val="00027F90"/>
    <w:rPr>
      <w:color w:val="4F2D7F" w:themeColor="accent1"/>
      <w:lang w:val="en-GB"/>
    </w:rPr>
  </w:style>
  <w:style w:type="paragraph" w:customStyle="1" w:styleId="SectionTitleLandscape">
    <w:name w:val="Section Title Landscape"/>
    <w:basedOn w:val="Normal"/>
    <w:next w:val="BodyText"/>
    <w:uiPriority w:val="3"/>
    <w:rsid w:val="00027F90"/>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customStyle="1" w:styleId="Smlspace">
    <w:name w:val="Sml space"/>
    <w:basedOn w:val="Copyright"/>
    <w:semiHidden/>
    <w:qFormat/>
    <w:rsid w:val="00027F90"/>
    <w:pPr>
      <w:framePr w:hSpace="180" w:wrap="around" w:vAnchor="text" w:hAnchor="text" w:y="10232"/>
    </w:pPr>
    <w:rPr>
      <w:color w:val="4F2D7F" w:themeColor="accent1"/>
      <w:sz w:val="2"/>
      <w:szCs w:val="2"/>
    </w:rPr>
  </w:style>
  <w:style w:type="paragraph" w:customStyle="1" w:styleId="TradingName">
    <w:name w:val="Trading Name"/>
    <w:semiHidden/>
    <w:rsid w:val="00027F90"/>
    <w:pPr>
      <w:spacing w:line="180" w:lineRule="atLeast"/>
    </w:pPr>
    <w:rPr>
      <w:rFonts w:asciiTheme="minorHAnsi" w:eastAsia="SimHei" w:hAnsiTheme="minorHAnsi" w:cs="Arial"/>
      <w:b/>
      <w:sz w:val="14"/>
      <w:lang w:val="en-GB"/>
    </w:rPr>
  </w:style>
  <w:style w:type="paragraph" w:customStyle="1" w:styleId="WebAddress">
    <w:name w:val="WebAddress"/>
    <w:basedOn w:val="Address1"/>
    <w:semiHidden/>
    <w:qFormat/>
    <w:rsid w:val="00027F90"/>
    <w:rPr>
      <w:b/>
      <w:sz w:val="12"/>
    </w:rPr>
  </w:style>
  <w:style w:type="paragraph" w:styleId="Bibliography">
    <w:name w:val="Bibliography"/>
    <w:basedOn w:val="Normal"/>
    <w:next w:val="Normal"/>
    <w:uiPriority w:val="37"/>
    <w:semiHidden/>
    <w:unhideWhenUsed/>
    <w:rsid w:val="00370AD1"/>
  </w:style>
  <w:style w:type="paragraph" w:styleId="BlockText">
    <w:name w:val="Block Text"/>
    <w:basedOn w:val="Normal"/>
    <w:semiHidden/>
    <w:unhideWhenUsed/>
    <w:rsid w:val="00370AD1"/>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FirstIndent">
    <w:name w:val="Body Text First Indent"/>
    <w:basedOn w:val="BodyText"/>
    <w:link w:val="BodyTextFirstIndentChar"/>
    <w:semiHidden/>
    <w:unhideWhenUsed/>
    <w:rsid w:val="00370AD1"/>
    <w:pPr>
      <w:ind w:firstLine="360"/>
    </w:pPr>
  </w:style>
  <w:style w:type="character" w:customStyle="1" w:styleId="BodyTextFirstIndentChar">
    <w:name w:val="Body Text First Indent Char"/>
    <w:basedOn w:val="BodyTextChar"/>
    <w:link w:val="BodyTextFirstIndent"/>
    <w:semiHidden/>
    <w:rsid w:val="00370AD1"/>
    <w:rPr>
      <w:rFonts w:asciiTheme="minorHAnsi" w:hAnsiTheme="minorHAnsi" w:cs="Arial"/>
      <w:sz w:val="18"/>
      <w:lang w:val="en-GB"/>
    </w:rPr>
  </w:style>
  <w:style w:type="paragraph" w:styleId="BodyTextIndent">
    <w:name w:val="Body Text Indent"/>
    <w:basedOn w:val="Normal"/>
    <w:link w:val="BodyTextIndentChar"/>
    <w:semiHidden/>
    <w:unhideWhenUsed/>
    <w:rsid w:val="00370AD1"/>
    <w:pPr>
      <w:ind w:left="283"/>
    </w:pPr>
  </w:style>
  <w:style w:type="character" w:customStyle="1" w:styleId="BodyTextIndentChar">
    <w:name w:val="Body Text Indent Char"/>
    <w:basedOn w:val="DefaultParagraphFont"/>
    <w:link w:val="BodyTextIndent"/>
    <w:semiHidden/>
    <w:rsid w:val="00370AD1"/>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370AD1"/>
    <w:pPr>
      <w:ind w:left="360" w:firstLine="360"/>
    </w:pPr>
  </w:style>
  <w:style w:type="character" w:customStyle="1" w:styleId="BodyTextFirstIndent2Char">
    <w:name w:val="Body Text First Indent 2 Char"/>
    <w:basedOn w:val="BodyTextIndentChar"/>
    <w:link w:val="BodyTextFirstIndent2"/>
    <w:semiHidden/>
    <w:rsid w:val="00370AD1"/>
    <w:rPr>
      <w:rFonts w:asciiTheme="minorHAnsi" w:hAnsiTheme="minorHAnsi" w:cs="Arial"/>
      <w:sz w:val="18"/>
      <w:lang w:val="en-GB"/>
    </w:rPr>
  </w:style>
  <w:style w:type="paragraph" w:styleId="BodyTextIndent2">
    <w:name w:val="Body Text Indent 2"/>
    <w:basedOn w:val="Normal"/>
    <w:link w:val="BodyTextIndent2Char"/>
    <w:semiHidden/>
    <w:unhideWhenUsed/>
    <w:rsid w:val="00370AD1"/>
    <w:pPr>
      <w:spacing w:line="480" w:lineRule="auto"/>
      <w:ind w:left="283"/>
    </w:pPr>
  </w:style>
  <w:style w:type="character" w:customStyle="1" w:styleId="BodyTextIndent2Char">
    <w:name w:val="Body Text Indent 2 Char"/>
    <w:basedOn w:val="DefaultParagraphFont"/>
    <w:link w:val="BodyTextIndent2"/>
    <w:semiHidden/>
    <w:rsid w:val="00370AD1"/>
    <w:rPr>
      <w:rFonts w:asciiTheme="minorHAnsi" w:hAnsiTheme="minorHAnsi" w:cs="Arial"/>
      <w:sz w:val="18"/>
      <w:lang w:val="en-GB"/>
    </w:rPr>
  </w:style>
  <w:style w:type="paragraph" w:styleId="BodyTextIndent3">
    <w:name w:val="Body Text Indent 3"/>
    <w:basedOn w:val="Normal"/>
    <w:link w:val="BodyTextIndent3Char"/>
    <w:semiHidden/>
    <w:unhideWhenUsed/>
    <w:rsid w:val="00370AD1"/>
    <w:pPr>
      <w:ind w:left="283"/>
    </w:pPr>
    <w:rPr>
      <w:sz w:val="16"/>
      <w:szCs w:val="16"/>
    </w:rPr>
  </w:style>
  <w:style w:type="character" w:customStyle="1" w:styleId="BodyTextIndent3Char">
    <w:name w:val="Body Text Indent 3 Char"/>
    <w:basedOn w:val="DefaultParagraphFont"/>
    <w:link w:val="BodyTextIndent3"/>
    <w:semiHidden/>
    <w:rsid w:val="00370AD1"/>
    <w:rPr>
      <w:rFonts w:asciiTheme="minorHAnsi" w:hAnsiTheme="minorHAnsi" w:cs="Arial"/>
      <w:sz w:val="16"/>
      <w:szCs w:val="16"/>
      <w:lang w:val="en-GB"/>
    </w:rPr>
  </w:style>
  <w:style w:type="character" w:styleId="BookTitle">
    <w:name w:val="Book Title"/>
    <w:basedOn w:val="DefaultParagraphFont"/>
    <w:uiPriority w:val="33"/>
    <w:semiHidden/>
    <w:qFormat/>
    <w:rsid w:val="00370AD1"/>
    <w:rPr>
      <w:b/>
      <w:bCs/>
      <w:i/>
      <w:iCs/>
      <w:spacing w:val="5"/>
      <w:lang w:val="en-GB"/>
    </w:rPr>
  </w:style>
  <w:style w:type="paragraph" w:styleId="Caption">
    <w:name w:val="caption"/>
    <w:basedOn w:val="Normal"/>
    <w:next w:val="Normal"/>
    <w:semiHidden/>
    <w:unhideWhenUsed/>
    <w:qFormat/>
    <w:rsid w:val="00370AD1"/>
    <w:pPr>
      <w:spacing w:after="200" w:line="240" w:lineRule="auto"/>
    </w:pPr>
    <w:rPr>
      <w:i/>
      <w:iCs/>
      <w:color w:val="747678" w:themeColor="text2"/>
      <w:szCs w:val="18"/>
    </w:rPr>
  </w:style>
  <w:style w:type="paragraph" w:styleId="Closing">
    <w:name w:val="Closing"/>
    <w:basedOn w:val="Normal"/>
    <w:link w:val="ClosingChar"/>
    <w:semiHidden/>
    <w:unhideWhenUsed/>
    <w:rsid w:val="00370AD1"/>
    <w:pPr>
      <w:spacing w:after="0" w:line="240" w:lineRule="auto"/>
      <w:ind w:left="4252"/>
    </w:pPr>
  </w:style>
  <w:style w:type="character" w:customStyle="1" w:styleId="ClosingChar">
    <w:name w:val="Closing Char"/>
    <w:basedOn w:val="DefaultParagraphFont"/>
    <w:link w:val="Closing"/>
    <w:semiHidden/>
    <w:rsid w:val="00370AD1"/>
    <w:rPr>
      <w:rFonts w:asciiTheme="minorHAnsi" w:hAnsiTheme="minorHAnsi" w:cs="Arial"/>
      <w:sz w:val="18"/>
      <w:lang w:val="en-GB"/>
    </w:rPr>
  </w:style>
  <w:style w:type="table" w:styleId="ColorfulGrid">
    <w:name w:val="Colorful Grid"/>
    <w:basedOn w:val="TableNormal"/>
    <w:uiPriority w:val="73"/>
    <w:semiHidden/>
    <w:unhideWhenUsed/>
    <w:rsid w:val="00370AD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370AD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370AD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370AD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370AD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370AD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370AD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370AD1"/>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370AD1"/>
    <w:rPr>
      <w:color w:val="000000" w:themeColor="text1"/>
    </w:rPr>
    <w:tblPr>
      <w:tblStyleRowBandSize w:val="1"/>
      <w:tblStyleColBandSize w:val="1"/>
      <w:tblInd w:w="0" w:type="dxa"/>
      <w:tblCellMar>
        <w:top w:w="0" w:type="dxa"/>
        <w:left w:w="108" w:type="dxa"/>
        <w:bottom w:w="0" w:type="dxa"/>
        <w:right w:w="108" w:type="dxa"/>
      </w:tblCellMar>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370AD1"/>
    <w:rPr>
      <w:color w:val="000000" w:themeColor="text1"/>
    </w:rPr>
    <w:tblPr>
      <w:tblStyleRowBandSize w:val="1"/>
      <w:tblStyleColBandSize w:val="1"/>
      <w:tblInd w:w="0" w:type="dxa"/>
      <w:tblCellMar>
        <w:top w:w="0" w:type="dxa"/>
        <w:left w:w="108" w:type="dxa"/>
        <w:bottom w:w="0" w:type="dxa"/>
        <w:right w:w="108" w:type="dxa"/>
      </w:tblCellMar>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370AD1"/>
    <w:rPr>
      <w:color w:val="000000" w:themeColor="text1"/>
    </w:rPr>
    <w:tblPr>
      <w:tblStyleRowBandSize w:val="1"/>
      <w:tblStyleColBandSize w:val="1"/>
      <w:tblInd w:w="0" w:type="dxa"/>
      <w:tblCellMar>
        <w:top w:w="0" w:type="dxa"/>
        <w:left w:w="108" w:type="dxa"/>
        <w:bottom w:w="0" w:type="dxa"/>
        <w:right w:w="108" w:type="dxa"/>
      </w:tblCellMar>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370AD1"/>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370AD1"/>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370AD1"/>
    <w:rPr>
      <w:color w:val="000000" w:themeColor="text1"/>
    </w:rPr>
    <w:tblPr>
      <w:tblStyleRowBandSize w:val="1"/>
      <w:tblStyleColBandSize w:val="1"/>
      <w:tblInd w:w="0" w:type="dxa"/>
      <w:tblCellMar>
        <w:top w:w="0" w:type="dxa"/>
        <w:left w:w="108" w:type="dxa"/>
        <w:bottom w:w="0" w:type="dxa"/>
        <w:right w:w="108" w:type="dxa"/>
      </w:tblCellMar>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370AD1"/>
    <w:rPr>
      <w:color w:val="000000" w:themeColor="text1"/>
    </w:rPr>
    <w:tblPr>
      <w:tblStyleRowBandSize w:val="1"/>
      <w:tblStyleColBandSize w:val="1"/>
      <w:tblInd w:w="0" w:type="dxa"/>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370AD1"/>
    <w:rPr>
      <w:color w:val="000000" w:themeColor="text1"/>
    </w:rPr>
    <w:tblPr>
      <w:tblStyleRowBandSize w:val="1"/>
      <w:tblStyleColBandSize w:val="1"/>
      <w:tblInd w:w="0" w:type="dxa"/>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370AD1"/>
    <w:rPr>
      <w:color w:val="000000" w:themeColor="text1"/>
    </w:rPr>
    <w:tblPr>
      <w:tblStyleRowBandSize w:val="1"/>
      <w:tblStyleColBandSize w:val="1"/>
      <w:tblInd w:w="0" w:type="dxa"/>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370AD1"/>
    <w:rPr>
      <w:color w:val="000000" w:themeColor="text1"/>
    </w:rPr>
    <w:tblPr>
      <w:tblStyleRowBandSize w:val="1"/>
      <w:tblStyleColBandSize w:val="1"/>
      <w:tblInd w:w="0" w:type="dxa"/>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370AD1"/>
    <w:rPr>
      <w:color w:val="000000" w:themeColor="text1"/>
    </w:rPr>
    <w:tblPr>
      <w:tblStyleRowBandSize w:val="1"/>
      <w:tblStyleColBandSize w:val="1"/>
      <w:tblInd w:w="0" w:type="dxa"/>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370AD1"/>
    <w:rPr>
      <w:color w:val="000000" w:themeColor="text1"/>
    </w:rPr>
    <w:tblPr>
      <w:tblStyleRowBandSize w:val="1"/>
      <w:tblStyleColBandSize w:val="1"/>
      <w:tblInd w:w="0" w:type="dxa"/>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370AD1"/>
    <w:rPr>
      <w:color w:val="000000" w:themeColor="text1"/>
    </w:rPr>
    <w:tblPr>
      <w:tblStyleRowBandSize w:val="1"/>
      <w:tblStyleColBandSize w:val="1"/>
      <w:tblInd w:w="0" w:type="dxa"/>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370AD1"/>
    <w:rPr>
      <w:sz w:val="16"/>
      <w:szCs w:val="16"/>
      <w:lang w:val="en-GB"/>
    </w:rPr>
  </w:style>
  <w:style w:type="paragraph" w:styleId="CommentText">
    <w:name w:val="annotation text"/>
    <w:basedOn w:val="Normal"/>
    <w:link w:val="CommentTextChar"/>
    <w:semiHidden/>
    <w:unhideWhenUsed/>
    <w:rsid w:val="00370AD1"/>
    <w:pPr>
      <w:spacing w:line="240" w:lineRule="auto"/>
    </w:pPr>
    <w:rPr>
      <w:sz w:val="20"/>
    </w:rPr>
  </w:style>
  <w:style w:type="character" w:customStyle="1" w:styleId="CommentTextChar">
    <w:name w:val="Comment Text Char"/>
    <w:basedOn w:val="DefaultParagraphFont"/>
    <w:link w:val="CommentText"/>
    <w:semiHidden/>
    <w:rsid w:val="00370AD1"/>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370AD1"/>
    <w:rPr>
      <w:b/>
      <w:bCs/>
    </w:rPr>
  </w:style>
  <w:style w:type="character" w:customStyle="1" w:styleId="CommentSubjectChar">
    <w:name w:val="Comment Subject Char"/>
    <w:basedOn w:val="CommentTextChar"/>
    <w:link w:val="CommentSubject"/>
    <w:semiHidden/>
    <w:rsid w:val="00370AD1"/>
    <w:rPr>
      <w:rFonts w:asciiTheme="minorHAnsi" w:hAnsiTheme="minorHAnsi" w:cs="Arial"/>
      <w:b/>
      <w:bCs/>
      <w:lang w:val="en-GB"/>
    </w:rPr>
  </w:style>
  <w:style w:type="table" w:styleId="DarkList">
    <w:name w:val="Dark List"/>
    <w:basedOn w:val="TableNormal"/>
    <w:uiPriority w:val="70"/>
    <w:semiHidden/>
    <w:unhideWhenUsed/>
    <w:rsid w:val="00370AD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370AD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370AD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370AD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370AD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370AD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370AD1"/>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370AD1"/>
  </w:style>
  <w:style w:type="character" w:customStyle="1" w:styleId="DateChar">
    <w:name w:val="Date Char"/>
    <w:basedOn w:val="DefaultParagraphFont"/>
    <w:link w:val="Date"/>
    <w:semiHidden/>
    <w:rsid w:val="00370AD1"/>
    <w:rPr>
      <w:rFonts w:asciiTheme="minorHAnsi" w:hAnsiTheme="minorHAnsi" w:cs="Arial"/>
      <w:sz w:val="18"/>
      <w:lang w:val="en-GB"/>
    </w:rPr>
  </w:style>
  <w:style w:type="paragraph" w:styleId="DocumentMap">
    <w:name w:val="Document Map"/>
    <w:basedOn w:val="Normal"/>
    <w:link w:val="DocumentMapChar"/>
    <w:semiHidden/>
    <w:unhideWhenUsed/>
    <w:rsid w:val="00370AD1"/>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370AD1"/>
    <w:rPr>
      <w:rFonts w:ascii="Segoe UI" w:hAnsi="Segoe UI" w:cs="Segoe UI"/>
      <w:sz w:val="16"/>
      <w:szCs w:val="16"/>
      <w:lang w:val="en-GB"/>
    </w:rPr>
  </w:style>
  <w:style w:type="paragraph" w:styleId="E-mailSignature">
    <w:name w:val="E-mail Signature"/>
    <w:basedOn w:val="Normal"/>
    <w:link w:val="E-mailSignatureChar"/>
    <w:semiHidden/>
    <w:unhideWhenUsed/>
    <w:rsid w:val="00370AD1"/>
    <w:pPr>
      <w:spacing w:after="0" w:line="240" w:lineRule="auto"/>
    </w:pPr>
  </w:style>
  <w:style w:type="character" w:customStyle="1" w:styleId="E-mailSignatureChar">
    <w:name w:val="E-mail Signature Char"/>
    <w:basedOn w:val="DefaultParagraphFont"/>
    <w:link w:val="E-mailSignature"/>
    <w:semiHidden/>
    <w:rsid w:val="00370AD1"/>
    <w:rPr>
      <w:rFonts w:asciiTheme="minorHAnsi" w:hAnsiTheme="minorHAnsi" w:cs="Arial"/>
      <w:sz w:val="18"/>
      <w:lang w:val="en-GB"/>
    </w:rPr>
  </w:style>
  <w:style w:type="character" w:styleId="Emphasis">
    <w:name w:val="Emphasis"/>
    <w:basedOn w:val="DefaultParagraphFont"/>
    <w:rsid w:val="00370AD1"/>
    <w:rPr>
      <w:i/>
      <w:iCs/>
      <w:lang w:val="en-GB"/>
    </w:rPr>
  </w:style>
  <w:style w:type="character" w:styleId="EndnoteReference">
    <w:name w:val="endnote reference"/>
    <w:basedOn w:val="DefaultParagraphFont"/>
    <w:semiHidden/>
    <w:unhideWhenUsed/>
    <w:rsid w:val="00370AD1"/>
    <w:rPr>
      <w:vertAlign w:val="superscript"/>
      <w:lang w:val="en-GB"/>
    </w:rPr>
  </w:style>
  <w:style w:type="paragraph" w:styleId="EndnoteText">
    <w:name w:val="endnote text"/>
    <w:basedOn w:val="Normal"/>
    <w:link w:val="EndnoteTextChar"/>
    <w:semiHidden/>
    <w:unhideWhenUsed/>
    <w:rsid w:val="00370AD1"/>
    <w:pPr>
      <w:spacing w:after="0" w:line="240" w:lineRule="auto"/>
    </w:pPr>
    <w:rPr>
      <w:sz w:val="20"/>
    </w:rPr>
  </w:style>
  <w:style w:type="character" w:customStyle="1" w:styleId="EndnoteTextChar">
    <w:name w:val="Endnote Text Char"/>
    <w:basedOn w:val="DefaultParagraphFont"/>
    <w:link w:val="EndnoteText"/>
    <w:semiHidden/>
    <w:rsid w:val="00370AD1"/>
    <w:rPr>
      <w:rFonts w:asciiTheme="minorHAnsi" w:hAnsiTheme="minorHAnsi" w:cs="Arial"/>
      <w:lang w:val="en-GB"/>
    </w:rPr>
  </w:style>
  <w:style w:type="paragraph" w:styleId="EnvelopeAddress">
    <w:name w:val="envelope address"/>
    <w:basedOn w:val="Normal"/>
    <w:semiHidden/>
    <w:unhideWhenUsed/>
    <w:rsid w:val="00370AD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370AD1"/>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370AD1"/>
    <w:rPr>
      <w:color w:val="800080" w:themeColor="followedHyperlink"/>
      <w:u w:val="single"/>
      <w:lang w:val="en-GB"/>
    </w:rPr>
  </w:style>
  <w:style w:type="character" w:styleId="FootnoteReference">
    <w:name w:val="footnote reference"/>
    <w:basedOn w:val="DefaultParagraphFont"/>
    <w:semiHidden/>
    <w:unhideWhenUsed/>
    <w:rsid w:val="00370AD1"/>
    <w:rPr>
      <w:vertAlign w:val="superscript"/>
      <w:lang w:val="en-GB"/>
    </w:rPr>
  </w:style>
  <w:style w:type="paragraph" w:styleId="FootnoteText">
    <w:name w:val="footnote text"/>
    <w:basedOn w:val="Normal"/>
    <w:link w:val="FootnoteTextChar"/>
    <w:semiHidden/>
    <w:unhideWhenUsed/>
    <w:rsid w:val="00370AD1"/>
    <w:pPr>
      <w:spacing w:after="0" w:line="240" w:lineRule="auto"/>
    </w:pPr>
    <w:rPr>
      <w:sz w:val="20"/>
    </w:rPr>
  </w:style>
  <w:style w:type="character" w:customStyle="1" w:styleId="FootnoteTextChar">
    <w:name w:val="Footnote Text Char"/>
    <w:basedOn w:val="DefaultParagraphFont"/>
    <w:link w:val="FootnoteText"/>
    <w:semiHidden/>
    <w:rsid w:val="00370AD1"/>
    <w:rPr>
      <w:rFonts w:asciiTheme="minorHAnsi" w:hAnsiTheme="minorHAnsi" w:cs="Arial"/>
      <w:lang w:val="en-GB"/>
    </w:rPr>
  </w:style>
  <w:style w:type="table" w:customStyle="1" w:styleId="GridTable1Light">
    <w:name w:val="Grid Table 1 Light"/>
    <w:basedOn w:val="TableNormal"/>
    <w:uiPriority w:val="46"/>
    <w:rsid w:val="00370AD1"/>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TableNormal"/>
    <w:uiPriority w:val="46"/>
    <w:rsid w:val="00370AD1"/>
    <w:tblPr>
      <w:tblStyleRowBandSize w:val="1"/>
      <w:tblStyleColBandSize w:val="1"/>
      <w:tblInd w:w="0" w:type="dxa"/>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CellMar>
        <w:top w:w="0" w:type="dxa"/>
        <w:left w:w="108" w:type="dxa"/>
        <w:bottom w:w="0" w:type="dxa"/>
        <w:right w:w="108" w:type="dxa"/>
      </w:tblCellMar>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TableNormal"/>
    <w:uiPriority w:val="46"/>
    <w:rsid w:val="00370AD1"/>
    <w:tblPr>
      <w:tblStyleRowBandSize w:val="1"/>
      <w:tblStyleColBandSize w:val="1"/>
      <w:tblInd w:w="0" w:type="dxa"/>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CellMar>
        <w:top w:w="0" w:type="dxa"/>
        <w:left w:w="108" w:type="dxa"/>
        <w:bottom w:w="0" w:type="dxa"/>
        <w:right w:w="108" w:type="dxa"/>
      </w:tblCellMar>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TableNormal"/>
    <w:uiPriority w:val="46"/>
    <w:rsid w:val="00370AD1"/>
    <w:tblPr>
      <w:tblStyleRowBandSize w:val="1"/>
      <w:tblStyleColBandSize w:val="1"/>
      <w:tblInd w:w="0" w:type="dxa"/>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CellMar>
        <w:top w:w="0" w:type="dxa"/>
        <w:left w:w="108" w:type="dxa"/>
        <w:bottom w:w="0" w:type="dxa"/>
        <w:right w:w="108" w:type="dxa"/>
      </w:tblCellMar>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TableNormal"/>
    <w:uiPriority w:val="46"/>
    <w:rsid w:val="00370AD1"/>
    <w:tblPr>
      <w:tblStyleRowBandSize w:val="1"/>
      <w:tblStyleColBandSize w:val="1"/>
      <w:tblInd w:w="0" w:type="dxa"/>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CellMar>
        <w:top w:w="0" w:type="dxa"/>
        <w:left w:w="108" w:type="dxa"/>
        <w:bottom w:w="0" w:type="dxa"/>
        <w:right w:w="108" w:type="dxa"/>
      </w:tblCellMar>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TableNormal"/>
    <w:uiPriority w:val="46"/>
    <w:rsid w:val="00370AD1"/>
    <w:tblPr>
      <w:tblStyleRowBandSize w:val="1"/>
      <w:tblStyleColBandSize w:val="1"/>
      <w:tblInd w:w="0" w:type="dxa"/>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CellMar>
        <w:top w:w="0" w:type="dxa"/>
        <w:left w:w="108" w:type="dxa"/>
        <w:bottom w:w="0" w:type="dxa"/>
        <w:right w:w="108" w:type="dxa"/>
      </w:tblCellMar>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TableNormal"/>
    <w:uiPriority w:val="46"/>
    <w:rsid w:val="00370AD1"/>
    <w:tblPr>
      <w:tblStyleRowBandSize w:val="1"/>
      <w:tblStyleColBandSize w:val="1"/>
      <w:tblInd w:w="0" w:type="dxa"/>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CellMar>
        <w:top w:w="0" w:type="dxa"/>
        <w:left w:w="108" w:type="dxa"/>
        <w:bottom w:w="0" w:type="dxa"/>
        <w:right w:w="108" w:type="dxa"/>
      </w:tblCellMar>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customStyle="1" w:styleId="GridTable2">
    <w:name w:val="Grid Table 2"/>
    <w:basedOn w:val="TableNormal"/>
    <w:uiPriority w:val="47"/>
    <w:rsid w:val="00370AD1"/>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TableNormal"/>
    <w:uiPriority w:val="47"/>
    <w:rsid w:val="00370AD1"/>
    <w:tblPr>
      <w:tblStyleRowBandSize w:val="1"/>
      <w:tblStyleColBandSize w:val="1"/>
      <w:tblInd w:w="0" w:type="dxa"/>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CellMar>
        <w:top w:w="0" w:type="dxa"/>
        <w:left w:w="108" w:type="dxa"/>
        <w:bottom w:w="0" w:type="dxa"/>
        <w:right w:w="108" w:type="dxa"/>
      </w:tblCellMar>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customStyle="1" w:styleId="GridTable2Accent2">
    <w:name w:val="Grid Table 2 Accent 2"/>
    <w:basedOn w:val="TableNormal"/>
    <w:uiPriority w:val="47"/>
    <w:rsid w:val="00370AD1"/>
    <w:tblPr>
      <w:tblStyleRowBandSize w:val="1"/>
      <w:tblStyleColBandSize w:val="1"/>
      <w:tblInd w:w="0" w:type="dxa"/>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CellMar>
        <w:top w:w="0" w:type="dxa"/>
        <w:left w:w="108" w:type="dxa"/>
        <w:bottom w:w="0" w:type="dxa"/>
        <w:right w:w="108" w:type="dxa"/>
      </w:tblCellMar>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customStyle="1" w:styleId="GridTable2Accent3">
    <w:name w:val="Grid Table 2 Accent 3"/>
    <w:basedOn w:val="TableNormal"/>
    <w:uiPriority w:val="47"/>
    <w:rsid w:val="00370AD1"/>
    <w:tblPr>
      <w:tblStyleRowBandSize w:val="1"/>
      <w:tblStyleColBandSize w:val="1"/>
      <w:tblInd w:w="0" w:type="dxa"/>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CellMar>
        <w:top w:w="0" w:type="dxa"/>
        <w:left w:w="108" w:type="dxa"/>
        <w:bottom w:w="0" w:type="dxa"/>
        <w:right w:w="108" w:type="dxa"/>
      </w:tblCellMar>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customStyle="1" w:styleId="GridTable2Accent4">
    <w:name w:val="Grid Table 2 Accent 4"/>
    <w:basedOn w:val="TableNormal"/>
    <w:uiPriority w:val="47"/>
    <w:rsid w:val="00370AD1"/>
    <w:tblPr>
      <w:tblStyleRowBandSize w:val="1"/>
      <w:tblStyleColBandSize w:val="1"/>
      <w:tblInd w:w="0" w:type="dxa"/>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CellMar>
        <w:top w:w="0" w:type="dxa"/>
        <w:left w:w="108" w:type="dxa"/>
        <w:bottom w:w="0" w:type="dxa"/>
        <w:right w:w="108" w:type="dxa"/>
      </w:tblCellMar>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customStyle="1" w:styleId="GridTable2Accent5">
    <w:name w:val="Grid Table 2 Accent 5"/>
    <w:basedOn w:val="TableNormal"/>
    <w:uiPriority w:val="47"/>
    <w:rsid w:val="00370AD1"/>
    <w:tblPr>
      <w:tblStyleRowBandSize w:val="1"/>
      <w:tblStyleColBandSize w:val="1"/>
      <w:tblInd w:w="0" w:type="dxa"/>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CellMar>
        <w:top w:w="0" w:type="dxa"/>
        <w:left w:w="108" w:type="dxa"/>
        <w:bottom w:w="0" w:type="dxa"/>
        <w:right w:w="108" w:type="dxa"/>
      </w:tblCellMar>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customStyle="1" w:styleId="GridTable2Accent6">
    <w:name w:val="Grid Table 2 Accent 6"/>
    <w:basedOn w:val="TableNormal"/>
    <w:uiPriority w:val="47"/>
    <w:rsid w:val="00370AD1"/>
    <w:tblPr>
      <w:tblStyleRowBandSize w:val="1"/>
      <w:tblStyleColBandSize w:val="1"/>
      <w:tblInd w:w="0" w:type="dxa"/>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CellMar>
        <w:top w:w="0" w:type="dxa"/>
        <w:left w:w="108" w:type="dxa"/>
        <w:bottom w:w="0" w:type="dxa"/>
        <w:right w:w="108" w:type="dxa"/>
      </w:tblCellMar>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customStyle="1" w:styleId="GridTable3">
    <w:name w:val="Grid Table 3"/>
    <w:basedOn w:val="TableNormal"/>
    <w:uiPriority w:val="48"/>
    <w:rsid w:val="00370AD1"/>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TableNormal"/>
    <w:uiPriority w:val="48"/>
    <w:rsid w:val="00370AD1"/>
    <w:tblPr>
      <w:tblStyleRowBandSize w:val="1"/>
      <w:tblStyleColBandSize w:val="1"/>
      <w:tblInd w:w="0" w:type="dxa"/>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customStyle="1" w:styleId="GridTable3Accent2">
    <w:name w:val="Grid Table 3 Accent 2"/>
    <w:basedOn w:val="TableNormal"/>
    <w:uiPriority w:val="48"/>
    <w:rsid w:val="00370AD1"/>
    <w:tblPr>
      <w:tblStyleRowBandSize w:val="1"/>
      <w:tblStyleColBandSize w:val="1"/>
      <w:tblInd w:w="0" w:type="dxa"/>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customStyle="1" w:styleId="GridTable3Accent3">
    <w:name w:val="Grid Table 3 Accent 3"/>
    <w:basedOn w:val="TableNormal"/>
    <w:uiPriority w:val="48"/>
    <w:rsid w:val="00370AD1"/>
    <w:tblPr>
      <w:tblStyleRowBandSize w:val="1"/>
      <w:tblStyleColBandSize w:val="1"/>
      <w:tblInd w:w="0" w:type="dxa"/>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customStyle="1" w:styleId="GridTable3Accent4">
    <w:name w:val="Grid Table 3 Accent 4"/>
    <w:basedOn w:val="TableNormal"/>
    <w:uiPriority w:val="48"/>
    <w:rsid w:val="00370AD1"/>
    <w:tblPr>
      <w:tblStyleRowBandSize w:val="1"/>
      <w:tblStyleColBandSize w:val="1"/>
      <w:tblInd w:w="0" w:type="dxa"/>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customStyle="1" w:styleId="GridTable3Accent5">
    <w:name w:val="Grid Table 3 Accent 5"/>
    <w:basedOn w:val="TableNormal"/>
    <w:uiPriority w:val="48"/>
    <w:rsid w:val="00370AD1"/>
    <w:tblPr>
      <w:tblStyleRowBandSize w:val="1"/>
      <w:tblStyleColBandSize w:val="1"/>
      <w:tblInd w:w="0" w:type="dxa"/>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customStyle="1" w:styleId="GridTable3Accent6">
    <w:name w:val="Grid Table 3 Accent 6"/>
    <w:basedOn w:val="TableNormal"/>
    <w:uiPriority w:val="48"/>
    <w:rsid w:val="00370AD1"/>
    <w:tblPr>
      <w:tblStyleRowBandSize w:val="1"/>
      <w:tblStyleColBandSize w:val="1"/>
      <w:tblInd w:w="0" w:type="dxa"/>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customStyle="1" w:styleId="GridTable4">
    <w:name w:val="Grid Table 4"/>
    <w:basedOn w:val="TableNormal"/>
    <w:uiPriority w:val="49"/>
    <w:rsid w:val="00370AD1"/>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
    <w:name w:val="Grid Table 4 Accent 1"/>
    <w:basedOn w:val="TableNormal"/>
    <w:uiPriority w:val="49"/>
    <w:rsid w:val="00370AD1"/>
    <w:tblPr>
      <w:tblStyleRowBandSize w:val="1"/>
      <w:tblStyleColBandSize w:val="1"/>
      <w:tblInd w:w="0" w:type="dxa"/>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customStyle="1" w:styleId="GridTable4Accent2">
    <w:name w:val="Grid Table 4 Accent 2"/>
    <w:basedOn w:val="TableNormal"/>
    <w:uiPriority w:val="49"/>
    <w:rsid w:val="00370AD1"/>
    <w:tblPr>
      <w:tblStyleRowBandSize w:val="1"/>
      <w:tblStyleColBandSize w:val="1"/>
      <w:tblInd w:w="0" w:type="dxa"/>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customStyle="1" w:styleId="GridTable4Accent3">
    <w:name w:val="Grid Table 4 Accent 3"/>
    <w:basedOn w:val="TableNormal"/>
    <w:uiPriority w:val="49"/>
    <w:rsid w:val="00370AD1"/>
    <w:tblPr>
      <w:tblStyleRowBandSize w:val="1"/>
      <w:tblStyleColBandSize w:val="1"/>
      <w:tblInd w:w="0" w:type="dxa"/>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customStyle="1" w:styleId="GridTable4Accent4">
    <w:name w:val="Grid Table 4 Accent 4"/>
    <w:basedOn w:val="TableNormal"/>
    <w:uiPriority w:val="49"/>
    <w:rsid w:val="00370AD1"/>
    <w:tblPr>
      <w:tblStyleRowBandSize w:val="1"/>
      <w:tblStyleColBandSize w:val="1"/>
      <w:tblInd w:w="0" w:type="dxa"/>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customStyle="1" w:styleId="GridTable4Accent5">
    <w:name w:val="Grid Table 4 Accent 5"/>
    <w:basedOn w:val="TableNormal"/>
    <w:uiPriority w:val="49"/>
    <w:rsid w:val="00370AD1"/>
    <w:tblPr>
      <w:tblStyleRowBandSize w:val="1"/>
      <w:tblStyleColBandSize w:val="1"/>
      <w:tblInd w:w="0" w:type="dxa"/>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customStyle="1" w:styleId="GridTable4Accent6">
    <w:name w:val="Grid Table 4 Accent 6"/>
    <w:basedOn w:val="TableNormal"/>
    <w:uiPriority w:val="49"/>
    <w:rsid w:val="00370AD1"/>
    <w:tblPr>
      <w:tblStyleRowBandSize w:val="1"/>
      <w:tblStyleColBandSize w:val="1"/>
      <w:tblInd w:w="0" w:type="dxa"/>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customStyle="1" w:styleId="GridTable5Dark">
    <w:name w:val="Grid Table 5 Dark"/>
    <w:basedOn w:val="TableNormal"/>
    <w:uiPriority w:val="50"/>
    <w:rsid w:val="00370AD1"/>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
    <w:name w:val="Grid Table 5 Dark Accent 1"/>
    <w:basedOn w:val="TableNormal"/>
    <w:uiPriority w:val="50"/>
    <w:rsid w:val="00370AD1"/>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customStyle="1" w:styleId="GridTable5DarkAccent2">
    <w:name w:val="Grid Table 5 Dark Accent 2"/>
    <w:basedOn w:val="TableNormal"/>
    <w:uiPriority w:val="50"/>
    <w:rsid w:val="00370AD1"/>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customStyle="1" w:styleId="GridTable5DarkAccent3">
    <w:name w:val="Grid Table 5 Dark Accent 3"/>
    <w:basedOn w:val="TableNormal"/>
    <w:uiPriority w:val="50"/>
    <w:rsid w:val="00370AD1"/>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customStyle="1" w:styleId="GridTable5DarkAccent4">
    <w:name w:val="Grid Table 5 Dark Accent 4"/>
    <w:basedOn w:val="TableNormal"/>
    <w:uiPriority w:val="50"/>
    <w:rsid w:val="00370AD1"/>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customStyle="1" w:styleId="GridTable5DarkAccent5">
    <w:name w:val="Grid Table 5 Dark Accent 5"/>
    <w:basedOn w:val="TableNormal"/>
    <w:uiPriority w:val="50"/>
    <w:rsid w:val="00370AD1"/>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customStyle="1" w:styleId="GridTable5DarkAccent6">
    <w:name w:val="Grid Table 5 Dark Accent 6"/>
    <w:basedOn w:val="TableNormal"/>
    <w:uiPriority w:val="50"/>
    <w:rsid w:val="00370AD1"/>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customStyle="1" w:styleId="GridTable6Colorful">
    <w:name w:val="Grid Table 6 Colorful"/>
    <w:basedOn w:val="TableNormal"/>
    <w:uiPriority w:val="51"/>
    <w:rsid w:val="00370AD1"/>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
    <w:name w:val="Grid Table 6 Colorful Accent 1"/>
    <w:basedOn w:val="TableNormal"/>
    <w:uiPriority w:val="51"/>
    <w:rsid w:val="00370AD1"/>
    <w:rPr>
      <w:color w:val="3A215E" w:themeColor="accent1" w:themeShade="BF"/>
    </w:rPr>
    <w:tblPr>
      <w:tblStyleRowBandSize w:val="1"/>
      <w:tblStyleColBandSize w:val="1"/>
      <w:tblInd w:w="0" w:type="dxa"/>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CellMar>
        <w:top w:w="0" w:type="dxa"/>
        <w:left w:w="108" w:type="dxa"/>
        <w:bottom w:w="0" w:type="dxa"/>
        <w:right w:w="108" w:type="dxa"/>
      </w:tblCellMar>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customStyle="1" w:styleId="GridTable6ColorfulAccent2">
    <w:name w:val="Grid Table 6 Colorful Accent 2"/>
    <w:basedOn w:val="TableNormal"/>
    <w:uiPriority w:val="51"/>
    <w:rsid w:val="00370AD1"/>
    <w:rPr>
      <w:color w:val="A19077" w:themeColor="accent2" w:themeShade="BF"/>
    </w:rPr>
    <w:tblPr>
      <w:tblStyleRowBandSize w:val="1"/>
      <w:tblStyleColBandSize w:val="1"/>
      <w:tblInd w:w="0" w:type="dxa"/>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CellMar>
        <w:top w:w="0" w:type="dxa"/>
        <w:left w:w="108" w:type="dxa"/>
        <w:bottom w:w="0" w:type="dxa"/>
        <w:right w:w="108" w:type="dxa"/>
      </w:tblCellMar>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customStyle="1" w:styleId="GridTable6ColorfulAccent3">
    <w:name w:val="Grid Table 6 Colorful Accent 3"/>
    <w:basedOn w:val="TableNormal"/>
    <w:uiPriority w:val="51"/>
    <w:rsid w:val="00370AD1"/>
    <w:rPr>
      <w:color w:val="007C87" w:themeColor="accent3" w:themeShade="BF"/>
    </w:rPr>
    <w:tblPr>
      <w:tblStyleRowBandSize w:val="1"/>
      <w:tblStyleColBandSize w:val="1"/>
      <w:tblInd w:w="0" w:type="dxa"/>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CellMar>
        <w:top w:w="0" w:type="dxa"/>
        <w:left w:w="108" w:type="dxa"/>
        <w:bottom w:w="0" w:type="dxa"/>
        <w:right w:w="108" w:type="dxa"/>
      </w:tblCellMar>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customStyle="1" w:styleId="GridTable6ColorfulAccent4">
    <w:name w:val="Grid Table 6 Colorful Accent 4"/>
    <w:basedOn w:val="TableNormal"/>
    <w:uiPriority w:val="51"/>
    <w:rsid w:val="00370AD1"/>
    <w:rPr>
      <w:color w:val="D55900" w:themeColor="accent4" w:themeShade="BF"/>
    </w:rPr>
    <w:tblPr>
      <w:tblStyleRowBandSize w:val="1"/>
      <w:tblStyleColBandSize w:val="1"/>
      <w:tblInd w:w="0" w:type="dxa"/>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CellMar>
        <w:top w:w="0" w:type="dxa"/>
        <w:left w:w="108" w:type="dxa"/>
        <w:bottom w:w="0" w:type="dxa"/>
        <w:right w:w="108" w:type="dxa"/>
      </w:tblCellMar>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customStyle="1" w:styleId="GridTable6ColorfulAccent5">
    <w:name w:val="Grid Table 6 Colorful Accent 5"/>
    <w:basedOn w:val="TableNormal"/>
    <w:uiPriority w:val="51"/>
    <w:rsid w:val="00370AD1"/>
    <w:rPr>
      <w:color w:val="75A520" w:themeColor="accent5" w:themeShade="BF"/>
    </w:rPr>
    <w:tblPr>
      <w:tblStyleRowBandSize w:val="1"/>
      <w:tblStyleColBandSize w:val="1"/>
      <w:tblInd w:w="0" w:type="dxa"/>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CellMar>
        <w:top w:w="0" w:type="dxa"/>
        <w:left w:w="108" w:type="dxa"/>
        <w:bottom w:w="0" w:type="dxa"/>
        <w:right w:w="108" w:type="dxa"/>
      </w:tblCellMar>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customStyle="1" w:styleId="GridTable6ColorfulAccent6">
    <w:name w:val="Grid Table 6 Colorful Accent 6"/>
    <w:basedOn w:val="TableNormal"/>
    <w:uiPriority w:val="51"/>
    <w:rsid w:val="00370AD1"/>
    <w:rPr>
      <w:color w:val="B91328" w:themeColor="accent6" w:themeShade="BF"/>
    </w:rPr>
    <w:tblPr>
      <w:tblStyleRowBandSize w:val="1"/>
      <w:tblStyleColBandSize w:val="1"/>
      <w:tblInd w:w="0" w:type="dxa"/>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CellMar>
        <w:top w:w="0" w:type="dxa"/>
        <w:left w:w="108" w:type="dxa"/>
        <w:bottom w:w="0" w:type="dxa"/>
        <w:right w:w="108" w:type="dxa"/>
      </w:tblCellMar>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customStyle="1" w:styleId="GridTable7Colorful">
    <w:name w:val="Grid Table 7 Colorful"/>
    <w:basedOn w:val="TableNormal"/>
    <w:uiPriority w:val="52"/>
    <w:rsid w:val="00370AD1"/>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TableNormal"/>
    <w:uiPriority w:val="52"/>
    <w:rsid w:val="00370AD1"/>
    <w:rPr>
      <w:color w:val="3A215E" w:themeColor="accent1" w:themeShade="BF"/>
    </w:rPr>
    <w:tblPr>
      <w:tblStyleRowBandSize w:val="1"/>
      <w:tblStyleColBandSize w:val="1"/>
      <w:tblInd w:w="0" w:type="dxa"/>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customStyle="1" w:styleId="GridTable7ColorfulAccent2">
    <w:name w:val="Grid Table 7 Colorful Accent 2"/>
    <w:basedOn w:val="TableNormal"/>
    <w:uiPriority w:val="52"/>
    <w:rsid w:val="00370AD1"/>
    <w:rPr>
      <w:color w:val="A19077" w:themeColor="accent2" w:themeShade="BF"/>
    </w:rPr>
    <w:tblPr>
      <w:tblStyleRowBandSize w:val="1"/>
      <w:tblStyleColBandSize w:val="1"/>
      <w:tblInd w:w="0" w:type="dxa"/>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customStyle="1" w:styleId="GridTable7ColorfulAccent3">
    <w:name w:val="Grid Table 7 Colorful Accent 3"/>
    <w:basedOn w:val="TableNormal"/>
    <w:uiPriority w:val="52"/>
    <w:rsid w:val="00370AD1"/>
    <w:rPr>
      <w:color w:val="007C87" w:themeColor="accent3" w:themeShade="BF"/>
    </w:rPr>
    <w:tblPr>
      <w:tblStyleRowBandSize w:val="1"/>
      <w:tblStyleColBandSize w:val="1"/>
      <w:tblInd w:w="0" w:type="dxa"/>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customStyle="1" w:styleId="GridTable7ColorfulAccent4">
    <w:name w:val="Grid Table 7 Colorful Accent 4"/>
    <w:basedOn w:val="TableNormal"/>
    <w:uiPriority w:val="52"/>
    <w:rsid w:val="00370AD1"/>
    <w:rPr>
      <w:color w:val="D55900" w:themeColor="accent4" w:themeShade="BF"/>
    </w:rPr>
    <w:tblPr>
      <w:tblStyleRowBandSize w:val="1"/>
      <w:tblStyleColBandSize w:val="1"/>
      <w:tblInd w:w="0" w:type="dxa"/>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customStyle="1" w:styleId="GridTable7ColorfulAccent5">
    <w:name w:val="Grid Table 7 Colorful Accent 5"/>
    <w:basedOn w:val="TableNormal"/>
    <w:uiPriority w:val="52"/>
    <w:rsid w:val="00370AD1"/>
    <w:rPr>
      <w:color w:val="75A520" w:themeColor="accent5" w:themeShade="BF"/>
    </w:rPr>
    <w:tblPr>
      <w:tblStyleRowBandSize w:val="1"/>
      <w:tblStyleColBandSize w:val="1"/>
      <w:tblInd w:w="0" w:type="dxa"/>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customStyle="1" w:styleId="GridTable7ColorfulAccent6">
    <w:name w:val="Grid Table 7 Colorful Accent 6"/>
    <w:basedOn w:val="TableNormal"/>
    <w:uiPriority w:val="52"/>
    <w:rsid w:val="00370AD1"/>
    <w:rPr>
      <w:color w:val="B91328" w:themeColor="accent6" w:themeShade="BF"/>
    </w:rPr>
    <w:tblPr>
      <w:tblStyleRowBandSize w:val="1"/>
      <w:tblStyleColBandSize w:val="1"/>
      <w:tblInd w:w="0" w:type="dxa"/>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370AD1"/>
    <w:rPr>
      <w:color w:val="2B579A"/>
      <w:shd w:val="clear" w:color="auto" w:fill="E6E6E6"/>
      <w:lang w:val="en-GB"/>
    </w:rPr>
  </w:style>
  <w:style w:type="character" w:styleId="HTMLAcronym">
    <w:name w:val="HTML Acronym"/>
    <w:basedOn w:val="DefaultParagraphFont"/>
    <w:semiHidden/>
    <w:unhideWhenUsed/>
    <w:rsid w:val="00370AD1"/>
    <w:rPr>
      <w:lang w:val="en-GB"/>
    </w:rPr>
  </w:style>
  <w:style w:type="paragraph" w:styleId="HTMLAddress">
    <w:name w:val="HTML Address"/>
    <w:basedOn w:val="Normal"/>
    <w:link w:val="HTMLAddressChar"/>
    <w:semiHidden/>
    <w:unhideWhenUsed/>
    <w:rsid w:val="00370AD1"/>
    <w:pPr>
      <w:spacing w:after="0" w:line="240" w:lineRule="auto"/>
    </w:pPr>
    <w:rPr>
      <w:i/>
      <w:iCs/>
    </w:rPr>
  </w:style>
  <w:style w:type="character" w:customStyle="1" w:styleId="HTMLAddressChar">
    <w:name w:val="HTML Address Char"/>
    <w:basedOn w:val="DefaultParagraphFont"/>
    <w:link w:val="HTMLAddress"/>
    <w:semiHidden/>
    <w:rsid w:val="00370AD1"/>
    <w:rPr>
      <w:rFonts w:asciiTheme="minorHAnsi" w:hAnsiTheme="minorHAnsi" w:cs="Arial"/>
      <w:i/>
      <w:iCs/>
      <w:sz w:val="18"/>
      <w:lang w:val="en-GB"/>
    </w:rPr>
  </w:style>
  <w:style w:type="character" w:styleId="HTMLCite">
    <w:name w:val="HTML Cite"/>
    <w:basedOn w:val="DefaultParagraphFont"/>
    <w:semiHidden/>
    <w:unhideWhenUsed/>
    <w:rsid w:val="00370AD1"/>
    <w:rPr>
      <w:i/>
      <w:iCs/>
      <w:lang w:val="en-GB"/>
    </w:rPr>
  </w:style>
  <w:style w:type="character" w:styleId="HTMLCode">
    <w:name w:val="HTML Code"/>
    <w:basedOn w:val="DefaultParagraphFont"/>
    <w:semiHidden/>
    <w:unhideWhenUsed/>
    <w:rsid w:val="00370AD1"/>
    <w:rPr>
      <w:rFonts w:ascii="Consolas" w:hAnsi="Consolas"/>
      <w:sz w:val="20"/>
      <w:szCs w:val="20"/>
      <w:lang w:val="en-GB"/>
    </w:rPr>
  </w:style>
  <w:style w:type="character" w:styleId="HTMLDefinition">
    <w:name w:val="HTML Definition"/>
    <w:basedOn w:val="DefaultParagraphFont"/>
    <w:semiHidden/>
    <w:unhideWhenUsed/>
    <w:rsid w:val="00370AD1"/>
    <w:rPr>
      <w:i/>
      <w:iCs/>
      <w:lang w:val="en-GB"/>
    </w:rPr>
  </w:style>
  <w:style w:type="character" w:styleId="HTMLKeyboard">
    <w:name w:val="HTML Keyboard"/>
    <w:basedOn w:val="DefaultParagraphFont"/>
    <w:semiHidden/>
    <w:unhideWhenUsed/>
    <w:rsid w:val="00370AD1"/>
    <w:rPr>
      <w:rFonts w:ascii="Consolas" w:hAnsi="Consolas"/>
      <w:sz w:val="20"/>
      <w:szCs w:val="20"/>
      <w:lang w:val="en-GB"/>
    </w:rPr>
  </w:style>
  <w:style w:type="paragraph" w:styleId="HTMLPreformatted">
    <w:name w:val="HTML Preformatted"/>
    <w:basedOn w:val="Normal"/>
    <w:link w:val="HTMLPreformattedChar"/>
    <w:semiHidden/>
    <w:unhideWhenUsed/>
    <w:rsid w:val="00370AD1"/>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370AD1"/>
    <w:rPr>
      <w:rFonts w:ascii="Consolas" w:hAnsi="Consolas" w:cs="Arial"/>
      <w:lang w:val="en-GB"/>
    </w:rPr>
  </w:style>
  <w:style w:type="character" w:styleId="HTMLSample">
    <w:name w:val="HTML Sample"/>
    <w:basedOn w:val="DefaultParagraphFont"/>
    <w:semiHidden/>
    <w:unhideWhenUsed/>
    <w:rsid w:val="00370AD1"/>
    <w:rPr>
      <w:rFonts w:ascii="Consolas" w:hAnsi="Consolas"/>
      <w:sz w:val="24"/>
      <w:szCs w:val="24"/>
      <w:lang w:val="en-GB"/>
    </w:rPr>
  </w:style>
  <w:style w:type="character" w:styleId="HTMLTypewriter">
    <w:name w:val="HTML Typewriter"/>
    <w:basedOn w:val="DefaultParagraphFont"/>
    <w:semiHidden/>
    <w:unhideWhenUsed/>
    <w:rsid w:val="00370AD1"/>
    <w:rPr>
      <w:rFonts w:ascii="Consolas" w:hAnsi="Consolas"/>
      <w:sz w:val="20"/>
      <w:szCs w:val="20"/>
      <w:lang w:val="en-GB"/>
    </w:rPr>
  </w:style>
  <w:style w:type="character" w:styleId="HTMLVariable">
    <w:name w:val="HTML Variable"/>
    <w:basedOn w:val="DefaultParagraphFont"/>
    <w:semiHidden/>
    <w:unhideWhenUsed/>
    <w:rsid w:val="00370AD1"/>
    <w:rPr>
      <w:i/>
      <w:iCs/>
      <w:lang w:val="en-GB"/>
    </w:rPr>
  </w:style>
  <w:style w:type="paragraph" w:styleId="Index1">
    <w:name w:val="index 1"/>
    <w:basedOn w:val="Normal"/>
    <w:next w:val="Normal"/>
    <w:autoRedefine/>
    <w:semiHidden/>
    <w:unhideWhenUsed/>
    <w:rsid w:val="00370AD1"/>
    <w:pPr>
      <w:spacing w:after="0" w:line="240" w:lineRule="auto"/>
      <w:ind w:left="180" w:hanging="180"/>
    </w:pPr>
  </w:style>
  <w:style w:type="paragraph" w:styleId="Index2">
    <w:name w:val="index 2"/>
    <w:basedOn w:val="Normal"/>
    <w:next w:val="Normal"/>
    <w:autoRedefine/>
    <w:semiHidden/>
    <w:unhideWhenUsed/>
    <w:rsid w:val="00370AD1"/>
    <w:pPr>
      <w:spacing w:after="0" w:line="240" w:lineRule="auto"/>
      <w:ind w:left="360" w:hanging="180"/>
    </w:pPr>
  </w:style>
  <w:style w:type="paragraph" w:styleId="Index3">
    <w:name w:val="index 3"/>
    <w:basedOn w:val="Normal"/>
    <w:next w:val="Normal"/>
    <w:autoRedefine/>
    <w:semiHidden/>
    <w:unhideWhenUsed/>
    <w:rsid w:val="00370AD1"/>
    <w:pPr>
      <w:spacing w:after="0" w:line="240" w:lineRule="auto"/>
      <w:ind w:left="540" w:hanging="180"/>
    </w:pPr>
  </w:style>
  <w:style w:type="paragraph" w:styleId="Index4">
    <w:name w:val="index 4"/>
    <w:basedOn w:val="Normal"/>
    <w:next w:val="Normal"/>
    <w:autoRedefine/>
    <w:semiHidden/>
    <w:unhideWhenUsed/>
    <w:rsid w:val="00370AD1"/>
    <w:pPr>
      <w:spacing w:after="0" w:line="240" w:lineRule="auto"/>
      <w:ind w:left="720" w:hanging="180"/>
    </w:pPr>
  </w:style>
  <w:style w:type="paragraph" w:styleId="Index5">
    <w:name w:val="index 5"/>
    <w:basedOn w:val="Normal"/>
    <w:next w:val="Normal"/>
    <w:autoRedefine/>
    <w:semiHidden/>
    <w:unhideWhenUsed/>
    <w:rsid w:val="00370AD1"/>
    <w:pPr>
      <w:spacing w:after="0" w:line="240" w:lineRule="auto"/>
      <w:ind w:left="900" w:hanging="180"/>
    </w:pPr>
  </w:style>
  <w:style w:type="paragraph" w:styleId="Index6">
    <w:name w:val="index 6"/>
    <w:basedOn w:val="Normal"/>
    <w:next w:val="Normal"/>
    <w:autoRedefine/>
    <w:semiHidden/>
    <w:unhideWhenUsed/>
    <w:rsid w:val="00370AD1"/>
    <w:pPr>
      <w:spacing w:after="0" w:line="240" w:lineRule="auto"/>
      <w:ind w:left="1080" w:hanging="180"/>
    </w:pPr>
  </w:style>
  <w:style w:type="paragraph" w:styleId="Index7">
    <w:name w:val="index 7"/>
    <w:basedOn w:val="Normal"/>
    <w:next w:val="Normal"/>
    <w:autoRedefine/>
    <w:semiHidden/>
    <w:unhideWhenUsed/>
    <w:rsid w:val="00370AD1"/>
    <w:pPr>
      <w:spacing w:after="0" w:line="240" w:lineRule="auto"/>
      <w:ind w:left="1260" w:hanging="180"/>
    </w:pPr>
  </w:style>
  <w:style w:type="paragraph" w:styleId="Index8">
    <w:name w:val="index 8"/>
    <w:basedOn w:val="Normal"/>
    <w:next w:val="Normal"/>
    <w:autoRedefine/>
    <w:semiHidden/>
    <w:unhideWhenUsed/>
    <w:rsid w:val="00370AD1"/>
    <w:pPr>
      <w:spacing w:after="0" w:line="240" w:lineRule="auto"/>
      <w:ind w:left="1440" w:hanging="180"/>
    </w:pPr>
  </w:style>
  <w:style w:type="paragraph" w:styleId="Index9">
    <w:name w:val="index 9"/>
    <w:basedOn w:val="Normal"/>
    <w:next w:val="Normal"/>
    <w:autoRedefine/>
    <w:semiHidden/>
    <w:unhideWhenUsed/>
    <w:rsid w:val="00370AD1"/>
    <w:pPr>
      <w:spacing w:after="0" w:line="240" w:lineRule="auto"/>
      <w:ind w:left="1620" w:hanging="180"/>
    </w:pPr>
  </w:style>
  <w:style w:type="paragraph" w:styleId="IndexHeading">
    <w:name w:val="index heading"/>
    <w:basedOn w:val="Normal"/>
    <w:next w:val="Index1"/>
    <w:semiHidden/>
    <w:unhideWhenUsed/>
    <w:rsid w:val="00370AD1"/>
    <w:rPr>
      <w:rFonts w:asciiTheme="majorHAnsi" w:eastAsiaTheme="majorEastAsia" w:hAnsiTheme="majorHAnsi" w:cstheme="majorBidi"/>
      <w:b/>
      <w:bCs/>
    </w:rPr>
  </w:style>
  <w:style w:type="character" w:styleId="IntenseEmphasis">
    <w:name w:val="Intense Emphasis"/>
    <w:basedOn w:val="DefaultParagraphFont"/>
    <w:uiPriority w:val="21"/>
    <w:rsid w:val="00370AD1"/>
    <w:rPr>
      <w:i/>
      <w:iCs/>
      <w:color w:val="4F2D7F" w:themeColor="accent1"/>
      <w:lang w:val="en-GB"/>
    </w:rPr>
  </w:style>
  <w:style w:type="paragraph" w:styleId="IntenseQuote">
    <w:name w:val="Intense Quote"/>
    <w:basedOn w:val="Normal"/>
    <w:next w:val="Normal"/>
    <w:link w:val="IntenseQuoteChar"/>
    <w:uiPriority w:val="30"/>
    <w:rsid w:val="00370AD1"/>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rsid w:val="00370AD1"/>
    <w:rPr>
      <w:rFonts w:asciiTheme="minorHAnsi" w:hAnsiTheme="minorHAnsi" w:cs="Arial"/>
      <w:i/>
      <w:iCs/>
      <w:color w:val="4F2D7F" w:themeColor="accent1"/>
      <w:sz w:val="18"/>
      <w:lang w:val="en-GB"/>
    </w:rPr>
  </w:style>
  <w:style w:type="character" w:styleId="IntenseReference">
    <w:name w:val="Intense Reference"/>
    <w:basedOn w:val="DefaultParagraphFont"/>
    <w:uiPriority w:val="32"/>
    <w:rsid w:val="00370AD1"/>
    <w:rPr>
      <w:b/>
      <w:bCs/>
      <w:smallCaps/>
      <w:color w:val="4F2D7F" w:themeColor="accent1"/>
      <w:spacing w:val="5"/>
      <w:lang w:val="en-GB"/>
    </w:rPr>
  </w:style>
  <w:style w:type="table" w:styleId="LightGrid">
    <w:name w:val="Light Grid"/>
    <w:basedOn w:val="TableNormal"/>
    <w:uiPriority w:val="62"/>
    <w:semiHidden/>
    <w:unhideWhenUsed/>
    <w:rsid w:val="00370AD1"/>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370AD1"/>
    <w:tblPr>
      <w:tblStyleRowBandSize w:val="1"/>
      <w:tblStyleColBandSize w:val="1"/>
      <w:tblInd w:w="0" w:type="dxa"/>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370AD1"/>
    <w:tblPr>
      <w:tblStyleRowBandSize w:val="1"/>
      <w:tblStyleColBandSize w:val="1"/>
      <w:tblInd w:w="0" w:type="dxa"/>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370AD1"/>
    <w:tblPr>
      <w:tblStyleRowBandSize w:val="1"/>
      <w:tblStyleColBandSize w:val="1"/>
      <w:tblInd w:w="0" w:type="dxa"/>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370AD1"/>
    <w:tblPr>
      <w:tblStyleRowBandSize w:val="1"/>
      <w:tblStyleColBandSize w:val="1"/>
      <w:tblInd w:w="0" w:type="dxa"/>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370AD1"/>
    <w:tblPr>
      <w:tblStyleRowBandSize w:val="1"/>
      <w:tblStyleColBandSize w:val="1"/>
      <w:tblInd w:w="0" w:type="dxa"/>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370AD1"/>
    <w:tblPr>
      <w:tblStyleRowBandSize w:val="1"/>
      <w:tblStyleColBandSize w:val="1"/>
      <w:tblInd w:w="0" w:type="dxa"/>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370AD1"/>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370AD1"/>
    <w:tblPr>
      <w:tblStyleRowBandSize w:val="1"/>
      <w:tblStyleColBandSize w:val="1"/>
      <w:tblInd w:w="0" w:type="dxa"/>
      <w:tblBorders>
        <w:top w:val="single" w:sz="8" w:space="0" w:color="4F2D7F" w:themeColor="accent1"/>
        <w:left w:val="single" w:sz="8" w:space="0" w:color="4F2D7F" w:themeColor="accent1"/>
        <w:bottom w:val="single" w:sz="8" w:space="0" w:color="4F2D7F" w:themeColor="accent1"/>
        <w:right w:val="single" w:sz="8" w:space="0" w:color="4F2D7F"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370AD1"/>
    <w:tblPr>
      <w:tblStyleRowBandSize w:val="1"/>
      <w:tblStyleColBandSize w:val="1"/>
      <w:tblInd w:w="0" w:type="dxa"/>
      <w:tblBorders>
        <w:top w:val="single" w:sz="8" w:space="0" w:color="C8BEAF" w:themeColor="accent2"/>
        <w:left w:val="single" w:sz="8" w:space="0" w:color="C8BEAF" w:themeColor="accent2"/>
        <w:bottom w:val="single" w:sz="8" w:space="0" w:color="C8BEAF" w:themeColor="accent2"/>
        <w:right w:val="single" w:sz="8" w:space="0" w:color="C8BEAF"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370AD1"/>
    <w:tblPr>
      <w:tblStyleRowBandSize w:val="1"/>
      <w:tblStyleColBandSize w:val="1"/>
      <w:tblInd w:w="0" w:type="dxa"/>
      <w:tblBorders>
        <w:top w:val="single" w:sz="8" w:space="0" w:color="00A7B5" w:themeColor="accent3"/>
        <w:left w:val="single" w:sz="8" w:space="0" w:color="00A7B5" w:themeColor="accent3"/>
        <w:bottom w:val="single" w:sz="8" w:space="0" w:color="00A7B5" w:themeColor="accent3"/>
        <w:right w:val="single" w:sz="8" w:space="0" w:color="00A7B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370AD1"/>
    <w:tblPr>
      <w:tblStyleRowBandSize w:val="1"/>
      <w:tblStyleColBandSize w:val="1"/>
      <w:tblInd w:w="0" w:type="dxa"/>
      <w:tblBorders>
        <w:top w:val="single" w:sz="8" w:space="0" w:color="FF7D1E" w:themeColor="accent4"/>
        <w:left w:val="single" w:sz="8" w:space="0" w:color="FF7D1E" w:themeColor="accent4"/>
        <w:bottom w:val="single" w:sz="8" w:space="0" w:color="FF7D1E" w:themeColor="accent4"/>
        <w:right w:val="single" w:sz="8" w:space="0" w:color="FF7D1E"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370AD1"/>
    <w:tblPr>
      <w:tblStyleRowBandSize w:val="1"/>
      <w:tblStyleColBandSize w:val="1"/>
      <w:tblInd w:w="0" w:type="dxa"/>
      <w:tblBorders>
        <w:top w:val="single" w:sz="8" w:space="0" w:color="9BD732" w:themeColor="accent5"/>
        <w:left w:val="single" w:sz="8" w:space="0" w:color="9BD732" w:themeColor="accent5"/>
        <w:bottom w:val="single" w:sz="8" w:space="0" w:color="9BD732" w:themeColor="accent5"/>
        <w:right w:val="single" w:sz="8" w:space="0" w:color="9BD732"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370AD1"/>
    <w:tblPr>
      <w:tblStyleRowBandSize w:val="1"/>
      <w:tblStyleColBandSize w:val="1"/>
      <w:tblInd w:w="0" w:type="dxa"/>
      <w:tblBorders>
        <w:top w:val="single" w:sz="8" w:space="0" w:color="E92841" w:themeColor="accent6"/>
        <w:left w:val="single" w:sz="8" w:space="0" w:color="E92841" w:themeColor="accent6"/>
        <w:bottom w:val="single" w:sz="8" w:space="0" w:color="E92841" w:themeColor="accent6"/>
        <w:right w:val="single" w:sz="8" w:space="0" w:color="E92841"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370AD1"/>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370AD1"/>
    <w:rPr>
      <w:color w:val="3A215E" w:themeColor="accent1" w:themeShade="BF"/>
    </w:rPr>
    <w:tblPr>
      <w:tblStyleRowBandSize w:val="1"/>
      <w:tblStyleColBandSize w:val="1"/>
      <w:tblInd w:w="0" w:type="dxa"/>
      <w:tblBorders>
        <w:top w:val="single" w:sz="8" w:space="0" w:color="4F2D7F" w:themeColor="accent1"/>
        <w:bottom w:val="single" w:sz="8" w:space="0" w:color="4F2D7F"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370AD1"/>
    <w:rPr>
      <w:color w:val="A19077" w:themeColor="accent2" w:themeShade="BF"/>
    </w:rPr>
    <w:tblPr>
      <w:tblStyleRowBandSize w:val="1"/>
      <w:tblStyleColBandSize w:val="1"/>
      <w:tblInd w:w="0" w:type="dxa"/>
      <w:tblBorders>
        <w:top w:val="single" w:sz="8" w:space="0" w:color="C8BEAF" w:themeColor="accent2"/>
        <w:bottom w:val="single" w:sz="8" w:space="0" w:color="C8BEAF"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370AD1"/>
    <w:rPr>
      <w:color w:val="007C87" w:themeColor="accent3" w:themeShade="BF"/>
    </w:rPr>
    <w:tblPr>
      <w:tblStyleRowBandSize w:val="1"/>
      <w:tblStyleColBandSize w:val="1"/>
      <w:tblInd w:w="0" w:type="dxa"/>
      <w:tblBorders>
        <w:top w:val="single" w:sz="8" w:space="0" w:color="00A7B5" w:themeColor="accent3"/>
        <w:bottom w:val="single" w:sz="8" w:space="0" w:color="00A7B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370AD1"/>
    <w:rPr>
      <w:color w:val="D55900" w:themeColor="accent4" w:themeShade="BF"/>
    </w:rPr>
    <w:tblPr>
      <w:tblStyleRowBandSize w:val="1"/>
      <w:tblStyleColBandSize w:val="1"/>
      <w:tblInd w:w="0" w:type="dxa"/>
      <w:tblBorders>
        <w:top w:val="single" w:sz="8" w:space="0" w:color="FF7D1E" w:themeColor="accent4"/>
        <w:bottom w:val="single" w:sz="8" w:space="0" w:color="FF7D1E"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370AD1"/>
    <w:rPr>
      <w:color w:val="75A520" w:themeColor="accent5" w:themeShade="BF"/>
    </w:rPr>
    <w:tblPr>
      <w:tblStyleRowBandSize w:val="1"/>
      <w:tblStyleColBandSize w:val="1"/>
      <w:tblInd w:w="0" w:type="dxa"/>
      <w:tblBorders>
        <w:top w:val="single" w:sz="8" w:space="0" w:color="9BD732" w:themeColor="accent5"/>
        <w:bottom w:val="single" w:sz="8" w:space="0" w:color="9BD732"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370AD1"/>
    <w:rPr>
      <w:color w:val="B91328" w:themeColor="accent6" w:themeShade="BF"/>
    </w:rPr>
    <w:tblPr>
      <w:tblStyleRowBandSize w:val="1"/>
      <w:tblStyleColBandSize w:val="1"/>
      <w:tblInd w:w="0" w:type="dxa"/>
      <w:tblBorders>
        <w:top w:val="single" w:sz="8" w:space="0" w:color="E92841" w:themeColor="accent6"/>
        <w:bottom w:val="single" w:sz="8" w:space="0" w:color="E92841"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370AD1"/>
    <w:rPr>
      <w:lang w:val="en-GB"/>
    </w:rPr>
  </w:style>
  <w:style w:type="paragraph" w:styleId="List">
    <w:name w:val="List"/>
    <w:basedOn w:val="Normal"/>
    <w:semiHidden/>
    <w:unhideWhenUsed/>
    <w:rsid w:val="00370AD1"/>
    <w:pPr>
      <w:ind w:left="283" w:hanging="283"/>
      <w:contextualSpacing/>
    </w:pPr>
  </w:style>
  <w:style w:type="paragraph" w:styleId="List2">
    <w:name w:val="List 2"/>
    <w:basedOn w:val="Normal"/>
    <w:semiHidden/>
    <w:rsid w:val="00370AD1"/>
    <w:pPr>
      <w:ind w:left="566" w:hanging="283"/>
      <w:contextualSpacing/>
    </w:pPr>
  </w:style>
  <w:style w:type="paragraph" w:styleId="List3">
    <w:name w:val="List 3"/>
    <w:basedOn w:val="Normal"/>
    <w:semiHidden/>
    <w:unhideWhenUsed/>
    <w:rsid w:val="00370AD1"/>
    <w:pPr>
      <w:ind w:left="849" w:hanging="283"/>
      <w:contextualSpacing/>
    </w:pPr>
  </w:style>
  <w:style w:type="paragraph" w:styleId="List4">
    <w:name w:val="List 4"/>
    <w:basedOn w:val="Normal"/>
    <w:semiHidden/>
    <w:unhideWhenUsed/>
    <w:rsid w:val="00370AD1"/>
    <w:pPr>
      <w:ind w:left="1132" w:hanging="283"/>
      <w:contextualSpacing/>
    </w:pPr>
  </w:style>
  <w:style w:type="paragraph" w:styleId="List5">
    <w:name w:val="List 5"/>
    <w:basedOn w:val="Normal"/>
    <w:semiHidden/>
    <w:unhideWhenUsed/>
    <w:rsid w:val="00370AD1"/>
    <w:pPr>
      <w:ind w:left="1415" w:hanging="283"/>
      <w:contextualSpacing/>
    </w:pPr>
  </w:style>
  <w:style w:type="paragraph" w:styleId="ListBullet4">
    <w:name w:val="List Bullet 4"/>
    <w:basedOn w:val="Normal"/>
    <w:semiHidden/>
    <w:unhideWhenUsed/>
    <w:rsid w:val="00370AD1"/>
    <w:pPr>
      <w:numPr>
        <w:numId w:val="7"/>
      </w:numPr>
      <w:contextualSpacing/>
    </w:pPr>
  </w:style>
  <w:style w:type="paragraph" w:styleId="ListBullet5">
    <w:name w:val="List Bullet 5"/>
    <w:basedOn w:val="Normal"/>
    <w:semiHidden/>
    <w:unhideWhenUsed/>
    <w:rsid w:val="00370AD1"/>
    <w:pPr>
      <w:numPr>
        <w:numId w:val="8"/>
      </w:numPr>
      <w:contextualSpacing/>
    </w:pPr>
  </w:style>
  <w:style w:type="paragraph" w:styleId="ListContinue5">
    <w:name w:val="List Continue 5"/>
    <w:basedOn w:val="Normal"/>
    <w:semiHidden/>
    <w:rsid w:val="00370AD1"/>
    <w:pPr>
      <w:ind w:left="1415"/>
      <w:contextualSpacing/>
    </w:pPr>
  </w:style>
  <w:style w:type="paragraph" w:styleId="ListNumber5">
    <w:name w:val="List Number 5"/>
    <w:basedOn w:val="Normal"/>
    <w:semiHidden/>
    <w:unhideWhenUsed/>
    <w:rsid w:val="00370AD1"/>
    <w:pPr>
      <w:numPr>
        <w:numId w:val="9"/>
      </w:numPr>
      <w:contextualSpacing/>
    </w:pPr>
  </w:style>
  <w:style w:type="paragraph" w:styleId="ListParagraph">
    <w:name w:val="List Paragraph"/>
    <w:basedOn w:val="Normal"/>
    <w:link w:val="ListParagraphChar"/>
    <w:uiPriority w:val="34"/>
    <w:qFormat/>
    <w:rsid w:val="00370AD1"/>
    <w:pPr>
      <w:ind w:left="720"/>
      <w:contextualSpacing/>
    </w:pPr>
  </w:style>
  <w:style w:type="table" w:customStyle="1" w:styleId="ListTable1Light">
    <w:name w:val="List Table 1 Light"/>
    <w:basedOn w:val="TableNormal"/>
    <w:uiPriority w:val="46"/>
    <w:rsid w:val="00370AD1"/>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TableNormal"/>
    <w:uiPriority w:val="46"/>
    <w:rsid w:val="00370AD1"/>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customStyle="1" w:styleId="ListTable1LightAccent2">
    <w:name w:val="List Table 1 Light Accent 2"/>
    <w:basedOn w:val="TableNormal"/>
    <w:uiPriority w:val="46"/>
    <w:rsid w:val="00370AD1"/>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customStyle="1" w:styleId="ListTable1LightAccent3">
    <w:name w:val="List Table 1 Light Accent 3"/>
    <w:basedOn w:val="TableNormal"/>
    <w:uiPriority w:val="46"/>
    <w:rsid w:val="00370AD1"/>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customStyle="1" w:styleId="ListTable1LightAccent4">
    <w:name w:val="List Table 1 Light Accent 4"/>
    <w:basedOn w:val="TableNormal"/>
    <w:uiPriority w:val="46"/>
    <w:rsid w:val="00370AD1"/>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customStyle="1" w:styleId="ListTable1LightAccent5">
    <w:name w:val="List Table 1 Light Accent 5"/>
    <w:basedOn w:val="TableNormal"/>
    <w:uiPriority w:val="46"/>
    <w:rsid w:val="00370AD1"/>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customStyle="1" w:styleId="ListTable1LightAccent6">
    <w:name w:val="List Table 1 Light Accent 6"/>
    <w:basedOn w:val="TableNormal"/>
    <w:uiPriority w:val="46"/>
    <w:rsid w:val="00370AD1"/>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customStyle="1" w:styleId="ListTable2">
    <w:name w:val="List Table 2"/>
    <w:basedOn w:val="TableNormal"/>
    <w:uiPriority w:val="47"/>
    <w:rsid w:val="00370AD1"/>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
    <w:name w:val="List Table 2 Accent 1"/>
    <w:basedOn w:val="TableNormal"/>
    <w:uiPriority w:val="47"/>
    <w:rsid w:val="00370AD1"/>
    <w:tblPr>
      <w:tblStyleRowBandSize w:val="1"/>
      <w:tblStyleColBandSize w:val="1"/>
      <w:tblInd w:w="0" w:type="dxa"/>
      <w:tblBorders>
        <w:top w:val="single" w:sz="4" w:space="0" w:color="9069CA" w:themeColor="accent1" w:themeTint="99"/>
        <w:bottom w:val="single" w:sz="4" w:space="0" w:color="9069CA" w:themeColor="accent1" w:themeTint="99"/>
        <w:insideH w:val="single" w:sz="4" w:space="0" w:color="9069CA"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customStyle="1" w:styleId="ListTable2Accent2">
    <w:name w:val="List Table 2 Accent 2"/>
    <w:basedOn w:val="TableNormal"/>
    <w:uiPriority w:val="47"/>
    <w:rsid w:val="00370AD1"/>
    <w:tblPr>
      <w:tblStyleRowBandSize w:val="1"/>
      <w:tblStyleColBandSize w:val="1"/>
      <w:tblInd w:w="0" w:type="dxa"/>
      <w:tblBorders>
        <w:top w:val="single" w:sz="4" w:space="0" w:color="DED8CF" w:themeColor="accent2" w:themeTint="99"/>
        <w:bottom w:val="single" w:sz="4" w:space="0" w:color="DED8CF" w:themeColor="accent2" w:themeTint="99"/>
        <w:insideH w:val="single" w:sz="4" w:space="0" w:color="DED8CF"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customStyle="1" w:styleId="ListTable2Accent3">
    <w:name w:val="List Table 2 Accent 3"/>
    <w:basedOn w:val="TableNormal"/>
    <w:uiPriority w:val="47"/>
    <w:rsid w:val="00370AD1"/>
    <w:tblPr>
      <w:tblStyleRowBandSize w:val="1"/>
      <w:tblStyleColBandSize w:val="1"/>
      <w:tblInd w:w="0" w:type="dxa"/>
      <w:tblBorders>
        <w:top w:val="single" w:sz="4" w:space="0" w:color="39EFFF" w:themeColor="accent3" w:themeTint="99"/>
        <w:bottom w:val="single" w:sz="4" w:space="0" w:color="39EFFF" w:themeColor="accent3" w:themeTint="99"/>
        <w:insideH w:val="single" w:sz="4" w:space="0" w:color="39EFFF"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customStyle="1" w:styleId="ListTable2Accent4">
    <w:name w:val="List Table 2 Accent 4"/>
    <w:basedOn w:val="TableNormal"/>
    <w:uiPriority w:val="47"/>
    <w:rsid w:val="00370AD1"/>
    <w:tblPr>
      <w:tblStyleRowBandSize w:val="1"/>
      <w:tblStyleColBandSize w:val="1"/>
      <w:tblInd w:w="0" w:type="dxa"/>
      <w:tblBorders>
        <w:top w:val="single" w:sz="4" w:space="0" w:color="FFB078" w:themeColor="accent4" w:themeTint="99"/>
        <w:bottom w:val="single" w:sz="4" w:space="0" w:color="FFB078" w:themeColor="accent4" w:themeTint="99"/>
        <w:insideH w:val="single" w:sz="4" w:space="0" w:color="FFB078"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customStyle="1" w:styleId="ListTable2Accent5">
    <w:name w:val="List Table 2 Accent 5"/>
    <w:basedOn w:val="TableNormal"/>
    <w:uiPriority w:val="47"/>
    <w:rsid w:val="00370AD1"/>
    <w:tblPr>
      <w:tblStyleRowBandSize w:val="1"/>
      <w:tblStyleColBandSize w:val="1"/>
      <w:tblInd w:w="0" w:type="dxa"/>
      <w:tblBorders>
        <w:top w:val="single" w:sz="4" w:space="0" w:color="C2E784" w:themeColor="accent5" w:themeTint="99"/>
        <w:bottom w:val="single" w:sz="4" w:space="0" w:color="C2E784" w:themeColor="accent5" w:themeTint="99"/>
        <w:insideH w:val="single" w:sz="4" w:space="0" w:color="C2E784"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customStyle="1" w:styleId="ListTable2Accent6">
    <w:name w:val="List Table 2 Accent 6"/>
    <w:basedOn w:val="TableNormal"/>
    <w:uiPriority w:val="47"/>
    <w:rsid w:val="00370AD1"/>
    <w:tblPr>
      <w:tblStyleRowBandSize w:val="1"/>
      <w:tblStyleColBandSize w:val="1"/>
      <w:tblInd w:w="0" w:type="dxa"/>
      <w:tblBorders>
        <w:top w:val="single" w:sz="4" w:space="0" w:color="F17D8C" w:themeColor="accent6" w:themeTint="99"/>
        <w:bottom w:val="single" w:sz="4" w:space="0" w:color="F17D8C" w:themeColor="accent6" w:themeTint="99"/>
        <w:insideH w:val="single" w:sz="4" w:space="0" w:color="F17D8C"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customStyle="1" w:styleId="ListTable3">
    <w:name w:val="List Table 3"/>
    <w:basedOn w:val="TableNormal"/>
    <w:uiPriority w:val="48"/>
    <w:rsid w:val="00370AD1"/>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TableNormal"/>
    <w:uiPriority w:val="48"/>
    <w:rsid w:val="00370AD1"/>
    <w:tblPr>
      <w:tblStyleRowBandSize w:val="1"/>
      <w:tblStyleColBandSize w:val="1"/>
      <w:tblInd w:w="0" w:type="dxa"/>
      <w:tblBorders>
        <w:top w:val="single" w:sz="4" w:space="0" w:color="4F2D7F" w:themeColor="accent1"/>
        <w:left w:val="single" w:sz="4" w:space="0" w:color="4F2D7F" w:themeColor="accent1"/>
        <w:bottom w:val="single" w:sz="4" w:space="0" w:color="4F2D7F" w:themeColor="accent1"/>
        <w:right w:val="single" w:sz="4" w:space="0" w:color="4F2D7F" w:themeColor="accent1"/>
      </w:tblBorders>
      <w:tblCellMar>
        <w:top w:w="0" w:type="dxa"/>
        <w:left w:w="108" w:type="dxa"/>
        <w:bottom w:w="0" w:type="dxa"/>
        <w:right w:w="108" w:type="dxa"/>
      </w:tblCellMar>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customStyle="1" w:styleId="ListTable3Accent2">
    <w:name w:val="List Table 3 Accent 2"/>
    <w:basedOn w:val="TableNormal"/>
    <w:uiPriority w:val="48"/>
    <w:rsid w:val="00370AD1"/>
    <w:tblPr>
      <w:tblStyleRowBandSize w:val="1"/>
      <w:tblStyleColBandSize w:val="1"/>
      <w:tblInd w:w="0" w:type="dxa"/>
      <w:tblBorders>
        <w:top w:val="single" w:sz="4" w:space="0" w:color="C8BEAF" w:themeColor="accent2"/>
        <w:left w:val="single" w:sz="4" w:space="0" w:color="C8BEAF" w:themeColor="accent2"/>
        <w:bottom w:val="single" w:sz="4" w:space="0" w:color="C8BEAF" w:themeColor="accent2"/>
        <w:right w:val="single" w:sz="4" w:space="0" w:color="C8BEAF" w:themeColor="accent2"/>
      </w:tblBorders>
      <w:tblCellMar>
        <w:top w:w="0" w:type="dxa"/>
        <w:left w:w="108" w:type="dxa"/>
        <w:bottom w:w="0" w:type="dxa"/>
        <w:right w:w="108" w:type="dxa"/>
      </w:tblCellMar>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customStyle="1" w:styleId="ListTable3Accent3">
    <w:name w:val="List Table 3 Accent 3"/>
    <w:basedOn w:val="TableNormal"/>
    <w:uiPriority w:val="48"/>
    <w:rsid w:val="00370AD1"/>
    <w:tblPr>
      <w:tblStyleRowBandSize w:val="1"/>
      <w:tblStyleColBandSize w:val="1"/>
      <w:tblInd w:w="0" w:type="dxa"/>
      <w:tblBorders>
        <w:top w:val="single" w:sz="4" w:space="0" w:color="00A7B5" w:themeColor="accent3"/>
        <w:left w:val="single" w:sz="4" w:space="0" w:color="00A7B5" w:themeColor="accent3"/>
        <w:bottom w:val="single" w:sz="4" w:space="0" w:color="00A7B5" w:themeColor="accent3"/>
        <w:right w:val="single" w:sz="4" w:space="0" w:color="00A7B5" w:themeColor="accent3"/>
      </w:tblBorders>
      <w:tblCellMar>
        <w:top w:w="0" w:type="dxa"/>
        <w:left w:w="108" w:type="dxa"/>
        <w:bottom w:w="0" w:type="dxa"/>
        <w:right w:w="108" w:type="dxa"/>
      </w:tblCellMar>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customStyle="1" w:styleId="ListTable3Accent4">
    <w:name w:val="List Table 3 Accent 4"/>
    <w:basedOn w:val="TableNormal"/>
    <w:uiPriority w:val="48"/>
    <w:rsid w:val="00370AD1"/>
    <w:tblPr>
      <w:tblStyleRowBandSize w:val="1"/>
      <w:tblStyleColBandSize w:val="1"/>
      <w:tblInd w:w="0" w:type="dxa"/>
      <w:tblBorders>
        <w:top w:val="single" w:sz="4" w:space="0" w:color="FF7D1E" w:themeColor="accent4"/>
        <w:left w:val="single" w:sz="4" w:space="0" w:color="FF7D1E" w:themeColor="accent4"/>
        <w:bottom w:val="single" w:sz="4" w:space="0" w:color="FF7D1E" w:themeColor="accent4"/>
        <w:right w:val="single" w:sz="4" w:space="0" w:color="FF7D1E" w:themeColor="accent4"/>
      </w:tblBorders>
      <w:tblCellMar>
        <w:top w:w="0" w:type="dxa"/>
        <w:left w:w="108" w:type="dxa"/>
        <w:bottom w:w="0" w:type="dxa"/>
        <w:right w:w="108" w:type="dxa"/>
      </w:tblCellMar>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customStyle="1" w:styleId="ListTable3Accent5">
    <w:name w:val="List Table 3 Accent 5"/>
    <w:basedOn w:val="TableNormal"/>
    <w:uiPriority w:val="48"/>
    <w:rsid w:val="00370AD1"/>
    <w:tblPr>
      <w:tblStyleRowBandSize w:val="1"/>
      <w:tblStyleColBandSize w:val="1"/>
      <w:tblInd w:w="0" w:type="dxa"/>
      <w:tblBorders>
        <w:top w:val="single" w:sz="4" w:space="0" w:color="9BD732" w:themeColor="accent5"/>
        <w:left w:val="single" w:sz="4" w:space="0" w:color="9BD732" w:themeColor="accent5"/>
        <w:bottom w:val="single" w:sz="4" w:space="0" w:color="9BD732" w:themeColor="accent5"/>
        <w:right w:val="single" w:sz="4" w:space="0" w:color="9BD732" w:themeColor="accent5"/>
      </w:tblBorders>
      <w:tblCellMar>
        <w:top w:w="0" w:type="dxa"/>
        <w:left w:w="108" w:type="dxa"/>
        <w:bottom w:w="0" w:type="dxa"/>
        <w:right w:w="108" w:type="dxa"/>
      </w:tblCellMar>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customStyle="1" w:styleId="ListTable3Accent6">
    <w:name w:val="List Table 3 Accent 6"/>
    <w:basedOn w:val="TableNormal"/>
    <w:uiPriority w:val="48"/>
    <w:rsid w:val="00370AD1"/>
    <w:tblPr>
      <w:tblStyleRowBandSize w:val="1"/>
      <w:tblStyleColBandSize w:val="1"/>
      <w:tblInd w:w="0" w:type="dxa"/>
      <w:tblBorders>
        <w:top w:val="single" w:sz="4" w:space="0" w:color="E92841" w:themeColor="accent6"/>
        <w:left w:val="single" w:sz="4" w:space="0" w:color="E92841" w:themeColor="accent6"/>
        <w:bottom w:val="single" w:sz="4" w:space="0" w:color="E92841" w:themeColor="accent6"/>
        <w:right w:val="single" w:sz="4" w:space="0" w:color="E92841" w:themeColor="accent6"/>
      </w:tblBorders>
      <w:tblCellMar>
        <w:top w:w="0" w:type="dxa"/>
        <w:left w:w="108" w:type="dxa"/>
        <w:bottom w:w="0" w:type="dxa"/>
        <w:right w:w="108" w:type="dxa"/>
      </w:tblCellMar>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customStyle="1" w:styleId="ListTable4">
    <w:name w:val="List Table 4"/>
    <w:basedOn w:val="TableNormal"/>
    <w:uiPriority w:val="49"/>
    <w:rsid w:val="00370AD1"/>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
    <w:name w:val="List Table 4 Accent 1"/>
    <w:basedOn w:val="TableNormal"/>
    <w:uiPriority w:val="49"/>
    <w:rsid w:val="00370AD1"/>
    <w:tblPr>
      <w:tblStyleRowBandSize w:val="1"/>
      <w:tblStyleColBandSize w:val="1"/>
      <w:tblInd w:w="0" w:type="dxa"/>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customStyle="1" w:styleId="ListTable4Accent2">
    <w:name w:val="List Table 4 Accent 2"/>
    <w:basedOn w:val="TableNormal"/>
    <w:uiPriority w:val="49"/>
    <w:rsid w:val="00370AD1"/>
    <w:tblPr>
      <w:tblStyleRowBandSize w:val="1"/>
      <w:tblStyleColBandSize w:val="1"/>
      <w:tblInd w:w="0" w:type="dxa"/>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customStyle="1" w:styleId="ListTable4Accent3">
    <w:name w:val="List Table 4 Accent 3"/>
    <w:basedOn w:val="TableNormal"/>
    <w:uiPriority w:val="49"/>
    <w:rsid w:val="00370AD1"/>
    <w:tblPr>
      <w:tblStyleRowBandSize w:val="1"/>
      <w:tblStyleColBandSize w:val="1"/>
      <w:tblInd w:w="0" w:type="dxa"/>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customStyle="1" w:styleId="ListTable4Accent4">
    <w:name w:val="List Table 4 Accent 4"/>
    <w:basedOn w:val="TableNormal"/>
    <w:uiPriority w:val="49"/>
    <w:rsid w:val="00370AD1"/>
    <w:tblPr>
      <w:tblStyleRowBandSize w:val="1"/>
      <w:tblStyleColBandSize w:val="1"/>
      <w:tblInd w:w="0" w:type="dxa"/>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customStyle="1" w:styleId="ListTable4Accent5">
    <w:name w:val="List Table 4 Accent 5"/>
    <w:basedOn w:val="TableNormal"/>
    <w:uiPriority w:val="49"/>
    <w:rsid w:val="00370AD1"/>
    <w:tblPr>
      <w:tblStyleRowBandSize w:val="1"/>
      <w:tblStyleColBandSize w:val="1"/>
      <w:tblInd w:w="0" w:type="dxa"/>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customStyle="1" w:styleId="ListTable4Accent6">
    <w:name w:val="List Table 4 Accent 6"/>
    <w:basedOn w:val="TableNormal"/>
    <w:uiPriority w:val="49"/>
    <w:rsid w:val="00370AD1"/>
    <w:tblPr>
      <w:tblStyleRowBandSize w:val="1"/>
      <w:tblStyleColBandSize w:val="1"/>
      <w:tblInd w:w="0" w:type="dxa"/>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customStyle="1" w:styleId="ListTable5Dark">
    <w:name w:val="List Table 5 Dark"/>
    <w:basedOn w:val="TableNormal"/>
    <w:uiPriority w:val="50"/>
    <w:rsid w:val="00370AD1"/>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TableNormal"/>
    <w:uiPriority w:val="50"/>
    <w:rsid w:val="00370AD1"/>
    <w:rPr>
      <w:color w:val="FFFFFF" w:themeColor="background1"/>
    </w:rPr>
    <w:tblPr>
      <w:tblStyleRowBandSize w:val="1"/>
      <w:tblStyleColBandSize w:val="1"/>
      <w:tblInd w:w="0" w:type="dxa"/>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CellMar>
        <w:top w:w="0" w:type="dxa"/>
        <w:left w:w="108" w:type="dxa"/>
        <w:bottom w:w="0" w:type="dxa"/>
        <w:right w:w="108" w:type="dxa"/>
      </w:tblCellMar>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TableNormal"/>
    <w:uiPriority w:val="50"/>
    <w:rsid w:val="00370AD1"/>
    <w:rPr>
      <w:color w:val="FFFFFF" w:themeColor="background1"/>
    </w:rPr>
    <w:tblPr>
      <w:tblStyleRowBandSize w:val="1"/>
      <w:tblStyleColBandSize w:val="1"/>
      <w:tblInd w:w="0" w:type="dxa"/>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CellMar>
        <w:top w:w="0" w:type="dxa"/>
        <w:left w:w="108" w:type="dxa"/>
        <w:bottom w:w="0" w:type="dxa"/>
        <w:right w:w="108" w:type="dxa"/>
      </w:tblCellMar>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TableNormal"/>
    <w:uiPriority w:val="50"/>
    <w:rsid w:val="00370AD1"/>
    <w:rPr>
      <w:color w:val="FFFFFF" w:themeColor="background1"/>
    </w:rPr>
    <w:tblPr>
      <w:tblStyleRowBandSize w:val="1"/>
      <w:tblStyleColBandSize w:val="1"/>
      <w:tblInd w:w="0" w:type="dxa"/>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CellMar>
        <w:top w:w="0" w:type="dxa"/>
        <w:left w:w="108" w:type="dxa"/>
        <w:bottom w:w="0" w:type="dxa"/>
        <w:right w:w="108" w:type="dxa"/>
      </w:tblCellMar>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TableNormal"/>
    <w:uiPriority w:val="50"/>
    <w:rsid w:val="00370AD1"/>
    <w:rPr>
      <w:color w:val="FFFFFF" w:themeColor="background1"/>
    </w:rPr>
    <w:tblPr>
      <w:tblStyleRowBandSize w:val="1"/>
      <w:tblStyleColBandSize w:val="1"/>
      <w:tblInd w:w="0" w:type="dxa"/>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CellMar>
        <w:top w:w="0" w:type="dxa"/>
        <w:left w:w="108" w:type="dxa"/>
        <w:bottom w:w="0" w:type="dxa"/>
        <w:right w:w="108" w:type="dxa"/>
      </w:tblCellMar>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TableNormal"/>
    <w:uiPriority w:val="50"/>
    <w:rsid w:val="00370AD1"/>
    <w:rPr>
      <w:color w:val="FFFFFF" w:themeColor="background1"/>
    </w:rPr>
    <w:tblPr>
      <w:tblStyleRowBandSize w:val="1"/>
      <w:tblStyleColBandSize w:val="1"/>
      <w:tblInd w:w="0" w:type="dxa"/>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CellMar>
        <w:top w:w="0" w:type="dxa"/>
        <w:left w:w="108" w:type="dxa"/>
        <w:bottom w:w="0" w:type="dxa"/>
        <w:right w:w="108" w:type="dxa"/>
      </w:tblCellMar>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TableNormal"/>
    <w:uiPriority w:val="50"/>
    <w:rsid w:val="00370AD1"/>
    <w:rPr>
      <w:color w:val="FFFFFF" w:themeColor="background1"/>
    </w:rPr>
    <w:tblPr>
      <w:tblStyleRowBandSize w:val="1"/>
      <w:tblStyleColBandSize w:val="1"/>
      <w:tblInd w:w="0" w:type="dxa"/>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CellMar>
        <w:top w:w="0" w:type="dxa"/>
        <w:left w:w="108" w:type="dxa"/>
        <w:bottom w:w="0" w:type="dxa"/>
        <w:right w:w="108" w:type="dxa"/>
      </w:tblCellMar>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TableNormal"/>
    <w:uiPriority w:val="51"/>
    <w:rsid w:val="00370AD1"/>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TableNormal"/>
    <w:uiPriority w:val="51"/>
    <w:rsid w:val="00370AD1"/>
    <w:rPr>
      <w:color w:val="3A215E" w:themeColor="accent1" w:themeShade="BF"/>
    </w:rPr>
    <w:tblPr>
      <w:tblStyleRowBandSize w:val="1"/>
      <w:tblStyleColBandSize w:val="1"/>
      <w:tblInd w:w="0" w:type="dxa"/>
      <w:tblBorders>
        <w:top w:val="single" w:sz="4" w:space="0" w:color="4F2D7F" w:themeColor="accent1"/>
        <w:bottom w:val="single" w:sz="4" w:space="0" w:color="4F2D7F" w:themeColor="accent1"/>
      </w:tblBorders>
      <w:tblCellMar>
        <w:top w:w="0" w:type="dxa"/>
        <w:left w:w="108" w:type="dxa"/>
        <w:bottom w:w="0" w:type="dxa"/>
        <w:right w:w="108" w:type="dxa"/>
      </w:tblCellMar>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customStyle="1" w:styleId="ListTable6ColorfulAccent2">
    <w:name w:val="List Table 6 Colorful Accent 2"/>
    <w:basedOn w:val="TableNormal"/>
    <w:uiPriority w:val="51"/>
    <w:rsid w:val="00370AD1"/>
    <w:rPr>
      <w:color w:val="A19077" w:themeColor="accent2" w:themeShade="BF"/>
    </w:rPr>
    <w:tblPr>
      <w:tblStyleRowBandSize w:val="1"/>
      <w:tblStyleColBandSize w:val="1"/>
      <w:tblInd w:w="0" w:type="dxa"/>
      <w:tblBorders>
        <w:top w:val="single" w:sz="4" w:space="0" w:color="C8BEAF" w:themeColor="accent2"/>
        <w:bottom w:val="single" w:sz="4" w:space="0" w:color="C8BEAF" w:themeColor="accent2"/>
      </w:tblBorders>
      <w:tblCellMar>
        <w:top w:w="0" w:type="dxa"/>
        <w:left w:w="108" w:type="dxa"/>
        <w:bottom w:w="0" w:type="dxa"/>
        <w:right w:w="108" w:type="dxa"/>
      </w:tblCellMar>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customStyle="1" w:styleId="ListTable6ColorfulAccent3">
    <w:name w:val="List Table 6 Colorful Accent 3"/>
    <w:basedOn w:val="TableNormal"/>
    <w:uiPriority w:val="51"/>
    <w:rsid w:val="00370AD1"/>
    <w:rPr>
      <w:color w:val="007C87" w:themeColor="accent3" w:themeShade="BF"/>
    </w:rPr>
    <w:tblPr>
      <w:tblStyleRowBandSize w:val="1"/>
      <w:tblStyleColBandSize w:val="1"/>
      <w:tblInd w:w="0" w:type="dxa"/>
      <w:tblBorders>
        <w:top w:val="single" w:sz="4" w:space="0" w:color="00A7B5" w:themeColor="accent3"/>
        <w:bottom w:val="single" w:sz="4" w:space="0" w:color="00A7B5" w:themeColor="accent3"/>
      </w:tblBorders>
      <w:tblCellMar>
        <w:top w:w="0" w:type="dxa"/>
        <w:left w:w="108" w:type="dxa"/>
        <w:bottom w:w="0" w:type="dxa"/>
        <w:right w:w="108" w:type="dxa"/>
      </w:tblCellMar>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customStyle="1" w:styleId="ListTable6ColorfulAccent4">
    <w:name w:val="List Table 6 Colorful Accent 4"/>
    <w:basedOn w:val="TableNormal"/>
    <w:uiPriority w:val="51"/>
    <w:rsid w:val="00370AD1"/>
    <w:rPr>
      <w:color w:val="D55900" w:themeColor="accent4" w:themeShade="BF"/>
    </w:rPr>
    <w:tblPr>
      <w:tblStyleRowBandSize w:val="1"/>
      <w:tblStyleColBandSize w:val="1"/>
      <w:tblInd w:w="0" w:type="dxa"/>
      <w:tblBorders>
        <w:top w:val="single" w:sz="4" w:space="0" w:color="FF7D1E" w:themeColor="accent4"/>
        <w:bottom w:val="single" w:sz="4" w:space="0" w:color="FF7D1E" w:themeColor="accent4"/>
      </w:tblBorders>
      <w:tblCellMar>
        <w:top w:w="0" w:type="dxa"/>
        <w:left w:w="108" w:type="dxa"/>
        <w:bottom w:w="0" w:type="dxa"/>
        <w:right w:w="108" w:type="dxa"/>
      </w:tblCellMar>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customStyle="1" w:styleId="ListTable6ColorfulAccent5">
    <w:name w:val="List Table 6 Colorful Accent 5"/>
    <w:basedOn w:val="TableNormal"/>
    <w:uiPriority w:val="51"/>
    <w:rsid w:val="00370AD1"/>
    <w:rPr>
      <w:color w:val="75A520" w:themeColor="accent5" w:themeShade="BF"/>
    </w:rPr>
    <w:tblPr>
      <w:tblStyleRowBandSize w:val="1"/>
      <w:tblStyleColBandSize w:val="1"/>
      <w:tblInd w:w="0" w:type="dxa"/>
      <w:tblBorders>
        <w:top w:val="single" w:sz="4" w:space="0" w:color="9BD732" w:themeColor="accent5"/>
        <w:bottom w:val="single" w:sz="4" w:space="0" w:color="9BD732" w:themeColor="accent5"/>
      </w:tblBorders>
      <w:tblCellMar>
        <w:top w:w="0" w:type="dxa"/>
        <w:left w:w="108" w:type="dxa"/>
        <w:bottom w:w="0" w:type="dxa"/>
        <w:right w:w="108" w:type="dxa"/>
      </w:tblCellMar>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customStyle="1" w:styleId="ListTable6ColorfulAccent6">
    <w:name w:val="List Table 6 Colorful Accent 6"/>
    <w:basedOn w:val="TableNormal"/>
    <w:uiPriority w:val="51"/>
    <w:rsid w:val="00370AD1"/>
    <w:rPr>
      <w:color w:val="B91328" w:themeColor="accent6" w:themeShade="BF"/>
    </w:rPr>
    <w:tblPr>
      <w:tblStyleRowBandSize w:val="1"/>
      <w:tblStyleColBandSize w:val="1"/>
      <w:tblInd w:w="0" w:type="dxa"/>
      <w:tblBorders>
        <w:top w:val="single" w:sz="4" w:space="0" w:color="E92841" w:themeColor="accent6"/>
        <w:bottom w:val="single" w:sz="4" w:space="0" w:color="E92841" w:themeColor="accent6"/>
      </w:tblBorders>
      <w:tblCellMar>
        <w:top w:w="0" w:type="dxa"/>
        <w:left w:w="108" w:type="dxa"/>
        <w:bottom w:w="0" w:type="dxa"/>
        <w:right w:w="108" w:type="dxa"/>
      </w:tblCellMar>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customStyle="1" w:styleId="ListTable7Colorful">
    <w:name w:val="List Table 7 Colorful"/>
    <w:basedOn w:val="TableNormal"/>
    <w:uiPriority w:val="52"/>
    <w:rsid w:val="00370AD1"/>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TableNormal"/>
    <w:uiPriority w:val="52"/>
    <w:rsid w:val="00370AD1"/>
    <w:rPr>
      <w:color w:val="3A215E"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TableNormal"/>
    <w:uiPriority w:val="52"/>
    <w:rsid w:val="00370AD1"/>
    <w:rPr>
      <w:color w:val="A19077"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TableNormal"/>
    <w:uiPriority w:val="52"/>
    <w:rsid w:val="00370AD1"/>
    <w:rPr>
      <w:color w:val="007C87"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TableNormal"/>
    <w:uiPriority w:val="52"/>
    <w:rsid w:val="00370AD1"/>
    <w:rPr>
      <w:color w:val="D55900"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TableNormal"/>
    <w:uiPriority w:val="52"/>
    <w:rsid w:val="00370AD1"/>
    <w:rPr>
      <w:color w:val="75A520"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TableNormal"/>
    <w:uiPriority w:val="52"/>
    <w:rsid w:val="00370AD1"/>
    <w:rPr>
      <w:color w:val="B91328"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370AD1"/>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370AD1"/>
    <w:tblPr>
      <w:tblStyleRowBandSize w:val="1"/>
      <w:tblStyleColBandSize w:val="1"/>
      <w:tblInd w:w="0" w:type="dxa"/>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CellMar>
        <w:top w:w="0" w:type="dxa"/>
        <w:left w:w="108" w:type="dxa"/>
        <w:bottom w:w="0" w:type="dxa"/>
        <w:right w:w="108" w:type="dxa"/>
      </w:tblCellMar>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370AD1"/>
    <w:tblPr>
      <w:tblStyleRowBandSize w:val="1"/>
      <w:tblStyleColBandSize w:val="1"/>
      <w:tblInd w:w="0" w:type="dxa"/>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CellMar>
        <w:top w:w="0" w:type="dxa"/>
        <w:left w:w="108" w:type="dxa"/>
        <w:bottom w:w="0" w:type="dxa"/>
        <w:right w:w="108" w:type="dxa"/>
      </w:tblCellMar>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370AD1"/>
    <w:tblPr>
      <w:tblStyleRowBandSize w:val="1"/>
      <w:tblStyleColBandSize w:val="1"/>
      <w:tblInd w:w="0" w:type="dxa"/>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CellMar>
        <w:top w:w="0" w:type="dxa"/>
        <w:left w:w="108" w:type="dxa"/>
        <w:bottom w:w="0" w:type="dxa"/>
        <w:right w:w="108" w:type="dxa"/>
      </w:tblCellMar>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370AD1"/>
    <w:tblPr>
      <w:tblStyleRowBandSize w:val="1"/>
      <w:tblStyleColBandSize w:val="1"/>
      <w:tblInd w:w="0" w:type="dxa"/>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CellMar>
        <w:top w:w="0" w:type="dxa"/>
        <w:left w:w="108" w:type="dxa"/>
        <w:bottom w:w="0" w:type="dxa"/>
        <w:right w:w="108" w:type="dxa"/>
      </w:tblCellMar>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370AD1"/>
    <w:tblPr>
      <w:tblStyleRowBandSize w:val="1"/>
      <w:tblStyleColBandSize w:val="1"/>
      <w:tblInd w:w="0" w:type="dxa"/>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CellMar>
        <w:top w:w="0" w:type="dxa"/>
        <w:left w:w="108" w:type="dxa"/>
        <w:bottom w:w="0" w:type="dxa"/>
        <w:right w:w="108" w:type="dxa"/>
      </w:tblCellMar>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370AD1"/>
    <w:tblPr>
      <w:tblStyleRowBandSize w:val="1"/>
      <w:tblStyleColBandSize w:val="1"/>
      <w:tblInd w:w="0" w:type="dxa"/>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CellMar>
        <w:top w:w="0" w:type="dxa"/>
        <w:left w:w="108" w:type="dxa"/>
        <w:bottom w:w="0" w:type="dxa"/>
        <w:right w:w="108" w:type="dxa"/>
      </w:tblCellMar>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370AD1"/>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370AD1"/>
    <w:rPr>
      <w:rFonts w:asciiTheme="majorHAnsi" w:eastAsiaTheme="majorEastAsia" w:hAnsiTheme="majorHAnsi" w:cstheme="majorBidi"/>
      <w:color w:val="000000" w:themeColor="text1"/>
    </w:rPr>
    <w:tblPr>
      <w:tblStyleRowBandSize w:val="1"/>
      <w:tblStyleColBandSize w:val="1"/>
      <w:tblInd w:w="0" w:type="dxa"/>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CellMar>
        <w:top w:w="0" w:type="dxa"/>
        <w:left w:w="108" w:type="dxa"/>
        <w:bottom w:w="0" w:type="dxa"/>
        <w:right w:w="108" w:type="dxa"/>
      </w:tblCellMar>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370AD1"/>
    <w:rPr>
      <w:rFonts w:asciiTheme="majorHAnsi" w:eastAsiaTheme="majorEastAsia" w:hAnsiTheme="majorHAnsi" w:cstheme="majorBidi"/>
      <w:color w:val="000000" w:themeColor="text1"/>
    </w:rPr>
    <w:tblPr>
      <w:tblStyleRowBandSize w:val="1"/>
      <w:tblStyleColBandSize w:val="1"/>
      <w:tblInd w:w="0" w:type="dxa"/>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CellMar>
        <w:top w:w="0" w:type="dxa"/>
        <w:left w:w="108" w:type="dxa"/>
        <w:bottom w:w="0" w:type="dxa"/>
        <w:right w:w="108" w:type="dxa"/>
      </w:tblCellMar>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370AD1"/>
    <w:rPr>
      <w:rFonts w:asciiTheme="majorHAnsi" w:eastAsiaTheme="majorEastAsia" w:hAnsiTheme="majorHAnsi" w:cstheme="majorBidi"/>
      <w:color w:val="000000" w:themeColor="text1"/>
    </w:rPr>
    <w:tblPr>
      <w:tblStyleRowBandSize w:val="1"/>
      <w:tblStyleColBandSize w:val="1"/>
      <w:tblInd w:w="0" w:type="dxa"/>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CellMar>
        <w:top w:w="0" w:type="dxa"/>
        <w:left w:w="108" w:type="dxa"/>
        <w:bottom w:w="0" w:type="dxa"/>
        <w:right w:w="108" w:type="dxa"/>
      </w:tblCellMar>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370AD1"/>
    <w:rPr>
      <w:rFonts w:asciiTheme="majorHAnsi" w:eastAsiaTheme="majorEastAsia" w:hAnsiTheme="majorHAnsi" w:cstheme="majorBidi"/>
      <w:color w:val="000000" w:themeColor="text1"/>
    </w:rPr>
    <w:tblPr>
      <w:tblStyleRowBandSize w:val="1"/>
      <w:tblStyleColBandSize w:val="1"/>
      <w:tblInd w:w="0" w:type="dxa"/>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CellMar>
        <w:top w:w="0" w:type="dxa"/>
        <w:left w:w="108" w:type="dxa"/>
        <w:bottom w:w="0" w:type="dxa"/>
        <w:right w:w="108" w:type="dxa"/>
      </w:tblCellMar>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370AD1"/>
    <w:rPr>
      <w:rFonts w:asciiTheme="majorHAnsi" w:eastAsiaTheme="majorEastAsia" w:hAnsiTheme="majorHAnsi" w:cstheme="majorBidi"/>
      <w:color w:val="000000" w:themeColor="text1"/>
    </w:rPr>
    <w:tblPr>
      <w:tblStyleRowBandSize w:val="1"/>
      <w:tblStyleColBandSize w:val="1"/>
      <w:tblInd w:w="0" w:type="dxa"/>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CellMar>
        <w:top w:w="0" w:type="dxa"/>
        <w:left w:w="108" w:type="dxa"/>
        <w:bottom w:w="0" w:type="dxa"/>
        <w:right w:w="108" w:type="dxa"/>
      </w:tblCellMar>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370AD1"/>
    <w:rPr>
      <w:rFonts w:asciiTheme="majorHAnsi" w:eastAsiaTheme="majorEastAsia" w:hAnsiTheme="majorHAnsi" w:cstheme="majorBidi"/>
      <w:color w:val="000000" w:themeColor="text1"/>
    </w:rPr>
    <w:tblPr>
      <w:tblStyleRowBandSize w:val="1"/>
      <w:tblStyleColBandSize w:val="1"/>
      <w:tblInd w:w="0" w:type="dxa"/>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CellMar>
        <w:top w:w="0" w:type="dxa"/>
        <w:left w:w="108" w:type="dxa"/>
        <w:bottom w:w="0" w:type="dxa"/>
        <w:right w:w="108" w:type="dxa"/>
      </w:tblCellMar>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370AD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370AD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370AD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370AD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370AD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370AD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370AD1"/>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370AD1"/>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370AD1"/>
    <w:rPr>
      <w:color w:val="000000" w:themeColor="text1"/>
    </w:rPr>
    <w:tblPr>
      <w:tblStyleRowBandSize w:val="1"/>
      <w:tblStyleColBandSize w:val="1"/>
      <w:tblInd w:w="0" w:type="dxa"/>
      <w:tblBorders>
        <w:top w:val="single" w:sz="8" w:space="0" w:color="4F2D7F" w:themeColor="accent1"/>
        <w:bottom w:val="single" w:sz="8" w:space="0" w:color="4F2D7F"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370AD1"/>
    <w:rPr>
      <w:color w:val="000000" w:themeColor="text1"/>
    </w:rPr>
    <w:tblPr>
      <w:tblStyleRowBandSize w:val="1"/>
      <w:tblStyleColBandSize w:val="1"/>
      <w:tblInd w:w="0" w:type="dxa"/>
      <w:tblBorders>
        <w:top w:val="single" w:sz="8" w:space="0" w:color="C8BEAF" w:themeColor="accent2"/>
        <w:bottom w:val="single" w:sz="8" w:space="0" w:color="C8BEAF"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370AD1"/>
    <w:rPr>
      <w:color w:val="000000" w:themeColor="text1"/>
    </w:rPr>
    <w:tblPr>
      <w:tblStyleRowBandSize w:val="1"/>
      <w:tblStyleColBandSize w:val="1"/>
      <w:tblInd w:w="0" w:type="dxa"/>
      <w:tblBorders>
        <w:top w:val="single" w:sz="8" w:space="0" w:color="00A7B5" w:themeColor="accent3"/>
        <w:bottom w:val="single" w:sz="8" w:space="0" w:color="00A7B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370AD1"/>
    <w:rPr>
      <w:color w:val="000000" w:themeColor="text1"/>
    </w:rPr>
    <w:tblPr>
      <w:tblStyleRowBandSize w:val="1"/>
      <w:tblStyleColBandSize w:val="1"/>
      <w:tblInd w:w="0" w:type="dxa"/>
      <w:tblBorders>
        <w:top w:val="single" w:sz="8" w:space="0" w:color="FF7D1E" w:themeColor="accent4"/>
        <w:bottom w:val="single" w:sz="8" w:space="0" w:color="FF7D1E"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370AD1"/>
    <w:rPr>
      <w:color w:val="000000" w:themeColor="text1"/>
    </w:rPr>
    <w:tblPr>
      <w:tblStyleRowBandSize w:val="1"/>
      <w:tblStyleColBandSize w:val="1"/>
      <w:tblInd w:w="0" w:type="dxa"/>
      <w:tblBorders>
        <w:top w:val="single" w:sz="8" w:space="0" w:color="9BD732" w:themeColor="accent5"/>
        <w:bottom w:val="single" w:sz="8" w:space="0" w:color="9BD732"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370AD1"/>
    <w:rPr>
      <w:color w:val="000000" w:themeColor="text1"/>
    </w:rPr>
    <w:tblPr>
      <w:tblStyleRowBandSize w:val="1"/>
      <w:tblStyleColBandSize w:val="1"/>
      <w:tblInd w:w="0" w:type="dxa"/>
      <w:tblBorders>
        <w:top w:val="single" w:sz="8" w:space="0" w:color="E92841" w:themeColor="accent6"/>
        <w:bottom w:val="single" w:sz="8" w:space="0" w:color="E92841"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370AD1"/>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370AD1"/>
    <w:rPr>
      <w:rFonts w:asciiTheme="majorHAnsi" w:eastAsiaTheme="majorEastAsia" w:hAnsiTheme="majorHAnsi" w:cstheme="majorBidi"/>
      <w:color w:val="000000" w:themeColor="text1"/>
    </w:rPr>
    <w:tblPr>
      <w:tblStyleRowBandSize w:val="1"/>
      <w:tblStyleColBandSize w:val="1"/>
      <w:tblInd w:w="0" w:type="dxa"/>
      <w:tblBorders>
        <w:top w:val="single" w:sz="8" w:space="0" w:color="4F2D7F" w:themeColor="accent1"/>
        <w:left w:val="single" w:sz="8" w:space="0" w:color="4F2D7F" w:themeColor="accent1"/>
        <w:bottom w:val="single" w:sz="8" w:space="0" w:color="4F2D7F" w:themeColor="accent1"/>
        <w:right w:val="single" w:sz="8" w:space="0" w:color="4F2D7F"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370AD1"/>
    <w:rPr>
      <w:rFonts w:asciiTheme="majorHAnsi" w:eastAsiaTheme="majorEastAsia" w:hAnsiTheme="majorHAnsi" w:cstheme="majorBidi"/>
      <w:color w:val="000000" w:themeColor="text1"/>
    </w:rPr>
    <w:tblPr>
      <w:tblStyleRowBandSize w:val="1"/>
      <w:tblStyleColBandSize w:val="1"/>
      <w:tblInd w:w="0" w:type="dxa"/>
      <w:tblBorders>
        <w:top w:val="single" w:sz="8" w:space="0" w:color="C8BEAF" w:themeColor="accent2"/>
        <w:left w:val="single" w:sz="8" w:space="0" w:color="C8BEAF" w:themeColor="accent2"/>
        <w:bottom w:val="single" w:sz="8" w:space="0" w:color="C8BEAF" w:themeColor="accent2"/>
        <w:right w:val="single" w:sz="8" w:space="0" w:color="C8BEAF"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370AD1"/>
    <w:rPr>
      <w:rFonts w:asciiTheme="majorHAnsi" w:eastAsiaTheme="majorEastAsia" w:hAnsiTheme="majorHAnsi" w:cstheme="majorBidi"/>
      <w:color w:val="000000" w:themeColor="text1"/>
    </w:rPr>
    <w:tblPr>
      <w:tblStyleRowBandSize w:val="1"/>
      <w:tblStyleColBandSize w:val="1"/>
      <w:tblInd w:w="0" w:type="dxa"/>
      <w:tblBorders>
        <w:top w:val="single" w:sz="8" w:space="0" w:color="00A7B5" w:themeColor="accent3"/>
        <w:left w:val="single" w:sz="8" w:space="0" w:color="00A7B5" w:themeColor="accent3"/>
        <w:bottom w:val="single" w:sz="8" w:space="0" w:color="00A7B5" w:themeColor="accent3"/>
        <w:right w:val="single" w:sz="8" w:space="0" w:color="00A7B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370AD1"/>
    <w:rPr>
      <w:rFonts w:asciiTheme="majorHAnsi" w:eastAsiaTheme="majorEastAsia" w:hAnsiTheme="majorHAnsi" w:cstheme="majorBidi"/>
      <w:color w:val="000000" w:themeColor="text1"/>
    </w:rPr>
    <w:tblPr>
      <w:tblStyleRowBandSize w:val="1"/>
      <w:tblStyleColBandSize w:val="1"/>
      <w:tblInd w:w="0" w:type="dxa"/>
      <w:tblBorders>
        <w:top w:val="single" w:sz="8" w:space="0" w:color="FF7D1E" w:themeColor="accent4"/>
        <w:left w:val="single" w:sz="8" w:space="0" w:color="FF7D1E" w:themeColor="accent4"/>
        <w:bottom w:val="single" w:sz="8" w:space="0" w:color="FF7D1E" w:themeColor="accent4"/>
        <w:right w:val="single" w:sz="8" w:space="0" w:color="FF7D1E"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370AD1"/>
    <w:rPr>
      <w:rFonts w:asciiTheme="majorHAnsi" w:eastAsiaTheme="majorEastAsia" w:hAnsiTheme="majorHAnsi" w:cstheme="majorBidi"/>
      <w:color w:val="000000" w:themeColor="text1"/>
    </w:rPr>
    <w:tblPr>
      <w:tblStyleRowBandSize w:val="1"/>
      <w:tblStyleColBandSize w:val="1"/>
      <w:tblInd w:w="0" w:type="dxa"/>
      <w:tblBorders>
        <w:top w:val="single" w:sz="8" w:space="0" w:color="9BD732" w:themeColor="accent5"/>
        <w:left w:val="single" w:sz="8" w:space="0" w:color="9BD732" w:themeColor="accent5"/>
        <w:bottom w:val="single" w:sz="8" w:space="0" w:color="9BD732" w:themeColor="accent5"/>
        <w:right w:val="single" w:sz="8" w:space="0" w:color="9BD732"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370AD1"/>
    <w:rPr>
      <w:rFonts w:asciiTheme="majorHAnsi" w:eastAsiaTheme="majorEastAsia" w:hAnsiTheme="majorHAnsi" w:cstheme="majorBidi"/>
      <w:color w:val="000000" w:themeColor="text1"/>
    </w:rPr>
    <w:tblPr>
      <w:tblStyleRowBandSize w:val="1"/>
      <w:tblStyleColBandSize w:val="1"/>
      <w:tblInd w:w="0" w:type="dxa"/>
      <w:tblBorders>
        <w:top w:val="single" w:sz="8" w:space="0" w:color="E92841" w:themeColor="accent6"/>
        <w:left w:val="single" w:sz="8" w:space="0" w:color="E92841" w:themeColor="accent6"/>
        <w:bottom w:val="single" w:sz="8" w:space="0" w:color="E92841" w:themeColor="accent6"/>
        <w:right w:val="single" w:sz="8" w:space="0" w:color="E92841"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370AD1"/>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370AD1"/>
    <w:tblPr>
      <w:tblStyleRowBandSize w:val="1"/>
      <w:tblStyleColBandSize w:val="1"/>
      <w:tblInd w:w="0" w:type="dxa"/>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370AD1"/>
    <w:tblPr>
      <w:tblStyleRowBandSize w:val="1"/>
      <w:tblStyleColBandSize w:val="1"/>
      <w:tblInd w:w="0" w:type="dxa"/>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370AD1"/>
    <w:tblPr>
      <w:tblStyleRowBandSize w:val="1"/>
      <w:tblStyleColBandSize w:val="1"/>
      <w:tblInd w:w="0" w:type="dxa"/>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370AD1"/>
    <w:tblPr>
      <w:tblStyleRowBandSize w:val="1"/>
      <w:tblStyleColBandSize w:val="1"/>
      <w:tblInd w:w="0" w:type="dxa"/>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370AD1"/>
    <w:tblPr>
      <w:tblStyleRowBandSize w:val="1"/>
      <w:tblStyleColBandSize w:val="1"/>
      <w:tblInd w:w="0" w:type="dxa"/>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370AD1"/>
    <w:tblPr>
      <w:tblStyleRowBandSize w:val="1"/>
      <w:tblStyleColBandSize w:val="1"/>
      <w:tblInd w:w="0" w:type="dxa"/>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370AD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370AD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370AD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370AD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370AD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370AD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370AD1"/>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370AD1"/>
    <w:rPr>
      <w:color w:val="2B579A"/>
      <w:shd w:val="clear" w:color="auto" w:fill="E6E6E6"/>
      <w:lang w:val="en-GB"/>
    </w:rPr>
  </w:style>
  <w:style w:type="paragraph" w:styleId="MessageHeader">
    <w:name w:val="Message Header"/>
    <w:basedOn w:val="Normal"/>
    <w:link w:val="MessageHeaderChar"/>
    <w:semiHidden/>
    <w:rsid w:val="00370AD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370AD1"/>
    <w:rPr>
      <w:rFonts w:asciiTheme="majorHAnsi" w:eastAsiaTheme="majorEastAsia" w:hAnsiTheme="majorHAnsi" w:cstheme="majorBidi"/>
      <w:sz w:val="24"/>
      <w:szCs w:val="24"/>
      <w:shd w:val="pct20" w:color="auto" w:fill="auto"/>
      <w:lang w:val="en-GB"/>
    </w:rPr>
  </w:style>
  <w:style w:type="paragraph" w:styleId="NormalWeb">
    <w:name w:val="Normal (Web)"/>
    <w:basedOn w:val="Normal"/>
    <w:uiPriority w:val="99"/>
    <w:semiHidden/>
    <w:unhideWhenUsed/>
    <w:rsid w:val="00370AD1"/>
    <w:rPr>
      <w:rFonts w:ascii="Times New Roman" w:hAnsi="Times New Roman" w:cs="Times New Roman"/>
      <w:sz w:val="24"/>
      <w:szCs w:val="24"/>
    </w:rPr>
  </w:style>
  <w:style w:type="paragraph" w:styleId="NormalIndent">
    <w:name w:val="Normal Indent"/>
    <w:basedOn w:val="Normal"/>
    <w:semiHidden/>
    <w:unhideWhenUsed/>
    <w:rsid w:val="00370AD1"/>
    <w:pPr>
      <w:ind w:left="720"/>
    </w:pPr>
  </w:style>
  <w:style w:type="paragraph" w:styleId="NoteHeading">
    <w:name w:val="Note Heading"/>
    <w:basedOn w:val="Normal"/>
    <w:next w:val="Normal"/>
    <w:link w:val="NoteHeadingChar"/>
    <w:semiHidden/>
    <w:unhideWhenUsed/>
    <w:rsid w:val="00370AD1"/>
    <w:pPr>
      <w:spacing w:after="0" w:line="240" w:lineRule="auto"/>
    </w:pPr>
  </w:style>
  <w:style w:type="character" w:customStyle="1" w:styleId="NoteHeadingChar">
    <w:name w:val="Note Heading Char"/>
    <w:basedOn w:val="DefaultParagraphFont"/>
    <w:link w:val="NoteHeading"/>
    <w:semiHidden/>
    <w:rsid w:val="00370AD1"/>
    <w:rPr>
      <w:rFonts w:asciiTheme="minorHAnsi" w:hAnsiTheme="minorHAnsi" w:cs="Arial"/>
      <w:sz w:val="18"/>
      <w:lang w:val="en-GB"/>
    </w:rPr>
  </w:style>
  <w:style w:type="character" w:styleId="PlaceholderText">
    <w:name w:val="Placeholder Text"/>
    <w:basedOn w:val="DefaultParagraphFont"/>
    <w:uiPriority w:val="99"/>
    <w:semiHidden/>
    <w:rsid w:val="00370AD1"/>
    <w:rPr>
      <w:color w:val="808080"/>
      <w:lang w:val="en-GB"/>
    </w:rPr>
  </w:style>
  <w:style w:type="table" w:customStyle="1" w:styleId="PlainTable1">
    <w:name w:val="Plain Table 1"/>
    <w:basedOn w:val="TableNormal"/>
    <w:uiPriority w:val="41"/>
    <w:rsid w:val="00370AD1"/>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TableNormal"/>
    <w:uiPriority w:val="42"/>
    <w:rsid w:val="00370AD1"/>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TableNormal"/>
    <w:uiPriority w:val="43"/>
    <w:rsid w:val="00370AD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TableNormal"/>
    <w:uiPriority w:val="44"/>
    <w:rsid w:val="00370AD1"/>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TableNormal"/>
    <w:uiPriority w:val="45"/>
    <w:rsid w:val="00370AD1"/>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370AD1"/>
  </w:style>
  <w:style w:type="character" w:customStyle="1" w:styleId="SalutationChar">
    <w:name w:val="Salutation Char"/>
    <w:basedOn w:val="DefaultParagraphFont"/>
    <w:link w:val="Salutation"/>
    <w:semiHidden/>
    <w:rsid w:val="00370AD1"/>
    <w:rPr>
      <w:rFonts w:asciiTheme="minorHAnsi" w:hAnsiTheme="minorHAnsi" w:cs="Arial"/>
      <w:sz w:val="18"/>
      <w:lang w:val="en-GB"/>
    </w:rPr>
  </w:style>
  <w:style w:type="paragraph" w:styleId="Signature">
    <w:name w:val="Signature"/>
    <w:basedOn w:val="Normal"/>
    <w:link w:val="SignatureChar"/>
    <w:semiHidden/>
    <w:unhideWhenUsed/>
    <w:rsid w:val="00370AD1"/>
    <w:pPr>
      <w:spacing w:after="0" w:line="240" w:lineRule="auto"/>
      <w:ind w:left="4252"/>
    </w:pPr>
  </w:style>
  <w:style w:type="character" w:customStyle="1" w:styleId="SignatureChar">
    <w:name w:val="Signature Char"/>
    <w:basedOn w:val="DefaultParagraphFont"/>
    <w:link w:val="Signature"/>
    <w:semiHidden/>
    <w:rsid w:val="00370AD1"/>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370AD1"/>
    <w:rPr>
      <w:u w:val="dotted"/>
      <w:lang w:val="en-GB"/>
    </w:rPr>
  </w:style>
  <w:style w:type="character" w:styleId="Strong">
    <w:name w:val="Strong"/>
    <w:basedOn w:val="DefaultParagraphFont"/>
    <w:rsid w:val="00370AD1"/>
    <w:rPr>
      <w:b/>
      <w:bCs/>
      <w:lang w:val="en-GB"/>
    </w:rPr>
  </w:style>
  <w:style w:type="character" w:styleId="SubtleEmphasis">
    <w:name w:val="Subtle Emphasis"/>
    <w:basedOn w:val="DefaultParagraphFont"/>
    <w:uiPriority w:val="19"/>
    <w:rsid w:val="00370AD1"/>
    <w:rPr>
      <w:i/>
      <w:iCs/>
      <w:color w:val="404040" w:themeColor="text1" w:themeTint="BF"/>
      <w:lang w:val="en-GB"/>
    </w:rPr>
  </w:style>
  <w:style w:type="character" w:styleId="SubtleReference">
    <w:name w:val="Subtle Reference"/>
    <w:basedOn w:val="DefaultParagraphFont"/>
    <w:uiPriority w:val="31"/>
    <w:rsid w:val="00370AD1"/>
    <w:rPr>
      <w:smallCaps/>
      <w:color w:val="5A5A5A" w:themeColor="text1" w:themeTint="A5"/>
      <w:lang w:val="en-GB"/>
    </w:rPr>
  </w:style>
  <w:style w:type="table" w:styleId="Table3Deffects1">
    <w:name w:val="Table 3D effects 1"/>
    <w:basedOn w:val="TableNormal"/>
    <w:semiHidden/>
    <w:unhideWhenUsed/>
    <w:rsid w:val="00370AD1"/>
    <w:pPr>
      <w:spacing w:after="120"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370AD1"/>
    <w:pPr>
      <w:spacing w:after="120"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370AD1"/>
    <w:pPr>
      <w:spacing w:after="120"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370AD1"/>
    <w:pPr>
      <w:spacing w:after="120"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370AD1"/>
    <w:pPr>
      <w:spacing w:after="120"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370AD1"/>
    <w:pPr>
      <w:spacing w:after="120"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370AD1"/>
    <w:pPr>
      <w:spacing w:after="120"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370AD1"/>
    <w:pPr>
      <w:spacing w:after="120"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nhideWhenUsed/>
    <w:rsid w:val="00370AD1"/>
    <w:pPr>
      <w:spacing w:after="120"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370AD1"/>
    <w:pPr>
      <w:spacing w:after="120"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370AD1"/>
    <w:pPr>
      <w:spacing w:after="120"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370AD1"/>
    <w:pPr>
      <w:spacing w:after="120"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370AD1"/>
    <w:pPr>
      <w:spacing w:after="120"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370AD1"/>
    <w:pPr>
      <w:spacing w:after="120"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370AD1"/>
    <w:pPr>
      <w:spacing w:after="120"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370AD1"/>
    <w:pPr>
      <w:spacing w:after="120"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370AD1"/>
    <w:pPr>
      <w:spacing w:after="120"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370AD1"/>
    <w:pPr>
      <w:spacing w:after="120"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370AD1"/>
    <w:pPr>
      <w:spacing w:after="120"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370AD1"/>
    <w:pPr>
      <w:spacing w:after="120"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370AD1"/>
    <w:pPr>
      <w:spacing w:after="120"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370AD1"/>
    <w:pPr>
      <w:spacing w:after="120"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370AD1"/>
    <w:pPr>
      <w:spacing w:after="120"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370AD1"/>
    <w:pPr>
      <w:spacing w:after="120"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370AD1"/>
    <w:pPr>
      <w:spacing w:after="120"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TableNormal"/>
    <w:uiPriority w:val="40"/>
    <w:rsid w:val="00370AD1"/>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TableList1">
    <w:name w:val="Table List 1"/>
    <w:basedOn w:val="TableNormal"/>
    <w:semiHidden/>
    <w:unhideWhenUsed/>
    <w:rsid w:val="00370AD1"/>
    <w:pPr>
      <w:spacing w:after="120"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370AD1"/>
    <w:pPr>
      <w:spacing w:after="120"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370AD1"/>
    <w:pPr>
      <w:spacing w:after="120"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370AD1"/>
    <w:pPr>
      <w:spacing w:after="120"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370AD1"/>
    <w:pPr>
      <w:spacing w:after="120"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370AD1"/>
    <w:pPr>
      <w:spacing w:after="120"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370AD1"/>
    <w:pPr>
      <w:spacing w:after="120"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370AD1"/>
    <w:pPr>
      <w:spacing w:after="120"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370AD1"/>
    <w:pPr>
      <w:spacing w:after="0"/>
      <w:ind w:left="180" w:hanging="180"/>
    </w:pPr>
  </w:style>
  <w:style w:type="paragraph" w:styleId="TableofFigures">
    <w:name w:val="table of figures"/>
    <w:basedOn w:val="Normal"/>
    <w:next w:val="Normal"/>
    <w:semiHidden/>
    <w:unhideWhenUsed/>
    <w:rsid w:val="00370AD1"/>
    <w:pPr>
      <w:spacing w:after="0"/>
    </w:pPr>
  </w:style>
  <w:style w:type="table" w:styleId="TableProfessional">
    <w:name w:val="Table Professional"/>
    <w:basedOn w:val="TableNormal"/>
    <w:semiHidden/>
    <w:unhideWhenUsed/>
    <w:rsid w:val="00370AD1"/>
    <w:pPr>
      <w:spacing w:after="120"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370AD1"/>
    <w:pPr>
      <w:spacing w:after="120"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370AD1"/>
    <w:pPr>
      <w:spacing w:after="120"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370AD1"/>
    <w:pPr>
      <w:spacing w:after="120"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370AD1"/>
    <w:pPr>
      <w:spacing w:after="120"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370AD1"/>
    <w:pPr>
      <w:spacing w:after="120"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370AD1"/>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unhideWhenUsed/>
    <w:rsid w:val="00370AD1"/>
    <w:pPr>
      <w:spacing w:after="120"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370AD1"/>
    <w:pPr>
      <w:spacing w:after="120"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370AD1"/>
    <w:pPr>
      <w:spacing w:after="120"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370AD1"/>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unhideWhenUsed/>
    <w:qFormat/>
    <w:rsid w:val="00370AD1"/>
    <w:pPr>
      <w:keepLines/>
      <w:spacing w:after="0" w:line="240" w:lineRule="atLeast"/>
      <w:outlineLvl w:val="9"/>
    </w:pPr>
    <w:rPr>
      <w:rFonts w:eastAsiaTheme="majorEastAsia" w:cstheme="majorBidi"/>
      <w:bCs w:val="0"/>
      <w:color w:val="3A215E" w:themeColor="accent1" w:themeShade="BF"/>
      <w:kern w:val="0"/>
      <w:sz w:val="32"/>
      <w:szCs w:val="32"/>
    </w:rPr>
  </w:style>
  <w:style w:type="character" w:customStyle="1" w:styleId="HeaderChar">
    <w:name w:val="Header Char"/>
    <w:basedOn w:val="DefaultParagraphFont"/>
    <w:link w:val="Header"/>
    <w:rsid w:val="00947BE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29000C"/>
    <w:tblPr>
      <w:tblInd w:w="0" w:type="dxa"/>
      <w:tblBorders>
        <w:bottom w:val="single" w:sz="2" w:space="0" w:color="4F2D7F" w:themeColor="accent1"/>
        <w:insideH w:val="single" w:sz="2" w:space="0" w:color="4F2D7F" w:themeColor="accent1"/>
      </w:tblBorders>
      <w:tblCellMar>
        <w:top w:w="0" w:type="dxa"/>
        <w:left w:w="28" w:type="dxa"/>
        <w:bottom w:w="0" w:type="dxa"/>
        <w:right w:w="28" w:type="dxa"/>
      </w:tblCellMar>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7A199D"/>
    <w:pPr>
      <w:numPr>
        <w:numId w:val="12"/>
      </w:numPr>
    </w:pPr>
  </w:style>
  <w:style w:type="numbering" w:customStyle="1" w:styleId="GTTableNumbers">
    <w:name w:val="GT Table Numbers"/>
    <w:uiPriority w:val="99"/>
    <w:rsid w:val="007A199D"/>
    <w:pPr>
      <w:numPr>
        <w:numId w:val="13"/>
      </w:numPr>
    </w:pPr>
  </w:style>
  <w:style w:type="paragraph" w:customStyle="1" w:styleId="TableBullet1">
    <w:name w:val="Table Bullet 1"/>
    <w:basedOn w:val="ListBullet"/>
    <w:uiPriority w:val="9"/>
    <w:qFormat/>
    <w:rsid w:val="007A199D"/>
    <w:pPr>
      <w:numPr>
        <w:numId w:val="14"/>
      </w:numPr>
      <w:spacing w:before="60" w:after="60"/>
    </w:pPr>
  </w:style>
  <w:style w:type="paragraph" w:customStyle="1" w:styleId="TableBullet2">
    <w:name w:val="Table Bullet 2"/>
    <w:basedOn w:val="ListBullet2"/>
    <w:uiPriority w:val="9"/>
    <w:qFormat/>
    <w:rsid w:val="007A199D"/>
    <w:pPr>
      <w:numPr>
        <w:numId w:val="14"/>
      </w:numPr>
      <w:spacing w:before="60" w:after="60"/>
    </w:pPr>
  </w:style>
  <w:style w:type="paragraph" w:customStyle="1" w:styleId="TableBullet3">
    <w:name w:val="Table Bullet 3"/>
    <w:basedOn w:val="ListBullet3"/>
    <w:uiPriority w:val="9"/>
    <w:qFormat/>
    <w:rsid w:val="007A199D"/>
    <w:pPr>
      <w:numPr>
        <w:numId w:val="14"/>
      </w:numPr>
      <w:spacing w:before="60" w:after="60"/>
    </w:pPr>
  </w:style>
  <w:style w:type="paragraph" w:customStyle="1" w:styleId="TableNumber">
    <w:name w:val="Table Number"/>
    <w:basedOn w:val="ListNumber"/>
    <w:uiPriority w:val="9"/>
    <w:qFormat/>
    <w:rsid w:val="007A199D"/>
    <w:pPr>
      <w:numPr>
        <w:numId w:val="15"/>
      </w:numPr>
      <w:spacing w:before="60" w:after="60"/>
    </w:pPr>
  </w:style>
  <w:style w:type="paragraph" w:customStyle="1" w:styleId="TableNumber2">
    <w:name w:val="Table Number 2"/>
    <w:basedOn w:val="ListNumber2"/>
    <w:uiPriority w:val="9"/>
    <w:qFormat/>
    <w:rsid w:val="007A199D"/>
    <w:pPr>
      <w:numPr>
        <w:numId w:val="15"/>
      </w:numPr>
      <w:spacing w:before="60" w:after="60"/>
    </w:pPr>
  </w:style>
  <w:style w:type="paragraph" w:customStyle="1" w:styleId="TableNumber3">
    <w:name w:val="Table Number 3"/>
    <w:basedOn w:val="ListNumber3"/>
    <w:uiPriority w:val="9"/>
    <w:qFormat/>
    <w:rsid w:val="007A199D"/>
    <w:pPr>
      <w:numPr>
        <w:numId w:val="15"/>
      </w:numPr>
      <w:spacing w:before="60" w:after="60"/>
    </w:pPr>
  </w:style>
  <w:style w:type="character" w:customStyle="1" w:styleId="ListBulletChar">
    <w:name w:val="List Bullet Char"/>
    <w:basedOn w:val="DefaultParagraphFont"/>
    <w:link w:val="ListBullet"/>
    <w:uiPriority w:val="1"/>
    <w:rsid w:val="007A199D"/>
    <w:rPr>
      <w:rFonts w:asciiTheme="minorHAnsi" w:hAnsiTheme="minorHAnsi" w:cs="Arial"/>
      <w:sz w:val="18"/>
      <w:lang w:val="en-GB"/>
    </w:rPr>
  </w:style>
  <w:style w:type="paragraph" w:customStyle="1" w:styleId="Tabletextdecimal">
    <w:name w:val="Table text decimal"/>
    <w:basedOn w:val="TableText"/>
    <w:uiPriority w:val="9"/>
    <w:rsid w:val="00FA0498"/>
    <w:pPr>
      <w:tabs>
        <w:tab w:val="decimal" w:pos="1644"/>
      </w:tabs>
    </w:pPr>
  </w:style>
  <w:style w:type="paragraph" w:customStyle="1" w:styleId="TableHeadingRight">
    <w:name w:val="Table Heading Right"/>
    <w:basedOn w:val="TableHeading"/>
    <w:uiPriority w:val="9"/>
    <w:rsid w:val="002725E8"/>
    <w:pPr>
      <w:jc w:val="right"/>
    </w:pPr>
  </w:style>
  <w:style w:type="paragraph" w:customStyle="1" w:styleId="Notesandsources">
    <w:name w:val="Notes and sources"/>
    <w:basedOn w:val="BodyText"/>
    <w:rsid w:val="00FA0498"/>
    <w:pPr>
      <w:tabs>
        <w:tab w:val="left" w:pos="567"/>
      </w:tabs>
      <w:spacing w:before="60" w:after="60" w:line="240" w:lineRule="auto"/>
      <w:ind w:left="754" w:hanging="754"/>
    </w:pPr>
    <w:rPr>
      <w:sz w:val="12"/>
      <w:szCs w:val="12"/>
    </w:rPr>
  </w:style>
  <w:style w:type="paragraph" w:customStyle="1" w:styleId="TableTextRight">
    <w:name w:val="Table Text Right"/>
    <w:basedOn w:val="TableText"/>
    <w:uiPriority w:val="9"/>
    <w:rsid w:val="00FA0498"/>
    <w:pPr>
      <w:jc w:val="right"/>
    </w:pPr>
  </w:style>
  <w:style w:type="paragraph" w:customStyle="1" w:styleId="LetterFooterURL">
    <w:name w:val="Letter Footer URL"/>
    <w:basedOn w:val="LetterFooter"/>
    <w:uiPriority w:val="9"/>
    <w:semiHidden/>
    <w:rsid w:val="00136EF4"/>
    <w:pPr>
      <w:jc w:val="right"/>
    </w:pPr>
    <w:rPr>
      <w:rFonts w:asciiTheme="minorHAnsi" w:hAnsiTheme="minorHAnsi"/>
      <w:b/>
      <w:sz w:val="14"/>
    </w:rPr>
  </w:style>
  <w:style w:type="paragraph" w:customStyle="1" w:styleId="LicenceNumber">
    <w:name w:val="Licence Number"/>
    <w:basedOn w:val="LetterFooter"/>
    <w:uiPriority w:val="9"/>
    <w:rsid w:val="00136EF4"/>
    <w:rPr>
      <w:b/>
      <w:sz w:val="14"/>
    </w:rPr>
  </w:style>
  <w:style w:type="character" w:customStyle="1" w:styleId="FooterChar">
    <w:name w:val="Footer Char"/>
    <w:basedOn w:val="DefaultParagraphFont"/>
    <w:link w:val="Footer"/>
    <w:uiPriority w:val="99"/>
    <w:rsid w:val="00CF181C"/>
    <w:rPr>
      <w:rFonts w:asciiTheme="minorHAnsi" w:hAnsiTheme="minorHAnsi" w:cstheme="minorHAnsi"/>
      <w:color w:val="747678" w:themeColor="background2"/>
      <w:sz w:val="12"/>
      <w:szCs w:val="16"/>
      <w:lang w:val="en-GB"/>
    </w:rPr>
  </w:style>
  <w:style w:type="character" w:customStyle="1" w:styleId="NoSpacingChar">
    <w:name w:val="No Spacing Char"/>
    <w:basedOn w:val="DefaultParagraphFont"/>
    <w:link w:val="NoSpacing"/>
    <w:uiPriority w:val="1"/>
    <w:rsid w:val="00CF181C"/>
    <w:rPr>
      <w:rFonts w:asciiTheme="minorHAnsi" w:hAnsiTheme="minorHAnsi" w:cs="Arial"/>
      <w:sz w:val="18"/>
      <w:lang w:val="en-GB"/>
    </w:rPr>
  </w:style>
  <w:style w:type="paragraph" w:customStyle="1" w:styleId="Default">
    <w:name w:val="Default"/>
    <w:rsid w:val="009B69FE"/>
    <w:pPr>
      <w:autoSpaceDE w:val="0"/>
      <w:autoSpaceDN w:val="0"/>
      <w:adjustRightInd w:val="0"/>
    </w:pPr>
    <w:rPr>
      <w:rFonts w:ascii="Univers 45 Light" w:hAnsi="Univers 45 Light" w:cs="Univers 45 Light"/>
      <w:color w:val="000000"/>
      <w:sz w:val="24"/>
      <w:szCs w:val="24"/>
      <w:lang w:val="en-GB"/>
    </w:rPr>
  </w:style>
  <w:style w:type="paragraph" w:customStyle="1" w:styleId="Pa21">
    <w:name w:val="Pa2+1"/>
    <w:basedOn w:val="Default"/>
    <w:next w:val="Default"/>
    <w:uiPriority w:val="99"/>
    <w:rsid w:val="009B69FE"/>
    <w:pPr>
      <w:spacing w:line="201" w:lineRule="atLeast"/>
    </w:pPr>
    <w:rPr>
      <w:rFonts w:cs="Times New Roman"/>
      <w:color w:val="auto"/>
    </w:rPr>
  </w:style>
  <w:style w:type="paragraph" w:customStyle="1" w:styleId="Pa8">
    <w:name w:val="Pa8"/>
    <w:basedOn w:val="Default"/>
    <w:next w:val="Default"/>
    <w:uiPriority w:val="99"/>
    <w:rsid w:val="009B69FE"/>
    <w:pPr>
      <w:spacing w:line="201" w:lineRule="atLeast"/>
    </w:pPr>
    <w:rPr>
      <w:rFonts w:cs="Times New Roman"/>
      <w:color w:val="auto"/>
    </w:rPr>
  </w:style>
  <w:style w:type="character" w:customStyle="1" w:styleId="A6">
    <w:name w:val="A6"/>
    <w:uiPriority w:val="99"/>
    <w:rsid w:val="009B69FE"/>
    <w:rPr>
      <w:rFonts w:cs="Univers 45 Light"/>
      <w:color w:val="000000"/>
      <w:sz w:val="20"/>
      <w:szCs w:val="20"/>
    </w:rPr>
  </w:style>
  <w:style w:type="paragraph" w:customStyle="1" w:styleId="CM12">
    <w:name w:val="CM12"/>
    <w:basedOn w:val="Default"/>
    <w:next w:val="Default"/>
    <w:uiPriority w:val="99"/>
    <w:rsid w:val="00CE32D5"/>
    <w:rPr>
      <w:rFonts w:ascii="Georgia" w:hAnsi="Georgia" w:cs="Times New Roman"/>
      <w:color w:val="auto"/>
    </w:rPr>
  </w:style>
  <w:style w:type="paragraph" w:customStyle="1" w:styleId="BulletOne">
    <w:name w:val="BulletOne"/>
    <w:basedOn w:val="Normal"/>
    <w:rsid w:val="00313788"/>
    <w:pPr>
      <w:numPr>
        <w:numId w:val="20"/>
      </w:numPr>
      <w:spacing w:after="0" w:line="240" w:lineRule="auto"/>
    </w:pPr>
    <w:rPr>
      <w:rFonts w:ascii="Garamond" w:hAnsi="Garamond" w:cs="Times New Roman"/>
      <w:sz w:val="22"/>
      <w:szCs w:val="24"/>
    </w:rPr>
  </w:style>
  <w:style w:type="character" w:customStyle="1" w:styleId="ListParagraphChar">
    <w:name w:val="List Paragraph Char"/>
    <w:basedOn w:val="DefaultParagraphFont"/>
    <w:link w:val="ListParagraph"/>
    <w:uiPriority w:val="34"/>
    <w:locked/>
    <w:rsid w:val="00313788"/>
    <w:rPr>
      <w:rFonts w:asciiTheme="minorHAnsi" w:hAnsiTheme="minorHAnsi" w:cs="Arial"/>
      <w:sz w:val="18"/>
      <w:lang w:val="en-GB"/>
    </w:rPr>
  </w:style>
</w:styles>
</file>

<file path=word/webSettings.xml><?xml version="1.0" encoding="utf-8"?>
<w:webSettings xmlns:r="http://schemas.openxmlformats.org/officeDocument/2006/relationships" xmlns:w="http://schemas.openxmlformats.org/wordprocessingml/2006/main">
  <w:divs>
    <w:div w:id="98985532">
      <w:bodyDiv w:val="1"/>
      <w:marLeft w:val="0"/>
      <w:marRight w:val="0"/>
      <w:marTop w:val="0"/>
      <w:marBottom w:val="0"/>
      <w:divBdr>
        <w:top w:val="none" w:sz="0" w:space="0" w:color="auto"/>
        <w:left w:val="none" w:sz="0" w:space="0" w:color="auto"/>
        <w:bottom w:val="none" w:sz="0" w:space="0" w:color="auto"/>
        <w:right w:val="none" w:sz="0" w:space="0" w:color="auto"/>
      </w:divBdr>
    </w:div>
    <w:div w:id="334067294">
      <w:bodyDiv w:val="1"/>
      <w:marLeft w:val="0"/>
      <w:marRight w:val="0"/>
      <w:marTop w:val="0"/>
      <w:marBottom w:val="0"/>
      <w:divBdr>
        <w:top w:val="none" w:sz="0" w:space="0" w:color="auto"/>
        <w:left w:val="none" w:sz="0" w:space="0" w:color="auto"/>
        <w:bottom w:val="none" w:sz="0" w:space="0" w:color="auto"/>
        <w:right w:val="none" w:sz="0" w:space="0" w:color="auto"/>
      </w:divBdr>
    </w:div>
    <w:div w:id="401872573">
      <w:bodyDiv w:val="1"/>
      <w:marLeft w:val="0"/>
      <w:marRight w:val="0"/>
      <w:marTop w:val="0"/>
      <w:marBottom w:val="0"/>
      <w:divBdr>
        <w:top w:val="none" w:sz="0" w:space="0" w:color="auto"/>
        <w:left w:val="none" w:sz="0" w:space="0" w:color="auto"/>
        <w:bottom w:val="none" w:sz="0" w:space="0" w:color="auto"/>
        <w:right w:val="none" w:sz="0" w:space="0" w:color="auto"/>
      </w:divBdr>
    </w:div>
    <w:div w:id="424616772">
      <w:bodyDiv w:val="1"/>
      <w:marLeft w:val="0"/>
      <w:marRight w:val="0"/>
      <w:marTop w:val="0"/>
      <w:marBottom w:val="0"/>
      <w:divBdr>
        <w:top w:val="none" w:sz="0" w:space="0" w:color="auto"/>
        <w:left w:val="none" w:sz="0" w:space="0" w:color="auto"/>
        <w:bottom w:val="none" w:sz="0" w:space="0" w:color="auto"/>
        <w:right w:val="none" w:sz="0" w:space="0" w:color="auto"/>
      </w:divBdr>
    </w:div>
    <w:div w:id="482434482">
      <w:bodyDiv w:val="1"/>
      <w:marLeft w:val="0"/>
      <w:marRight w:val="0"/>
      <w:marTop w:val="0"/>
      <w:marBottom w:val="0"/>
      <w:divBdr>
        <w:top w:val="none" w:sz="0" w:space="0" w:color="auto"/>
        <w:left w:val="none" w:sz="0" w:space="0" w:color="auto"/>
        <w:bottom w:val="none" w:sz="0" w:space="0" w:color="auto"/>
        <w:right w:val="none" w:sz="0" w:space="0" w:color="auto"/>
      </w:divBdr>
    </w:div>
    <w:div w:id="511068853">
      <w:bodyDiv w:val="1"/>
      <w:marLeft w:val="0"/>
      <w:marRight w:val="0"/>
      <w:marTop w:val="0"/>
      <w:marBottom w:val="0"/>
      <w:divBdr>
        <w:top w:val="none" w:sz="0" w:space="0" w:color="auto"/>
        <w:left w:val="none" w:sz="0" w:space="0" w:color="auto"/>
        <w:bottom w:val="none" w:sz="0" w:space="0" w:color="auto"/>
        <w:right w:val="none" w:sz="0" w:space="0" w:color="auto"/>
      </w:divBdr>
    </w:div>
    <w:div w:id="519858052">
      <w:bodyDiv w:val="1"/>
      <w:marLeft w:val="0"/>
      <w:marRight w:val="0"/>
      <w:marTop w:val="0"/>
      <w:marBottom w:val="0"/>
      <w:divBdr>
        <w:top w:val="none" w:sz="0" w:space="0" w:color="auto"/>
        <w:left w:val="none" w:sz="0" w:space="0" w:color="auto"/>
        <w:bottom w:val="none" w:sz="0" w:space="0" w:color="auto"/>
        <w:right w:val="none" w:sz="0" w:space="0" w:color="auto"/>
      </w:divBdr>
    </w:div>
    <w:div w:id="556013384">
      <w:bodyDiv w:val="1"/>
      <w:marLeft w:val="0"/>
      <w:marRight w:val="0"/>
      <w:marTop w:val="0"/>
      <w:marBottom w:val="0"/>
      <w:divBdr>
        <w:top w:val="none" w:sz="0" w:space="0" w:color="auto"/>
        <w:left w:val="none" w:sz="0" w:space="0" w:color="auto"/>
        <w:bottom w:val="none" w:sz="0" w:space="0" w:color="auto"/>
        <w:right w:val="none" w:sz="0" w:space="0" w:color="auto"/>
      </w:divBdr>
    </w:div>
    <w:div w:id="692346919">
      <w:bodyDiv w:val="1"/>
      <w:marLeft w:val="0"/>
      <w:marRight w:val="0"/>
      <w:marTop w:val="0"/>
      <w:marBottom w:val="0"/>
      <w:divBdr>
        <w:top w:val="none" w:sz="0" w:space="0" w:color="auto"/>
        <w:left w:val="none" w:sz="0" w:space="0" w:color="auto"/>
        <w:bottom w:val="none" w:sz="0" w:space="0" w:color="auto"/>
        <w:right w:val="none" w:sz="0" w:space="0" w:color="auto"/>
      </w:divBdr>
    </w:div>
    <w:div w:id="761150781">
      <w:bodyDiv w:val="1"/>
      <w:marLeft w:val="0"/>
      <w:marRight w:val="0"/>
      <w:marTop w:val="0"/>
      <w:marBottom w:val="0"/>
      <w:divBdr>
        <w:top w:val="none" w:sz="0" w:space="0" w:color="auto"/>
        <w:left w:val="none" w:sz="0" w:space="0" w:color="auto"/>
        <w:bottom w:val="none" w:sz="0" w:space="0" w:color="auto"/>
        <w:right w:val="none" w:sz="0" w:space="0" w:color="auto"/>
      </w:divBdr>
    </w:div>
    <w:div w:id="792941310">
      <w:bodyDiv w:val="1"/>
      <w:marLeft w:val="0"/>
      <w:marRight w:val="0"/>
      <w:marTop w:val="0"/>
      <w:marBottom w:val="0"/>
      <w:divBdr>
        <w:top w:val="none" w:sz="0" w:space="0" w:color="auto"/>
        <w:left w:val="none" w:sz="0" w:space="0" w:color="auto"/>
        <w:bottom w:val="none" w:sz="0" w:space="0" w:color="auto"/>
        <w:right w:val="none" w:sz="0" w:space="0" w:color="auto"/>
      </w:divBdr>
    </w:div>
    <w:div w:id="794760170">
      <w:bodyDiv w:val="1"/>
      <w:marLeft w:val="0"/>
      <w:marRight w:val="0"/>
      <w:marTop w:val="0"/>
      <w:marBottom w:val="0"/>
      <w:divBdr>
        <w:top w:val="none" w:sz="0" w:space="0" w:color="auto"/>
        <w:left w:val="none" w:sz="0" w:space="0" w:color="auto"/>
        <w:bottom w:val="none" w:sz="0" w:space="0" w:color="auto"/>
        <w:right w:val="none" w:sz="0" w:space="0" w:color="auto"/>
      </w:divBdr>
    </w:div>
    <w:div w:id="828865032">
      <w:bodyDiv w:val="1"/>
      <w:marLeft w:val="0"/>
      <w:marRight w:val="0"/>
      <w:marTop w:val="0"/>
      <w:marBottom w:val="0"/>
      <w:divBdr>
        <w:top w:val="none" w:sz="0" w:space="0" w:color="auto"/>
        <w:left w:val="none" w:sz="0" w:space="0" w:color="auto"/>
        <w:bottom w:val="none" w:sz="0" w:space="0" w:color="auto"/>
        <w:right w:val="none" w:sz="0" w:space="0" w:color="auto"/>
      </w:divBdr>
    </w:div>
    <w:div w:id="872572126">
      <w:bodyDiv w:val="1"/>
      <w:marLeft w:val="0"/>
      <w:marRight w:val="0"/>
      <w:marTop w:val="0"/>
      <w:marBottom w:val="0"/>
      <w:divBdr>
        <w:top w:val="none" w:sz="0" w:space="0" w:color="auto"/>
        <w:left w:val="none" w:sz="0" w:space="0" w:color="auto"/>
        <w:bottom w:val="none" w:sz="0" w:space="0" w:color="auto"/>
        <w:right w:val="none" w:sz="0" w:space="0" w:color="auto"/>
      </w:divBdr>
    </w:div>
    <w:div w:id="893545889">
      <w:bodyDiv w:val="1"/>
      <w:marLeft w:val="0"/>
      <w:marRight w:val="0"/>
      <w:marTop w:val="0"/>
      <w:marBottom w:val="0"/>
      <w:divBdr>
        <w:top w:val="none" w:sz="0" w:space="0" w:color="auto"/>
        <w:left w:val="none" w:sz="0" w:space="0" w:color="auto"/>
        <w:bottom w:val="none" w:sz="0" w:space="0" w:color="auto"/>
        <w:right w:val="none" w:sz="0" w:space="0" w:color="auto"/>
      </w:divBdr>
    </w:div>
    <w:div w:id="903948800">
      <w:bodyDiv w:val="1"/>
      <w:marLeft w:val="0"/>
      <w:marRight w:val="0"/>
      <w:marTop w:val="0"/>
      <w:marBottom w:val="0"/>
      <w:divBdr>
        <w:top w:val="none" w:sz="0" w:space="0" w:color="auto"/>
        <w:left w:val="none" w:sz="0" w:space="0" w:color="auto"/>
        <w:bottom w:val="none" w:sz="0" w:space="0" w:color="auto"/>
        <w:right w:val="none" w:sz="0" w:space="0" w:color="auto"/>
      </w:divBdr>
    </w:div>
    <w:div w:id="909076448">
      <w:bodyDiv w:val="1"/>
      <w:marLeft w:val="0"/>
      <w:marRight w:val="0"/>
      <w:marTop w:val="0"/>
      <w:marBottom w:val="0"/>
      <w:divBdr>
        <w:top w:val="none" w:sz="0" w:space="0" w:color="auto"/>
        <w:left w:val="none" w:sz="0" w:space="0" w:color="auto"/>
        <w:bottom w:val="none" w:sz="0" w:space="0" w:color="auto"/>
        <w:right w:val="none" w:sz="0" w:space="0" w:color="auto"/>
      </w:divBdr>
    </w:div>
    <w:div w:id="969360648">
      <w:bodyDiv w:val="1"/>
      <w:marLeft w:val="0"/>
      <w:marRight w:val="0"/>
      <w:marTop w:val="0"/>
      <w:marBottom w:val="0"/>
      <w:divBdr>
        <w:top w:val="none" w:sz="0" w:space="0" w:color="auto"/>
        <w:left w:val="none" w:sz="0" w:space="0" w:color="auto"/>
        <w:bottom w:val="none" w:sz="0" w:space="0" w:color="auto"/>
        <w:right w:val="none" w:sz="0" w:space="0" w:color="auto"/>
      </w:divBdr>
    </w:div>
    <w:div w:id="991256072">
      <w:bodyDiv w:val="1"/>
      <w:marLeft w:val="0"/>
      <w:marRight w:val="0"/>
      <w:marTop w:val="0"/>
      <w:marBottom w:val="0"/>
      <w:divBdr>
        <w:top w:val="none" w:sz="0" w:space="0" w:color="auto"/>
        <w:left w:val="none" w:sz="0" w:space="0" w:color="auto"/>
        <w:bottom w:val="none" w:sz="0" w:space="0" w:color="auto"/>
        <w:right w:val="none" w:sz="0" w:space="0" w:color="auto"/>
      </w:divBdr>
    </w:div>
    <w:div w:id="1004015123">
      <w:bodyDiv w:val="1"/>
      <w:marLeft w:val="0"/>
      <w:marRight w:val="0"/>
      <w:marTop w:val="0"/>
      <w:marBottom w:val="0"/>
      <w:divBdr>
        <w:top w:val="none" w:sz="0" w:space="0" w:color="auto"/>
        <w:left w:val="none" w:sz="0" w:space="0" w:color="auto"/>
        <w:bottom w:val="none" w:sz="0" w:space="0" w:color="auto"/>
        <w:right w:val="none" w:sz="0" w:space="0" w:color="auto"/>
      </w:divBdr>
    </w:div>
    <w:div w:id="1068960182">
      <w:bodyDiv w:val="1"/>
      <w:marLeft w:val="0"/>
      <w:marRight w:val="0"/>
      <w:marTop w:val="0"/>
      <w:marBottom w:val="0"/>
      <w:divBdr>
        <w:top w:val="none" w:sz="0" w:space="0" w:color="auto"/>
        <w:left w:val="none" w:sz="0" w:space="0" w:color="auto"/>
        <w:bottom w:val="none" w:sz="0" w:space="0" w:color="auto"/>
        <w:right w:val="none" w:sz="0" w:space="0" w:color="auto"/>
      </w:divBdr>
    </w:div>
    <w:div w:id="1086146756">
      <w:bodyDiv w:val="1"/>
      <w:marLeft w:val="0"/>
      <w:marRight w:val="0"/>
      <w:marTop w:val="0"/>
      <w:marBottom w:val="0"/>
      <w:divBdr>
        <w:top w:val="none" w:sz="0" w:space="0" w:color="auto"/>
        <w:left w:val="none" w:sz="0" w:space="0" w:color="auto"/>
        <w:bottom w:val="none" w:sz="0" w:space="0" w:color="auto"/>
        <w:right w:val="none" w:sz="0" w:space="0" w:color="auto"/>
      </w:divBdr>
    </w:div>
    <w:div w:id="1229000441">
      <w:bodyDiv w:val="1"/>
      <w:marLeft w:val="0"/>
      <w:marRight w:val="0"/>
      <w:marTop w:val="0"/>
      <w:marBottom w:val="0"/>
      <w:divBdr>
        <w:top w:val="none" w:sz="0" w:space="0" w:color="auto"/>
        <w:left w:val="none" w:sz="0" w:space="0" w:color="auto"/>
        <w:bottom w:val="none" w:sz="0" w:space="0" w:color="auto"/>
        <w:right w:val="none" w:sz="0" w:space="0" w:color="auto"/>
      </w:divBdr>
    </w:div>
    <w:div w:id="1242135358">
      <w:bodyDiv w:val="1"/>
      <w:marLeft w:val="0"/>
      <w:marRight w:val="0"/>
      <w:marTop w:val="0"/>
      <w:marBottom w:val="0"/>
      <w:divBdr>
        <w:top w:val="none" w:sz="0" w:space="0" w:color="auto"/>
        <w:left w:val="none" w:sz="0" w:space="0" w:color="auto"/>
        <w:bottom w:val="none" w:sz="0" w:space="0" w:color="auto"/>
        <w:right w:val="none" w:sz="0" w:space="0" w:color="auto"/>
      </w:divBdr>
    </w:div>
    <w:div w:id="1250654106">
      <w:bodyDiv w:val="1"/>
      <w:marLeft w:val="0"/>
      <w:marRight w:val="0"/>
      <w:marTop w:val="0"/>
      <w:marBottom w:val="0"/>
      <w:divBdr>
        <w:top w:val="none" w:sz="0" w:space="0" w:color="auto"/>
        <w:left w:val="none" w:sz="0" w:space="0" w:color="auto"/>
        <w:bottom w:val="none" w:sz="0" w:space="0" w:color="auto"/>
        <w:right w:val="none" w:sz="0" w:space="0" w:color="auto"/>
      </w:divBdr>
    </w:div>
    <w:div w:id="1372611805">
      <w:bodyDiv w:val="1"/>
      <w:marLeft w:val="0"/>
      <w:marRight w:val="0"/>
      <w:marTop w:val="0"/>
      <w:marBottom w:val="0"/>
      <w:divBdr>
        <w:top w:val="none" w:sz="0" w:space="0" w:color="auto"/>
        <w:left w:val="none" w:sz="0" w:space="0" w:color="auto"/>
        <w:bottom w:val="none" w:sz="0" w:space="0" w:color="auto"/>
        <w:right w:val="none" w:sz="0" w:space="0" w:color="auto"/>
      </w:divBdr>
    </w:div>
    <w:div w:id="1373463806">
      <w:bodyDiv w:val="1"/>
      <w:marLeft w:val="0"/>
      <w:marRight w:val="0"/>
      <w:marTop w:val="0"/>
      <w:marBottom w:val="0"/>
      <w:divBdr>
        <w:top w:val="none" w:sz="0" w:space="0" w:color="auto"/>
        <w:left w:val="none" w:sz="0" w:space="0" w:color="auto"/>
        <w:bottom w:val="none" w:sz="0" w:space="0" w:color="auto"/>
        <w:right w:val="none" w:sz="0" w:space="0" w:color="auto"/>
      </w:divBdr>
    </w:div>
    <w:div w:id="1445809169">
      <w:bodyDiv w:val="1"/>
      <w:marLeft w:val="0"/>
      <w:marRight w:val="0"/>
      <w:marTop w:val="0"/>
      <w:marBottom w:val="0"/>
      <w:divBdr>
        <w:top w:val="none" w:sz="0" w:space="0" w:color="auto"/>
        <w:left w:val="none" w:sz="0" w:space="0" w:color="auto"/>
        <w:bottom w:val="none" w:sz="0" w:space="0" w:color="auto"/>
        <w:right w:val="none" w:sz="0" w:space="0" w:color="auto"/>
      </w:divBdr>
    </w:div>
    <w:div w:id="1488670727">
      <w:bodyDiv w:val="1"/>
      <w:marLeft w:val="0"/>
      <w:marRight w:val="0"/>
      <w:marTop w:val="0"/>
      <w:marBottom w:val="0"/>
      <w:divBdr>
        <w:top w:val="none" w:sz="0" w:space="0" w:color="auto"/>
        <w:left w:val="none" w:sz="0" w:space="0" w:color="auto"/>
        <w:bottom w:val="none" w:sz="0" w:space="0" w:color="auto"/>
        <w:right w:val="none" w:sz="0" w:space="0" w:color="auto"/>
      </w:divBdr>
    </w:div>
    <w:div w:id="1614314814">
      <w:bodyDiv w:val="1"/>
      <w:marLeft w:val="0"/>
      <w:marRight w:val="0"/>
      <w:marTop w:val="0"/>
      <w:marBottom w:val="0"/>
      <w:divBdr>
        <w:top w:val="none" w:sz="0" w:space="0" w:color="auto"/>
        <w:left w:val="none" w:sz="0" w:space="0" w:color="auto"/>
        <w:bottom w:val="none" w:sz="0" w:space="0" w:color="auto"/>
        <w:right w:val="none" w:sz="0" w:space="0" w:color="auto"/>
      </w:divBdr>
    </w:div>
    <w:div w:id="1790514375">
      <w:bodyDiv w:val="1"/>
      <w:marLeft w:val="0"/>
      <w:marRight w:val="0"/>
      <w:marTop w:val="0"/>
      <w:marBottom w:val="0"/>
      <w:divBdr>
        <w:top w:val="none" w:sz="0" w:space="0" w:color="auto"/>
        <w:left w:val="none" w:sz="0" w:space="0" w:color="auto"/>
        <w:bottom w:val="none" w:sz="0" w:space="0" w:color="auto"/>
        <w:right w:val="none" w:sz="0" w:space="0" w:color="auto"/>
      </w:divBdr>
    </w:div>
    <w:div w:id="1863125817">
      <w:bodyDiv w:val="1"/>
      <w:marLeft w:val="0"/>
      <w:marRight w:val="0"/>
      <w:marTop w:val="0"/>
      <w:marBottom w:val="0"/>
      <w:divBdr>
        <w:top w:val="none" w:sz="0" w:space="0" w:color="auto"/>
        <w:left w:val="none" w:sz="0" w:space="0" w:color="auto"/>
        <w:bottom w:val="none" w:sz="0" w:space="0" w:color="auto"/>
        <w:right w:val="none" w:sz="0" w:space="0" w:color="auto"/>
      </w:divBdr>
    </w:div>
    <w:div w:id="1949310564">
      <w:bodyDiv w:val="1"/>
      <w:marLeft w:val="0"/>
      <w:marRight w:val="0"/>
      <w:marTop w:val="0"/>
      <w:marBottom w:val="0"/>
      <w:divBdr>
        <w:top w:val="none" w:sz="0" w:space="0" w:color="auto"/>
        <w:left w:val="none" w:sz="0" w:space="0" w:color="auto"/>
        <w:bottom w:val="none" w:sz="0" w:space="0" w:color="auto"/>
        <w:right w:val="none" w:sz="0" w:space="0" w:color="auto"/>
      </w:divBdr>
    </w:div>
    <w:div w:id="1974171415">
      <w:bodyDiv w:val="1"/>
      <w:marLeft w:val="0"/>
      <w:marRight w:val="0"/>
      <w:marTop w:val="0"/>
      <w:marBottom w:val="0"/>
      <w:divBdr>
        <w:top w:val="none" w:sz="0" w:space="0" w:color="auto"/>
        <w:left w:val="none" w:sz="0" w:space="0" w:color="auto"/>
        <w:bottom w:val="none" w:sz="0" w:space="0" w:color="auto"/>
        <w:right w:val="none" w:sz="0" w:space="0" w:color="auto"/>
      </w:divBdr>
    </w:div>
    <w:div w:id="1987709239">
      <w:bodyDiv w:val="1"/>
      <w:marLeft w:val="0"/>
      <w:marRight w:val="0"/>
      <w:marTop w:val="0"/>
      <w:marBottom w:val="0"/>
      <w:divBdr>
        <w:top w:val="none" w:sz="0" w:space="0" w:color="auto"/>
        <w:left w:val="none" w:sz="0" w:space="0" w:color="auto"/>
        <w:bottom w:val="none" w:sz="0" w:space="0" w:color="auto"/>
        <w:right w:val="none" w:sz="0" w:space="0" w:color="auto"/>
      </w:divBdr>
    </w:div>
    <w:div w:id="2021547676">
      <w:bodyDiv w:val="1"/>
      <w:marLeft w:val="0"/>
      <w:marRight w:val="0"/>
      <w:marTop w:val="0"/>
      <w:marBottom w:val="0"/>
      <w:divBdr>
        <w:top w:val="none" w:sz="0" w:space="0" w:color="auto"/>
        <w:left w:val="none" w:sz="0" w:space="0" w:color="auto"/>
        <w:bottom w:val="none" w:sz="0" w:space="0" w:color="auto"/>
        <w:right w:val="none" w:sz="0" w:space="0" w:color="auto"/>
      </w:divBdr>
    </w:div>
    <w:div w:id="207758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anne%20E%20Brown\AppData\Roaming\Microsoft\Templates\GT_Word_Templates\A4\Blank.dotm" TargetMode="External"/></Relationships>
</file>

<file path=word/theme/theme1.xml><?xml version="1.0" encoding="utf-8"?>
<a:theme xmlns:a="http://schemas.openxmlformats.org/drawingml/2006/main" name="Office Theme">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68930-7142-4435-8B9D-41CD94AC7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Blank.dotm</Template>
  <TotalTime>2</TotalTime>
  <Pages>38</Pages>
  <Words>14765</Words>
  <Characters>78655</Characters>
  <Application>Microsoft Office Word</Application>
  <DocSecurity>0</DocSecurity>
  <Lines>655</Lines>
  <Paragraphs>186</Paragraphs>
  <ScaleCrop>false</ScaleCrop>
  <HeadingPairs>
    <vt:vector size="2" baseType="variant">
      <vt:variant>
        <vt:lpstr>Title</vt:lpstr>
      </vt:variant>
      <vt:variant>
        <vt:i4>1</vt:i4>
      </vt:variant>
    </vt:vector>
  </HeadingPairs>
  <TitlesOfParts>
    <vt:vector size="1" baseType="lpstr">
      <vt:lpstr/>
    </vt:vector>
  </TitlesOfParts>
  <Company>Grant Thornton International</Company>
  <LinksUpToDate>false</LinksUpToDate>
  <CharactersWithSpaces>93234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Calum Crichton</dc:creator>
  <cp:lastModifiedBy>PrenticeC</cp:lastModifiedBy>
  <cp:revision>2</cp:revision>
  <cp:lastPrinted>2018-05-16T15:41:00Z</cp:lastPrinted>
  <dcterms:created xsi:type="dcterms:W3CDTF">2018-07-13T13:21:00Z</dcterms:created>
  <dcterms:modified xsi:type="dcterms:W3CDTF">2018-07-13T13:21:00Z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Blank</vt:lpwstr>
  </property>
</Properties>
</file>