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69197" w14:textId="77777777" w:rsidR="006034CE" w:rsidRPr="00B26952" w:rsidRDefault="00020DA4" w:rsidP="006034CE">
      <w:pPr>
        <w:jc w:val="center"/>
        <w:rPr>
          <w:rFonts w:ascii="Arial" w:hAnsi="Arial" w:cs="Arial"/>
          <w:b/>
          <w:sz w:val="56"/>
          <w:szCs w:val="56"/>
        </w:rPr>
      </w:pPr>
      <w:r w:rsidRPr="00B26952">
        <w:rPr>
          <w:rFonts w:ascii="Arial" w:hAnsi="Arial" w:cs="Arial"/>
          <w:b/>
          <w:sz w:val="56"/>
          <w:szCs w:val="56"/>
        </w:rPr>
        <w:t>NHS Golden Jubilee</w:t>
      </w:r>
    </w:p>
    <w:p w14:paraId="0B2C1929" w14:textId="77777777" w:rsidR="00020DA4" w:rsidRPr="003567A5" w:rsidRDefault="00020DA4" w:rsidP="00B26952">
      <w:pPr>
        <w:jc w:val="center"/>
        <w:rPr>
          <w:rFonts w:ascii="Arial" w:hAnsi="Arial" w:cs="Arial"/>
          <w:b/>
          <w:sz w:val="22"/>
          <w:szCs w:val="22"/>
        </w:rPr>
      </w:pPr>
      <w:r w:rsidRPr="003567A5">
        <w:rPr>
          <w:rFonts w:ascii="Arial" w:hAnsi="Arial" w:cs="Arial"/>
          <w:b/>
          <w:sz w:val="22"/>
          <w:szCs w:val="22"/>
        </w:rPr>
        <w:t>(Also known as The National Waiting Times Centre)</w:t>
      </w:r>
    </w:p>
    <w:p w14:paraId="35CE026D" w14:textId="77777777" w:rsidR="00020DA4" w:rsidRPr="00020DA4" w:rsidRDefault="00020DA4" w:rsidP="00020DA4">
      <w:pPr>
        <w:jc w:val="left"/>
        <w:rPr>
          <w:rFonts w:ascii="Arial" w:hAnsi="Arial" w:cs="Arial"/>
          <w:b/>
          <w:sz w:val="36"/>
          <w:szCs w:val="36"/>
        </w:rPr>
      </w:pPr>
      <w:bookmarkStart w:id="0" w:name="_GoBack"/>
      <w:bookmarkEnd w:id="0"/>
    </w:p>
    <w:p w14:paraId="3B3FE2D8" w14:textId="77777777" w:rsidR="00020DA4" w:rsidRPr="00020DA4" w:rsidRDefault="00020DA4" w:rsidP="00020DA4">
      <w:pPr>
        <w:jc w:val="left"/>
        <w:rPr>
          <w:rFonts w:ascii="Arial" w:hAnsi="Arial" w:cs="Arial"/>
          <w:b/>
          <w:sz w:val="36"/>
          <w:szCs w:val="36"/>
        </w:rPr>
      </w:pPr>
    </w:p>
    <w:p w14:paraId="1CEE4ABE" w14:textId="77777777" w:rsidR="00B04853" w:rsidRDefault="00D355A4" w:rsidP="000604CA">
      <w:pPr>
        <w:jc w:val="center"/>
      </w:pPr>
      <w:r>
        <w:rPr>
          <w:rFonts w:ascii="Arial" w:hAnsi="Arial" w:cs="Arial"/>
          <w:b/>
          <w:sz w:val="40"/>
          <w:szCs w:val="40"/>
        </w:rPr>
        <w:t xml:space="preserve">3 Year </w:t>
      </w:r>
      <w:r w:rsidR="00DB51D7">
        <w:rPr>
          <w:rFonts w:ascii="Arial" w:hAnsi="Arial" w:cs="Arial"/>
          <w:b/>
          <w:sz w:val="40"/>
          <w:szCs w:val="40"/>
        </w:rPr>
        <w:t xml:space="preserve">Financial </w:t>
      </w:r>
      <w:r w:rsidR="00D256BB">
        <w:rPr>
          <w:rFonts w:ascii="Arial" w:hAnsi="Arial" w:cs="Arial"/>
          <w:b/>
          <w:sz w:val="40"/>
          <w:szCs w:val="40"/>
        </w:rPr>
        <w:t>Plan 202</w:t>
      </w:r>
      <w:r>
        <w:rPr>
          <w:rFonts w:ascii="Arial" w:hAnsi="Arial" w:cs="Arial"/>
          <w:b/>
          <w:sz w:val="40"/>
          <w:szCs w:val="40"/>
        </w:rPr>
        <w:t>5</w:t>
      </w:r>
      <w:r w:rsidR="00632038">
        <w:rPr>
          <w:rFonts w:ascii="Arial" w:hAnsi="Arial" w:cs="Arial"/>
          <w:b/>
          <w:sz w:val="40"/>
          <w:szCs w:val="40"/>
        </w:rPr>
        <w:t>-</w:t>
      </w:r>
      <w:r w:rsidR="00020DA4" w:rsidRPr="00B26952">
        <w:rPr>
          <w:rFonts w:ascii="Arial" w:hAnsi="Arial" w:cs="Arial"/>
          <w:b/>
          <w:sz w:val="40"/>
          <w:szCs w:val="40"/>
        </w:rPr>
        <w:t>2</w:t>
      </w:r>
      <w:r>
        <w:rPr>
          <w:rFonts w:ascii="Arial" w:hAnsi="Arial" w:cs="Arial"/>
          <w:b/>
          <w:sz w:val="40"/>
          <w:szCs w:val="40"/>
        </w:rPr>
        <w:t>6 to 2027</w:t>
      </w:r>
      <w:r w:rsidR="00632038">
        <w:rPr>
          <w:rFonts w:ascii="Arial" w:hAnsi="Arial" w:cs="Arial"/>
          <w:b/>
          <w:sz w:val="40"/>
          <w:szCs w:val="40"/>
        </w:rPr>
        <w:t>-</w:t>
      </w:r>
      <w:r>
        <w:rPr>
          <w:rFonts w:ascii="Arial" w:hAnsi="Arial" w:cs="Arial"/>
          <w:b/>
          <w:sz w:val="40"/>
          <w:szCs w:val="40"/>
        </w:rPr>
        <w:t>28</w:t>
      </w:r>
      <w:r w:rsidR="00817A10">
        <w:rPr>
          <w:rFonts w:ascii="Arial" w:hAnsi="Arial" w:cs="Arial"/>
          <w:b/>
          <w:sz w:val="40"/>
          <w:szCs w:val="40"/>
        </w:rPr>
        <w:t xml:space="preserve"> Key Assumptions</w:t>
      </w:r>
    </w:p>
    <w:p w14:paraId="7CB61F6E" w14:textId="77777777" w:rsidR="00020DA4" w:rsidRDefault="00020DA4"/>
    <w:p w14:paraId="71E0B8F1" w14:textId="77777777" w:rsidR="00020DA4" w:rsidRDefault="00020DA4" w:rsidP="00020DA4">
      <w:pPr>
        <w:jc w:val="left"/>
        <w:rPr>
          <w:rFonts w:ascii="Arial" w:hAnsi="Arial" w:cs="Arial"/>
          <w:b/>
          <w:sz w:val="28"/>
          <w:szCs w:val="28"/>
        </w:rPr>
      </w:pPr>
      <w:r w:rsidRPr="00020DA4">
        <w:rPr>
          <w:rFonts w:ascii="Arial" w:hAnsi="Arial" w:cs="Arial"/>
          <w:b/>
          <w:sz w:val="28"/>
          <w:szCs w:val="28"/>
        </w:rPr>
        <w:t>NHS Golden Jubilee Three Year Financial Planning</w:t>
      </w:r>
    </w:p>
    <w:p w14:paraId="5523EAAA" w14:textId="77777777" w:rsidR="00020DA4" w:rsidRDefault="00020DA4" w:rsidP="00020DA4">
      <w:pPr>
        <w:jc w:val="left"/>
        <w:rPr>
          <w:rFonts w:ascii="Arial" w:hAnsi="Arial" w:cs="Arial"/>
          <w:b/>
          <w:sz w:val="28"/>
          <w:szCs w:val="28"/>
        </w:rPr>
      </w:pPr>
    </w:p>
    <w:p w14:paraId="5DEE5200" w14:textId="77777777" w:rsidR="001C3E3E" w:rsidRDefault="00020DA4" w:rsidP="00F6123F">
      <w:pPr>
        <w:tabs>
          <w:tab w:val="left" w:pos="720"/>
          <w:tab w:val="left" w:pos="1440"/>
          <w:tab w:val="left" w:pos="2160"/>
          <w:tab w:val="left" w:pos="2880"/>
          <w:tab w:val="left" w:pos="4680"/>
          <w:tab w:val="left" w:pos="5400"/>
          <w:tab w:val="right" w:pos="9000"/>
        </w:tabs>
        <w:spacing w:line="240" w:lineRule="atLeast"/>
        <w:jc w:val="left"/>
        <w:rPr>
          <w:rFonts w:ascii="Arial" w:eastAsia="Times New Roman" w:hAnsi="Arial" w:cs="Arial"/>
          <w:lang w:bidi="ar-SA"/>
        </w:rPr>
      </w:pPr>
      <w:r w:rsidRPr="001C3E3E">
        <w:rPr>
          <w:rFonts w:ascii="Arial" w:eastAsia="Times New Roman" w:hAnsi="Arial" w:cs="Arial"/>
          <w:lang w:bidi="ar-SA"/>
        </w:rPr>
        <w:t>The N</w:t>
      </w:r>
      <w:r w:rsidR="005C1E55">
        <w:rPr>
          <w:rFonts w:ascii="Arial" w:eastAsia="Times New Roman" w:hAnsi="Arial" w:cs="Arial"/>
          <w:lang w:bidi="ar-SA"/>
        </w:rPr>
        <w:t>HS Annual Delivery Plan for 202</w:t>
      </w:r>
      <w:r w:rsidR="003C3769">
        <w:rPr>
          <w:rFonts w:ascii="Arial" w:eastAsia="Times New Roman" w:hAnsi="Arial" w:cs="Arial"/>
          <w:lang w:bidi="ar-SA"/>
        </w:rPr>
        <w:t>5</w:t>
      </w:r>
      <w:r w:rsidR="00522E23">
        <w:rPr>
          <w:rFonts w:ascii="Arial" w:eastAsia="Times New Roman" w:hAnsi="Arial" w:cs="Arial"/>
          <w:lang w:bidi="ar-SA"/>
        </w:rPr>
        <w:t>/</w:t>
      </w:r>
      <w:r w:rsidRPr="001C3E3E">
        <w:rPr>
          <w:rFonts w:ascii="Arial" w:eastAsia="Times New Roman" w:hAnsi="Arial" w:cs="Arial"/>
          <w:lang w:bidi="ar-SA"/>
        </w:rPr>
        <w:t>2</w:t>
      </w:r>
      <w:r w:rsidR="003C3769">
        <w:rPr>
          <w:rFonts w:ascii="Arial" w:eastAsia="Times New Roman" w:hAnsi="Arial" w:cs="Arial"/>
          <w:lang w:bidi="ar-SA"/>
        </w:rPr>
        <w:t>6</w:t>
      </w:r>
      <w:r w:rsidRPr="001C3E3E">
        <w:rPr>
          <w:rFonts w:ascii="Arial" w:eastAsia="Times New Roman" w:hAnsi="Arial" w:cs="Arial"/>
          <w:lang w:bidi="ar-SA"/>
        </w:rPr>
        <w:t xml:space="preserve"> </w:t>
      </w:r>
      <w:r w:rsidR="00B72E12">
        <w:rPr>
          <w:rFonts w:ascii="Arial" w:eastAsia="Times New Roman" w:hAnsi="Arial" w:cs="Arial"/>
          <w:lang w:bidi="ar-SA"/>
        </w:rPr>
        <w:t>recogni</w:t>
      </w:r>
      <w:r w:rsidR="00522E23">
        <w:rPr>
          <w:rFonts w:ascii="Arial" w:eastAsia="Times New Roman" w:hAnsi="Arial" w:cs="Arial"/>
          <w:lang w:bidi="ar-SA"/>
        </w:rPr>
        <w:t>s</w:t>
      </w:r>
      <w:r w:rsidR="00B72E12">
        <w:rPr>
          <w:rFonts w:ascii="Arial" w:eastAsia="Times New Roman" w:hAnsi="Arial" w:cs="Arial"/>
          <w:lang w:bidi="ar-SA"/>
        </w:rPr>
        <w:t>es</w:t>
      </w:r>
      <w:r w:rsidRPr="001C3E3E">
        <w:rPr>
          <w:rFonts w:ascii="Arial" w:eastAsia="Times New Roman" w:hAnsi="Arial" w:cs="Arial"/>
          <w:lang w:bidi="ar-SA"/>
        </w:rPr>
        <w:t xml:space="preserve"> that the NHS remains </w:t>
      </w:r>
      <w:r w:rsidR="00107AE8">
        <w:rPr>
          <w:rFonts w:ascii="Arial" w:eastAsia="Times New Roman" w:hAnsi="Arial" w:cs="Arial"/>
          <w:lang w:bidi="ar-SA"/>
        </w:rPr>
        <w:t>i</w:t>
      </w:r>
      <w:r w:rsidRPr="001C3E3E">
        <w:rPr>
          <w:rFonts w:ascii="Arial" w:eastAsia="Times New Roman" w:hAnsi="Arial" w:cs="Arial"/>
          <w:lang w:bidi="ar-SA"/>
        </w:rPr>
        <w:t xml:space="preserve">n a </w:t>
      </w:r>
      <w:r w:rsidR="005C1E55">
        <w:rPr>
          <w:rFonts w:ascii="Arial" w:eastAsia="Times New Roman" w:hAnsi="Arial" w:cs="Arial"/>
          <w:lang w:bidi="ar-SA"/>
        </w:rPr>
        <w:t xml:space="preserve">challenging position with many </w:t>
      </w:r>
      <w:r w:rsidR="00522E23">
        <w:rPr>
          <w:rFonts w:ascii="Arial" w:eastAsia="Times New Roman" w:hAnsi="Arial" w:cs="Arial"/>
          <w:lang w:bidi="ar-SA"/>
        </w:rPr>
        <w:t xml:space="preserve">Health </w:t>
      </w:r>
      <w:r w:rsidR="005C1E55">
        <w:rPr>
          <w:rFonts w:ascii="Arial" w:eastAsia="Times New Roman" w:hAnsi="Arial" w:cs="Arial"/>
          <w:lang w:bidi="ar-SA"/>
        </w:rPr>
        <w:t xml:space="preserve">Boards reporting deficit positions and the overall </w:t>
      </w:r>
      <w:r w:rsidR="00B025A5">
        <w:rPr>
          <w:rFonts w:ascii="Arial" w:eastAsia="Times New Roman" w:hAnsi="Arial" w:cs="Arial"/>
          <w:lang w:bidi="ar-SA"/>
        </w:rPr>
        <w:t xml:space="preserve">financial </w:t>
      </w:r>
      <w:r w:rsidR="008C2998">
        <w:rPr>
          <w:rFonts w:ascii="Arial" w:eastAsia="Times New Roman" w:hAnsi="Arial" w:cs="Arial"/>
          <w:lang w:bidi="ar-SA"/>
        </w:rPr>
        <w:t>landscape across</w:t>
      </w:r>
      <w:r w:rsidR="005C1E55">
        <w:rPr>
          <w:rFonts w:ascii="Arial" w:eastAsia="Times New Roman" w:hAnsi="Arial" w:cs="Arial"/>
          <w:lang w:bidi="ar-SA"/>
        </w:rPr>
        <w:t xml:space="preserve"> </w:t>
      </w:r>
      <w:r w:rsidR="00522E23">
        <w:rPr>
          <w:rFonts w:ascii="Arial" w:eastAsia="Times New Roman" w:hAnsi="Arial" w:cs="Arial"/>
          <w:lang w:bidi="ar-SA"/>
        </w:rPr>
        <w:t xml:space="preserve">NHS </w:t>
      </w:r>
      <w:r w:rsidR="00B025A5">
        <w:rPr>
          <w:rFonts w:ascii="Arial" w:eastAsia="Times New Roman" w:hAnsi="Arial" w:cs="Arial"/>
          <w:lang w:bidi="ar-SA"/>
        </w:rPr>
        <w:t xml:space="preserve">Scotland presenting unprecedented challenges. </w:t>
      </w:r>
      <w:r w:rsidR="006E60D7">
        <w:rPr>
          <w:rFonts w:ascii="Arial" w:eastAsia="Times New Roman" w:hAnsi="Arial" w:cs="Arial"/>
          <w:lang w:bidi="ar-SA"/>
        </w:rPr>
        <w:t xml:space="preserve"> Whilst services begin to redesign and recover with improved ways of working, it will still take time to return to</w:t>
      </w:r>
      <w:r w:rsidR="001C3E3E">
        <w:rPr>
          <w:rFonts w:ascii="Arial" w:eastAsia="Times New Roman" w:hAnsi="Arial" w:cs="Arial"/>
          <w:lang w:bidi="ar-SA"/>
        </w:rPr>
        <w:t xml:space="preserve"> </w:t>
      </w:r>
      <w:r w:rsidR="005C1E55">
        <w:rPr>
          <w:rFonts w:ascii="Arial" w:eastAsia="Times New Roman" w:hAnsi="Arial" w:cs="Arial"/>
          <w:lang w:bidi="ar-SA"/>
        </w:rPr>
        <w:t>a more financially balanced system</w:t>
      </w:r>
      <w:r w:rsidR="00B025A5">
        <w:rPr>
          <w:rFonts w:ascii="Arial" w:eastAsia="Times New Roman" w:hAnsi="Arial" w:cs="Arial"/>
          <w:lang w:bidi="ar-SA"/>
        </w:rPr>
        <w:t xml:space="preserve"> across Health and Social care</w:t>
      </w:r>
      <w:r w:rsidRPr="001C3E3E">
        <w:rPr>
          <w:rFonts w:ascii="Arial" w:eastAsia="Times New Roman" w:hAnsi="Arial" w:cs="Arial"/>
          <w:lang w:bidi="ar-SA"/>
        </w:rPr>
        <w:t xml:space="preserve">.  </w:t>
      </w:r>
    </w:p>
    <w:p w14:paraId="1ACCA677" w14:textId="77777777" w:rsidR="001C3E3E" w:rsidRDefault="001C3E3E" w:rsidP="00020DA4">
      <w:pPr>
        <w:tabs>
          <w:tab w:val="left" w:pos="720"/>
          <w:tab w:val="left" w:pos="1440"/>
          <w:tab w:val="left" w:pos="2160"/>
          <w:tab w:val="left" w:pos="2880"/>
          <w:tab w:val="left" w:pos="4680"/>
          <w:tab w:val="left" w:pos="5400"/>
          <w:tab w:val="right" w:pos="9000"/>
        </w:tabs>
        <w:spacing w:line="240" w:lineRule="atLeast"/>
        <w:rPr>
          <w:rFonts w:ascii="Arial" w:eastAsia="Times New Roman" w:hAnsi="Arial" w:cs="Arial"/>
          <w:lang w:bidi="ar-SA"/>
        </w:rPr>
      </w:pPr>
    </w:p>
    <w:p w14:paraId="381ADC40" w14:textId="77777777" w:rsidR="00632038" w:rsidRDefault="00632038" w:rsidP="00F6123F">
      <w:pPr>
        <w:tabs>
          <w:tab w:val="left" w:pos="720"/>
          <w:tab w:val="left" w:pos="1440"/>
          <w:tab w:val="left" w:pos="2160"/>
          <w:tab w:val="left" w:pos="2880"/>
          <w:tab w:val="left" w:pos="4680"/>
          <w:tab w:val="left" w:pos="5400"/>
          <w:tab w:val="right" w:pos="9000"/>
        </w:tabs>
        <w:spacing w:line="240" w:lineRule="atLeast"/>
        <w:jc w:val="left"/>
        <w:rPr>
          <w:rFonts w:ascii="Arial" w:eastAsia="Times New Roman" w:hAnsi="Arial" w:cs="Arial"/>
          <w:lang w:bidi="ar-SA"/>
        </w:rPr>
      </w:pPr>
      <w:r>
        <w:rPr>
          <w:rFonts w:ascii="Arial" w:eastAsia="Times New Roman" w:hAnsi="Arial" w:cs="Arial"/>
          <w:lang w:bidi="ar-SA"/>
        </w:rPr>
        <w:t xml:space="preserve">With the opening of the new Surgical Centre, NHS Golden Jubilee University Hospital is in a unique position to support these challenges across Scotland as a whole, proving increased capacity and excellent care to our partner </w:t>
      </w:r>
      <w:r w:rsidR="00522E23">
        <w:rPr>
          <w:rFonts w:ascii="Arial" w:eastAsia="Times New Roman" w:hAnsi="Arial" w:cs="Arial"/>
          <w:lang w:bidi="ar-SA"/>
        </w:rPr>
        <w:t xml:space="preserve">Health </w:t>
      </w:r>
      <w:r>
        <w:rPr>
          <w:rFonts w:ascii="Arial" w:eastAsia="Times New Roman" w:hAnsi="Arial" w:cs="Arial"/>
          <w:lang w:bidi="ar-SA"/>
        </w:rPr>
        <w:t xml:space="preserve">Boards across </w:t>
      </w:r>
      <w:r w:rsidR="00522E23">
        <w:rPr>
          <w:rFonts w:ascii="Arial" w:eastAsia="Times New Roman" w:hAnsi="Arial" w:cs="Arial"/>
          <w:lang w:bidi="ar-SA"/>
        </w:rPr>
        <w:t xml:space="preserve">NHS </w:t>
      </w:r>
      <w:r>
        <w:rPr>
          <w:rFonts w:ascii="Arial" w:eastAsia="Times New Roman" w:hAnsi="Arial" w:cs="Arial"/>
          <w:lang w:bidi="ar-SA"/>
        </w:rPr>
        <w:t>Scotland.</w:t>
      </w:r>
    </w:p>
    <w:p w14:paraId="798065DA" w14:textId="77777777" w:rsidR="00632038" w:rsidRDefault="00632038" w:rsidP="00020DA4">
      <w:pPr>
        <w:tabs>
          <w:tab w:val="left" w:pos="720"/>
          <w:tab w:val="left" w:pos="1440"/>
          <w:tab w:val="left" w:pos="2160"/>
          <w:tab w:val="left" w:pos="2880"/>
          <w:tab w:val="left" w:pos="4680"/>
          <w:tab w:val="left" w:pos="5400"/>
          <w:tab w:val="right" w:pos="9000"/>
        </w:tabs>
        <w:spacing w:line="240" w:lineRule="atLeast"/>
        <w:rPr>
          <w:rFonts w:ascii="Arial" w:eastAsia="Times New Roman" w:hAnsi="Arial" w:cs="Arial"/>
          <w:lang w:bidi="ar-SA"/>
        </w:rPr>
      </w:pPr>
    </w:p>
    <w:p w14:paraId="4DD05DE5" w14:textId="77777777" w:rsidR="004F6766" w:rsidRPr="004F6766" w:rsidRDefault="004F6766" w:rsidP="004F6766">
      <w:pPr>
        <w:rPr>
          <w:rFonts w:ascii="Arial" w:eastAsia="Times New Roman" w:hAnsi="Arial" w:cs="Arial"/>
          <w:b/>
          <w:lang w:bidi="ar-SA"/>
        </w:rPr>
      </w:pPr>
      <w:r w:rsidRPr="004F6766">
        <w:rPr>
          <w:rFonts w:ascii="Arial" w:eastAsia="Times New Roman" w:hAnsi="Arial" w:cs="Arial"/>
          <w:b/>
          <w:lang w:bidi="ar-SA"/>
        </w:rPr>
        <w:t>General approach to allocations – 202</w:t>
      </w:r>
      <w:r w:rsidR="00632038">
        <w:rPr>
          <w:rFonts w:ascii="Arial" w:eastAsia="Times New Roman" w:hAnsi="Arial" w:cs="Arial"/>
          <w:b/>
          <w:lang w:bidi="ar-SA"/>
        </w:rPr>
        <w:t>5</w:t>
      </w:r>
      <w:r w:rsidRPr="004F6766">
        <w:rPr>
          <w:rFonts w:ascii="Arial" w:eastAsia="Times New Roman" w:hAnsi="Arial" w:cs="Arial"/>
          <w:b/>
          <w:lang w:bidi="ar-SA"/>
        </w:rPr>
        <w:t>-2</w:t>
      </w:r>
      <w:r w:rsidR="00632038">
        <w:rPr>
          <w:rFonts w:ascii="Arial" w:eastAsia="Times New Roman" w:hAnsi="Arial" w:cs="Arial"/>
          <w:b/>
          <w:lang w:bidi="ar-SA"/>
        </w:rPr>
        <w:t>6</w:t>
      </w:r>
      <w:r w:rsidRPr="004F6766">
        <w:rPr>
          <w:rFonts w:ascii="Arial" w:eastAsia="Times New Roman" w:hAnsi="Arial" w:cs="Arial"/>
          <w:b/>
          <w:lang w:bidi="ar-SA"/>
        </w:rPr>
        <w:t xml:space="preserve"> and beyond </w:t>
      </w:r>
    </w:p>
    <w:p w14:paraId="4DAF0437" w14:textId="77777777" w:rsidR="004F6766" w:rsidRPr="004F6766" w:rsidRDefault="004F6766" w:rsidP="004F6766">
      <w:pPr>
        <w:rPr>
          <w:rFonts w:ascii="Arial" w:eastAsia="Times New Roman" w:hAnsi="Arial" w:cs="Arial"/>
          <w:lang w:bidi="ar-SA"/>
        </w:rPr>
      </w:pPr>
    </w:p>
    <w:p w14:paraId="4E418CA5" w14:textId="77777777" w:rsidR="00D56824" w:rsidRPr="00D56824" w:rsidRDefault="00632038" w:rsidP="00D56824">
      <w:pPr>
        <w:pStyle w:val="paragraph"/>
        <w:spacing w:before="0" w:beforeAutospacing="0" w:after="0" w:afterAutospacing="0"/>
        <w:textAlignment w:val="baseline"/>
        <w:rPr>
          <w:rFonts w:ascii="Arial" w:hAnsi="Arial" w:cs="Arial"/>
          <w:lang w:val="en-US" w:eastAsia="en-US"/>
        </w:rPr>
      </w:pPr>
      <w:r>
        <w:rPr>
          <w:rFonts w:ascii="Arial" w:hAnsi="Arial" w:cs="Arial"/>
          <w:lang w:val="en-US" w:eastAsia="en-US"/>
        </w:rPr>
        <w:t>During 2023-24 and 2024-25</w:t>
      </w:r>
      <w:r w:rsidR="00D56824" w:rsidRPr="00D56824">
        <w:rPr>
          <w:rFonts w:ascii="Arial" w:hAnsi="Arial" w:cs="Arial"/>
          <w:lang w:val="en-US" w:eastAsia="en-US"/>
        </w:rPr>
        <w:t xml:space="preserve"> work began to provide </w:t>
      </w:r>
      <w:r w:rsidR="00522E23">
        <w:rPr>
          <w:rFonts w:ascii="Arial" w:hAnsi="Arial" w:cs="Arial"/>
          <w:lang w:val="en-US" w:eastAsia="en-US"/>
        </w:rPr>
        <w:t xml:space="preserve">Heath </w:t>
      </w:r>
      <w:r w:rsidR="00D56824" w:rsidRPr="00D56824">
        <w:rPr>
          <w:rFonts w:ascii="Arial" w:hAnsi="Arial" w:cs="Arial"/>
          <w:lang w:val="en-US" w:eastAsia="en-US"/>
        </w:rPr>
        <w:t xml:space="preserve">Boards with more clarity regarding their funding by assessing whether their existing allocations were appropriate for either baselining and/or bundling. The primary objective was to assess the allocations that can be added to the </w:t>
      </w:r>
      <w:r w:rsidR="00522E23">
        <w:rPr>
          <w:rFonts w:ascii="Arial" w:hAnsi="Arial" w:cs="Arial"/>
          <w:lang w:val="en-US" w:eastAsia="en-US"/>
        </w:rPr>
        <w:t xml:space="preserve">Health </w:t>
      </w:r>
      <w:r w:rsidR="00D56824" w:rsidRPr="00D56824">
        <w:rPr>
          <w:rFonts w:ascii="Arial" w:hAnsi="Arial" w:cs="Arial"/>
          <w:lang w:val="en-US" w:eastAsia="en-US"/>
        </w:rPr>
        <w:t>Boards’ baseline funding. Where baselining allocations w</w:t>
      </w:r>
      <w:r w:rsidR="00522E23">
        <w:rPr>
          <w:rFonts w:ascii="Arial" w:hAnsi="Arial" w:cs="Arial"/>
          <w:lang w:val="en-US" w:eastAsia="en-US"/>
        </w:rPr>
        <w:t>ere</w:t>
      </w:r>
      <w:r w:rsidR="00D56824" w:rsidRPr="00D56824">
        <w:rPr>
          <w:rFonts w:ascii="Arial" w:hAnsi="Arial" w:cs="Arial"/>
          <w:lang w:val="en-US" w:eastAsia="en-US"/>
        </w:rPr>
        <w:t xml:space="preserve"> not appropriate, </w:t>
      </w:r>
      <w:r w:rsidR="00B025A5">
        <w:rPr>
          <w:rFonts w:ascii="Arial" w:hAnsi="Arial" w:cs="Arial"/>
          <w:lang w:val="en-US" w:eastAsia="en-US"/>
        </w:rPr>
        <w:t>P</w:t>
      </w:r>
      <w:r w:rsidR="00D56824" w:rsidRPr="00D56824">
        <w:rPr>
          <w:rFonts w:ascii="Arial" w:hAnsi="Arial" w:cs="Arial"/>
          <w:lang w:val="en-US" w:eastAsia="en-US"/>
        </w:rPr>
        <w:t xml:space="preserve">olicy </w:t>
      </w:r>
      <w:r w:rsidR="00B025A5">
        <w:rPr>
          <w:rFonts w:ascii="Arial" w:hAnsi="Arial" w:cs="Arial"/>
          <w:lang w:val="en-US" w:eastAsia="en-US"/>
        </w:rPr>
        <w:t>T</w:t>
      </w:r>
      <w:r w:rsidR="00D56824" w:rsidRPr="00D56824">
        <w:rPr>
          <w:rFonts w:ascii="Arial" w:hAnsi="Arial" w:cs="Arial"/>
          <w:lang w:val="en-US" w:eastAsia="en-US"/>
        </w:rPr>
        <w:t xml:space="preserve">eams have been tasked with reducing the number of allocations into </w:t>
      </w:r>
      <w:r w:rsidR="00B025A5">
        <w:rPr>
          <w:rFonts w:ascii="Arial" w:hAnsi="Arial" w:cs="Arial"/>
          <w:lang w:val="en-US" w:eastAsia="en-US"/>
        </w:rPr>
        <w:t>‘</w:t>
      </w:r>
      <w:r w:rsidR="00D56824" w:rsidRPr="00D56824">
        <w:rPr>
          <w:rFonts w:ascii="Arial" w:hAnsi="Arial" w:cs="Arial"/>
          <w:lang w:val="en-US" w:eastAsia="en-US"/>
        </w:rPr>
        <w:t>bundles</w:t>
      </w:r>
      <w:r w:rsidR="00B025A5">
        <w:rPr>
          <w:rFonts w:ascii="Arial" w:hAnsi="Arial" w:cs="Arial"/>
          <w:lang w:val="en-US" w:eastAsia="en-US"/>
        </w:rPr>
        <w:t>’</w:t>
      </w:r>
      <w:r w:rsidR="00D56824" w:rsidRPr="00D56824">
        <w:rPr>
          <w:rFonts w:ascii="Arial" w:hAnsi="Arial" w:cs="Arial"/>
          <w:lang w:val="en-US" w:eastAsia="en-US"/>
        </w:rPr>
        <w:t xml:space="preserve"> that </w:t>
      </w:r>
      <w:r w:rsidR="00B025A5">
        <w:rPr>
          <w:rFonts w:ascii="Arial" w:hAnsi="Arial" w:cs="Arial"/>
          <w:lang w:val="en-US" w:eastAsia="en-US"/>
        </w:rPr>
        <w:t xml:space="preserve">can </w:t>
      </w:r>
      <w:r w:rsidR="008C2998">
        <w:rPr>
          <w:rFonts w:ascii="Arial" w:hAnsi="Arial" w:cs="Arial"/>
          <w:lang w:val="en-US" w:eastAsia="en-US"/>
        </w:rPr>
        <w:t xml:space="preserve">be </w:t>
      </w:r>
      <w:r w:rsidR="008C2998" w:rsidRPr="00D56824">
        <w:rPr>
          <w:rFonts w:ascii="Arial" w:hAnsi="Arial" w:cs="Arial"/>
          <w:lang w:val="en-US" w:eastAsia="en-US"/>
        </w:rPr>
        <w:t>provided</w:t>
      </w:r>
      <w:r w:rsidR="00D56824" w:rsidRPr="00D56824">
        <w:rPr>
          <w:rFonts w:ascii="Arial" w:hAnsi="Arial" w:cs="Arial"/>
          <w:lang w:val="en-US" w:eastAsia="en-US"/>
        </w:rPr>
        <w:t xml:space="preserve"> to meet a broad range of outcomes.  </w:t>
      </w:r>
    </w:p>
    <w:p w14:paraId="43BD678A" w14:textId="77777777" w:rsidR="00D56824" w:rsidRPr="00D56824" w:rsidRDefault="00D56824" w:rsidP="00D56824">
      <w:pPr>
        <w:pStyle w:val="paragraph"/>
        <w:spacing w:before="0" w:beforeAutospacing="0" w:after="0" w:afterAutospacing="0"/>
        <w:textAlignment w:val="baseline"/>
        <w:rPr>
          <w:rFonts w:ascii="Arial" w:hAnsi="Arial" w:cs="Arial"/>
          <w:lang w:val="en-US" w:eastAsia="en-US"/>
        </w:rPr>
      </w:pPr>
      <w:r w:rsidRPr="00D56824">
        <w:rPr>
          <w:rFonts w:ascii="Arial" w:hAnsi="Arial" w:cs="Arial"/>
          <w:lang w:val="en-US" w:eastAsia="en-US"/>
        </w:rPr>
        <w:t> </w:t>
      </w:r>
    </w:p>
    <w:p w14:paraId="5439EB8E" w14:textId="77777777" w:rsidR="00A23DD8" w:rsidRDefault="00A23DD8" w:rsidP="00F6123F">
      <w:pPr>
        <w:jc w:val="left"/>
        <w:rPr>
          <w:rFonts w:ascii="Arial" w:eastAsia="Times New Roman" w:hAnsi="Arial" w:cs="Arial"/>
          <w:lang w:bidi="ar-SA"/>
        </w:rPr>
      </w:pPr>
      <w:r w:rsidRPr="00A23DD8">
        <w:rPr>
          <w:rFonts w:ascii="Arial" w:eastAsia="Times New Roman" w:hAnsi="Arial" w:cs="Arial"/>
          <w:lang w:bidi="ar-SA"/>
        </w:rPr>
        <w:t xml:space="preserve">During 2024-25, 80% of allocations (by value) were provided to Boards by Quarter </w:t>
      </w:r>
      <w:r w:rsidR="00522E23">
        <w:rPr>
          <w:rFonts w:ascii="Arial" w:eastAsia="Times New Roman" w:hAnsi="Arial" w:cs="Arial"/>
          <w:lang w:bidi="ar-SA"/>
        </w:rPr>
        <w:t>O</w:t>
      </w:r>
      <w:r w:rsidRPr="00A23DD8">
        <w:rPr>
          <w:rFonts w:ascii="Arial" w:eastAsia="Times New Roman" w:hAnsi="Arial" w:cs="Arial"/>
          <w:lang w:bidi="ar-SA"/>
        </w:rPr>
        <w:t xml:space="preserve">ne to provide greater certainty on available funding. </w:t>
      </w:r>
      <w:r>
        <w:rPr>
          <w:rFonts w:ascii="Arial" w:eastAsia="Times New Roman" w:hAnsi="Arial" w:cs="Arial"/>
          <w:lang w:bidi="ar-SA"/>
        </w:rPr>
        <w:t xml:space="preserve">This was not the case with the GJUH, where only 51% (£88m of £175m) was received by the end of Quarter </w:t>
      </w:r>
      <w:r w:rsidR="00522E23">
        <w:rPr>
          <w:rFonts w:ascii="Arial" w:eastAsia="Times New Roman" w:hAnsi="Arial" w:cs="Arial"/>
          <w:lang w:bidi="ar-SA"/>
        </w:rPr>
        <w:t>O</w:t>
      </w:r>
      <w:r>
        <w:rPr>
          <w:rFonts w:ascii="Arial" w:eastAsia="Times New Roman" w:hAnsi="Arial" w:cs="Arial"/>
          <w:lang w:bidi="ar-SA"/>
        </w:rPr>
        <w:t xml:space="preserve">ne. </w:t>
      </w:r>
      <w:r w:rsidRPr="00A23DD8">
        <w:rPr>
          <w:rFonts w:ascii="Arial" w:eastAsia="Times New Roman" w:hAnsi="Arial" w:cs="Arial"/>
          <w:lang w:bidi="ar-SA"/>
        </w:rPr>
        <w:t xml:space="preserve">Work on reviewing allocations will continue into 2025-26. </w:t>
      </w:r>
    </w:p>
    <w:p w14:paraId="4D0E78EF" w14:textId="77777777" w:rsidR="00A23DD8" w:rsidRPr="00A23DD8" w:rsidRDefault="00A23DD8" w:rsidP="00A23DD8">
      <w:pPr>
        <w:rPr>
          <w:rFonts w:ascii="Arial" w:eastAsia="Times New Roman" w:hAnsi="Arial" w:cs="Arial"/>
          <w:lang w:bidi="ar-SA"/>
        </w:rPr>
      </w:pPr>
    </w:p>
    <w:p w14:paraId="3F423434" w14:textId="77777777" w:rsidR="00D56824" w:rsidRPr="00D56824" w:rsidRDefault="00D56824" w:rsidP="00D56824">
      <w:pPr>
        <w:pStyle w:val="paragraph"/>
        <w:spacing w:before="0" w:beforeAutospacing="0" w:after="0" w:afterAutospacing="0"/>
        <w:textAlignment w:val="baseline"/>
        <w:rPr>
          <w:rFonts w:ascii="Arial" w:hAnsi="Arial" w:cs="Arial"/>
          <w:lang w:val="en-US" w:eastAsia="en-US"/>
        </w:rPr>
      </w:pPr>
      <w:r w:rsidRPr="00D56824">
        <w:rPr>
          <w:rFonts w:ascii="Arial" w:hAnsi="Arial" w:cs="Arial"/>
          <w:lang w:val="en-US" w:eastAsia="en-US"/>
        </w:rPr>
        <w:t xml:space="preserve">It remains </w:t>
      </w:r>
      <w:r w:rsidR="00522E23">
        <w:rPr>
          <w:rFonts w:ascii="Arial" w:hAnsi="Arial" w:cs="Arial"/>
          <w:lang w:val="en-US" w:eastAsia="en-US"/>
        </w:rPr>
        <w:t>Scottish Government’s (</w:t>
      </w:r>
      <w:r w:rsidRPr="00D56824">
        <w:rPr>
          <w:rFonts w:ascii="Arial" w:hAnsi="Arial" w:cs="Arial"/>
          <w:lang w:val="en-US" w:eastAsia="en-US"/>
        </w:rPr>
        <w:t>SG</w:t>
      </w:r>
      <w:r w:rsidR="00522E23">
        <w:rPr>
          <w:rFonts w:ascii="Arial" w:hAnsi="Arial" w:cs="Arial"/>
          <w:lang w:val="en-US" w:eastAsia="en-US"/>
        </w:rPr>
        <w:t>)</w:t>
      </w:r>
      <w:r w:rsidRPr="00D56824">
        <w:rPr>
          <w:rFonts w:ascii="Arial" w:hAnsi="Arial" w:cs="Arial"/>
          <w:lang w:val="en-US" w:eastAsia="en-US"/>
        </w:rPr>
        <w:t xml:space="preserve"> intention to provide </w:t>
      </w:r>
      <w:r w:rsidR="00522E23">
        <w:rPr>
          <w:rFonts w:ascii="Arial" w:hAnsi="Arial" w:cs="Arial"/>
          <w:lang w:val="en-US" w:eastAsia="en-US"/>
        </w:rPr>
        <w:t xml:space="preserve">Health </w:t>
      </w:r>
      <w:r w:rsidRPr="00D56824">
        <w:rPr>
          <w:rFonts w:ascii="Arial" w:hAnsi="Arial" w:cs="Arial"/>
          <w:lang w:val="en-US" w:eastAsia="en-US"/>
        </w:rPr>
        <w:t>Boards with increased certainty and flexibility of funding to support them in managing their financial positions.  </w:t>
      </w:r>
    </w:p>
    <w:p w14:paraId="69D97E63" w14:textId="77777777" w:rsidR="00D56824" w:rsidRPr="00D56824" w:rsidRDefault="00D56824" w:rsidP="00D56824">
      <w:pPr>
        <w:pStyle w:val="paragraph"/>
        <w:spacing w:before="0" w:beforeAutospacing="0" w:after="0" w:afterAutospacing="0"/>
        <w:textAlignment w:val="baseline"/>
        <w:rPr>
          <w:rFonts w:ascii="Arial" w:hAnsi="Arial" w:cs="Arial"/>
          <w:lang w:val="en-US" w:eastAsia="en-US"/>
        </w:rPr>
      </w:pPr>
      <w:r w:rsidRPr="00D56824">
        <w:rPr>
          <w:rFonts w:ascii="Arial" w:hAnsi="Arial" w:cs="Arial"/>
          <w:lang w:val="en-US" w:eastAsia="en-US"/>
        </w:rPr>
        <w:t> </w:t>
      </w:r>
    </w:p>
    <w:p w14:paraId="57D29174" w14:textId="623D516B" w:rsidR="00A23DD8" w:rsidRDefault="00522E23" w:rsidP="00F6123F">
      <w:pPr>
        <w:jc w:val="left"/>
        <w:rPr>
          <w:rFonts w:ascii="Arial" w:eastAsia="Times New Roman" w:hAnsi="Arial" w:cs="Arial"/>
          <w:lang w:bidi="ar-SA"/>
        </w:rPr>
      </w:pPr>
      <w:r>
        <w:rPr>
          <w:rFonts w:ascii="Arial" w:eastAsia="Times New Roman" w:hAnsi="Arial" w:cs="Arial"/>
          <w:lang w:bidi="ar-SA"/>
        </w:rPr>
        <w:t xml:space="preserve">Health </w:t>
      </w:r>
      <w:r w:rsidR="00A23DD8" w:rsidRPr="00A23DD8">
        <w:rPr>
          <w:rFonts w:ascii="Arial" w:eastAsia="Times New Roman" w:hAnsi="Arial" w:cs="Arial"/>
          <w:lang w:bidi="ar-SA"/>
        </w:rPr>
        <w:t xml:space="preserve">Boards are asked to assume allocations will be provided in line with the 2024-25 allocation levels and should not assume any new funding unless that has been formally communicated by policy areas for 2025-26. </w:t>
      </w:r>
    </w:p>
    <w:p w14:paraId="656952C8" w14:textId="5CFF1C53" w:rsidR="007533AF" w:rsidRDefault="007533AF" w:rsidP="00F6123F">
      <w:pPr>
        <w:jc w:val="left"/>
        <w:rPr>
          <w:rFonts w:ascii="Arial" w:eastAsia="Times New Roman" w:hAnsi="Arial" w:cs="Arial"/>
          <w:lang w:bidi="ar-SA"/>
        </w:rPr>
      </w:pPr>
    </w:p>
    <w:p w14:paraId="41EE7EE8" w14:textId="77777777" w:rsidR="007533AF" w:rsidRPr="00A23DD8" w:rsidRDefault="007533AF" w:rsidP="00F6123F">
      <w:pPr>
        <w:jc w:val="left"/>
        <w:rPr>
          <w:rFonts w:ascii="Arial" w:eastAsia="Times New Roman" w:hAnsi="Arial" w:cs="Arial"/>
          <w:lang w:bidi="ar-SA"/>
        </w:rPr>
      </w:pPr>
    </w:p>
    <w:p w14:paraId="4422E1C9" w14:textId="77777777" w:rsidR="004F6766" w:rsidRDefault="004F6766" w:rsidP="00020DA4">
      <w:pPr>
        <w:tabs>
          <w:tab w:val="left" w:pos="720"/>
          <w:tab w:val="left" w:pos="1440"/>
          <w:tab w:val="left" w:pos="2160"/>
          <w:tab w:val="left" w:pos="2880"/>
          <w:tab w:val="right" w:pos="9907"/>
        </w:tabs>
        <w:rPr>
          <w:rFonts w:ascii="Arial" w:eastAsia="Times New Roman" w:hAnsi="Arial" w:cs="Arial"/>
          <w:lang w:bidi="ar-SA"/>
        </w:rPr>
      </w:pPr>
    </w:p>
    <w:p w14:paraId="093CC346" w14:textId="77777777" w:rsidR="00A23DD8" w:rsidRPr="00A23DD8" w:rsidRDefault="00A23DD8" w:rsidP="00D56824">
      <w:pPr>
        <w:pStyle w:val="paragraph"/>
        <w:spacing w:before="0" w:beforeAutospacing="0" w:after="0" w:afterAutospacing="0"/>
        <w:jc w:val="both"/>
        <w:textAlignment w:val="baseline"/>
        <w:rPr>
          <w:rStyle w:val="normaltextrun"/>
          <w:rFonts w:ascii="Arial" w:hAnsi="Arial" w:cs="Arial"/>
          <w:u w:val="single"/>
        </w:rPr>
      </w:pPr>
      <w:r w:rsidRPr="00A23DD8">
        <w:rPr>
          <w:rStyle w:val="normaltextrun"/>
          <w:rFonts w:ascii="Arial" w:hAnsi="Arial" w:cs="Arial"/>
          <w:u w:val="single"/>
        </w:rPr>
        <w:lastRenderedPageBreak/>
        <w:t>Specific Funding Assumptions</w:t>
      </w:r>
    </w:p>
    <w:p w14:paraId="7B1C1371" w14:textId="77777777" w:rsidR="00A23DD8" w:rsidRDefault="00A23DD8" w:rsidP="00D56824">
      <w:pPr>
        <w:pStyle w:val="paragraph"/>
        <w:spacing w:before="0" w:beforeAutospacing="0" w:after="0" w:afterAutospacing="0"/>
        <w:jc w:val="both"/>
        <w:textAlignment w:val="baseline"/>
        <w:rPr>
          <w:rStyle w:val="normaltextrun"/>
          <w:rFonts w:ascii="Arial" w:hAnsi="Arial" w:cs="Arial"/>
        </w:rPr>
      </w:pPr>
    </w:p>
    <w:p w14:paraId="7F22CD09" w14:textId="77777777" w:rsidR="00A23DD8" w:rsidRDefault="00A23DD8" w:rsidP="00F6123F">
      <w:pPr>
        <w:pStyle w:val="paragraph"/>
        <w:spacing w:before="0" w:beforeAutospacing="0" w:after="0" w:afterAutospacing="0"/>
        <w:textAlignment w:val="baseline"/>
        <w:rPr>
          <w:rStyle w:val="normaltextrun"/>
          <w:rFonts w:ascii="Arial" w:eastAsiaTheme="minorEastAsia" w:hAnsi="Arial" w:cs="Arial"/>
          <w:spacing w:val="-3"/>
          <w:sz w:val="22"/>
          <w:szCs w:val="22"/>
          <w:lang w:eastAsia="en-US"/>
        </w:rPr>
      </w:pPr>
      <w:r>
        <w:rPr>
          <w:rStyle w:val="normaltextrun"/>
          <w:rFonts w:ascii="Arial" w:hAnsi="Arial" w:cs="Arial"/>
        </w:rPr>
        <w:t>SG has set provided guidance on specific funding assumptions within their Financial Planning Guidance document.</w:t>
      </w:r>
    </w:p>
    <w:p w14:paraId="7520BD30" w14:textId="77777777" w:rsidR="00522E23" w:rsidRDefault="00522E23" w:rsidP="00F6123F">
      <w:pPr>
        <w:pStyle w:val="paragraph"/>
        <w:spacing w:before="0" w:beforeAutospacing="0" w:after="0" w:afterAutospacing="0"/>
        <w:textAlignment w:val="baseline"/>
        <w:rPr>
          <w:rStyle w:val="normaltextrun"/>
          <w:rFonts w:ascii="Arial" w:eastAsiaTheme="minorEastAsia" w:hAnsi="Arial" w:cs="Arial"/>
          <w:spacing w:val="-3"/>
          <w:sz w:val="22"/>
          <w:szCs w:val="22"/>
          <w:lang w:eastAsia="en-US"/>
        </w:rPr>
      </w:pPr>
    </w:p>
    <w:p w14:paraId="0406E270" w14:textId="77777777" w:rsidR="00A23DD8" w:rsidRDefault="00A23DD8" w:rsidP="00F6123F">
      <w:pPr>
        <w:pStyle w:val="paragraph"/>
        <w:spacing w:before="0" w:beforeAutospacing="0" w:after="0" w:afterAutospacing="0"/>
        <w:textAlignment w:val="baseline"/>
        <w:rPr>
          <w:rStyle w:val="normaltextrun"/>
          <w:rFonts w:ascii="Arial" w:eastAsiaTheme="minorEastAsia" w:hAnsi="Arial" w:cs="Arial"/>
          <w:spacing w:val="-3"/>
          <w:sz w:val="22"/>
          <w:szCs w:val="22"/>
          <w:lang w:eastAsia="en-US"/>
        </w:rPr>
      </w:pPr>
      <w:r>
        <w:rPr>
          <w:rStyle w:val="normaltextrun"/>
          <w:rFonts w:ascii="Arial" w:hAnsi="Arial" w:cs="Arial"/>
        </w:rPr>
        <w:t xml:space="preserve">This informs </w:t>
      </w:r>
      <w:r w:rsidR="00522E23">
        <w:rPr>
          <w:rStyle w:val="normaltextrun"/>
          <w:rFonts w:ascii="Arial" w:hAnsi="Arial" w:cs="Arial"/>
        </w:rPr>
        <w:t xml:space="preserve">Health </w:t>
      </w:r>
      <w:r>
        <w:rPr>
          <w:rStyle w:val="normaltextrun"/>
          <w:rFonts w:ascii="Arial" w:hAnsi="Arial" w:cs="Arial"/>
        </w:rPr>
        <w:t>Boards around the approach to assumed allocations relating to the following:-</w:t>
      </w:r>
    </w:p>
    <w:p w14:paraId="172989E1" w14:textId="77777777" w:rsidR="00A23DD8" w:rsidRDefault="00A23DD8" w:rsidP="00D56824">
      <w:pPr>
        <w:pStyle w:val="paragraph"/>
        <w:spacing w:before="0" w:beforeAutospacing="0" w:after="0" w:afterAutospacing="0"/>
        <w:jc w:val="both"/>
        <w:textAlignment w:val="baseline"/>
        <w:rPr>
          <w:rStyle w:val="normaltextrun"/>
          <w:rFonts w:ascii="Arial" w:hAnsi="Arial" w:cs="Arial"/>
        </w:rPr>
      </w:pPr>
    </w:p>
    <w:p w14:paraId="2F9B3024" w14:textId="77777777" w:rsidR="00A23DD8" w:rsidRDefault="00A23DD8" w:rsidP="00A23DD8">
      <w:pPr>
        <w:pStyle w:val="paragraph"/>
        <w:numPr>
          <w:ilvl w:val="0"/>
          <w:numId w:val="26"/>
        </w:numPr>
        <w:spacing w:before="0" w:beforeAutospacing="0" w:after="0" w:afterAutospacing="0"/>
        <w:jc w:val="both"/>
        <w:textAlignment w:val="baseline"/>
        <w:rPr>
          <w:rStyle w:val="normaltextrun"/>
          <w:rFonts w:ascii="Arial" w:hAnsi="Arial" w:cs="Arial"/>
        </w:rPr>
      </w:pPr>
      <w:r>
        <w:rPr>
          <w:rStyle w:val="normaltextrun"/>
          <w:rFonts w:ascii="Arial" w:hAnsi="Arial" w:cs="Arial"/>
        </w:rPr>
        <w:t>New Medicine Funding – an increase to anticipated funding to £250m</w:t>
      </w:r>
    </w:p>
    <w:p w14:paraId="6F929FC7" w14:textId="77777777" w:rsidR="00A23DD8" w:rsidRDefault="00A23DD8" w:rsidP="00A23DD8">
      <w:pPr>
        <w:pStyle w:val="paragraph"/>
        <w:numPr>
          <w:ilvl w:val="0"/>
          <w:numId w:val="26"/>
        </w:numPr>
        <w:spacing w:before="0" w:beforeAutospacing="0" w:after="0" w:afterAutospacing="0"/>
        <w:jc w:val="both"/>
        <w:textAlignment w:val="baseline"/>
        <w:rPr>
          <w:rStyle w:val="normaltextrun"/>
          <w:rFonts w:ascii="Arial" w:hAnsi="Arial" w:cs="Arial"/>
        </w:rPr>
      </w:pPr>
      <w:r>
        <w:rPr>
          <w:rStyle w:val="normaltextrun"/>
          <w:rFonts w:ascii="Arial" w:hAnsi="Arial" w:cs="Arial"/>
        </w:rPr>
        <w:t>Children’s Hospice Associate Scotland (CHAS) - £9m</w:t>
      </w:r>
    </w:p>
    <w:p w14:paraId="6708992A" w14:textId="77777777" w:rsidR="00A23DD8" w:rsidRDefault="00A23DD8" w:rsidP="00A23DD8">
      <w:pPr>
        <w:pStyle w:val="paragraph"/>
        <w:numPr>
          <w:ilvl w:val="0"/>
          <w:numId w:val="26"/>
        </w:numPr>
        <w:spacing w:before="0" w:beforeAutospacing="0" w:after="0" w:afterAutospacing="0"/>
        <w:jc w:val="both"/>
        <w:textAlignment w:val="baseline"/>
        <w:rPr>
          <w:rStyle w:val="normaltextrun"/>
          <w:rFonts w:ascii="Arial" w:hAnsi="Arial" w:cs="Arial"/>
        </w:rPr>
      </w:pPr>
      <w:r>
        <w:rPr>
          <w:rStyle w:val="normaltextrun"/>
          <w:rFonts w:ascii="Arial" w:hAnsi="Arial" w:cs="Arial"/>
        </w:rPr>
        <w:t>CNORIS contributions - £80m</w:t>
      </w:r>
    </w:p>
    <w:p w14:paraId="4FE8D479" w14:textId="77777777" w:rsidR="00A23DD8" w:rsidRDefault="00A23DD8" w:rsidP="00F6123F">
      <w:pPr>
        <w:pStyle w:val="paragraph"/>
        <w:numPr>
          <w:ilvl w:val="0"/>
          <w:numId w:val="26"/>
        </w:numPr>
        <w:spacing w:before="0" w:beforeAutospacing="0" w:after="0" w:afterAutospacing="0"/>
        <w:textAlignment w:val="baseline"/>
        <w:rPr>
          <w:rStyle w:val="normaltextrun"/>
          <w:rFonts w:ascii="Arial" w:eastAsiaTheme="minorEastAsia" w:hAnsi="Arial" w:cs="Arial"/>
          <w:spacing w:val="-3"/>
          <w:sz w:val="22"/>
          <w:szCs w:val="22"/>
          <w:lang w:eastAsia="en-US"/>
        </w:rPr>
      </w:pPr>
      <w:r>
        <w:rPr>
          <w:rStyle w:val="normaltextrun"/>
          <w:rFonts w:ascii="Arial" w:hAnsi="Arial" w:cs="Arial"/>
        </w:rPr>
        <w:t xml:space="preserve">Pay Funding - </w:t>
      </w:r>
      <w:r w:rsidRPr="00A23DD8">
        <w:rPr>
          <w:rStyle w:val="normaltextrun"/>
          <w:rFonts w:ascii="Arial" w:hAnsi="Arial" w:cs="Arial"/>
        </w:rPr>
        <w:t>For consistency within financial planning, costs associated with 2025-26 pay uplifts beyond 3% provided for in baseline funding in budget and Agenda for Change reform costs (associated with the 2023-24 AfC pay awards) are not to be included in the body of the planning template.</w:t>
      </w:r>
    </w:p>
    <w:p w14:paraId="322BF53B" w14:textId="77777777" w:rsidR="00F65DB4" w:rsidRDefault="00F65DB4" w:rsidP="00F6123F">
      <w:pPr>
        <w:pStyle w:val="paragraph"/>
        <w:spacing w:before="0" w:beforeAutospacing="0" w:after="0" w:afterAutospacing="0"/>
        <w:ind w:left="720"/>
        <w:textAlignment w:val="baseline"/>
        <w:rPr>
          <w:rStyle w:val="normaltextrun"/>
          <w:rFonts w:ascii="Arial" w:eastAsiaTheme="minorEastAsia" w:hAnsi="Arial" w:cs="Arial"/>
          <w:spacing w:val="-3"/>
          <w:sz w:val="22"/>
          <w:szCs w:val="22"/>
          <w:lang w:eastAsia="en-US"/>
        </w:rPr>
      </w:pPr>
      <w:r>
        <w:rPr>
          <w:rStyle w:val="normaltextrun"/>
          <w:rFonts w:ascii="Arial" w:hAnsi="Arial" w:cs="Arial"/>
        </w:rPr>
        <w:t>For in-year allocations pressures in relation to 2025-26 pay awards are not to be included as funding will be worked through in-year.</w:t>
      </w:r>
    </w:p>
    <w:p w14:paraId="5B6BB904" w14:textId="77777777" w:rsidR="00F65DB4" w:rsidRDefault="00F65DB4" w:rsidP="00A23DD8">
      <w:pPr>
        <w:pStyle w:val="paragraph"/>
        <w:numPr>
          <w:ilvl w:val="0"/>
          <w:numId w:val="26"/>
        </w:numPr>
        <w:spacing w:before="0" w:beforeAutospacing="0" w:after="0" w:afterAutospacing="0"/>
        <w:jc w:val="both"/>
        <w:textAlignment w:val="baseline"/>
        <w:rPr>
          <w:rStyle w:val="normaltextrun"/>
          <w:rFonts w:ascii="Arial" w:hAnsi="Arial" w:cs="Arial"/>
        </w:rPr>
      </w:pPr>
      <w:r>
        <w:rPr>
          <w:rStyle w:val="normaltextrun"/>
          <w:rFonts w:ascii="Arial" w:hAnsi="Arial" w:cs="Arial"/>
        </w:rPr>
        <w:t>Inflationary increases as set out in the table below</w:t>
      </w:r>
      <w:r w:rsidR="00522E23">
        <w:rPr>
          <w:rStyle w:val="normaltextrun"/>
          <w:rFonts w:ascii="Arial" w:hAnsi="Arial" w:cs="Arial"/>
        </w:rPr>
        <w:t>.</w:t>
      </w:r>
    </w:p>
    <w:p w14:paraId="4EA5AD76" w14:textId="77777777" w:rsidR="00F65DB4" w:rsidRDefault="00F65DB4" w:rsidP="00F65DB4">
      <w:pPr>
        <w:pStyle w:val="paragraph"/>
        <w:spacing w:before="0" w:beforeAutospacing="0" w:after="0" w:afterAutospacing="0"/>
        <w:ind w:left="720"/>
        <w:jc w:val="both"/>
        <w:textAlignment w:val="baseline"/>
        <w:rPr>
          <w:rStyle w:val="normaltextrun"/>
          <w:rFonts w:ascii="Arial" w:hAnsi="Arial" w:cs="Arial"/>
        </w:rPr>
      </w:pPr>
    </w:p>
    <w:p w14:paraId="44FC6DFF" w14:textId="77777777" w:rsidR="00F65DB4" w:rsidRPr="00F65DB4" w:rsidRDefault="00F65DB4" w:rsidP="00F6123F">
      <w:pPr>
        <w:jc w:val="left"/>
        <w:rPr>
          <w:rStyle w:val="normaltextrun"/>
          <w:rFonts w:asciiTheme="minorHAnsi" w:hAnsiTheme="minorHAnsi" w:cstheme="minorBidi"/>
          <w:spacing w:val="-3"/>
          <w:sz w:val="22"/>
          <w:szCs w:val="22"/>
          <w:lang w:val="en-GB" w:eastAsia="en-GB" w:bidi="ar-SA"/>
        </w:rPr>
      </w:pPr>
      <w:r w:rsidRPr="00F65DB4">
        <w:rPr>
          <w:rStyle w:val="normaltextrun"/>
          <w:rFonts w:ascii="Arial" w:eastAsia="Times New Roman" w:hAnsi="Arial"/>
          <w:lang w:val="en-GB" w:eastAsia="en-GB" w:bidi="ar-SA"/>
        </w:rPr>
        <w:t>The Corporate Finance Network commissioned the Finance Liaison Group with identifying appropriate uplift assumptions for financial planning purposes in 2025-26 and beyond.</w:t>
      </w:r>
    </w:p>
    <w:p w14:paraId="23149938" w14:textId="77777777" w:rsidR="00F65DB4" w:rsidRPr="00F65DB4" w:rsidRDefault="00F65DB4" w:rsidP="00F65DB4">
      <w:pPr>
        <w:rPr>
          <w:rStyle w:val="normaltextrun"/>
          <w:rFonts w:ascii="Arial" w:eastAsia="Times New Roman" w:hAnsi="Arial"/>
          <w:lang w:val="en-GB" w:eastAsia="en-GB" w:bidi="ar-SA"/>
        </w:rPr>
      </w:pPr>
    </w:p>
    <w:p w14:paraId="6846BB0E" w14:textId="77777777" w:rsidR="00F65DB4" w:rsidRPr="00F65DB4" w:rsidRDefault="00F65DB4" w:rsidP="00F6123F">
      <w:pPr>
        <w:jc w:val="left"/>
        <w:rPr>
          <w:rStyle w:val="normaltextrun"/>
          <w:rFonts w:ascii="Arial" w:eastAsia="Times New Roman" w:hAnsi="Arial" w:cstheme="minorBidi"/>
          <w:spacing w:val="-3"/>
          <w:sz w:val="22"/>
          <w:szCs w:val="22"/>
          <w:lang w:val="en-GB" w:eastAsia="en-GB" w:bidi="ar-SA"/>
        </w:rPr>
      </w:pPr>
      <w:r w:rsidRPr="00F65DB4">
        <w:rPr>
          <w:rStyle w:val="normaltextrun"/>
          <w:rFonts w:ascii="Arial" w:eastAsia="Times New Roman" w:hAnsi="Arial"/>
          <w:lang w:val="en-GB" w:eastAsia="en-GB" w:bidi="ar-SA"/>
        </w:rPr>
        <w:t xml:space="preserve">There is a degree of volatility in the cost base therefore given this uncertainty, all </w:t>
      </w:r>
      <w:r w:rsidR="00522E23">
        <w:rPr>
          <w:rStyle w:val="normaltextrun"/>
          <w:rFonts w:ascii="Arial" w:eastAsia="Times New Roman" w:hAnsi="Arial"/>
          <w:lang w:val="en-GB" w:eastAsia="en-GB" w:bidi="ar-SA"/>
        </w:rPr>
        <w:t xml:space="preserve">health </w:t>
      </w:r>
      <w:r w:rsidRPr="00F65DB4">
        <w:rPr>
          <w:rStyle w:val="normaltextrun"/>
          <w:rFonts w:ascii="Arial" w:eastAsia="Times New Roman" w:hAnsi="Arial"/>
          <w:lang w:val="en-GB" w:eastAsia="en-GB" w:bidi="ar-SA"/>
        </w:rPr>
        <w:t xml:space="preserve">boards </w:t>
      </w:r>
      <w:r w:rsidR="00522E23">
        <w:rPr>
          <w:rStyle w:val="normaltextrun"/>
          <w:rFonts w:ascii="Arial" w:eastAsia="Times New Roman" w:hAnsi="Arial"/>
          <w:lang w:val="en-GB" w:eastAsia="en-GB" w:bidi="ar-SA"/>
        </w:rPr>
        <w:t>were asked to</w:t>
      </w:r>
      <w:r w:rsidRPr="00F65DB4">
        <w:rPr>
          <w:rStyle w:val="normaltextrun"/>
          <w:rFonts w:ascii="Arial" w:eastAsia="Times New Roman" w:hAnsi="Arial"/>
          <w:lang w:val="en-GB" w:eastAsia="en-GB" w:bidi="ar-SA"/>
        </w:rPr>
        <w:t xml:space="preserve"> consider the application of sensitivity analysis as part of </w:t>
      </w:r>
      <w:r w:rsidR="00522E23">
        <w:rPr>
          <w:rStyle w:val="normaltextrun"/>
          <w:rFonts w:ascii="Arial" w:eastAsia="Times New Roman" w:hAnsi="Arial"/>
          <w:lang w:val="en-GB" w:eastAsia="en-GB" w:bidi="ar-SA"/>
        </w:rPr>
        <w:t>F</w:t>
      </w:r>
      <w:r w:rsidRPr="00F65DB4">
        <w:rPr>
          <w:rStyle w:val="normaltextrun"/>
          <w:rFonts w:ascii="Arial" w:eastAsia="Times New Roman" w:hAnsi="Arial"/>
          <w:lang w:val="en-GB" w:eastAsia="en-GB" w:bidi="ar-SA"/>
        </w:rPr>
        <w:t xml:space="preserve">inancial </w:t>
      </w:r>
      <w:r w:rsidR="00522E23">
        <w:rPr>
          <w:rStyle w:val="normaltextrun"/>
          <w:rFonts w:ascii="Arial" w:eastAsia="Times New Roman" w:hAnsi="Arial"/>
          <w:lang w:val="en-GB" w:eastAsia="en-GB" w:bidi="ar-SA"/>
        </w:rPr>
        <w:t>P</w:t>
      </w:r>
      <w:r w:rsidRPr="00F65DB4">
        <w:rPr>
          <w:rStyle w:val="normaltextrun"/>
          <w:rFonts w:ascii="Arial" w:eastAsia="Times New Roman" w:hAnsi="Arial"/>
          <w:lang w:val="en-GB" w:eastAsia="en-GB" w:bidi="ar-SA"/>
        </w:rPr>
        <w:t>lan preparation.</w:t>
      </w:r>
    </w:p>
    <w:p w14:paraId="7C82ED63" w14:textId="77777777" w:rsidR="00F65DB4" w:rsidRPr="00F65DB4" w:rsidRDefault="00F65DB4" w:rsidP="00F65DB4">
      <w:pPr>
        <w:rPr>
          <w:rStyle w:val="normaltextrun"/>
          <w:rFonts w:ascii="Arial" w:eastAsia="Times New Roman" w:hAnsi="Arial"/>
          <w:lang w:val="en-GB" w:eastAsia="en-GB" w:bidi="ar-SA"/>
        </w:rPr>
      </w:pPr>
    </w:p>
    <w:p w14:paraId="45D9DEFC" w14:textId="77777777" w:rsidR="00F65DB4" w:rsidRPr="00F65DB4" w:rsidRDefault="00F65DB4" w:rsidP="00F6123F">
      <w:pPr>
        <w:jc w:val="left"/>
        <w:rPr>
          <w:rStyle w:val="normaltextrun"/>
          <w:rFonts w:ascii="Arial" w:eastAsia="Times New Roman" w:hAnsi="Arial" w:cstheme="minorBidi"/>
          <w:spacing w:val="-3"/>
          <w:sz w:val="22"/>
          <w:szCs w:val="22"/>
          <w:lang w:val="en-GB" w:eastAsia="en-GB" w:bidi="ar-SA"/>
        </w:rPr>
      </w:pPr>
      <w:r w:rsidRPr="00F65DB4">
        <w:rPr>
          <w:rStyle w:val="normaltextrun"/>
          <w:rFonts w:ascii="Arial" w:eastAsia="Times New Roman" w:hAnsi="Arial"/>
          <w:lang w:val="en-GB" w:eastAsia="en-GB" w:bidi="ar-SA"/>
        </w:rPr>
        <w:t xml:space="preserve">The table below sets out some key areas of uplift to consider as a health board when assessing the </w:t>
      </w:r>
      <w:r w:rsidR="00522E23">
        <w:rPr>
          <w:rStyle w:val="normaltextrun"/>
          <w:rFonts w:ascii="Arial" w:eastAsia="Times New Roman" w:hAnsi="Arial"/>
          <w:lang w:val="en-GB" w:eastAsia="en-GB" w:bidi="ar-SA"/>
        </w:rPr>
        <w:t>F</w:t>
      </w:r>
      <w:r w:rsidRPr="00F65DB4">
        <w:rPr>
          <w:rStyle w:val="normaltextrun"/>
          <w:rFonts w:ascii="Arial" w:eastAsia="Times New Roman" w:hAnsi="Arial"/>
          <w:lang w:val="en-GB" w:eastAsia="en-GB" w:bidi="ar-SA"/>
        </w:rPr>
        <w:t xml:space="preserve">inancial </w:t>
      </w:r>
      <w:r w:rsidR="00522E23">
        <w:rPr>
          <w:rStyle w:val="normaltextrun"/>
          <w:rFonts w:ascii="Arial" w:eastAsia="Times New Roman" w:hAnsi="Arial"/>
          <w:lang w:val="en-GB" w:eastAsia="en-GB" w:bidi="ar-SA"/>
        </w:rPr>
        <w:t>P</w:t>
      </w:r>
      <w:r w:rsidRPr="00F65DB4">
        <w:rPr>
          <w:rStyle w:val="normaltextrun"/>
          <w:rFonts w:ascii="Arial" w:eastAsia="Times New Roman" w:hAnsi="Arial"/>
          <w:lang w:val="en-GB" w:eastAsia="en-GB" w:bidi="ar-SA"/>
        </w:rPr>
        <w:t>lan for next year.</w:t>
      </w:r>
    </w:p>
    <w:p w14:paraId="524C324D" w14:textId="77777777" w:rsidR="00F65DB4" w:rsidRPr="00F65DB4" w:rsidRDefault="00F65DB4" w:rsidP="002B5E77">
      <w:pPr>
        <w:tabs>
          <w:tab w:val="left" w:pos="720"/>
          <w:tab w:val="left" w:pos="1440"/>
          <w:tab w:val="left" w:pos="2160"/>
          <w:tab w:val="left" w:pos="2880"/>
          <w:tab w:val="right" w:pos="9907"/>
        </w:tabs>
        <w:rPr>
          <w:rStyle w:val="normaltextrun"/>
          <w:lang w:val="en-GB" w:eastAsia="en-GB"/>
        </w:rPr>
      </w:pPr>
    </w:p>
    <w:tbl>
      <w:tblPr>
        <w:tblStyle w:val="TableGrid"/>
        <w:tblW w:w="0" w:type="auto"/>
        <w:tblLook w:val="04A0" w:firstRow="1" w:lastRow="0" w:firstColumn="1" w:lastColumn="0" w:noHBand="0" w:noVBand="1"/>
      </w:tblPr>
      <w:tblGrid>
        <w:gridCol w:w="1838"/>
        <w:gridCol w:w="1276"/>
        <w:gridCol w:w="5902"/>
      </w:tblGrid>
      <w:tr w:rsidR="00F65DB4" w:rsidRPr="00522E23" w14:paraId="7E545763" w14:textId="77777777" w:rsidTr="00ED347F">
        <w:tc>
          <w:tcPr>
            <w:tcW w:w="1838" w:type="dxa"/>
            <w:tcBorders>
              <w:top w:val="single" w:sz="4" w:space="0" w:color="auto"/>
              <w:left w:val="single" w:sz="4" w:space="0" w:color="auto"/>
              <w:bottom w:val="single" w:sz="4" w:space="0" w:color="auto"/>
              <w:right w:val="single" w:sz="4" w:space="0" w:color="auto"/>
            </w:tcBorders>
            <w:shd w:val="clear" w:color="auto" w:fill="002060"/>
            <w:hideMark/>
          </w:tcPr>
          <w:p w14:paraId="50329C1F" w14:textId="77777777" w:rsidR="00F65DB4" w:rsidRPr="00F6123F" w:rsidRDefault="00F65DB4" w:rsidP="00ED347F">
            <w:pPr>
              <w:rPr>
                <w:rFonts w:ascii="Arial" w:hAnsi="Arial" w:cs="Arial"/>
                <w:b/>
                <w:bCs/>
                <w:sz w:val="24"/>
              </w:rPr>
            </w:pPr>
            <w:r w:rsidRPr="00F6123F">
              <w:rPr>
                <w:rFonts w:ascii="Arial" w:hAnsi="Arial" w:cs="Arial"/>
                <w:b/>
                <w:bCs/>
              </w:rPr>
              <w:t>Resource</w:t>
            </w:r>
          </w:p>
        </w:tc>
        <w:tc>
          <w:tcPr>
            <w:tcW w:w="1276" w:type="dxa"/>
            <w:tcBorders>
              <w:top w:val="single" w:sz="4" w:space="0" w:color="auto"/>
              <w:left w:val="single" w:sz="4" w:space="0" w:color="auto"/>
              <w:bottom w:val="single" w:sz="4" w:space="0" w:color="auto"/>
              <w:right w:val="single" w:sz="4" w:space="0" w:color="auto"/>
            </w:tcBorders>
            <w:shd w:val="clear" w:color="auto" w:fill="002060"/>
            <w:hideMark/>
          </w:tcPr>
          <w:p w14:paraId="409C3D89" w14:textId="77777777" w:rsidR="00F65DB4" w:rsidRPr="00F6123F" w:rsidRDefault="00F65DB4" w:rsidP="00ED347F">
            <w:pPr>
              <w:rPr>
                <w:rFonts w:ascii="Arial" w:hAnsi="Arial" w:cs="Arial"/>
                <w:b/>
                <w:bCs/>
                <w:sz w:val="24"/>
              </w:rPr>
            </w:pPr>
            <w:r w:rsidRPr="00F6123F">
              <w:rPr>
                <w:rFonts w:ascii="Arial" w:hAnsi="Arial" w:cs="Arial"/>
                <w:b/>
                <w:bCs/>
              </w:rPr>
              <w:t>Uplift Value</w:t>
            </w:r>
          </w:p>
        </w:tc>
        <w:tc>
          <w:tcPr>
            <w:tcW w:w="5902" w:type="dxa"/>
            <w:tcBorders>
              <w:top w:val="single" w:sz="4" w:space="0" w:color="auto"/>
              <w:left w:val="single" w:sz="4" w:space="0" w:color="auto"/>
              <w:bottom w:val="single" w:sz="4" w:space="0" w:color="auto"/>
              <w:right w:val="single" w:sz="4" w:space="0" w:color="auto"/>
            </w:tcBorders>
            <w:shd w:val="clear" w:color="auto" w:fill="002060"/>
            <w:hideMark/>
          </w:tcPr>
          <w:p w14:paraId="44F1764E" w14:textId="77777777" w:rsidR="00F65DB4" w:rsidRPr="00F6123F" w:rsidRDefault="00F65DB4" w:rsidP="00ED347F">
            <w:pPr>
              <w:rPr>
                <w:rFonts w:ascii="Arial" w:hAnsi="Arial" w:cs="Arial"/>
                <w:b/>
                <w:bCs/>
                <w:sz w:val="24"/>
              </w:rPr>
            </w:pPr>
            <w:r w:rsidRPr="00F6123F">
              <w:rPr>
                <w:rFonts w:ascii="Arial" w:hAnsi="Arial" w:cs="Arial"/>
                <w:b/>
                <w:bCs/>
              </w:rPr>
              <w:t>Notes</w:t>
            </w:r>
          </w:p>
        </w:tc>
      </w:tr>
      <w:tr w:rsidR="00F65DB4" w:rsidRPr="00522E23" w14:paraId="1D17D7B7" w14:textId="77777777" w:rsidTr="00ED347F">
        <w:tc>
          <w:tcPr>
            <w:tcW w:w="1838" w:type="dxa"/>
            <w:tcBorders>
              <w:top w:val="single" w:sz="4" w:space="0" w:color="auto"/>
              <w:left w:val="single" w:sz="4" w:space="0" w:color="auto"/>
              <w:bottom w:val="single" w:sz="4" w:space="0" w:color="auto"/>
              <w:right w:val="single" w:sz="4" w:space="0" w:color="auto"/>
            </w:tcBorders>
            <w:hideMark/>
          </w:tcPr>
          <w:p w14:paraId="04A974FE" w14:textId="77777777" w:rsidR="00F65DB4" w:rsidRPr="00F6123F" w:rsidRDefault="00F65DB4" w:rsidP="00ED347F">
            <w:pPr>
              <w:rPr>
                <w:rFonts w:ascii="Arial" w:hAnsi="Arial" w:cs="Arial"/>
                <w:sz w:val="24"/>
              </w:rPr>
            </w:pPr>
            <w:r w:rsidRPr="00F6123F">
              <w:rPr>
                <w:rFonts w:ascii="Arial" w:hAnsi="Arial" w:cs="Arial"/>
              </w:rPr>
              <w:t>Baseline Uplift</w:t>
            </w:r>
          </w:p>
        </w:tc>
        <w:tc>
          <w:tcPr>
            <w:tcW w:w="1276" w:type="dxa"/>
            <w:tcBorders>
              <w:top w:val="single" w:sz="4" w:space="0" w:color="auto"/>
              <w:left w:val="single" w:sz="4" w:space="0" w:color="auto"/>
              <w:bottom w:val="single" w:sz="4" w:space="0" w:color="auto"/>
              <w:right w:val="single" w:sz="4" w:space="0" w:color="auto"/>
            </w:tcBorders>
            <w:hideMark/>
          </w:tcPr>
          <w:p w14:paraId="73F9E9D8" w14:textId="77777777" w:rsidR="00F65DB4" w:rsidRPr="00F6123F" w:rsidRDefault="00F65DB4" w:rsidP="00ED347F">
            <w:pPr>
              <w:rPr>
                <w:rFonts w:ascii="Arial" w:hAnsi="Arial" w:cs="Arial"/>
                <w:sz w:val="24"/>
              </w:rPr>
            </w:pPr>
            <w:r w:rsidRPr="00F6123F">
              <w:rPr>
                <w:rFonts w:ascii="Arial" w:hAnsi="Arial" w:cs="Arial"/>
              </w:rPr>
              <w:t>3%</w:t>
            </w:r>
          </w:p>
        </w:tc>
        <w:tc>
          <w:tcPr>
            <w:tcW w:w="5902" w:type="dxa"/>
            <w:tcBorders>
              <w:top w:val="single" w:sz="4" w:space="0" w:color="auto"/>
              <w:left w:val="single" w:sz="4" w:space="0" w:color="auto"/>
              <w:bottom w:val="single" w:sz="4" w:space="0" w:color="auto"/>
              <w:right w:val="single" w:sz="4" w:space="0" w:color="auto"/>
            </w:tcBorders>
          </w:tcPr>
          <w:p w14:paraId="558CFECD" w14:textId="77777777" w:rsidR="00F65DB4" w:rsidRPr="00F6123F" w:rsidRDefault="00F65DB4" w:rsidP="00F6123F">
            <w:pPr>
              <w:jc w:val="left"/>
              <w:rPr>
                <w:rFonts w:ascii="Arial" w:hAnsi="Arial" w:cs="Arial"/>
                <w:sz w:val="24"/>
              </w:rPr>
            </w:pPr>
            <w:r w:rsidRPr="00F6123F">
              <w:rPr>
                <w:rFonts w:ascii="Arial" w:hAnsi="Arial" w:cs="Arial"/>
              </w:rPr>
              <w:t xml:space="preserve">NHS </w:t>
            </w:r>
            <w:r w:rsidR="00522E23">
              <w:rPr>
                <w:rFonts w:ascii="Arial" w:hAnsi="Arial" w:cs="Arial"/>
                <w:sz w:val="24"/>
              </w:rPr>
              <w:t xml:space="preserve">Health </w:t>
            </w:r>
            <w:r w:rsidRPr="00F6123F">
              <w:rPr>
                <w:rFonts w:ascii="Arial" w:hAnsi="Arial" w:cs="Arial"/>
              </w:rPr>
              <w:t xml:space="preserve">Boards will receive a 3% uplift on baseline funding in 2025-26.  This is to meet the expected costs of the 2025-26 pay deal in line with public sector pay policy, with pay remaining fully funded, and provides a 3% uplift for non-pay to support inflationary pressures. Please assume this value of uplift in each of the three years. </w:t>
            </w:r>
          </w:p>
        </w:tc>
      </w:tr>
      <w:tr w:rsidR="00F65DB4" w:rsidRPr="00522E23" w14:paraId="75CD5D0E" w14:textId="77777777" w:rsidTr="00ED347F">
        <w:tc>
          <w:tcPr>
            <w:tcW w:w="1838" w:type="dxa"/>
            <w:tcBorders>
              <w:top w:val="single" w:sz="4" w:space="0" w:color="auto"/>
              <w:left w:val="single" w:sz="4" w:space="0" w:color="auto"/>
              <w:bottom w:val="single" w:sz="4" w:space="0" w:color="auto"/>
              <w:right w:val="single" w:sz="4" w:space="0" w:color="auto"/>
            </w:tcBorders>
            <w:hideMark/>
          </w:tcPr>
          <w:p w14:paraId="36BB47C5" w14:textId="77777777" w:rsidR="00F65DB4" w:rsidRPr="00F6123F" w:rsidRDefault="00F65DB4" w:rsidP="00ED347F">
            <w:pPr>
              <w:rPr>
                <w:rFonts w:ascii="Arial" w:hAnsi="Arial" w:cs="Arial"/>
                <w:sz w:val="24"/>
              </w:rPr>
            </w:pPr>
            <w:r w:rsidRPr="00F6123F">
              <w:rPr>
                <w:rFonts w:ascii="Arial" w:hAnsi="Arial" w:cs="Arial"/>
              </w:rPr>
              <w:t>SLA uplift</w:t>
            </w:r>
          </w:p>
        </w:tc>
        <w:tc>
          <w:tcPr>
            <w:tcW w:w="1276" w:type="dxa"/>
            <w:tcBorders>
              <w:top w:val="single" w:sz="4" w:space="0" w:color="auto"/>
              <w:left w:val="single" w:sz="4" w:space="0" w:color="auto"/>
              <w:bottom w:val="single" w:sz="4" w:space="0" w:color="auto"/>
              <w:right w:val="single" w:sz="4" w:space="0" w:color="auto"/>
            </w:tcBorders>
            <w:hideMark/>
          </w:tcPr>
          <w:p w14:paraId="49BD2490" w14:textId="77777777" w:rsidR="00F65DB4" w:rsidRPr="00F6123F" w:rsidRDefault="00F65DB4" w:rsidP="00ED347F">
            <w:pPr>
              <w:rPr>
                <w:rFonts w:ascii="Arial" w:hAnsi="Arial" w:cs="Arial"/>
                <w:sz w:val="24"/>
              </w:rPr>
            </w:pPr>
            <w:r w:rsidRPr="00F6123F">
              <w:rPr>
                <w:rFonts w:ascii="Arial" w:hAnsi="Arial" w:cs="Arial"/>
              </w:rPr>
              <w:t>3%</w:t>
            </w:r>
          </w:p>
        </w:tc>
        <w:tc>
          <w:tcPr>
            <w:tcW w:w="5902" w:type="dxa"/>
            <w:tcBorders>
              <w:top w:val="single" w:sz="4" w:space="0" w:color="auto"/>
              <w:left w:val="single" w:sz="4" w:space="0" w:color="auto"/>
              <w:bottom w:val="single" w:sz="4" w:space="0" w:color="auto"/>
              <w:right w:val="single" w:sz="4" w:space="0" w:color="auto"/>
            </w:tcBorders>
            <w:hideMark/>
          </w:tcPr>
          <w:p w14:paraId="7830738A" w14:textId="77777777" w:rsidR="00F65DB4" w:rsidRPr="00F6123F" w:rsidRDefault="00F65DB4" w:rsidP="00F6123F">
            <w:pPr>
              <w:jc w:val="left"/>
              <w:rPr>
                <w:rFonts w:ascii="Arial" w:hAnsi="Arial" w:cs="Arial"/>
                <w:sz w:val="24"/>
              </w:rPr>
            </w:pPr>
            <w:r w:rsidRPr="00F6123F">
              <w:rPr>
                <w:rFonts w:ascii="Arial" w:hAnsi="Arial" w:cs="Arial"/>
              </w:rPr>
              <w:t>The 3% assumption reflects the non-pay baseline uplift. Please assume that all allocations made on NRAC would also be factored into total SLA calculations, moving this figure above 3%. Please assume this value of uplift in each of the three years.</w:t>
            </w:r>
          </w:p>
        </w:tc>
      </w:tr>
      <w:tr w:rsidR="00F65DB4" w:rsidRPr="00522E23" w14:paraId="6B08DA72" w14:textId="77777777" w:rsidTr="00ED347F">
        <w:tc>
          <w:tcPr>
            <w:tcW w:w="1838" w:type="dxa"/>
            <w:tcBorders>
              <w:top w:val="single" w:sz="4" w:space="0" w:color="auto"/>
              <w:left w:val="single" w:sz="4" w:space="0" w:color="auto"/>
              <w:bottom w:val="single" w:sz="4" w:space="0" w:color="auto"/>
              <w:right w:val="single" w:sz="4" w:space="0" w:color="auto"/>
            </w:tcBorders>
            <w:hideMark/>
          </w:tcPr>
          <w:p w14:paraId="6277DFE4" w14:textId="77777777" w:rsidR="00F65DB4" w:rsidRPr="00F6123F" w:rsidRDefault="00F65DB4" w:rsidP="00F6123F">
            <w:pPr>
              <w:jc w:val="left"/>
              <w:rPr>
                <w:rFonts w:ascii="Arial" w:hAnsi="Arial" w:cs="Arial"/>
                <w:sz w:val="24"/>
              </w:rPr>
            </w:pPr>
            <w:r w:rsidRPr="00F6123F">
              <w:rPr>
                <w:rFonts w:ascii="Arial" w:hAnsi="Arial" w:cs="Arial"/>
              </w:rPr>
              <w:t>Energy &amp; Water</w:t>
            </w:r>
          </w:p>
        </w:tc>
        <w:tc>
          <w:tcPr>
            <w:tcW w:w="1276" w:type="dxa"/>
            <w:tcBorders>
              <w:top w:val="single" w:sz="4" w:space="0" w:color="auto"/>
              <w:left w:val="single" w:sz="4" w:space="0" w:color="auto"/>
              <w:bottom w:val="single" w:sz="4" w:space="0" w:color="auto"/>
              <w:right w:val="single" w:sz="4" w:space="0" w:color="auto"/>
            </w:tcBorders>
            <w:hideMark/>
          </w:tcPr>
          <w:p w14:paraId="2BD506C5" w14:textId="77777777" w:rsidR="00F65DB4" w:rsidRPr="00F6123F" w:rsidRDefault="00F65DB4" w:rsidP="00ED347F">
            <w:pPr>
              <w:rPr>
                <w:rFonts w:ascii="Arial" w:hAnsi="Arial" w:cs="Arial"/>
                <w:sz w:val="24"/>
              </w:rPr>
            </w:pPr>
            <w:r w:rsidRPr="00F6123F">
              <w:rPr>
                <w:rFonts w:ascii="Arial" w:hAnsi="Arial" w:cs="Arial"/>
              </w:rPr>
              <w:t>-19%</w:t>
            </w:r>
          </w:p>
        </w:tc>
        <w:tc>
          <w:tcPr>
            <w:tcW w:w="5902" w:type="dxa"/>
            <w:tcBorders>
              <w:top w:val="single" w:sz="4" w:space="0" w:color="auto"/>
              <w:left w:val="single" w:sz="4" w:space="0" w:color="auto"/>
              <w:bottom w:val="single" w:sz="4" w:space="0" w:color="auto"/>
              <w:right w:val="single" w:sz="4" w:space="0" w:color="auto"/>
            </w:tcBorders>
            <w:hideMark/>
          </w:tcPr>
          <w:p w14:paraId="26717E59" w14:textId="77777777" w:rsidR="00F65DB4" w:rsidRPr="00F6123F" w:rsidRDefault="00F65DB4" w:rsidP="00F6123F">
            <w:pPr>
              <w:jc w:val="left"/>
              <w:rPr>
                <w:rFonts w:ascii="Arial" w:hAnsi="Arial" w:cs="Arial"/>
                <w:sz w:val="24"/>
                <w:highlight w:val="yellow"/>
              </w:rPr>
            </w:pPr>
            <w:r w:rsidRPr="00F6123F">
              <w:rPr>
                <w:rFonts w:ascii="Arial" w:hAnsi="Arial" w:cs="Arial"/>
              </w:rPr>
              <w:t xml:space="preserve">For energy prices for Gas, Electricity and Water there are significant reduction in both Electricity and Gas, alongside a projected 5% increase in Water charges.  Taking this all into account we are looking at a 19% reduction net </w:t>
            </w:r>
            <w:r w:rsidR="008C2998" w:rsidRPr="00F6123F">
              <w:rPr>
                <w:rFonts w:ascii="Arial" w:hAnsi="Arial" w:cs="Arial"/>
              </w:rPr>
              <w:t>across the</w:t>
            </w:r>
            <w:r w:rsidRPr="00F6123F">
              <w:rPr>
                <w:rFonts w:ascii="Arial" w:hAnsi="Arial" w:cs="Arial"/>
              </w:rPr>
              <w:t xml:space="preserve"> 3 areas in 2025-26. </w:t>
            </w:r>
          </w:p>
        </w:tc>
      </w:tr>
      <w:tr w:rsidR="00F65DB4" w:rsidRPr="00522E23" w14:paraId="04B9B618" w14:textId="77777777" w:rsidTr="00ED347F">
        <w:tc>
          <w:tcPr>
            <w:tcW w:w="1838" w:type="dxa"/>
            <w:tcBorders>
              <w:top w:val="single" w:sz="4" w:space="0" w:color="auto"/>
              <w:left w:val="single" w:sz="4" w:space="0" w:color="auto"/>
              <w:bottom w:val="single" w:sz="4" w:space="0" w:color="auto"/>
              <w:right w:val="single" w:sz="4" w:space="0" w:color="auto"/>
            </w:tcBorders>
            <w:hideMark/>
          </w:tcPr>
          <w:p w14:paraId="4DB13782" w14:textId="77777777" w:rsidR="00F65DB4" w:rsidRPr="00F6123F" w:rsidRDefault="00F65DB4" w:rsidP="00ED347F">
            <w:pPr>
              <w:rPr>
                <w:rFonts w:ascii="Arial" w:hAnsi="Arial" w:cs="Arial"/>
                <w:sz w:val="24"/>
              </w:rPr>
            </w:pPr>
            <w:r w:rsidRPr="00F6123F">
              <w:rPr>
                <w:rFonts w:ascii="Arial" w:hAnsi="Arial" w:cs="Arial"/>
              </w:rPr>
              <w:t xml:space="preserve">Prescribing </w:t>
            </w:r>
          </w:p>
        </w:tc>
        <w:tc>
          <w:tcPr>
            <w:tcW w:w="1276" w:type="dxa"/>
            <w:tcBorders>
              <w:top w:val="single" w:sz="4" w:space="0" w:color="auto"/>
              <w:left w:val="single" w:sz="4" w:space="0" w:color="auto"/>
              <w:bottom w:val="single" w:sz="4" w:space="0" w:color="auto"/>
              <w:right w:val="single" w:sz="4" w:space="0" w:color="auto"/>
            </w:tcBorders>
            <w:hideMark/>
          </w:tcPr>
          <w:p w14:paraId="22AB45E1" w14:textId="77777777" w:rsidR="00F65DB4" w:rsidRPr="00F6123F" w:rsidRDefault="00F65DB4" w:rsidP="00ED347F">
            <w:pPr>
              <w:rPr>
                <w:rFonts w:ascii="Arial" w:hAnsi="Arial" w:cs="Arial"/>
                <w:sz w:val="24"/>
              </w:rPr>
            </w:pPr>
            <w:r w:rsidRPr="00F6123F">
              <w:rPr>
                <w:rFonts w:ascii="Arial" w:hAnsi="Arial" w:cs="Arial"/>
              </w:rPr>
              <w:t>10%</w:t>
            </w:r>
          </w:p>
        </w:tc>
        <w:tc>
          <w:tcPr>
            <w:tcW w:w="5902" w:type="dxa"/>
            <w:tcBorders>
              <w:top w:val="single" w:sz="4" w:space="0" w:color="auto"/>
              <w:left w:val="single" w:sz="4" w:space="0" w:color="auto"/>
              <w:bottom w:val="single" w:sz="4" w:space="0" w:color="auto"/>
              <w:right w:val="single" w:sz="4" w:space="0" w:color="auto"/>
            </w:tcBorders>
            <w:hideMark/>
          </w:tcPr>
          <w:p w14:paraId="1FA47F70" w14:textId="77777777" w:rsidR="00F65DB4" w:rsidRPr="00F6123F" w:rsidRDefault="00F65DB4" w:rsidP="00F6123F">
            <w:pPr>
              <w:jc w:val="left"/>
              <w:rPr>
                <w:rFonts w:ascii="Arial" w:hAnsi="Arial" w:cs="Arial"/>
                <w:sz w:val="24"/>
                <w:highlight w:val="yellow"/>
              </w:rPr>
            </w:pPr>
            <w:r w:rsidRPr="00F6123F">
              <w:rPr>
                <w:rFonts w:ascii="Arial" w:hAnsi="Arial" w:cs="Arial"/>
              </w:rPr>
              <w:t xml:space="preserve">Prescribing costs are expected to remain high across both primary care and acute. </w:t>
            </w:r>
            <w:r w:rsidR="00522E23">
              <w:rPr>
                <w:rFonts w:ascii="Arial" w:hAnsi="Arial" w:cs="Arial"/>
                <w:sz w:val="24"/>
              </w:rPr>
              <w:t xml:space="preserve">Health </w:t>
            </w:r>
            <w:r w:rsidRPr="00F6123F">
              <w:rPr>
                <w:rFonts w:ascii="Arial" w:hAnsi="Arial" w:cs="Arial"/>
              </w:rPr>
              <w:t xml:space="preserve">Boards should anticipate a 10% cost increase in 2025-26.  </w:t>
            </w:r>
          </w:p>
        </w:tc>
      </w:tr>
      <w:tr w:rsidR="00F65DB4" w:rsidRPr="00522E23" w14:paraId="016A950E" w14:textId="77777777" w:rsidTr="00ED347F">
        <w:tc>
          <w:tcPr>
            <w:tcW w:w="1838" w:type="dxa"/>
            <w:tcBorders>
              <w:top w:val="single" w:sz="4" w:space="0" w:color="auto"/>
              <w:left w:val="single" w:sz="4" w:space="0" w:color="auto"/>
              <w:bottom w:val="single" w:sz="4" w:space="0" w:color="auto"/>
              <w:right w:val="single" w:sz="4" w:space="0" w:color="auto"/>
            </w:tcBorders>
            <w:shd w:val="clear" w:color="auto" w:fill="auto"/>
            <w:hideMark/>
          </w:tcPr>
          <w:p w14:paraId="638B785B" w14:textId="77777777" w:rsidR="00F65DB4" w:rsidRPr="00F6123F" w:rsidRDefault="00F65DB4" w:rsidP="00F6123F">
            <w:pPr>
              <w:jc w:val="left"/>
              <w:rPr>
                <w:rFonts w:ascii="Arial" w:hAnsi="Arial" w:cs="Arial"/>
                <w:sz w:val="24"/>
              </w:rPr>
            </w:pPr>
            <w:r w:rsidRPr="00F6123F">
              <w:rPr>
                <w:rFonts w:ascii="Arial" w:hAnsi="Arial" w:cs="Arial"/>
              </w:rPr>
              <w:lastRenderedPageBreak/>
              <w:t>Rates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8951964" w14:textId="77777777" w:rsidR="00F65DB4" w:rsidRPr="00F6123F" w:rsidRDefault="00F65DB4" w:rsidP="00F6123F">
            <w:pPr>
              <w:jc w:val="left"/>
              <w:rPr>
                <w:rFonts w:ascii="Arial" w:hAnsi="Arial" w:cs="Arial"/>
                <w:sz w:val="24"/>
              </w:rPr>
            </w:pPr>
            <w:r w:rsidRPr="00F6123F">
              <w:rPr>
                <w:rFonts w:ascii="Arial" w:hAnsi="Arial" w:cs="Arial"/>
              </w:rPr>
              <w:t>5%</w:t>
            </w:r>
          </w:p>
        </w:tc>
        <w:tc>
          <w:tcPr>
            <w:tcW w:w="5902" w:type="dxa"/>
            <w:tcBorders>
              <w:top w:val="single" w:sz="4" w:space="0" w:color="auto"/>
              <w:left w:val="single" w:sz="4" w:space="0" w:color="auto"/>
              <w:bottom w:val="single" w:sz="4" w:space="0" w:color="auto"/>
              <w:right w:val="single" w:sz="4" w:space="0" w:color="auto"/>
            </w:tcBorders>
            <w:shd w:val="clear" w:color="auto" w:fill="auto"/>
            <w:hideMark/>
          </w:tcPr>
          <w:p w14:paraId="0AFC0578" w14:textId="77777777" w:rsidR="00F65DB4" w:rsidRPr="00F6123F" w:rsidRDefault="00F65DB4" w:rsidP="00F6123F">
            <w:pPr>
              <w:jc w:val="left"/>
              <w:rPr>
                <w:rFonts w:ascii="Arial" w:hAnsi="Arial" w:cs="Arial"/>
                <w:sz w:val="24"/>
              </w:rPr>
            </w:pPr>
            <w:r w:rsidRPr="00F6123F">
              <w:rPr>
                <w:rFonts w:ascii="Arial" w:hAnsi="Arial" w:cs="Arial"/>
              </w:rPr>
              <w:t xml:space="preserve">Initial information from rates advisors is of increases of circa 5%. Based on RPI plus 2%. </w:t>
            </w:r>
            <w:r w:rsidR="00522E23">
              <w:rPr>
                <w:rFonts w:ascii="Arial" w:hAnsi="Arial" w:cs="Arial"/>
                <w:sz w:val="24"/>
              </w:rPr>
              <w:t xml:space="preserve">Health </w:t>
            </w:r>
            <w:r w:rsidRPr="00F6123F">
              <w:rPr>
                <w:rFonts w:ascii="Arial" w:hAnsi="Arial" w:cs="Arial"/>
              </w:rPr>
              <w:t>Boards are required to follow up locally.</w:t>
            </w:r>
          </w:p>
        </w:tc>
      </w:tr>
      <w:tr w:rsidR="00F65DB4" w:rsidRPr="00522E23" w14:paraId="1EB736AB" w14:textId="77777777" w:rsidTr="00ED347F">
        <w:tc>
          <w:tcPr>
            <w:tcW w:w="1838" w:type="dxa"/>
            <w:tcBorders>
              <w:top w:val="single" w:sz="4" w:space="0" w:color="auto"/>
              <w:left w:val="single" w:sz="4" w:space="0" w:color="auto"/>
              <w:bottom w:val="single" w:sz="4" w:space="0" w:color="auto"/>
              <w:right w:val="single" w:sz="4" w:space="0" w:color="auto"/>
            </w:tcBorders>
            <w:hideMark/>
          </w:tcPr>
          <w:p w14:paraId="70E4DFFF" w14:textId="77777777" w:rsidR="00F65DB4" w:rsidRPr="00F6123F" w:rsidRDefault="00F65DB4" w:rsidP="00F6123F">
            <w:pPr>
              <w:jc w:val="left"/>
              <w:rPr>
                <w:rFonts w:ascii="Arial" w:hAnsi="Arial" w:cs="Arial"/>
                <w:sz w:val="24"/>
              </w:rPr>
            </w:pPr>
            <w:r w:rsidRPr="00F6123F">
              <w:rPr>
                <w:rFonts w:ascii="Arial" w:hAnsi="Arial" w:cs="Arial"/>
              </w:rPr>
              <w:t>PFI</w:t>
            </w:r>
          </w:p>
        </w:tc>
        <w:tc>
          <w:tcPr>
            <w:tcW w:w="1276" w:type="dxa"/>
            <w:tcBorders>
              <w:top w:val="single" w:sz="4" w:space="0" w:color="auto"/>
              <w:left w:val="single" w:sz="4" w:space="0" w:color="auto"/>
              <w:bottom w:val="single" w:sz="4" w:space="0" w:color="auto"/>
              <w:right w:val="single" w:sz="4" w:space="0" w:color="auto"/>
            </w:tcBorders>
            <w:hideMark/>
          </w:tcPr>
          <w:p w14:paraId="17723665" w14:textId="77777777" w:rsidR="00F65DB4" w:rsidRPr="00F6123F" w:rsidRDefault="00F65DB4" w:rsidP="00F6123F">
            <w:pPr>
              <w:jc w:val="left"/>
              <w:rPr>
                <w:rFonts w:ascii="Arial" w:hAnsi="Arial" w:cs="Arial"/>
                <w:sz w:val="24"/>
              </w:rPr>
            </w:pPr>
            <w:r w:rsidRPr="00F6123F">
              <w:rPr>
                <w:rFonts w:ascii="Arial" w:hAnsi="Arial" w:cs="Arial"/>
              </w:rPr>
              <w:t>Board calculated</w:t>
            </w:r>
          </w:p>
        </w:tc>
        <w:tc>
          <w:tcPr>
            <w:tcW w:w="5902" w:type="dxa"/>
            <w:tcBorders>
              <w:top w:val="single" w:sz="4" w:space="0" w:color="auto"/>
              <w:left w:val="single" w:sz="4" w:space="0" w:color="auto"/>
              <w:bottom w:val="single" w:sz="4" w:space="0" w:color="auto"/>
              <w:right w:val="single" w:sz="4" w:space="0" w:color="auto"/>
            </w:tcBorders>
            <w:hideMark/>
          </w:tcPr>
          <w:p w14:paraId="139D9058" w14:textId="77777777" w:rsidR="00F65DB4" w:rsidRPr="00F6123F" w:rsidRDefault="00522E23" w:rsidP="00F6123F">
            <w:pPr>
              <w:jc w:val="left"/>
              <w:rPr>
                <w:rFonts w:ascii="Arial" w:hAnsi="Arial" w:cs="Arial"/>
                <w:sz w:val="24"/>
              </w:rPr>
            </w:pPr>
            <w:r>
              <w:rPr>
                <w:rFonts w:ascii="Arial" w:hAnsi="Arial" w:cs="Arial"/>
                <w:sz w:val="24"/>
              </w:rPr>
              <w:t xml:space="preserve">Health </w:t>
            </w:r>
            <w:r w:rsidR="00F65DB4" w:rsidRPr="00F6123F">
              <w:rPr>
                <w:rFonts w:ascii="Arial" w:hAnsi="Arial" w:cs="Arial"/>
              </w:rPr>
              <w:t xml:space="preserve">Boards will, again, be required to make their own assessment of growth, based on the arrangements for measuring annual growth in charges – likely RPI or CPI. At September 2024, RPI stood at 3.5% with CPI being 1.7%. </w:t>
            </w:r>
          </w:p>
        </w:tc>
      </w:tr>
      <w:tr w:rsidR="00F65DB4" w:rsidRPr="00522E23" w14:paraId="5DDC59A2" w14:textId="77777777" w:rsidTr="00ED347F">
        <w:tc>
          <w:tcPr>
            <w:tcW w:w="1838" w:type="dxa"/>
            <w:tcBorders>
              <w:top w:val="single" w:sz="4" w:space="0" w:color="auto"/>
              <w:left w:val="single" w:sz="4" w:space="0" w:color="auto"/>
              <w:bottom w:val="single" w:sz="4" w:space="0" w:color="auto"/>
              <w:right w:val="single" w:sz="4" w:space="0" w:color="auto"/>
            </w:tcBorders>
            <w:hideMark/>
          </w:tcPr>
          <w:p w14:paraId="75B90886" w14:textId="77777777" w:rsidR="00F65DB4" w:rsidRPr="00F6123F" w:rsidRDefault="00F65DB4" w:rsidP="00F6123F">
            <w:pPr>
              <w:jc w:val="left"/>
              <w:rPr>
                <w:rFonts w:ascii="Arial" w:hAnsi="Arial" w:cs="Arial"/>
                <w:sz w:val="24"/>
              </w:rPr>
            </w:pPr>
            <w:r w:rsidRPr="00F6123F">
              <w:rPr>
                <w:rFonts w:ascii="Arial" w:hAnsi="Arial" w:cs="Arial"/>
              </w:rPr>
              <w:t>Other non-pay</w:t>
            </w:r>
          </w:p>
        </w:tc>
        <w:tc>
          <w:tcPr>
            <w:tcW w:w="1276" w:type="dxa"/>
            <w:tcBorders>
              <w:top w:val="single" w:sz="4" w:space="0" w:color="auto"/>
              <w:left w:val="single" w:sz="4" w:space="0" w:color="auto"/>
              <w:bottom w:val="single" w:sz="4" w:space="0" w:color="auto"/>
              <w:right w:val="single" w:sz="4" w:space="0" w:color="auto"/>
            </w:tcBorders>
            <w:hideMark/>
          </w:tcPr>
          <w:p w14:paraId="5688E4AE" w14:textId="77777777" w:rsidR="00F65DB4" w:rsidRPr="00F6123F" w:rsidRDefault="00F65DB4" w:rsidP="00F6123F">
            <w:pPr>
              <w:jc w:val="left"/>
              <w:rPr>
                <w:rFonts w:ascii="Arial" w:hAnsi="Arial" w:cs="Arial"/>
                <w:sz w:val="24"/>
              </w:rPr>
            </w:pPr>
            <w:r w:rsidRPr="00F6123F">
              <w:rPr>
                <w:rFonts w:ascii="Arial" w:hAnsi="Arial" w:cs="Arial"/>
              </w:rPr>
              <w:t>2.2%</w:t>
            </w:r>
          </w:p>
        </w:tc>
        <w:tc>
          <w:tcPr>
            <w:tcW w:w="5902" w:type="dxa"/>
            <w:tcBorders>
              <w:top w:val="single" w:sz="4" w:space="0" w:color="auto"/>
              <w:left w:val="single" w:sz="4" w:space="0" w:color="auto"/>
              <w:bottom w:val="single" w:sz="4" w:space="0" w:color="auto"/>
              <w:right w:val="single" w:sz="4" w:space="0" w:color="auto"/>
            </w:tcBorders>
            <w:hideMark/>
          </w:tcPr>
          <w:p w14:paraId="5CB9C58B" w14:textId="77777777" w:rsidR="00F65DB4" w:rsidRPr="00F6123F" w:rsidRDefault="00F65DB4" w:rsidP="00F6123F">
            <w:pPr>
              <w:jc w:val="left"/>
              <w:rPr>
                <w:rFonts w:ascii="Arial" w:hAnsi="Arial" w:cs="Arial"/>
                <w:sz w:val="24"/>
                <w:highlight w:val="yellow"/>
              </w:rPr>
            </w:pPr>
            <w:r w:rsidRPr="00F6123F">
              <w:rPr>
                <w:rFonts w:ascii="Arial" w:hAnsi="Arial" w:cs="Arial"/>
              </w:rPr>
              <w:t>Following a period of significant uncertainty and movement, inflation appears to have returned to a more stable position.  CPI is currently 1.7% (September 2024) down from a peak of 6.7% in Aug 2023. OBR (March 2024 forecast) suggests circa 2.2% for 2024 with a further potential reduction to 1.5% in 2025. Bank of England (August 2024 forecast) suggests circa 2.75% for 2024. There is a risk that a widening conflict in the middle east may cause inflation to increase.</w:t>
            </w:r>
          </w:p>
        </w:tc>
      </w:tr>
    </w:tbl>
    <w:p w14:paraId="69678A85" w14:textId="77777777" w:rsidR="00020DA4" w:rsidRPr="001C3E3E" w:rsidRDefault="00020DA4" w:rsidP="00020DA4">
      <w:pPr>
        <w:tabs>
          <w:tab w:val="left" w:pos="720"/>
          <w:tab w:val="left" w:pos="1440"/>
          <w:tab w:val="left" w:pos="2160"/>
          <w:tab w:val="left" w:pos="2880"/>
          <w:tab w:val="left" w:pos="4680"/>
          <w:tab w:val="left" w:pos="5400"/>
          <w:tab w:val="right" w:pos="9000"/>
        </w:tabs>
        <w:spacing w:line="240" w:lineRule="atLeast"/>
        <w:rPr>
          <w:rFonts w:ascii="Arial" w:eastAsia="Times New Roman" w:hAnsi="Arial" w:cs="Arial"/>
          <w:lang w:bidi="ar-SA"/>
        </w:rPr>
      </w:pPr>
    </w:p>
    <w:p w14:paraId="4439F505" w14:textId="77777777" w:rsidR="00020DA4" w:rsidRPr="001C3E3E" w:rsidRDefault="00020DA4" w:rsidP="00020DA4">
      <w:pPr>
        <w:jc w:val="left"/>
        <w:rPr>
          <w:rFonts w:ascii="Arial" w:hAnsi="Arial" w:cs="Arial"/>
        </w:rPr>
      </w:pPr>
      <w:r w:rsidRPr="001C3E3E">
        <w:rPr>
          <w:rFonts w:ascii="Arial" w:hAnsi="Arial" w:cs="Arial"/>
        </w:rPr>
        <w:t xml:space="preserve">This three-year </w:t>
      </w:r>
      <w:r w:rsidR="00522E23">
        <w:rPr>
          <w:rFonts w:ascii="Arial" w:hAnsi="Arial" w:cs="Arial"/>
        </w:rPr>
        <w:t>F</w:t>
      </w:r>
      <w:r w:rsidRPr="001C3E3E">
        <w:rPr>
          <w:rFonts w:ascii="Arial" w:hAnsi="Arial" w:cs="Arial"/>
        </w:rPr>
        <w:t xml:space="preserve">inancial </w:t>
      </w:r>
      <w:r w:rsidR="00522E23">
        <w:rPr>
          <w:rFonts w:ascii="Arial" w:hAnsi="Arial" w:cs="Arial"/>
        </w:rPr>
        <w:t>P</w:t>
      </w:r>
      <w:r w:rsidRPr="001C3E3E">
        <w:rPr>
          <w:rFonts w:ascii="Arial" w:hAnsi="Arial" w:cs="Arial"/>
        </w:rPr>
        <w:t>lan ide</w:t>
      </w:r>
      <w:r w:rsidR="002B5E77">
        <w:rPr>
          <w:rFonts w:ascii="Arial" w:hAnsi="Arial" w:cs="Arial"/>
        </w:rPr>
        <w:t>ntifies the key points from the</w:t>
      </w:r>
      <w:r w:rsidRPr="001C3E3E">
        <w:rPr>
          <w:rFonts w:ascii="Arial" w:hAnsi="Arial" w:cs="Arial"/>
        </w:rPr>
        <w:t xml:space="preserve"> wider Scottish Government context as defined within the Health and Social Care Delivery Plan that relate specifically to NHS Golden Jubilee and the financial assumptions and impact of these over the next three years. </w:t>
      </w:r>
    </w:p>
    <w:p w14:paraId="7E799F73" w14:textId="77777777" w:rsidR="00020DA4" w:rsidRPr="001C3E3E" w:rsidRDefault="00020DA4" w:rsidP="00020DA4">
      <w:pPr>
        <w:jc w:val="left"/>
        <w:rPr>
          <w:rFonts w:ascii="Arial" w:hAnsi="Arial" w:cs="Arial"/>
        </w:rPr>
      </w:pPr>
    </w:p>
    <w:p w14:paraId="1AE6E86E" w14:textId="77777777" w:rsidR="00020DA4" w:rsidRPr="001C3E3E" w:rsidRDefault="00020DA4" w:rsidP="00020DA4">
      <w:pPr>
        <w:jc w:val="left"/>
        <w:rPr>
          <w:rFonts w:ascii="Arial" w:hAnsi="Arial" w:cs="Arial"/>
        </w:rPr>
      </w:pPr>
      <w:r w:rsidRPr="001C3E3E">
        <w:rPr>
          <w:rFonts w:ascii="Arial" w:hAnsi="Arial" w:cs="Arial"/>
        </w:rPr>
        <w:t xml:space="preserve">In addition, the </w:t>
      </w:r>
      <w:r w:rsidR="00A721B0">
        <w:rPr>
          <w:rFonts w:ascii="Arial" w:hAnsi="Arial" w:cs="Arial"/>
        </w:rPr>
        <w:t>F</w:t>
      </w:r>
      <w:r w:rsidRPr="001C3E3E">
        <w:rPr>
          <w:rFonts w:ascii="Arial" w:hAnsi="Arial" w:cs="Arial"/>
        </w:rPr>
        <w:t xml:space="preserve">inancial </w:t>
      </w:r>
      <w:r w:rsidR="00A721B0">
        <w:rPr>
          <w:rFonts w:ascii="Arial" w:hAnsi="Arial" w:cs="Arial"/>
        </w:rPr>
        <w:t>P</w:t>
      </w:r>
      <w:r w:rsidRPr="001C3E3E">
        <w:rPr>
          <w:rFonts w:ascii="Arial" w:hAnsi="Arial" w:cs="Arial"/>
        </w:rPr>
        <w:t>lan identifies investment to transform the way our healthcare services are provided</w:t>
      </w:r>
      <w:r w:rsidR="00A43428">
        <w:rPr>
          <w:rFonts w:ascii="Arial" w:hAnsi="Arial" w:cs="Arial"/>
        </w:rPr>
        <w:t>, support transformational recruitment, training and development and</w:t>
      </w:r>
      <w:r w:rsidRPr="001C3E3E">
        <w:rPr>
          <w:rFonts w:ascii="Arial" w:hAnsi="Arial" w:cs="Arial"/>
        </w:rPr>
        <w:t xml:space="preserve"> to meet the changing needs of the future. </w:t>
      </w:r>
    </w:p>
    <w:p w14:paraId="276F7BEF" w14:textId="77777777" w:rsidR="00020DA4" w:rsidRPr="00020DA4" w:rsidRDefault="00020DA4" w:rsidP="00020DA4">
      <w:pPr>
        <w:jc w:val="left"/>
        <w:rPr>
          <w:rFonts w:ascii="Arial" w:hAnsi="Arial" w:cs="Arial"/>
          <w:b/>
          <w:sz w:val="28"/>
          <w:szCs w:val="28"/>
        </w:rPr>
      </w:pPr>
    </w:p>
    <w:p w14:paraId="7AF24D99" w14:textId="77777777" w:rsidR="00D26C3F" w:rsidRPr="00D26C3F" w:rsidRDefault="00D26C3F" w:rsidP="00556C81">
      <w:pPr>
        <w:rPr>
          <w:rFonts w:ascii="Arial" w:hAnsi="Arial" w:cs="Arial"/>
          <w:b/>
        </w:rPr>
      </w:pPr>
      <w:r w:rsidRPr="00D26C3F">
        <w:rPr>
          <w:rFonts w:ascii="Arial" w:hAnsi="Arial" w:cs="Arial"/>
          <w:b/>
        </w:rPr>
        <w:t>Other Funding Assumptions</w:t>
      </w:r>
    </w:p>
    <w:p w14:paraId="3C97D540" w14:textId="77777777" w:rsidR="00D26C3F" w:rsidRDefault="00D26C3F" w:rsidP="00556C81">
      <w:pPr>
        <w:rPr>
          <w:rFonts w:ascii="Arial" w:hAnsi="Arial" w:cs="Arial"/>
        </w:rPr>
      </w:pPr>
    </w:p>
    <w:p w14:paraId="27DCDD08" w14:textId="77777777" w:rsidR="004F6766" w:rsidRDefault="008C3A08" w:rsidP="00F6123F">
      <w:pPr>
        <w:numPr>
          <w:ilvl w:val="0"/>
          <w:numId w:val="3"/>
        </w:numPr>
        <w:jc w:val="left"/>
        <w:rPr>
          <w:rFonts w:ascii="Arial" w:hAnsi="Arial" w:cs="Arial"/>
          <w:lang w:val="en-GB"/>
        </w:rPr>
      </w:pPr>
      <w:r w:rsidRPr="00A43428">
        <w:rPr>
          <w:rFonts w:ascii="Arial" w:hAnsi="Arial" w:cs="Arial"/>
          <w:lang w:val="en-GB"/>
        </w:rPr>
        <w:t>All Other NHS Boards SLA uplifts</w:t>
      </w:r>
      <w:r>
        <w:rPr>
          <w:rFonts w:ascii="Arial" w:hAnsi="Arial" w:cs="Arial"/>
          <w:lang w:val="en-GB"/>
        </w:rPr>
        <w:t>, due to NHS GJ,</w:t>
      </w:r>
      <w:r w:rsidRPr="00A43428">
        <w:rPr>
          <w:rFonts w:ascii="Arial" w:hAnsi="Arial" w:cs="Arial"/>
          <w:lang w:val="en-GB"/>
        </w:rPr>
        <w:t xml:space="preserve"> </w:t>
      </w:r>
      <w:r>
        <w:rPr>
          <w:rFonts w:ascii="Arial" w:hAnsi="Arial" w:cs="Arial"/>
          <w:lang w:val="en-GB"/>
        </w:rPr>
        <w:t xml:space="preserve">are </w:t>
      </w:r>
      <w:r w:rsidRPr="00A43428">
        <w:rPr>
          <w:rFonts w:ascii="Arial" w:hAnsi="Arial" w:cs="Arial"/>
          <w:lang w:val="en-GB"/>
        </w:rPr>
        <w:t xml:space="preserve">subject to the Corporate Finance Network (CFN) SLA inflationary uplift agreement. </w:t>
      </w:r>
      <w:r w:rsidR="00F65DB4">
        <w:rPr>
          <w:rFonts w:ascii="Arial" w:hAnsi="Arial" w:cs="Arial"/>
          <w:lang w:val="en-GB"/>
        </w:rPr>
        <w:t>As per SG Guidance an uplift of 3%</w:t>
      </w:r>
      <w:r w:rsidR="00D56824">
        <w:rPr>
          <w:rFonts w:ascii="Arial" w:hAnsi="Arial" w:cs="Arial"/>
          <w:lang w:val="en-GB"/>
        </w:rPr>
        <w:t xml:space="preserve"> has been assumed in the Financial Plan at this moment in time, until further clarity on non-pay and pay inflation has been communicated by SG.</w:t>
      </w:r>
    </w:p>
    <w:p w14:paraId="5F183B25" w14:textId="77777777" w:rsidR="004F6766" w:rsidRDefault="004F6766" w:rsidP="00F6123F">
      <w:pPr>
        <w:ind w:left="720"/>
        <w:jc w:val="left"/>
        <w:rPr>
          <w:rFonts w:ascii="Arial" w:hAnsi="Arial" w:cs="Arial"/>
          <w:lang w:val="en-GB"/>
        </w:rPr>
      </w:pPr>
    </w:p>
    <w:p w14:paraId="3FA1DFF8" w14:textId="77777777" w:rsidR="00CE2030" w:rsidRDefault="00D56824" w:rsidP="00F6123F">
      <w:pPr>
        <w:numPr>
          <w:ilvl w:val="0"/>
          <w:numId w:val="3"/>
        </w:numPr>
        <w:jc w:val="left"/>
        <w:rPr>
          <w:rFonts w:ascii="Arial" w:hAnsi="Arial" w:cs="Arial"/>
          <w:lang w:val="en-GB"/>
        </w:rPr>
      </w:pPr>
      <w:r>
        <w:rPr>
          <w:rFonts w:ascii="Arial" w:hAnsi="Arial" w:cs="Arial"/>
          <w:lang w:val="en-GB"/>
        </w:rPr>
        <w:t xml:space="preserve">The current </w:t>
      </w:r>
      <w:r w:rsidR="00403836">
        <w:rPr>
          <w:rFonts w:ascii="Arial" w:hAnsi="Arial" w:cs="Arial"/>
          <w:lang w:val="en-GB"/>
        </w:rPr>
        <w:t>m</w:t>
      </w:r>
      <w:r>
        <w:rPr>
          <w:rFonts w:ascii="Arial" w:hAnsi="Arial" w:cs="Arial"/>
          <w:lang w:val="en-GB"/>
        </w:rPr>
        <w:t xml:space="preserve">arginal </w:t>
      </w:r>
      <w:r w:rsidR="00403836">
        <w:rPr>
          <w:rFonts w:ascii="Arial" w:hAnsi="Arial" w:cs="Arial"/>
          <w:lang w:val="en-GB"/>
        </w:rPr>
        <w:t>t</w:t>
      </w:r>
      <w:r>
        <w:rPr>
          <w:rFonts w:ascii="Arial" w:hAnsi="Arial" w:cs="Arial"/>
          <w:lang w:val="en-GB"/>
        </w:rPr>
        <w:t>ariff for elective activity contained in the A</w:t>
      </w:r>
      <w:r w:rsidR="00F65DB4">
        <w:rPr>
          <w:rFonts w:ascii="Arial" w:hAnsi="Arial" w:cs="Arial"/>
          <w:lang w:val="en-GB"/>
        </w:rPr>
        <w:t>DP has been used at current 2024</w:t>
      </w:r>
      <w:r>
        <w:rPr>
          <w:rFonts w:ascii="Arial" w:hAnsi="Arial" w:cs="Arial"/>
          <w:lang w:val="en-GB"/>
        </w:rPr>
        <w:t>/2</w:t>
      </w:r>
      <w:r w:rsidR="00F65DB4">
        <w:rPr>
          <w:rFonts w:ascii="Arial" w:hAnsi="Arial" w:cs="Arial"/>
          <w:lang w:val="en-GB"/>
        </w:rPr>
        <w:t>5 rates, uplifted by 3%</w:t>
      </w:r>
      <w:r>
        <w:rPr>
          <w:rFonts w:ascii="Arial" w:hAnsi="Arial" w:cs="Arial"/>
          <w:lang w:val="en-GB"/>
        </w:rPr>
        <w:t>.</w:t>
      </w:r>
      <w:r w:rsidR="00F65DB4">
        <w:rPr>
          <w:rFonts w:ascii="Arial" w:hAnsi="Arial" w:cs="Arial"/>
          <w:lang w:val="en-GB"/>
        </w:rPr>
        <w:t xml:space="preserve"> Further discussion is required in agreeing how a revised National Tariff may be applied to GJUH’s additional capacity above Core level of activity.</w:t>
      </w:r>
    </w:p>
    <w:p w14:paraId="401A0BA7" w14:textId="77777777" w:rsidR="0054649B" w:rsidRDefault="0054649B" w:rsidP="00963B43">
      <w:pPr>
        <w:rPr>
          <w:rFonts w:ascii="Arial" w:hAnsi="Arial" w:cs="Arial"/>
          <w:lang w:val="en-GB"/>
        </w:rPr>
      </w:pPr>
    </w:p>
    <w:p w14:paraId="423DE859" w14:textId="77777777" w:rsidR="00192D9A" w:rsidRDefault="00192D9A" w:rsidP="00F6123F">
      <w:pPr>
        <w:jc w:val="left"/>
        <w:rPr>
          <w:rFonts w:ascii="Arial" w:hAnsi="Arial" w:cs="Arial"/>
          <w:lang w:val="en-GB"/>
        </w:rPr>
      </w:pPr>
      <w:r>
        <w:rPr>
          <w:rFonts w:ascii="Arial" w:hAnsi="Arial" w:cs="Arial"/>
          <w:lang w:val="en-GB"/>
        </w:rPr>
        <w:t xml:space="preserve">In </w:t>
      </w:r>
      <w:r w:rsidR="002573B9">
        <w:rPr>
          <w:rFonts w:ascii="Arial" w:hAnsi="Arial" w:cs="Arial"/>
          <w:lang w:val="en-GB"/>
        </w:rPr>
        <w:t>addition</w:t>
      </w:r>
      <w:r>
        <w:rPr>
          <w:rFonts w:ascii="Arial" w:hAnsi="Arial" w:cs="Arial"/>
          <w:lang w:val="en-GB"/>
        </w:rPr>
        <w:t xml:space="preserve"> to the </w:t>
      </w:r>
      <w:r w:rsidR="002573B9">
        <w:rPr>
          <w:rFonts w:ascii="Arial" w:hAnsi="Arial" w:cs="Arial"/>
          <w:lang w:val="en-GB"/>
        </w:rPr>
        <w:t xml:space="preserve">above </w:t>
      </w:r>
      <w:r>
        <w:rPr>
          <w:rFonts w:ascii="Arial" w:hAnsi="Arial" w:cs="Arial"/>
          <w:lang w:val="en-GB"/>
        </w:rPr>
        <w:t>WTIP</w:t>
      </w:r>
      <w:r w:rsidR="002573B9">
        <w:rPr>
          <w:rFonts w:ascii="Arial" w:hAnsi="Arial" w:cs="Arial"/>
          <w:lang w:val="en-GB"/>
        </w:rPr>
        <w:t xml:space="preserve"> funding, the following </w:t>
      </w:r>
      <w:r w:rsidR="00403836">
        <w:rPr>
          <w:rFonts w:ascii="Arial" w:hAnsi="Arial" w:cs="Arial"/>
          <w:lang w:val="en-GB"/>
        </w:rPr>
        <w:t xml:space="preserve">financial </w:t>
      </w:r>
      <w:r w:rsidR="008C2998">
        <w:rPr>
          <w:rFonts w:ascii="Arial" w:hAnsi="Arial" w:cs="Arial"/>
          <w:lang w:val="en-GB"/>
        </w:rPr>
        <w:t>allocations have</w:t>
      </w:r>
      <w:r w:rsidR="00F65DB4">
        <w:rPr>
          <w:rFonts w:ascii="Arial" w:hAnsi="Arial" w:cs="Arial"/>
          <w:lang w:val="en-GB"/>
        </w:rPr>
        <w:t xml:space="preserve"> been assumed following </w:t>
      </w:r>
      <w:r w:rsidR="002573B9">
        <w:rPr>
          <w:rFonts w:ascii="Arial" w:hAnsi="Arial" w:cs="Arial"/>
          <w:lang w:val="en-GB"/>
        </w:rPr>
        <w:t xml:space="preserve">continued dialogue with Scottish Government Health Finance and </w:t>
      </w:r>
      <w:r w:rsidR="00403836">
        <w:rPr>
          <w:rFonts w:ascii="Arial" w:hAnsi="Arial" w:cs="Arial"/>
          <w:lang w:val="en-GB"/>
        </w:rPr>
        <w:t>Policy Team. T</w:t>
      </w:r>
      <w:r w:rsidR="002573B9">
        <w:rPr>
          <w:rFonts w:ascii="Arial" w:hAnsi="Arial" w:cs="Arial"/>
          <w:lang w:val="en-GB"/>
        </w:rPr>
        <w:t xml:space="preserve">he </w:t>
      </w:r>
      <w:r w:rsidR="00A721B0">
        <w:rPr>
          <w:rFonts w:ascii="Arial" w:hAnsi="Arial" w:cs="Arial"/>
          <w:lang w:val="en-GB"/>
        </w:rPr>
        <w:t>F</w:t>
      </w:r>
      <w:r w:rsidR="002573B9">
        <w:rPr>
          <w:rFonts w:ascii="Arial" w:hAnsi="Arial" w:cs="Arial"/>
          <w:lang w:val="en-GB"/>
        </w:rPr>
        <w:t xml:space="preserve">inancial </w:t>
      </w:r>
      <w:r w:rsidR="00A721B0">
        <w:rPr>
          <w:rFonts w:ascii="Arial" w:hAnsi="Arial" w:cs="Arial"/>
          <w:lang w:val="en-GB"/>
        </w:rPr>
        <w:t>P</w:t>
      </w:r>
      <w:r w:rsidR="002573B9">
        <w:rPr>
          <w:rFonts w:ascii="Arial" w:hAnsi="Arial" w:cs="Arial"/>
          <w:lang w:val="en-GB"/>
        </w:rPr>
        <w:t xml:space="preserve">lan </w:t>
      </w:r>
      <w:r w:rsidR="00403836">
        <w:rPr>
          <w:rFonts w:ascii="Arial" w:hAnsi="Arial" w:cs="Arial"/>
          <w:lang w:val="en-GB"/>
        </w:rPr>
        <w:t xml:space="preserve">submitted </w:t>
      </w:r>
      <w:r w:rsidR="002573B9">
        <w:rPr>
          <w:rFonts w:ascii="Arial" w:hAnsi="Arial" w:cs="Arial"/>
          <w:lang w:val="en-GB"/>
        </w:rPr>
        <w:t xml:space="preserve">assumes a cost neutral funding and revenue approach </w:t>
      </w:r>
      <w:r w:rsidR="008C2998">
        <w:rPr>
          <w:rFonts w:ascii="Arial" w:hAnsi="Arial" w:cs="Arial"/>
          <w:lang w:val="en-GB"/>
        </w:rPr>
        <w:t>for:</w:t>
      </w:r>
    </w:p>
    <w:p w14:paraId="5C0780A3" w14:textId="77777777" w:rsidR="002573B9" w:rsidRDefault="002573B9" w:rsidP="00192D9A">
      <w:pPr>
        <w:rPr>
          <w:rFonts w:ascii="Arial" w:hAnsi="Arial" w:cs="Arial"/>
          <w:lang w:val="en-GB"/>
        </w:rPr>
      </w:pPr>
    </w:p>
    <w:p w14:paraId="26DED30B" w14:textId="27344A93" w:rsidR="00CE2030" w:rsidRDefault="00CE2030" w:rsidP="00CE2030">
      <w:pPr>
        <w:numPr>
          <w:ilvl w:val="1"/>
          <w:numId w:val="3"/>
        </w:numPr>
        <w:rPr>
          <w:rFonts w:ascii="Arial" w:hAnsi="Arial" w:cs="Arial"/>
          <w:lang w:val="en-GB"/>
        </w:rPr>
      </w:pPr>
      <w:r>
        <w:rPr>
          <w:rFonts w:ascii="Arial" w:hAnsi="Arial" w:cs="Arial"/>
          <w:lang w:val="en-GB"/>
        </w:rPr>
        <w:t xml:space="preserve">Centre </w:t>
      </w:r>
      <w:r w:rsidR="002D1C45">
        <w:rPr>
          <w:rFonts w:ascii="Arial" w:hAnsi="Arial" w:cs="Arial"/>
          <w:lang w:val="en-GB"/>
        </w:rPr>
        <w:t>for Sust</w:t>
      </w:r>
      <w:r w:rsidR="00DD49DA">
        <w:rPr>
          <w:rFonts w:ascii="Arial" w:hAnsi="Arial" w:cs="Arial"/>
          <w:lang w:val="en-GB"/>
        </w:rPr>
        <w:t>ainable Delivery - £10.4</w:t>
      </w:r>
      <w:r>
        <w:rPr>
          <w:rFonts w:ascii="Arial" w:hAnsi="Arial" w:cs="Arial"/>
          <w:lang w:val="en-GB"/>
        </w:rPr>
        <w:t>m</w:t>
      </w:r>
    </w:p>
    <w:p w14:paraId="4D532111" w14:textId="77777777" w:rsidR="00CE2030" w:rsidRPr="002573B9" w:rsidRDefault="00CE2030" w:rsidP="00F6123F">
      <w:pPr>
        <w:numPr>
          <w:ilvl w:val="1"/>
          <w:numId w:val="3"/>
        </w:numPr>
        <w:jc w:val="left"/>
        <w:rPr>
          <w:rFonts w:ascii="Arial" w:hAnsi="Arial" w:cs="Arial"/>
          <w:lang w:val="en-GB"/>
        </w:rPr>
      </w:pPr>
      <w:r w:rsidRPr="002573B9">
        <w:rPr>
          <w:rFonts w:ascii="Arial" w:hAnsi="Arial" w:cs="Arial"/>
          <w:lang w:val="en-GB"/>
        </w:rPr>
        <w:t>NHS Scotland Academy - £</w:t>
      </w:r>
      <w:r w:rsidR="00F65DB4">
        <w:rPr>
          <w:rFonts w:ascii="Arial" w:hAnsi="Arial" w:cs="Arial"/>
          <w:lang w:val="en-GB"/>
        </w:rPr>
        <w:t>1.7</w:t>
      </w:r>
      <w:r w:rsidR="002573B9" w:rsidRPr="002573B9">
        <w:rPr>
          <w:rFonts w:ascii="Arial" w:hAnsi="Arial" w:cs="Arial"/>
          <w:lang w:val="en-GB"/>
        </w:rPr>
        <w:t>m (</w:t>
      </w:r>
      <w:r w:rsidR="004F6766">
        <w:rPr>
          <w:rFonts w:ascii="Arial" w:hAnsi="Arial" w:cs="Arial"/>
          <w:lang w:val="en-GB"/>
        </w:rPr>
        <w:t>GJ element only with NES including the balance of their share in their own Financial Plan)</w:t>
      </w:r>
    </w:p>
    <w:p w14:paraId="09285B60" w14:textId="77777777" w:rsidR="00CE2030" w:rsidRDefault="00F65DB4" w:rsidP="00F6123F">
      <w:pPr>
        <w:numPr>
          <w:ilvl w:val="1"/>
          <w:numId w:val="3"/>
        </w:numPr>
        <w:jc w:val="left"/>
        <w:rPr>
          <w:rFonts w:ascii="Arial" w:hAnsi="Arial" w:cs="Arial"/>
          <w:lang w:val="en-GB"/>
        </w:rPr>
      </w:pPr>
      <w:r>
        <w:rPr>
          <w:rFonts w:ascii="Arial" w:hAnsi="Arial" w:cs="Arial"/>
          <w:lang w:val="en-GB"/>
        </w:rPr>
        <w:t>Phase 1 NTC Expansion - £3.7</w:t>
      </w:r>
      <w:r w:rsidR="00CE2030">
        <w:rPr>
          <w:rFonts w:ascii="Arial" w:hAnsi="Arial" w:cs="Arial"/>
          <w:lang w:val="en-GB"/>
        </w:rPr>
        <w:t>m</w:t>
      </w:r>
      <w:r w:rsidR="00C819AA">
        <w:rPr>
          <w:rFonts w:ascii="Arial" w:hAnsi="Arial" w:cs="Arial"/>
          <w:lang w:val="en-GB"/>
        </w:rPr>
        <w:t xml:space="preserve"> workforce </w:t>
      </w:r>
      <w:r w:rsidR="002D1C45">
        <w:rPr>
          <w:rFonts w:ascii="Arial" w:hAnsi="Arial" w:cs="Arial"/>
          <w:lang w:val="en-GB"/>
        </w:rPr>
        <w:t>(currently held as earmarked recurring allocation)</w:t>
      </w:r>
    </w:p>
    <w:p w14:paraId="6C462F50" w14:textId="18CC858C" w:rsidR="00C819AA" w:rsidRPr="00C819AA" w:rsidRDefault="00CE2030" w:rsidP="00F6123F">
      <w:pPr>
        <w:numPr>
          <w:ilvl w:val="1"/>
          <w:numId w:val="3"/>
        </w:numPr>
        <w:jc w:val="left"/>
        <w:rPr>
          <w:rFonts w:ascii="Arial" w:hAnsi="Arial" w:cs="Arial"/>
          <w:b/>
          <w:bCs/>
          <w:lang w:val="en-GB"/>
        </w:rPr>
      </w:pPr>
      <w:r>
        <w:rPr>
          <w:rFonts w:ascii="Arial" w:hAnsi="Arial" w:cs="Arial"/>
          <w:lang w:val="en-GB"/>
        </w:rPr>
        <w:lastRenderedPageBreak/>
        <w:t>Phase 2 NTC Expansion - £</w:t>
      </w:r>
      <w:r w:rsidR="00DD49DA">
        <w:rPr>
          <w:rFonts w:ascii="Arial" w:hAnsi="Arial" w:cs="Arial"/>
          <w:lang w:val="en-GB"/>
        </w:rPr>
        <w:t>22</w:t>
      </w:r>
      <w:r w:rsidR="00F65DB4">
        <w:rPr>
          <w:rFonts w:ascii="Arial" w:hAnsi="Arial" w:cs="Arial"/>
          <w:lang w:val="en-GB"/>
        </w:rPr>
        <w:t>.2</w:t>
      </w:r>
      <w:r w:rsidR="002D1C45">
        <w:rPr>
          <w:rFonts w:ascii="Arial" w:hAnsi="Arial" w:cs="Arial"/>
          <w:lang w:val="en-GB"/>
        </w:rPr>
        <w:t>m workforce (</w:t>
      </w:r>
      <w:r w:rsidR="00F65DB4">
        <w:rPr>
          <w:rFonts w:ascii="Arial" w:hAnsi="Arial" w:cs="Arial"/>
          <w:lang w:val="en-GB"/>
        </w:rPr>
        <w:t>This is the funding relating to staff recruited by 31 March 2025</w:t>
      </w:r>
      <w:r w:rsidR="00C819AA">
        <w:rPr>
          <w:rFonts w:ascii="Arial" w:hAnsi="Arial" w:cs="Arial"/>
          <w:lang w:val="en-GB"/>
        </w:rPr>
        <w:t xml:space="preserve">) and </w:t>
      </w:r>
      <w:r w:rsidR="00F65DB4">
        <w:rPr>
          <w:rFonts w:ascii="Arial" w:hAnsi="Arial" w:cs="Arial"/>
          <w:lang w:val="en-GB"/>
        </w:rPr>
        <w:t>funding for Utilities and Rates for the new Surgical Centre of £1.5m.</w:t>
      </w:r>
    </w:p>
    <w:p w14:paraId="5B920E2A" w14:textId="77777777" w:rsidR="00BC0074" w:rsidRDefault="00BC0074" w:rsidP="00C819AA">
      <w:pPr>
        <w:ind w:left="1440"/>
        <w:rPr>
          <w:rFonts w:ascii="Arial" w:hAnsi="Arial" w:cs="Arial"/>
          <w:b/>
          <w:bCs/>
          <w:lang w:val="en-GB"/>
        </w:rPr>
      </w:pPr>
    </w:p>
    <w:p w14:paraId="66B65124" w14:textId="77777777" w:rsidR="00F24B35" w:rsidRDefault="00C819AA" w:rsidP="00A43428">
      <w:pPr>
        <w:rPr>
          <w:rFonts w:ascii="Arial" w:hAnsi="Arial" w:cs="Arial"/>
          <w:b/>
          <w:bCs/>
          <w:lang w:val="en-GB"/>
        </w:rPr>
      </w:pPr>
      <w:r>
        <w:rPr>
          <w:rFonts w:ascii="Arial" w:hAnsi="Arial" w:cs="Arial"/>
          <w:b/>
          <w:bCs/>
          <w:lang w:val="en-GB"/>
        </w:rPr>
        <w:t>202</w:t>
      </w:r>
      <w:r w:rsidR="00CA1557">
        <w:rPr>
          <w:rFonts w:ascii="Arial" w:hAnsi="Arial" w:cs="Arial"/>
          <w:b/>
          <w:bCs/>
          <w:lang w:val="en-GB"/>
        </w:rPr>
        <w:t>5</w:t>
      </w:r>
      <w:r w:rsidR="00556C81" w:rsidRPr="00A43428">
        <w:rPr>
          <w:rFonts w:ascii="Arial" w:hAnsi="Arial" w:cs="Arial"/>
          <w:b/>
          <w:bCs/>
          <w:lang w:val="en-GB"/>
        </w:rPr>
        <w:t>/2</w:t>
      </w:r>
      <w:r w:rsidR="00CA1557">
        <w:rPr>
          <w:rFonts w:ascii="Arial" w:hAnsi="Arial" w:cs="Arial"/>
          <w:b/>
          <w:bCs/>
          <w:lang w:val="en-GB"/>
        </w:rPr>
        <w:t>6</w:t>
      </w:r>
      <w:r w:rsidR="00556C81" w:rsidRPr="00A43428">
        <w:rPr>
          <w:rFonts w:ascii="Arial" w:hAnsi="Arial" w:cs="Arial"/>
          <w:b/>
          <w:bCs/>
          <w:lang w:val="en-GB"/>
        </w:rPr>
        <w:t xml:space="preserve"> Pay award uplift </w:t>
      </w:r>
    </w:p>
    <w:p w14:paraId="7B53B428" w14:textId="77777777" w:rsidR="00A43428" w:rsidRPr="00A43428" w:rsidRDefault="00A43428" w:rsidP="00A43428">
      <w:pPr>
        <w:rPr>
          <w:rFonts w:ascii="Arial" w:hAnsi="Arial" w:cs="Arial"/>
          <w:lang w:val="en-GB"/>
        </w:rPr>
      </w:pPr>
    </w:p>
    <w:p w14:paraId="553359D1" w14:textId="77777777" w:rsidR="00A43428" w:rsidRDefault="002D1C45" w:rsidP="00F6123F">
      <w:pPr>
        <w:jc w:val="left"/>
        <w:rPr>
          <w:rFonts w:ascii="Arial" w:hAnsi="Arial" w:cs="Arial"/>
          <w:lang w:val="en-GB"/>
        </w:rPr>
      </w:pPr>
      <w:r>
        <w:rPr>
          <w:rFonts w:ascii="Arial" w:hAnsi="Arial" w:cs="Arial"/>
          <w:lang w:val="en-GB"/>
        </w:rPr>
        <w:t xml:space="preserve">The planning guidance from SG has </w:t>
      </w:r>
      <w:r w:rsidR="00403836">
        <w:rPr>
          <w:rFonts w:ascii="Arial" w:hAnsi="Arial" w:cs="Arial"/>
          <w:lang w:val="en-GB"/>
        </w:rPr>
        <w:t xml:space="preserve">provided a </w:t>
      </w:r>
      <w:r>
        <w:rPr>
          <w:rFonts w:ascii="Arial" w:hAnsi="Arial" w:cs="Arial"/>
          <w:lang w:val="en-GB"/>
        </w:rPr>
        <w:t xml:space="preserve">clear </w:t>
      </w:r>
      <w:r w:rsidR="00403836">
        <w:rPr>
          <w:rFonts w:ascii="Arial" w:hAnsi="Arial" w:cs="Arial"/>
          <w:lang w:val="en-GB"/>
        </w:rPr>
        <w:t xml:space="preserve">assumption </w:t>
      </w:r>
      <w:r>
        <w:rPr>
          <w:rFonts w:ascii="Arial" w:hAnsi="Arial" w:cs="Arial"/>
          <w:lang w:val="en-GB"/>
        </w:rPr>
        <w:t xml:space="preserve">that </w:t>
      </w:r>
      <w:r w:rsidR="00A721B0">
        <w:rPr>
          <w:rFonts w:ascii="Arial" w:hAnsi="Arial" w:cs="Arial"/>
          <w:lang w:val="en-GB"/>
        </w:rPr>
        <w:t xml:space="preserve">Health </w:t>
      </w:r>
      <w:r w:rsidR="00A55886">
        <w:rPr>
          <w:rFonts w:ascii="Arial" w:hAnsi="Arial" w:cs="Arial"/>
          <w:lang w:val="en-GB"/>
        </w:rPr>
        <w:t xml:space="preserve">Boards </w:t>
      </w:r>
      <w:r w:rsidR="00CA1557">
        <w:rPr>
          <w:rFonts w:ascii="Arial" w:hAnsi="Arial" w:cs="Arial"/>
          <w:lang w:val="en-GB"/>
        </w:rPr>
        <w:t xml:space="preserve">are </w:t>
      </w:r>
      <w:r w:rsidR="00A55886">
        <w:rPr>
          <w:rFonts w:ascii="Arial" w:hAnsi="Arial" w:cs="Arial"/>
          <w:lang w:val="en-GB"/>
        </w:rPr>
        <w:t xml:space="preserve">to assume that the pay award will be funded in full </w:t>
      </w:r>
      <w:r w:rsidR="00403836">
        <w:rPr>
          <w:rFonts w:ascii="Arial" w:hAnsi="Arial" w:cs="Arial"/>
          <w:lang w:val="en-GB"/>
        </w:rPr>
        <w:t xml:space="preserve">by Scottish Government </w:t>
      </w:r>
      <w:r w:rsidR="00A55886">
        <w:rPr>
          <w:rFonts w:ascii="Arial" w:hAnsi="Arial" w:cs="Arial"/>
          <w:lang w:val="en-GB"/>
        </w:rPr>
        <w:t>when agreed.</w:t>
      </w:r>
      <w:r w:rsidR="00403836">
        <w:rPr>
          <w:rFonts w:ascii="Arial" w:hAnsi="Arial" w:cs="Arial"/>
          <w:lang w:val="en-GB"/>
        </w:rPr>
        <w:t xml:space="preserve"> </w:t>
      </w:r>
      <w:r w:rsidR="00CA1557">
        <w:rPr>
          <w:rFonts w:ascii="Arial" w:hAnsi="Arial" w:cs="Arial"/>
          <w:lang w:val="en-GB"/>
        </w:rPr>
        <w:t>This is of particular concern to the GJUH funding assumptions, given such a large proportion of the RRL is currently not included in the recurrent baseline funding.</w:t>
      </w:r>
    </w:p>
    <w:p w14:paraId="2E09875C" w14:textId="77777777" w:rsidR="00963B43" w:rsidRDefault="00963B43" w:rsidP="00F6123F">
      <w:pPr>
        <w:jc w:val="left"/>
        <w:rPr>
          <w:rFonts w:ascii="Arial" w:hAnsi="Arial" w:cs="Arial"/>
          <w:lang w:val="en-GB"/>
        </w:rPr>
      </w:pPr>
    </w:p>
    <w:p w14:paraId="3E9AA57F" w14:textId="48BF0E9D" w:rsidR="00963B43" w:rsidRPr="00EB6031" w:rsidRDefault="00963B43" w:rsidP="00963B43">
      <w:pPr>
        <w:jc w:val="left"/>
        <w:rPr>
          <w:rFonts w:ascii="Arial" w:hAnsi="Arial" w:cs="Arial"/>
          <w:lang w:val="en-GB"/>
        </w:rPr>
      </w:pPr>
      <w:r w:rsidRPr="00EB6031">
        <w:rPr>
          <w:rFonts w:ascii="Arial" w:hAnsi="Arial" w:cs="Arial"/>
          <w:lang w:val="en-GB"/>
        </w:rPr>
        <w:t xml:space="preserve">In addition, </w:t>
      </w:r>
      <w:r w:rsidR="006F3E42">
        <w:rPr>
          <w:rFonts w:ascii="Arial" w:hAnsi="Arial" w:cs="Arial"/>
          <w:lang w:val="en-GB"/>
        </w:rPr>
        <w:t xml:space="preserve">60% of </w:t>
      </w:r>
      <w:r w:rsidRPr="00EB6031">
        <w:rPr>
          <w:rFonts w:ascii="Arial" w:hAnsi="Arial" w:cs="Arial"/>
          <w:lang w:val="en-GB"/>
        </w:rPr>
        <w:t xml:space="preserve">the uplift for Employers’ National Insurance Contributions will be funded </w:t>
      </w:r>
      <w:r w:rsidR="006F3E42">
        <w:rPr>
          <w:rFonts w:ascii="Arial" w:hAnsi="Arial" w:cs="Arial"/>
          <w:lang w:val="en-GB"/>
        </w:rPr>
        <w:t>directly by Scottisg Government with further funding to be agreed for the remaining 40% balance</w:t>
      </w:r>
      <w:r w:rsidRPr="00EB6031">
        <w:rPr>
          <w:rFonts w:ascii="Arial" w:hAnsi="Arial" w:cs="Arial"/>
          <w:lang w:val="en-GB"/>
        </w:rPr>
        <w:t xml:space="preserve"> </w:t>
      </w:r>
      <w:r w:rsidR="006F3E42">
        <w:rPr>
          <w:rFonts w:ascii="Arial" w:hAnsi="Arial" w:cs="Arial"/>
          <w:lang w:val="en-GB"/>
        </w:rPr>
        <w:t xml:space="preserve">(likely to be </w:t>
      </w:r>
      <w:r w:rsidRPr="00EB6031">
        <w:rPr>
          <w:rFonts w:ascii="Arial" w:hAnsi="Arial" w:cs="Arial"/>
          <w:lang w:val="en-GB"/>
        </w:rPr>
        <w:t xml:space="preserve">split between 60% direct funding and 40% from a </w:t>
      </w:r>
      <w:r w:rsidR="006F3E42">
        <w:rPr>
          <w:rFonts w:ascii="Arial" w:hAnsi="Arial" w:cs="Arial"/>
          <w:lang w:val="en-GB"/>
        </w:rPr>
        <w:t xml:space="preserve">SG </w:t>
      </w:r>
      <w:r w:rsidRPr="00EB6031">
        <w:rPr>
          <w:rFonts w:ascii="Arial" w:hAnsi="Arial" w:cs="Arial"/>
          <w:lang w:val="en-GB"/>
        </w:rPr>
        <w:t>sustainability fund</w:t>
      </w:r>
      <w:r w:rsidR="00EB6031">
        <w:rPr>
          <w:rFonts w:ascii="Arial" w:hAnsi="Arial" w:cs="Arial"/>
          <w:lang w:val="en-GB"/>
        </w:rPr>
        <w:t xml:space="preserve"> and SLA uplifts with Territorial Boards</w:t>
      </w:r>
      <w:r w:rsidR="006F3E42">
        <w:rPr>
          <w:rFonts w:ascii="Arial" w:hAnsi="Arial" w:cs="Arial"/>
          <w:lang w:val="en-GB"/>
        </w:rPr>
        <w:t>)</w:t>
      </w:r>
      <w:r w:rsidRPr="00EB6031">
        <w:rPr>
          <w:rFonts w:ascii="Arial" w:hAnsi="Arial" w:cs="Arial"/>
          <w:lang w:val="en-GB"/>
        </w:rPr>
        <w:t xml:space="preserve">. </w:t>
      </w:r>
    </w:p>
    <w:p w14:paraId="4DCBC124" w14:textId="77777777" w:rsidR="001207EA" w:rsidRDefault="001207EA" w:rsidP="00556C81">
      <w:pPr>
        <w:rPr>
          <w:rFonts w:ascii="Arial" w:hAnsi="Arial" w:cs="Arial"/>
          <w:lang w:val="en-GB"/>
        </w:rPr>
      </w:pPr>
    </w:p>
    <w:p w14:paraId="1CBD7146" w14:textId="77777777" w:rsidR="00F24B35" w:rsidRDefault="00556C81" w:rsidP="00A43428">
      <w:pPr>
        <w:rPr>
          <w:rFonts w:ascii="Arial" w:hAnsi="Arial" w:cs="Arial"/>
          <w:b/>
          <w:bCs/>
          <w:sz w:val="28"/>
          <w:szCs w:val="28"/>
          <w:lang w:val="en-GB"/>
        </w:rPr>
      </w:pPr>
      <w:r w:rsidRPr="00A43428">
        <w:rPr>
          <w:rFonts w:ascii="Arial" w:hAnsi="Arial" w:cs="Arial"/>
          <w:b/>
          <w:bCs/>
          <w:sz w:val="28"/>
          <w:szCs w:val="28"/>
          <w:lang w:val="en-GB"/>
        </w:rPr>
        <w:t>Remobilisation, Recovery and Redesign Plan</w:t>
      </w:r>
    </w:p>
    <w:p w14:paraId="2AAF5330" w14:textId="77777777" w:rsidR="00A43428" w:rsidRPr="00A43428" w:rsidRDefault="00A43428" w:rsidP="00A43428">
      <w:pPr>
        <w:rPr>
          <w:rFonts w:ascii="Arial" w:hAnsi="Arial" w:cs="Arial"/>
          <w:sz w:val="28"/>
          <w:szCs w:val="28"/>
          <w:lang w:val="en-GB"/>
        </w:rPr>
      </w:pPr>
    </w:p>
    <w:p w14:paraId="23171A3A" w14:textId="52BC9954" w:rsidR="00F24B35" w:rsidRDefault="00A43428" w:rsidP="00F6123F">
      <w:pPr>
        <w:jc w:val="left"/>
        <w:rPr>
          <w:rFonts w:ascii="Arial" w:hAnsi="Arial" w:cs="Arial"/>
          <w:lang w:val="en-GB"/>
        </w:rPr>
      </w:pPr>
      <w:r>
        <w:rPr>
          <w:rFonts w:ascii="Arial" w:hAnsi="Arial" w:cs="Arial"/>
          <w:lang w:val="en-GB"/>
        </w:rPr>
        <w:t xml:space="preserve">As detailed within the Scottish Government Financial Planning Process, </w:t>
      </w:r>
      <w:r w:rsidR="00556C81" w:rsidRPr="001C3E3E">
        <w:rPr>
          <w:rFonts w:ascii="Arial" w:hAnsi="Arial" w:cs="Arial"/>
          <w:lang w:val="en-GB"/>
        </w:rPr>
        <w:t xml:space="preserve">the </w:t>
      </w:r>
      <w:r w:rsidR="00067C77" w:rsidRPr="00067C77">
        <w:rPr>
          <w:rFonts w:ascii="Arial" w:hAnsi="Arial" w:cs="Arial"/>
          <w:lang w:val="en-GB"/>
        </w:rPr>
        <w:t>Annual Delivery Plan</w:t>
      </w:r>
      <w:r w:rsidR="00067C77" w:rsidRPr="007C2892">
        <w:rPr>
          <w:rFonts w:ascii="Arial" w:hAnsi="Arial" w:cs="Arial"/>
          <w:b/>
          <w:lang w:val="en-GB"/>
        </w:rPr>
        <w:t xml:space="preserve"> </w:t>
      </w:r>
      <w:r w:rsidR="00A721B0">
        <w:rPr>
          <w:rFonts w:ascii="Arial" w:hAnsi="Arial" w:cs="Arial"/>
          <w:b/>
          <w:lang w:val="en-GB"/>
        </w:rPr>
        <w:t>(</w:t>
      </w:r>
      <w:r w:rsidR="00067C77">
        <w:rPr>
          <w:rFonts w:ascii="Arial" w:hAnsi="Arial" w:cs="Arial"/>
          <w:lang w:val="en-GB"/>
        </w:rPr>
        <w:t>ADP</w:t>
      </w:r>
      <w:r w:rsidR="00A721B0">
        <w:rPr>
          <w:rFonts w:ascii="Arial" w:hAnsi="Arial" w:cs="Arial"/>
          <w:lang w:val="en-GB"/>
        </w:rPr>
        <w:t>)</w:t>
      </w:r>
      <w:r w:rsidR="00067C77">
        <w:rPr>
          <w:rFonts w:ascii="Arial" w:hAnsi="Arial" w:cs="Arial"/>
          <w:lang w:val="en-GB"/>
        </w:rPr>
        <w:t xml:space="preserve"> </w:t>
      </w:r>
      <w:r w:rsidR="00556C81" w:rsidRPr="001C3E3E">
        <w:rPr>
          <w:rFonts w:ascii="Arial" w:hAnsi="Arial" w:cs="Arial"/>
          <w:lang w:val="en-GB"/>
        </w:rPr>
        <w:t xml:space="preserve">return </w:t>
      </w:r>
      <w:r w:rsidR="008C1BAB">
        <w:rPr>
          <w:rFonts w:ascii="Arial" w:hAnsi="Arial" w:cs="Arial"/>
          <w:lang w:val="en-GB"/>
        </w:rPr>
        <w:t xml:space="preserve">has been </w:t>
      </w:r>
      <w:r w:rsidR="00556C81" w:rsidRPr="001C3E3E">
        <w:rPr>
          <w:rFonts w:ascii="Arial" w:hAnsi="Arial" w:cs="Arial"/>
          <w:lang w:val="en-GB"/>
        </w:rPr>
        <w:t>refreshed for a full three</w:t>
      </w:r>
      <w:r>
        <w:rPr>
          <w:rFonts w:ascii="Arial" w:hAnsi="Arial" w:cs="Arial"/>
          <w:lang w:val="en-GB"/>
        </w:rPr>
        <w:t>-</w:t>
      </w:r>
      <w:r w:rsidR="00556C81" w:rsidRPr="001C3E3E">
        <w:rPr>
          <w:rFonts w:ascii="Arial" w:hAnsi="Arial" w:cs="Arial"/>
          <w:lang w:val="en-GB"/>
        </w:rPr>
        <w:t>year plan</w:t>
      </w:r>
      <w:r w:rsidR="00067C77">
        <w:rPr>
          <w:rFonts w:ascii="Arial" w:hAnsi="Arial" w:cs="Arial"/>
          <w:lang w:val="en-GB"/>
        </w:rPr>
        <w:t xml:space="preserve"> position.</w:t>
      </w:r>
    </w:p>
    <w:p w14:paraId="4855E8FA" w14:textId="77777777" w:rsidR="00A43428" w:rsidRPr="001C3E3E" w:rsidRDefault="00A43428" w:rsidP="00A43428">
      <w:pPr>
        <w:rPr>
          <w:rFonts w:ascii="Arial" w:hAnsi="Arial" w:cs="Arial"/>
          <w:lang w:val="en-GB"/>
        </w:rPr>
      </w:pPr>
    </w:p>
    <w:p w14:paraId="22D7AAB8" w14:textId="77777777" w:rsidR="00A43428" w:rsidRPr="007C2892" w:rsidRDefault="00556C81" w:rsidP="00A43428">
      <w:pPr>
        <w:rPr>
          <w:rFonts w:ascii="Arial" w:hAnsi="Arial" w:cs="Arial"/>
          <w:lang w:val="en-GB"/>
        </w:rPr>
      </w:pPr>
      <w:r w:rsidRPr="007C2892">
        <w:rPr>
          <w:rFonts w:ascii="Arial" w:hAnsi="Arial" w:cs="Arial"/>
          <w:b/>
          <w:lang w:val="en-GB"/>
        </w:rPr>
        <w:t>Annual Delivery Plan (ADP)</w:t>
      </w:r>
      <w:r w:rsidR="00A43428" w:rsidRPr="007C2892">
        <w:rPr>
          <w:rFonts w:ascii="Arial" w:hAnsi="Arial" w:cs="Arial"/>
          <w:lang w:val="en-GB"/>
        </w:rPr>
        <w:t xml:space="preserve"> </w:t>
      </w:r>
    </w:p>
    <w:p w14:paraId="46BD1DE6" w14:textId="77777777" w:rsidR="007C2892" w:rsidRPr="007C2892" w:rsidRDefault="007C2892" w:rsidP="00A43428">
      <w:pPr>
        <w:rPr>
          <w:rFonts w:ascii="Arial" w:hAnsi="Arial" w:cs="Arial"/>
          <w:lang w:val="en-GB"/>
        </w:rPr>
      </w:pPr>
    </w:p>
    <w:p w14:paraId="6030DE37" w14:textId="77777777" w:rsidR="00991409" w:rsidRDefault="00BC0074" w:rsidP="00A43428">
      <w:pPr>
        <w:rPr>
          <w:rFonts w:ascii="Arial" w:hAnsi="Arial" w:cs="Arial"/>
          <w:lang w:val="en-GB"/>
        </w:rPr>
      </w:pPr>
      <w:r>
        <w:rPr>
          <w:rFonts w:ascii="Arial" w:hAnsi="Arial" w:cs="Arial"/>
          <w:lang w:val="en-GB"/>
        </w:rPr>
        <w:t>The Financial Plan is aligned with the latest ADP</w:t>
      </w:r>
      <w:r w:rsidR="00260912">
        <w:rPr>
          <w:rFonts w:ascii="Arial" w:hAnsi="Arial" w:cs="Arial"/>
          <w:lang w:val="en-GB"/>
        </w:rPr>
        <w:t>.</w:t>
      </w:r>
    </w:p>
    <w:p w14:paraId="4DC9BFC4" w14:textId="77777777" w:rsidR="00024EA7" w:rsidRPr="00AF4846" w:rsidRDefault="00024EA7" w:rsidP="00A43428">
      <w:pPr>
        <w:rPr>
          <w:rFonts w:ascii="Arial" w:hAnsi="Arial" w:cs="Arial"/>
          <w:highlight w:val="yellow"/>
          <w:lang w:val="en-GB"/>
        </w:rPr>
      </w:pPr>
    </w:p>
    <w:p w14:paraId="4FCEAF99" w14:textId="77777777" w:rsidR="00024EA7" w:rsidRPr="00024EA7" w:rsidRDefault="00684D96" w:rsidP="00024EA7">
      <w:pPr>
        <w:rPr>
          <w:rFonts w:ascii="Arial" w:hAnsi="Arial" w:cs="Arial"/>
          <w:b/>
          <w:lang w:val="en-GB"/>
        </w:rPr>
      </w:pPr>
      <w:r w:rsidRPr="00024EA7">
        <w:rPr>
          <w:rFonts w:ascii="Arial" w:hAnsi="Arial" w:cs="Arial"/>
          <w:b/>
          <w:lang w:val="en-GB"/>
        </w:rPr>
        <w:t>G</w:t>
      </w:r>
      <w:r w:rsidR="00024EA7" w:rsidRPr="00024EA7">
        <w:rPr>
          <w:rFonts w:ascii="Arial" w:hAnsi="Arial" w:cs="Arial"/>
          <w:b/>
          <w:lang w:val="en-GB"/>
        </w:rPr>
        <w:t xml:space="preserve">olden </w:t>
      </w:r>
      <w:r w:rsidRPr="00024EA7">
        <w:rPr>
          <w:rFonts w:ascii="Arial" w:hAnsi="Arial" w:cs="Arial"/>
          <w:b/>
          <w:lang w:val="en-GB"/>
        </w:rPr>
        <w:t>J</w:t>
      </w:r>
      <w:r w:rsidR="00024EA7" w:rsidRPr="00024EA7">
        <w:rPr>
          <w:rFonts w:ascii="Arial" w:hAnsi="Arial" w:cs="Arial"/>
          <w:b/>
          <w:lang w:val="en-GB"/>
        </w:rPr>
        <w:t xml:space="preserve">ubilee </w:t>
      </w:r>
      <w:r w:rsidRPr="00024EA7">
        <w:rPr>
          <w:rFonts w:ascii="Arial" w:hAnsi="Arial" w:cs="Arial"/>
          <w:b/>
          <w:lang w:val="en-GB"/>
        </w:rPr>
        <w:t>C</w:t>
      </w:r>
      <w:r w:rsidR="00024EA7" w:rsidRPr="00024EA7">
        <w:rPr>
          <w:rFonts w:ascii="Arial" w:hAnsi="Arial" w:cs="Arial"/>
          <w:b/>
          <w:lang w:val="en-GB"/>
        </w:rPr>
        <w:t xml:space="preserve">onference </w:t>
      </w:r>
      <w:r w:rsidRPr="00024EA7">
        <w:rPr>
          <w:rFonts w:ascii="Arial" w:hAnsi="Arial" w:cs="Arial"/>
          <w:b/>
          <w:lang w:val="en-GB"/>
        </w:rPr>
        <w:t>H</w:t>
      </w:r>
      <w:r w:rsidR="00024EA7" w:rsidRPr="00024EA7">
        <w:rPr>
          <w:rFonts w:ascii="Arial" w:hAnsi="Arial" w:cs="Arial"/>
          <w:b/>
          <w:lang w:val="en-GB"/>
        </w:rPr>
        <w:t>otel</w:t>
      </w:r>
      <w:r w:rsidRPr="00024EA7">
        <w:rPr>
          <w:rFonts w:ascii="Arial" w:hAnsi="Arial" w:cs="Arial"/>
          <w:b/>
          <w:lang w:val="en-GB"/>
        </w:rPr>
        <w:t xml:space="preserve">  </w:t>
      </w:r>
    </w:p>
    <w:p w14:paraId="473361EA" w14:textId="77777777" w:rsidR="00024EA7" w:rsidRDefault="00024EA7" w:rsidP="00024EA7">
      <w:pPr>
        <w:rPr>
          <w:rFonts w:ascii="Arial" w:hAnsi="Arial" w:cs="Arial"/>
          <w:lang w:val="en-GB"/>
        </w:rPr>
      </w:pPr>
    </w:p>
    <w:p w14:paraId="194025FA" w14:textId="77777777" w:rsidR="00CA1557" w:rsidRDefault="00C819AA" w:rsidP="00F6123F">
      <w:pPr>
        <w:jc w:val="left"/>
        <w:rPr>
          <w:rFonts w:ascii="Arial" w:hAnsi="Arial" w:cs="Arial"/>
          <w:lang w:val="en-GB"/>
        </w:rPr>
      </w:pPr>
      <w:r>
        <w:rPr>
          <w:rFonts w:ascii="Arial" w:hAnsi="Arial" w:cs="Arial"/>
          <w:lang w:val="en-GB"/>
        </w:rPr>
        <w:t xml:space="preserve">The Hotel is currently reviewing its business model to ensure it remains competitive in an ever increasing challenging market. Income is assumed to be </w:t>
      </w:r>
      <w:r w:rsidR="00CA1557">
        <w:rPr>
          <w:rFonts w:ascii="Arial" w:hAnsi="Arial" w:cs="Arial"/>
          <w:lang w:val="en-GB"/>
        </w:rPr>
        <w:t>3% above 2024/25 Financial Plan levels, with future years’ growth planned at 5%</w:t>
      </w:r>
      <w:r>
        <w:rPr>
          <w:rFonts w:ascii="Arial" w:hAnsi="Arial" w:cs="Arial"/>
          <w:lang w:val="en-GB"/>
        </w:rPr>
        <w:t>.</w:t>
      </w:r>
    </w:p>
    <w:p w14:paraId="4CFDA4BD" w14:textId="77777777" w:rsidR="00A721B0" w:rsidRDefault="00A721B0" w:rsidP="00F6123F">
      <w:pPr>
        <w:jc w:val="left"/>
        <w:rPr>
          <w:rFonts w:ascii="Arial" w:hAnsi="Arial" w:cs="Arial"/>
          <w:lang w:val="en-GB"/>
        </w:rPr>
      </w:pPr>
    </w:p>
    <w:p w14:paraId="39A5B3FD" w14:textId="77777777" w:rsidR="00541F23" w:rsidRDefault="00403836" w:rsidP="00F6123F">
      <w:pPr>
        <w:jc w:val="left"/>
        <w:rPr>
          <w:rFonts w:ascii="Arial" w:hAnsi="Arial" w:cs="Arial"/>
          <w:lang w:val="en-GB"/>
        </w:rPr>
      </w:pPr>
      <w:r>
        <w:rPr>
          <w:rFonts w:ascii="Arial" w:hAnsi="Arial" w:cs="Arial"/>
          <w:lang w:val="en-GB"/>
        </w:rPr>
        <w:t xml:space="preserve">However, the final financial position of the Hotel </w:t>
      </w:r>
      <w:r w:rsidR="00CA1557">
        <w:rPr>
          <w:rFonts w:ascii="Arial" w:hAnsi="Arial" w:cs="Arial"/>
          <w:lang w:val="en-GB"/>
        </w:rPr>
        <w:t>remains in</w:t>
      </w:r>
      <w:r>
        <w:rPr>
          <w:rFonts w:ascii="Arial" w:hAnsi="Arial" w:cs="Arial"/>
          <w:lang w:val="en-GB"/>
        </w:rPr>
        <w:t xml:space="preserve"> significant deficit and this will require continued work within the Board and potentially with Scottish </w:t>
      </w:r>
      <w:r w:rsidR="004474F0">
        <w:rPr>
          <w:rFonts w:ascii="Arial" w:hAnsi="Arial" w:cs="Arial"/>
          <w:lang w:val="en-GB"/>
        </w:rPr>
        <w:t>Government</w:t>
      </w:r>
      <w:r>
        <w:rPr>
          <w:rFonts w:ascii="Arial" w:hAnsi="Arial" w:cs="Arial"/>
          <w:lang w:val="en-GB"/>
        </w:rPr>
        <w:t xml:space="preserve"> colleagues around the role and purpose of the Hotel within NHS Scotland and the optimum operating and strategic direction of the facility. </w:t>
      </w:r>
    </w:p>
    <w:p w14:paraId="24F6B5C5" w14:textId="77777777" w:rsidR="00A95F19" w:rsidRDefault="00A95F19" w:rsidP="0071432F">
      <w:pPr>
        <w:rPr>
          <w:rFonts w:ascii="Arial" w:hAnsi="Arial" w:cs="Arial"/>
          <w:lang w:val="en-GB"/>
        </w:rPr>
      </w:pPr>
    </w:p>
    <w:p w14:paraId="27A81DA3" w14:textId="77777777" w:rsidR="005E7D2C" w:rsidRDefault="005E7D2C" w:rsidP="005E7D2C">
      <w:pPr>
        <w:rPr>
          <w:rFonts w:ascii="Arial" w:hAnsi="Arial" w:cs="Arial"/>
          <w:b/>
          <w:bCs/>
          <w:lang w:val="en-GB"/>
        </w:rPr>
      </w:pPr>
      <w:r>
        <w:rPr>
          <w:rFonts w:ascii="Arial" w:hAnsi="Arial" w:cs="Arial"/>
          <w:b/>
          <w:bCs/>
          <w:lang w:val="en-GB"/>
        </w:rPr>
        <w:t xml:space="preserve">Elective Treatment Centre </w:t>
      </w:r>
    </w:p>
    <w:p w14:paraId="7785AC3C" w14:textId="77777777" w:rsidR="005E7D2C" w:rsidRDefault="005E7D2C" w:rsidP="005E7D2C">
      <w:pPr>
        <w:rPr>
          <w:rFonts w:ascii="Arial" w:hAnsi="Arial" w:cs="Arial"/>
          <w:b/>
          <w:bCs/>
          <w:lang w:val="en-GB"/>
        </w:rPr>
      </w:pPr>
    </w:p>
    <w:p w14:paraId="5E2D7893" w14:textId="77777777" w:rsidR="00F24B35" w:rsidRDefault="007F7A74" w:rsidP="00F6123F">
      <w:pPr>
        <w:jc w:val="left"/>
        <w:rPr>
          <w:rFonts w:ascii="Arial" w:hAnsi="Arial" w:cs="Arial"/>
          <w:lang w:val="en-GB"/>
        </w:rPr>
      </w:pPr>
      <w:r>
        <w:rPr>
          <w:rFonts w:ascii="Arial" w:hAnsi="Arial" w:cs="Arial"/>
          <w:lang w:val="en-GB"/>
        </w:rPr>
        <w:t>This funding a</w:t>
      </w:r>
      <w:r w:rsidR="00684D96" w:rsidRPr="001C3E3E">
        <w:rPr>
          <w:rFonts w:ascii="Arial" w:hAnsi="Arial" w:cs="Arial"/>
          <w:lang w:val="en-GB"/>
        </w:rPr>
        <w:t xml:space="preserve">ssumes a cost neutral position, </w:t>
      </w:r>
      <w:r>
        <w:rPr>
          <w:rFonts w:ascii="Arial" w:hAnsi="Arial" w:cs="Arial"/>
          <w:lang w:val="en-GB"/>
        </w:rPr>
        <w:t xml:space="preserve">matched to the </w:t>
      </w:r>
      <w:r w:rsidR="00684D96" w:rsidRPr="001C3E3E">
        <w:rPr>
          <w:rFonts w:ascii="Arial" w:hAnsi="Arial" w:cs="Arial"/>
          <w:lang w:val="en-GB"/>
        </w:rPr>
        <w:t xml:space="preserve">ADP activity plan assumptions and </w:t>
      </w:r>
      <w:r>
        <w:rPr>
          <w:rFonts w:ascii="Arial" w:hAnsi="Arial" w:cs="Arial"/>
          <w:lang w:val="en-GB"/>
        </w:rPr>
        <w:t xml:space="preserve">also </w:t>
      </w:r>
      <w:r w:rsidR="00684D96" w:rsidRPr="001C3E3E">
        <w:rPr>
          <w:rFonts w:ascii="Arial" w:hAnsi="Arial" w:cs="Arial"/>
          <w:lang w:val="en-GB"/>
        </w:rPr>
        <w:t>align</w:t>
      </w:r>
      <w:r>
        <w:rPr>
          <w:rFonts w:ascii="Arial" w:hAnsi="Arial" w:cs="Arial"/>
          <w:lang w:val="en-GB"/>
        </w:rPr>
        <w:t>s</w:t>
      </w:r>
      <w:r w:rsidR="00684D96" w:rsidRPr="001C3E3E">
        <w:rPr>
          <w:rFonts w:ascii="Arial" w:hAnsi="Arial" w:cs="Arial"/>
          <w:lang w:val="en-GB"/>
        </w:rPr>
        <w:t xml:space="preserve"> with </w:t>
      </w:r>
      <w:r>
        <w:rPr>
          <w:rFonts w:ascii="Arial" w:hAnsi="Arial" w:cs="Arial"/>
          <w:lang w:val="en-GB"/>
        </w:rPr>
        <w:t xml:space="preserve">the </w:t>
      </w:r>
      <w:r w:rsidR="00684D96" w:rsidRPr="001C3E3E">
        <w:rPr>
          <w:rFonts w:ascii="Arial" w:hAnsi="Arial" w:cs="Arial"/>
          <w:lang w:val="en-GB"/>
        </w:rPr>
        <w:t>original Phase 1</w:t>
      </w:r>
      <w:r w:rsidR="00260912">
        <w:rPr>
          <w:rFonts w:ascii="Arial" w:hAnsi="Arial" w:cs="Arial"/>
          <w:lang w:val="en-GB"/>
        </w:rPr>
        <w:t xml:space="preserve"> and Phase </w:t>
      </w:r>
      <w:r w:rsidR="00684D96" w:rsidRPr="001C3E3E">
        <w:rPr>
          <w:rFonts w:ascii="Arial" w:hAnsi="Arial" w:cs="Arial"/>
          <w:lang w:val="en-GB"/>
        </w:rPr>
        <w:t>2 F</w:t>
      </w:r>
      <w:r w:rsidR="00260912">
        <w:rPr>
          <w:rFonts w:ascii="Arial" w:hAnsi="Arial" w:cs="Arial"/>
          <w:lang w:val="en-GB"/>
        </w:rPr>
        <w:t xml:space="preserve">ull </w:t>
      </w:r>
      <w:r w:rsidR="00684D96" w:rsidRPr="001C3E3E">
        <w:rPr>
          <w:rFonts w:ascii="Arial" w:hAnsi="Arial" w:cs="Arial"/>
          <w:lang w:val="en-GB"/>
        </w:rPr>
        <w:t>B</w:t>
      </w:r>
      <w:r w:rsidR="00260912">
        <w:rPr>
          <w:rFonts w:ascii="Arial" w:hAnsi="Arial" w:cs="Arial"/>
          <w:lang w:val="en-GB"/>
        </w:rPr>
        <w:t xml:space="preserve">usiness </w:t>
      </w:r>
      <w:r w:rsidR="00684D96" w:rsidRPr="001C3E3E">
        <w:rPr>
          <w:rFonts w:ascii="Arial" w:hAnsi="Arial" w:cs="Arial"/>
          <w:lang w:val="en-GB"/>
        </w:rPr>
        <w:t>C</w:t>
      </w:r>
      <w:r w:rsidR="00260912">
        <w:rPr>
          <w:rFonts w:ascii="Arial" w:hAnsi="Arial" w:cs="Arial"/>
          <w:lang w:val="en-GB"/>
        </w:rPr>
        <w:t>ase</w:t>
      </w:r>
      <w:r w:rsidR="00684D96" w:rsidRPr="001C3E3E">
        <w:rPr>
          <w:rFonts w:ascii="Arial" w:hAnsi="Arial" w:cs="Arial"/>
          <w:lang w:val="en-GB"/>
        </w:rPr>
        <w:t xml:space="preserve"> position </w:t>
      </w:r>
      <w:r>
        <w:rPr>
          <w:rFonts w:ascii="Arial" w:hAnsi="Arial" w:cs="Arial"/>
          <w:lang w:val="en-GB"/>
        </w:rPr>
        <w:t>(including</w:t>
      </w:r>
      <w:r w:rsidRPr="001C3E3E">
        <w:rPr>
          <w:rFonts w:ascii="Arial" w:hAnsi="Arial" w:cs="Arial"/>
          <w:lang w:val="en-GB"/>
        </w:rPr>
        <w:t xml:space="preserve"> </w:t>
      </w:r>
      <w:r w:rsidR="00684D96" w:rsidRPr="001C3E3E">
        <w:rPr>
          <w:rFonts w:ascii="Arial" w:hAnsi="Arial" w:cs="Arial"/>
          <w:lang w:val="en-GB"/>
        </w:rPr>
        <w:t xml:space="preserve">the impact of the 2 </w:t>
      </w:r>
      <w:r w:rsidR="001F3F2D">
        <w:rPr>
          <w:rFonts w:ascii="Arial" w:hAnsi="Arial" w:cs="Arial"/>
          <w:lang w:val="en-GB"/>
        </w:rPr>
        <w:t xml:space="preserve">additional </w:t>
      </w:r>
      <w:r w:rsidR="00684D96" w:rsidRPr="001C3E3E">
        <w:rPr>
          <w:rFonts w:ascii="Arial" w:hAnsi="Arial" w:cs="Arial"/>
          <w:lang w:val="en-GB"/>
        </w:rPr>
        <w:t>Endoscopy rooms</w:t>
      </w:r>
      <w:r>
        <w:rPr>
          <w:rFonts w:ascii="Arial" w:hAnsi="Arial" w:cs="Arial"/>
          <w:lang w:val="en-GB"/>
        </w:rPr>
        <w:t>)</w:t>
      </w:r>
      <w:r w:rsidR="00684D96" w:rsidRPr="001C3E3E">
        <w:rPr>
          <w:rFonts w:ascii="Arial" w:hAnsi="Arial" w:cs="Arial"/>
          <w:lang w:val="en-GB"/>
        </w:rPr>
        <w:t xml:space="preserve">. </w:t>
      </w:r>
    </w:p>
    <w:p w14:paraId="11778622" w14:textId="77777777" w:rsidR="00CF1DB4" w:rsidRDefault="00CF1DB4" w:rsidP="005E7D2C">
      <w:pPr>
        <w:rPr>
          <w:rFonts w:ascii="Arial" w:hAnsi="Arial" w:cs="Arial"/>
          <w:lang w:val="en-GB"/>
        </w:rPr>
      </w:pPr>
    </w:p>
    <w:p w14:paraId="31617AF4" w14:textId="77777777" w:rsidR="00CF1DB4" w:rsidRPr="00963B43" w:rsidRDefault="00CA1557" w:rsidP="00CF1DB4">
      <w:pPr>
        <w:rPr>
          <w:rFonts w:ascii="Arial" w:hAnsi="Arial" w:cs="Arial"/>
          <w:u w:val="single"/>
        </w:rPr>
      </w:pPr>
      <w:r w:rsidRPr="00963B43">
        <w:rPr>
          <w:rFonts w:ascii="Arial" w:hAnsi="Arial" w:cs="Arial"/>
          <w:u w:val="single"/>
        </w:rPr>
        <w:t>Phase 1</w:t>
      </w:r>
    </w:p>
    <w:p w14:paraId="03B6A9C0" w14:textId="77777777" w:rsidR="00CA1557" w:rsidRDefault="00CA1557" w:rsidP="00F6123F">
      <w:pPr>
        <w:jc w:val="left"/>
        <w:rPr>
          <w:rFonts w:ascii="Arial" w:hAnsi="Arial" w:cs="Arial"/>
        </w:rPr>
      </w:pPr>
      <w:r>
        <w:rPr>
          <w:rFonts w:ascii="Arial" w:hAnsi="Arial" w:cs="Arial"/>
        </w:rPr>
        <w:t>All staff have now been recruited to with the exception of the remaining consultant staff. The Division continues to work innovatively in filling current vacancies with temporary staffing. The Financial Plan assumed the remaining balance of the business case of £3.7m will be funded in full.</w:t>
      </w:r>
    </w:p>
    <w:p w14:paraId="0A275A05" w14:textId="77777777" w:rsidR="00CF1DB4" w:rsidRPr="00963B43" w:rsidRDefault="00CA1557" w:rsidP="005E7D2C">
      <w:pPr>
        <w:rPr>
          <w:rFonts w:ascii="Arial" w:hAnsi="Arial" w:cs="Arial"/>
          <w:u w:val="single"/>
          <w:lang w:val="en-GB"/>
        </w:rPr>
      </w:pPr>
      <w:r w:rsidRPr="00963B43">
        <w:rPr>
          <w:rFonts w:ascii="Arial" w:hAnsi="Arial" w:cs="Arial"/>
          <w:u w:val="single"/>
          <w:lang w:val="en-GB"/>
        </w:rPr>
        <w:t>Phase 2/</w:t>
      </w:r>
      <w:r w:rsidR="00260912" w:rsidRPr="00963B43">
        <w:rPr>
          <w:rFonts w:ascii="Arial" w:hAnsi="Arial" w:cs="Arial"/>
          <w:u w:val="single"/>
          <w:lang w:val="en-GB"/>
        </w:rPr>
        <w:t>N</w:t>
      </w:r>
      <w:r w:rsidRPr="00963B43">
        <w:rPr>
          <w:rFonts w:ascii="Arial" w:hAnsi="Arial" w:cs="Arial"/>
          <w:u w:val="single"/>
          <w:lang w:val="en-GB"/>
        </w:rPr>
        <w:t>ew Surgical Centre</w:t>
      </w:r>
    </w:p>
    <w:p w14:paraId="22B53002" w14:textId="77777777" w:rsidR="00C819AA" w:rsidRDefault="00CF1DB4" w:rsidP="00F6123F">
      <w:pPr>
        <w:jc w:val="left"/>
        <w:rPr>
          <w:rFonts w:ascii="Arial" w:hAnsi="Arial" w:cs="Arial"/>
        </w:rPr>
      </w:pPr>
      <w:r>
        <w:rPr>
          <w:rFonts w:ascii="Arial" w:hAnsi="Arial" w:cs="Arial"/>
        </w:rPr>
        <w:lastRenderedPageBreak/>
        <w:t xml:space="preserve">In relation to Phase 2 NHS GJ Surgical Centre expansion, this has </w:t>
      </w:r>
      <w:r w:rsidR="00C819AA">
        <w:rPr>
          <w:rFonts w:ascii="Arial" w:hAnsi="Arial" w:cs="Arial"/>
        </w:rPr>
        <w:t xml:space="preserve">been reviewed based upon recruitment that has been undertaken during </w:t>
      </w:r>
      <w:r w:rsidR="00CA1557">
        <w:rPr>
          <w:rFonts w:ascii="Arial" w:hAnsi="Arial" w:cs="Arial"/>
        </w:rPr>
        <w:t>the last few years, with confirmation of recruitment to the end of 31 March 2025. Any further recruitment in 2025-26 will be assumed to be funded in full.</w:t>
      </w:r>
    </w:p>
    <w:p w14:paraId="1BFF8D6D" w14:textId="77777777" w:rsidR="00CF1DB4" w:rsidRDefault="00CF1DB4" w:rsidP="00CF1DB4">
      <w:pPr>
        <w:rPr>
          <w:rFonts w:ascii="Arial" w:hAnsi="Arial" w:cs="Arial"/>
        </w:rPr>
      </w:pPr>
    </w:p>
    <w:p w14:paraId="35E15A20" w14:textId="77777777" w:rsidR="002671AC" w:rsidRDefault="00A55886" w:rsidP="002671AC">
      <w:pPr>
        <w:rPr>
          <w:rFonts w:ascii="Arial" w:hAnsi="Arial" w:cs="Arial"/>
        </w:rPr>
      </w:pPr>
      <w:r>
        <w:rPr>
          <w:rFonts w:ascii="Arial" w:hAnsi="Arial" w:cs="Arial"/>
        </w:rPr>
        <w:t xml:space="preserve">Discussions with </w:t>
      </w:r>
      <w:r w:rsidR="00037DA8">
        <w:rPr>
          <w:rFonts w:ascii="Arial" w:hAnsi="Arial" w:cs="Arial"/>
        </w:rPr>
        <w:t xml:space="preserve">the </w:t>
      </w:r>
      <w:r>
        <w:rPr>
          <w:rFonts w:ascii="Arial" w:hAnsi="Arial" w:cs="Arial"/>
        </w:rPr>
        <w:t xml:space="preserve">SG Sponsorship team has shared the current FYE of </w:t>
      </w:r>
      <w:r w:rsidR="00037DA8">
        <w:rPr>
          <w:rFonts w:ascii="Arial" w:hAnsi="Arial" w:cs="Arial"/>
        </w:rPr>
        <w:t>20</w:t>
      </w:r>
      <w:r w:rsidR="00CA1557">
        <w:rPr>
          <w:rFonts w:ascii="Arial" w:hAnsi="Arial" w:cs="Arial"/>
        </w:rPr>
        <w:t>24-</w:t>
      </w:r>
      <w:r w:rsidR="00037DA8">
        <w:rPr>
          <w:rFonts w:ascii="Arial" w:hAnsi="Arial" w:cs="Arial"/>
        </w:rPr>
        <w:t>20</w:t>
      </w:r>
      <w:r>
        <w:rPr>
          <w:rFonts w:ascii="Arial" w:hAnsi="Arial" w:cs="Arial"/>
        </w:rPr>
        <w:t>2</w:t>
      </w:r>
      <w:r w:rsidR="00CA1557">
        <w:rPr>
          <w:rFonts w:ascii="Arial" w:hAnsi="Arial" w:cs="Arial"/>
        </w:rPr>
        <w:t>5</w:t>
      </w:r>
      <w:r>
        <w:rPr>
          <w:rFonts w:ascii="Arial" w:hAnsi="Arial" w:cs="Arial"/>
        </w:rPr>
        <w:t xml:space="preserve"> recruitment (including recruitment in the last Quarter of the financial year) as £</w:t>
      </w:r>
      <w:r w:rsidR="00CA1557">
        <w:rPr>
          <w:rFonts w:ascii="Arial" w:hAnsi="Arial" w:cs="Arial"/>
        </w:rPr>
        <w:t>4.5</w:t>
      </w:r>
      <w:r w:rsidR="003942BF">
        <w:rPr>
          <w:rFonts w:ascii="Arial" w:hAnsi="Arial" w:cs="Arial"/>
        </w:rPr>
        <w:t>m.</w:t>
      </w:r>
      <w:r w:rsidR="00CA1557">
        <w:rPr>
          <w:rFonts w:ascii="Arial" w:hAnsi="Arial" w:cs="Arial"/>
        </w:rPr>
        <w:t xml:space="preserve"> This is on-top of the funding relating to staff in post prior to April 2024 of £16.1m.</w:t>
      </w:r>
    </w:p>
    <w:p w14:paraId="214B5B10" w14:textId="77777777" w:rsidR="00260912" w:rsidRDefault="00260912" w:rsidP="002671AC">
      <w:pPr>
        <w:rPr>
          <w:rFonts w:ascii="Arial" w:hAnsi="Arial" w:cs="Arial"/>
        </w:rPr>
      </w:pPr>
    </w:p>
    <w:p w14:paraId="62F13BB1" w14:textId="77777777" w:rsidR="00CF1DB4" w:rsidRPr="00C70CBD" w:rsidRDefault="00CF1DB4" w:rsidP="00F6123F">
      <w:pPr>
        <w:jc w:val="left"/>
        <w:rPr>
          <w:rFonts w:ascii="Arial" w:hAnsi="Arial" w:cs="Arial"/>
        </w:rPr>
      </w:pPr>
      <w:r>
        <w:rPr>
          <w:rFonts w:ascii="Arial" w:hAnsi="Arial" w:cs="Arial"/>
        </w:rPr>
        <w:t>With regard to the associated marginal tariff funding for Phase 2</w:t>
      </w:r>
      <w:r w:rsidR="004242EF">
        <w:rPr>
          <w:rFonts w:ascii="Arial" w:hAnsi="Arial" w:cs="Arial"/>
        </w:rPr>
        <w:t xml:space="preserve">, SG have confirmed that all Territorial Boards with confirmed allocations with the GJUH will be top-sliced for their relevant share of the core level of activity in 2025-26. The balance of funding </w:t>
      </w:r>
      <w:r w:rsidR="008C2998">
        <w:rPr>
          <w:rFonts w:ascii="Arial" w:hAnsi="Arial" w:cs="Arial"/>
        </w:rPr>
        <w:t>relating</w:t>
      </w:r>
      <w:r w:rsidR="004242EF">
        <w:rPr>
          <w:rFonts w:ascii="Arial" w:hAnsi="Arial" w:cs="Arial"/>
        </w:rPr>
        <w:t xml:space="preserve"> to the additional capacity from the new Surgical Centre will be funded directly by SG. </w:t>
      </w:r>
    </w:p>
    <w:p w14:paraId="5B8BEF0F" w14:textId="77777777" w:rsidR="00107AE8" w:rsidRPr="001C3E3E" w:rsidRDefault="00107AE8" w:rsidP="00613000">
      <w:pPr>
        <w:ind w:left="720"/>
        <w:rPr>
          <w:rFonts w:ascii="Arial" w:hAnsi="Arial" w:cs="Arial"/>
          <w:lang w:val="en-GB"/>
        </w:rPr>
      </w:pPr>
    </w:p>
    <w:p w14:paraId="225EF2A9" w14:textId="77777777" w:rsidR="00613000" w:rsidRDefault="00F150BF" w:rsidP="004D69B7">
      <w:pPr>
        <w:rPr>
          <w:rFonts w:ascii="Arial" w:hAnsi="Arial" w:cs="Arial"/>
          <w:b/>
          <w:bCs/>
          <w:lang w:val="en-GB"/>
        </w:rPr>
      </w:pPr>
      <w:r>
        <w:rPr>
          <w:rFonts w:ascii="Arial" w:hAnsi="Arial" w:cs="Arial"/>
          <w:b/>
          <w:bCs/>
          <w:lang w:val="en-GB"/>
        </w:rPr>
        <w:t>Energy Decrease</w:t>
      </w:r>
      <w:r w:rsidR="00613000">
        <w:rPr>
          <w:rFonts w:ascii="Arial" w:hAnsi="Arial" w:cs="Arial"/>
          <w:b/>
          <w:bCs/>
          <w:lang w:val="en-GB"/>
        </w:rPr>
        <w:t xml:space="preserve"> </w:t>
      </w:r>
    </w:p>
    <w:p w14:paraId="2F8FF990" w14:textId="77777777" w:rsidR="00613000" w:rsidRDefault="00613000" w:rsidP="00613000">
      <w:pPr>
        <w:ind w:left="720"/>
        <w:rPr>
          <w:rFonts w:ascii="Arial" w:hAnsi="Arial" w:cs="Arial"/>
          <w:b/>
          <w:bCs/>
          <w:lang w:val="en-GB"/>
        </w:rPr>
      </w:pPr>
    </w:p>
    <w:p w14:paraId="4165DDAF" w14:textId="0C5B64C2" w:rsidR="00F24B35" w:rsidRDefault="00F150BF" w:rsidP="00F6123F">
      <w:pPr>
        <w:jc w:val="left"/>
        <w:rPr>
          <w:rFonts w:ascii="Arial" w:hAnsi="Arial" w:cs="Arial"/>
          <w:lang w:val="en-GB"/>
        </w:rPr>
      </w:pPr>
      <w:r>
        <w:rPr>
          <w:rFonts w:ascii="Arial" w:hAnsi="Arial" w:cs="Arial"/>
          <w:lang w:val="en-GB"/>
        </w:rPr>
        <w:t xml:space="preserve">Whilst the SG planning guidance assumes a 19% reduction in </w:t>
      </w:r>
      <w:r w:rsidR="00260912">
        <w:rPr>
          <w:rFonts w:ascii="Arial" w:hAnsi="Arial" w:cs="Arial"/>
          <w:lang w:val="en-GB"/>
        </w:rPr>
        <w:t>20</w:t>
      </w:r>
      <w:r>
        <w:rPr>
          <w:rFonts w:ascii="Arial" w:hAnsi="Arial" w:cs="Arial"/>
          <w:lang w:val="en-GB"/>
        </w:rPr>
        <w:t xml:space="preserve">25-26, discussions with internal Estates and Facilities staff suggest this will be phased and the reductions may take time to be fully integrated into the energy supply. In this case the GJUH has assumed a slightly lower reduction of 15% in the </w:t>
      </w:r>
      <w:r w:rsidR="00260912">
        <w:rPr>
          <w:rFonts w:ascii="Arial" w:hAnsi="Arial" w:cs="Arial"/>
          <w:lang w:val="en-GB"/>
        </w:rPr>
        <w:t>F</w:t>
      </w:r>
      <w:r>
        <w:rPr>
          <w:rFonts w:ascii="Arial" w:hAnsi="Arial" w:cs="Arial"/>
          <w:lang w:val="en-GB"/>
        </w:rPr>
        <w:t xml:space="preserve">inancial </w:t>
      </w:r>
      <w:r w:rsidR="00260912">
        <w:rPr>
          <w:rFonts w:ascii="Arial" w:hAnsi="Arial" w:cs="Arial"/>
          <w:lang w:val="en-GB"/>
        </w:rPr>
        <w:t>P</w:t>
      </w:r>
      <w:r>
        <w:rPr>
          <w:rFonts w:ascii="Arial" w:hAnsi="Arial" w:cs="Arial"/>
          <w:lang w:val="en-GB"/>
        </w:rPr>
        <w:t>lan (a net reduction of £1.1m).</w:t>
      </w:r>
    </w:p>
    <w:p w14:paraId="7BF64A47" w14:textId="77777777" w:rsidR="00BA13EE" w:rsidRDefault="00BA13EE" w:rsidP="00684D96">
      <w:pPr>
        <w:rPr>
          <w:rFonts w:ascii="Arial" w:hAnsi="Arial" w:cs="Arial"/>
          <w:lang w:val="en-GB"/>
        </w:rPr>
      </w:pPr>
    </w:p>
    <w:p w14:paraId="328C7F7A" w14:textId="77777777" w:rsidR="00AB7571" w:rsidRPr="004D69B7" w:rsidRDefault="00AB7571" w:rsidP="00684D96">
      <w:pPr>
        <w:rPr>
          <w:rFonts w:ascii="Arial" w:hAnsi="Arial" w:cs="Arial"/>
          <w:b/>
          <w:lang w:val="en-GB"/>
        </w:rPr>
      </w:pPr>
      <w:r w:rsidRPr="004D69B7">
        <w:rPr>
          <w:rFonts w:ascii="Arial" w:hAnsi="Arial" w:cs="Arial"/>
          <w:b/>
          <w:lang w:val="en-GB"/>
        </w:rPr>
        <w:t>Income, Cost and Efficiency Savings</w:t>
      </w:r>
    </w:p>
    <w:p w14:paraId="5303448F" w14:textId="77777777" w:rsidR="00602326" w:rsidRDefault="00602326">
      <w:pPr>
        <w:rPr>
          <w:rFonts w:ascii="Arial" w:hAnsi="Arial" w:cs="Arial"/>
        </w:rPr>
      </w:pPr>
    </w:p>
    <w:p w14:paraId="3F6A089A" w14:textId="3BA74085" w:rsidR="00602326" w:rsidRDefault="00430AFE" w:rsidP="00F6123F">
      <w:pPr>
        <w:jc w:val="left"/>
        <w:rPr>
          <w:rFonts w:ascii="Arial" w:hAnsi="Arial" w:cs="Arial"/>
          <w:lang w:val="en-GB"/>
        </w:rPr>
      </w:pPr>
      <w:r>
        <w:rPr>
          <w:rFonts w:ascii="Arial" w:hAnsi="Arial" w:cs="Arial"/>
          <w:lang w:val="en-GB"/>
        </w:rPr>
        <w:t xml:space="preserve">Following the update to the </w:t>
      </w:r>
      <w:r w:rsidR="00037DA8">
        <w:rPr>
          <w:rFonts w:ascii="Arial" w:hAnsi="Arial" w:cs="Arial"/>
          <w:lang w:val="en-GB"/>
        </w:rPr>
        <w:t>F</w:t>
      </w:r>
      <w:r>
        <w:rPr>
          <w:rFonts w:ascii="Arial" w:hAnsi="Arial" w:cs="Arial"/>
          <w:lang w:val="en-GB"/>
        </w:rPr>
        <w:t xml:space="preserve">inancial </w:t>
      </w:r>
      <w:r w:rsidR="00037DA8">
        <w:rPr>
          <w:rFonts w:ascii="Arial" w:hAnsi="Arial" w:cs="Arial"/>
          <w:lang w:val="en-GB"/>
        </w:rPr>
        <w:t>P</w:t>
      </w:r>
      <w:r>
        <w:rPr>
          <w:rFonts w:ascii="Arial" w:hAnsi="Arial" w:cs="Arial"/>
          <w:lang w:val="en-GB"/>
        </w:rPr>
        <w:t xml:space="preserve">lan </w:t>
      </w:r>
      <w:r w:rsidR="00037DA8">
        <w:rPr>
          <w:rFonts w:ascii="Arial" w:hAnsi="Arial" w:cs="Arial"/>
          <w:lang w:val="en-GB"/>
        </w:rPr>
        <w:t xml:space="preserve">and </w:t>
      </w:r>
      <w:r>
        <w:rPr>
          <w:rFonts w:ascii="Arial" w:hAnsi="Arial" w:cs="Arial"/>
          <w:lang w:val="en-GB"/>
        </w:rPr>
        <w:t xml:space="preserve">based upon the areas identified above, </w:t>
      </w:r>
      <w:r w:rsidR="00602326" w:rsidRPr="00613000">
        <w:rPr>
          <w:rFonts w:ascii="Arial" w:hAnsi="Arial" w:cs="Arial"/>
          <w:lang w:val="en-GB"/>
        </w:rPr>
        <w:t xml:space="preserve">the efficiency savings programme </w:t>
      </w:r>
      <w:r w:rsidR="00F150BF">
        <w:rPr>
          <w:rFonts w:ascii="Arial" w:hAnsi="Arial" w:cs="Arial"/>
          <w:lang w:val="en-GB"/>
        </w:rPr>
        <w:t>for 2025-26</w:t>
      </w:r>
      <w:r w:rsidR="00037DA8">
        <w:rPr>
          <w:rFonts w:ascii="Arial" w:hAnsi="Arial" w:cs="Arial"/>
          <w:lang w:val="en-GB"/>
        </w:rPr>
        <w:t xml:space="preserve"> </w:t>
      </w:r>
      <w:r>
        <w:rPr>
          <w:rFonts w:ascii="Arial" w:hAnsi="Arial" w:cs="Arial"/>
          <w:lang w:val="en-GB"/>
        </w:rPr>
        <w:t xml:space="preserve">has </w:t>
      </w:r>
      <w:r w:rsidR="00BA13EE">
        <w:rPr>
          <w:rFonts w:ascii="Arial" w:hAnsi="Arial" w:cs="Arial"/>
          <w:lang w:val="en-GB"/>
        </w:rPr>
        <w:t>been</w:t>
      </w:r>
      <w:r w:rsidR="00EB6031">
        <w:rPr>
          <w:rFonts w:ascii="Arial" w:hAnsi="Arial" w:cs="Arial"/>
          <w:lang w:val="en-GB"/>
        </w:rPr>
        <w:t xml:space="preserve"> revised and updated to £8.358</w:t>
      </w:r>
      <w:r w:rsidR="00BA13EE">
        <w:rPr>
          <w:rFonts w:ascii="Arial" w:hAnsi="Arial" w:cs="Arial"/>
          <w:lang w:val="en-GB"/>
        </w:rPr>
        <w:t>m</w:t>
      </w:r>
      <w:r w:rsidR="00F150BF">
        <w:rPr>
          <w:rFonts w:ascii="Arial" w:hAnsi="Arial" w:cs="Arial"/>
          <w:lang w:val="en-GB"/>
        </w:rPr>
        <w:t xml:space="preserve"> ~</w:t>
      </w:r>
      <w:r w:rsidR="006F3E42">
        <w:rPr>
          <w:rFonts w:ascii="Arial" w:hAnsi="Arial" w:cs="Arial"/>
          <w:lang w:val="en-GB"/>
        </w:rPr>
        <w:t>3</w:t>
      </w:r>
      <w:r w:rsidR="00F150BF">
        <w:rPr>
          <w:rFonts w:ascii="Arial" w:hAnsi="Arial" w:cs="Arial"/>
          <w:lang w:val="en-GB"/>
        </w:rPr>
        <w:t>%</w:t>
      </w:r>
      <w:r w:rsidR="00602326">
        <w:rPr>
          <w:rFonts w:ascii="Arial" w:hAnsi="Arial" w:cs="Arial"/>
          <w:lang w:val="en-GB"/>
        </w:rPr>
        <w:t xml:space="preserve"> as detailed </w:t>
      </w:r>
      <w:r w:rsidR="009B7BA3">
        <w:rPr>
          <w:rFonts w:ascii="Arial" w:hAnsi="Arial" w:cs="Arial"/>
          <w:lang w:val="en-GB"/>
        </w:rPr>
        <w:t xml:space="preserve">in the table </w:t>
      </w:r>
      <w:r w:rsidR="00602326">
        <w:rPr>
          <w:rFonts w:ascii="Arial" w:hAnsi="Arial" w:cs="Arial"/>
          <w:lang w:val="en-GB"/>
        </w:rPr>
        <w:t>below</w:t>
      </w:r>
      <w:r w:rsidR="00602326" w:rsidRPr="00613000">
        <w:rPr>
          <w:rFonts w:ascii="Arial" w:hAnsi="Arial" w:cs="Arial"/>
          <w:lang w:val="en-GB"/>
        </w:rPr>
        <w:t xml:space="preserve">. </w:t>
      </w:r>
      <w:r>
        <w:rPr>
          <w:rFonts w:ascii="Arial" w:hAnsi="Arial" w:cs="Arial"/>
          <w:lang w:val="en-GB"/>
        </w:rPr>
        <w:t xml:space="preserve"> </w:t>
      </w:r>
    </w:p>
    <w:p w14:paraId="61D8CFF0" w14:textId="77777777" w:rsidR="0018245B" w:rsidRDefault="0018245B" w:rsidP="00602326">
      <w:pPr>
        <w:rPr>
          <w:rFonts w:ascii="Arial" w:hAnsi="Arial" w:cs="Arial"/>
          <w:lang w:val="en-GB"/>
        </w:rPr>
      </w:pPr>
    </w:p>
    <w:p w14:paraId="55AE1BC7" w14:textId="65324696" w:rsidR="00602326" w:rsidRDefault="006F3E42" w:rsidP="00602326">
      <w:pPr>
        <w:rPr>
          <w:rFonts w:ascii="Arial" w:hAnsi="Arial" w:cs="Arial"/>
          <w:lang w:val="en-GB"/>
        </w:rPr>
      </w:pPr>
      <w:r w:rsidRPr="006F3E42">
        <w:rPr>
          <w:noProof/>
          <w:lang w:val="en-GB" w:eastAsia="en-GB" w:bidi="ar-SA"/>
        </w:rPr>
        <w:drawing>
          <wp:inline distT="0" distB="0" distL="0" distR="0" wp14:anchorId="570522B7" wp14:editId="36EBF9DE">
            <wp:extent cx="5731510" cy="24148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414876"/>
                    </a:xfrm>
                    <a:prstGeom prst="rect">
                      <a:avLst/>
                    </a:prstGeom>
                    <a:noFill/>
                    <a:ln>
                      <a:noFill/>
                    </a:ln>
                  </pic:spPr>
                </pic:pic>
              </a:graphicData>
            </a:graphic>
          </wp:inline>
        </w:drawing>
      </w:r>
    </w:p>
    <w:p w14:paraId="136C8939" w14:textId="06470FD3" w:rsidR="0018245B" w:rsidRPr="00DD49DA" w:rsidRDefault="00DD49DA" w:rsidP="00DD49DA">
      <w:pPr>
        <w:pStyle w:val="ListParagraph"/>
        <w:numPr>
          <w:ilvl w:val="0"/>
          <w:numId w:val="3"/>
        </w:numPr>
        <w:rPr>
          <w:rFonts w:ascii="Arial" w:hAnsi="Arial" w:cs="Arial"/>
          <w:sz w:val="16"/>
          <w:szCs w:val="16"/>
          <w:lang w:val="en-GB"/>
        </w:rPr>
      </w:pPr>
      <w:r w:rsidRPr="00DD49DA">
        <w:rPr>
          <w:rFonts w:ascii="Arial" w:hAnsi="Arial" w:cs="Arial"/>
          <w:sz w:val="16"/>
          <w:szCs w:val="16"/>
          <w:lang w:val="en-GB"/>
        </w:rPr>
        <w:t>Appendix A provides further breakdowns of both Funding and Income and Expenditure details contained in the plan</w:t>
      </w:r>
    </w:p>
    <w:p w14:paraId="45D900B6" w14:textId="77777777" w:rsidR="004D69B7" w:rsidRDefault="004D69B7" w:rsidP="00602326">
      <w:pPr>
        <w:rPr>
          <w:rFonts w:ascii="Arial" w:hAnsi="Arial" w:cs="Arial"/>
          <w:lang w:val="en-GB"/>
        </w:rPr>
      </w:pPr>
    </w:p>
    <w:p w14:paraId="30FD1804" w14:textId="7D5BDE2A" w:rsidR="004D69B7" w:rsidRDefault="004D69B7" w:rsidP="00F6123F">
      <w:pPr>
        <w:jc w:val="left"/>
        <w:rPr>
          <w:rFonts w:ascii="Arial" w:hAnsi="Arial" w:cs="Arial"/>
          <w:lang w:val="en-GB"/>
        </w:rPr>
      </w:pPr>
      <w:r>
        <w:rPr>
          <w:rFonts w:ascii="Arial" w:hAnsi="Arial" w:cs="Arial"/>
          <w:lang w:val="en-GB"/>
        </w:rPr>
        <w:t xml:space="preserve">The </w:t>
      </w:r>
      <w:r w:rsidR="009B7BA3">
        <w:rPr>
          <w:rFonts w:ascii="Arial" w:hAnsi="Arial" w:cs="Arial"/>
          <w:lang w:val="en-GB"/>
        </w:rPr>
        <w:t xml:space="preserve">production </w:t>
      </w:r>
      <w:r w:rsidR="00F71341">
        <w:rPr>
          <w:rFonts w:ascii="Arial" w:hAnsi="Arial" w:cs="Arial"/>
          <w:lang w:val="en-GB"/>
        </w:rPr>
        <w:t xml:space="preserve">of the </w:t>
      </w:r>
      <w:r w:rsidR="00037DA8">
        <w:rPr>
          <w:rFonts w:ascii="Arial" w:hAnsi="Arial" w:cs="Arial"/>
          <w:lang w:val="en-GB"/>
        </w:rPr>
        <w:t>F</w:t>
      </w:r>
      <w:r w:rsidR="00F71341">
        <w:rPr>
          <w:rFonts w:ascii="Arial" w:hAnsi="Arial" w:cs="Arial"/>
          <w:lang w:val="en-GB"/>
        </w:rPr>
        <w:t>inanc</w:t>
      </w:r>
      <w:r w:rsidR="00260912">
        <w:rPr>
          <w:rFonts w:ascii="Arial" w:hAnsi="Arial" w:cs="Arial"/>
          <w:lang w:val="en-GB"/>
        </w:rPr>
        <w:t>ial</w:t>
      </w:r>
      <w:r w:rsidR="00F71341">
        <w:rPr>
          <w:rFonts w:ascii="Arial" w:hAnsi="Arial" w:cs="Arial"/>
          <w:lang w:val="en-GB"/>
        </w:rPr>
        <w:t xml:space="preserve"> </w:t>
      </w:r>
      <w:r w:rsidR="00037DA8">
        <w:rPr>
          <w:rFonts w:ascii="Arial" w:hAnsi="Arial" w:cs="Arial"/>
          <w:lang w:val="en-GB"/>
        </w:rPr>
        <w:t>P</w:t>
      </w:r>
      <w:r w:rsidR="00F71341">
        <w:rPr>
          <w:rFonts w:ascii="Arial" w:hAnsi="Arial" w:cs="Arial"/>
          <w:lang w:val="en-GB"/>
        </w:rPr>
        <w:t>lan is multifactorial</w:t>
      </w:r>
      <w:r w:rsidR="009B7BA3">
        <w:rPr>
          <w:rFonts w:ascii="Arial" w:hAnsi="Arial" w:cs="Arial"/>
          <w:lang w:val="en-GB"/>
        </w:rPr>
        <w:t xml:space="preserve"> and</w:t>
      </w:r>
      <w:r w:rsidR="00F71341">
        <w:rPr>
          <w:rFonts w:ascii="Arial" w:hAnsi="Arial" w:cs="Arial"/>
          <w:lang w:val="en-GB"/>
        </w:rPr>
        <w:t xml:space="preserve"> the </w:t>
      </w:r>
      <w:r w:rsidR="004F114A">
        <w:rPr>
          <w:rFonts w:ascii="Arial" w:hAnsi="Arial" w:cs="Arial"/>
          <w:lang w:val="en-GB"/>
        </w:rPr>
        <w:t xml:space="preserve">main drivers </w:t>
      </w:r>
      <w:r w:rsidR="009B7BA3">
        <w:rPr>
          <w:rFonts w:ascii="Arial" w:hAnsi="Arial" w:cs="Arial"/>
          <w:lang w:val="en-GB"/>
        </w:rPr>
        <w:t xml:space="preserve">behind the </w:t>
      </w:r>
      <w:r w:rsidR="00814E2B">
        <w:rPr>
          <w:rFonts w:ascii="Arial" w:hAnsi="Arial" w:cs="Arial"/>
          <w:lang w:val="en-GB"/>
        </w:rPr>
        <w:t xml:space="preserve"> £8.36</w:t>
      </w:r>
      <w:r>
        <w:rPr>
          <w:rFonts w:ascii="Arial" w:hAnsi="Arial" w:cs="Arial"/>
          <w:lang w:val="en-GB"/>
        </w:rPr>
        <w:t>m financial gap and resulting efficiency savings target required to support a break-even position are noted below</w:t>
      </w:r>
      <w:r w:rsidR="004F114A">
        <w:rPr>
          <w:rFonts w:ascii="Arial" w:hAnsi="Arial" w:cs="Arial"/>
          <w:lang w:val="en-GB"/>
        </w:rPr>
        <w:t xml:space="preserve"> and remain t</w:t>
      </w:r>
      <w:r w:rsidR="00BA13EE">
        <w:rPr>
          <w:rFonts w:ascii="Arial" w:hAnsi="Arial" w:cs="Arial"/>
          <w:lang w:val="en-GB"/>
        </w:rPr>
        <w:t xml:space="preserve">he same drivers as at </w:t>
      </w:r>
      <w:r w:rsidR="00F150BF">
        <w:rPr>
          <w:rFonts w:ascii="Arial" w:hAnsi="Arial" w:cs="Arial"/>
          <w:lang w:val="en-GB"/>
        </w:rPr>
        <w:t>January</w:t>
      </w:r>
      <w:r w:rsidR="00BA13EE">
        <w:rPr>
          <w:rFonts w:ascii="Arial" w:hAnsi="Arial" w:cs="Arial"/>
          <w:lang w:val="en-GB"/>
        </w:rPr>
        <w:t xml:space="preserve"> 202</w:t>
      </w:r>
      <w:r w:rsidR="00F150BF">
        <w:rPr>
          <w:rFonts w:ascii="Arial" w:hAnsi="Arial" w:cs="Arial"/>
          <w:lang w:val="en-GB"/>
        </w:rPr>
        <w:t>5</w:t>
      </w:r>
      <w:r>
        <w:rPr>
          <w:rFonts w:ascii="Arial" w:hAnsi="Arial" w:cs="Arial"/>
          <w:lang w:val="en-GB"/>
        </w:rPr>
        <w:t>;</w:t>
      </w:r>
      <w:r w:rsidR="009B7BA3">
        <w:rPr>
          <w:rFonts w:ascii="Arial" w:hAnsi="Arial" w:cs="Arial"/>
          <w:lang w:val="en-GB"/>
        </w:rPr>
        <w:t xml:space="preserve"> </w:t>
      </w:r>
    </w:p>
    <w:p w14:paraId="788F1962" w14:textId="77777777" w:rsidR="004D69B7" w:rsidRDefault="004D69B7" w:rsidP="00602326">
      <w:pPr>
        <w:rPr>
          <w:rFonts w:ascii="Arial" w:hAnsi="Arial" w:cs="Arial"/>
          <w:lang w:val="en-GB"/>
        </w:rPr>
      </w:pPr>
    </w:p>
    <w:p w14:paraId="24CDACD4" w14:textId="77777777" w:rsidR="00855229" w:rsidRDefault="00F150BF" w:rsidP="002C5AB8">
      <w:pPr>
        <w:pStyle w:val="ListParagraph"/>
        <w:numPr>
          <w:ilvl w:val="0"/>
          <w:numId w:val="20"/>
        </w:numPr>
        <w:rPr>
          <w:rFonts w:ascii="Arial" w:hAnsi="Arial" w:cs="Arial"/>
          <w:lang w:val="en-GB"/>
        </w:rPr>
      </w:pPr>
      <w:r>
        <w:rPr>
          <w:rFonts w:ascii="Arial" w:hAnsi="Arial" w:cs="Arial"/>
          <w:lang w:val="en-GB"/>
        </w:rPr>
        <w:lastRenderedPageBreak/>
        <w:t>Non-Pays Inflation - £2.7</w:t>
      </w:r>
      <w:r w:rsidR="00855229">
        <w:rPr>
          <w:rFonts w:ascii="Arial" w:hAnsi="Arial" w:cs="Arial"/>
          <w:lang w:val="en-GB"/>
        </w:rPr>
        <w:t>m</w:t>
      </w:r>
    </w:p>
    <w:p w14:paraId="016C0DF9" w14:textId="77777777" w:rsidR="00F150BF" w:rsidRDefault="00F150BF" w:rsidP="002C5AB8">
      <w:pPr>
        <w:pStyle w:val="ListParagraph"/>
        <w:numPr>
          <w:ilvl w:val="0"/>
          <w:numId w:val="20"/>
        </w:numPr>
        <w:rPr>
          <w:rFonts w:ascii="Arial" w:hAnsi="Arial" w:cs="Arial"/>
          <w:lang w:val="en-GB"/>
        </w:rPr>
      </w:pPr>
      <w:r>
        <w:rPr>
          <w:rFonts w:ascii="Arial" w:hAnsi="Arial" w:cs="Arial"/>
          <w:lang w:val="en-GB"/>
        </w:rPr>
        <w:t>Service Pressures - £3.8m</w:t>
      </w:r>
    </w:p>
    <w:p w14:paraId="2960AB7A" w14:textId="77777777" w:rsidR="002D09DE" w:rsidRDefault="00F150BF" w:rsidP="002C5AB8">
      <w:pPr>
        <w:pStyle w:val="ListParagraph"/>
        <w:numPr>
          <w:ilvl w:val="0"/>
          <w:numId w:val="20"/>
        </w:numPr>
        <w:rPr>
          <w:rFonts w:ascii="Arial" w:hAnsi="Arial" w:cs="Arial"/>
          <w:lang w:val="en-GB"/>
        </w:rPr>
      </w:pPr>
      <w:r>
        <w:rPr>
          <w:rFonts w:ascii="Arial" w:hAnsi="Arial" w:cs="Arial"/>
          <w:lang w:val="en-GB"/>
        </w:rPr>
        <w:t>Medicines cost pressures - £0.5</w:t>
      </w:r>
      <w:r w:rsidR="00BA13EE">
        <w:rPr>
          <w:rFonts w:ascii="Arial" w:hAnsi="Arial" w:cs="Arial"/>
          <w:lang w:val="en-GB"/>
        </w:rPr>
        <w:t>m</w:t>
      </w:r>
    </w:p>
    <w:p w14:paraId="7C9F2CA0" w14:textId="77777777" w:rsidR="00F150BF" w:rsidRDefault="00F150BF" w:rsidP="002C5AB8">
      <w:pPr>
        <w:pStyle w:val="ListParagraph"/>
        <w:numPr>
          <w:ilvl w:val="0"/>
          <w:numId w:val="20"/>
        </w:numPr>
        <w:rPr>
          <w:rFonts w:ascii="Arial" w:hAnsi="Arial" w:cs="Arial"/>
          <w:lang w:val="en-GB"/>
        </w:rPr>
      </w:pPr>
      <w:r>
        <w:rPr>
          <w:rFonts w:ascii="Arial" w:hAnsi="Arial" w:cs="Arial"/>
          <w:lang w:val="en-GB"/>
        </w:rPr>
        <w:t>Ongoing Developments (Digital/HEPMA) - £2.2m</w:t>
      </w:r>
    </w:p>
    <w:p w14:paraId="01800282" w14:textId="77777777" w:rsidR="00F150BF" w:rsidRDefault="00F150BF" w:rsidP="002C5AB8">
      <w:pPr>
        <w:pStyle w:val="ListParagraph"/>
        <w:numPr>
          <w:ilvl w:val="0"/>
          <w:numId w:val="20"/>
        </w:numPr>
        <w:rPr>
          <w:rFonts w:ascii="Arial" w:hAnsi="Arial" w:cs="Arial"/>
          <w:lang w:val="en-GB"/>
        </w:rPr>
      </w:pPr>
      <w:r>
        <w:rPr>
          <w:rFonts w:ascii="Arial" w:hAnsi="Arial" w:cs="Arial"/>
          <w:lang w:val="en-GB"/>
        </w:rPr>
        <w:t>Offset with Energy reductions – (£1m)</w:t>
      </w:r>
    </w:p>
    <w:p w14:paraId="26ECE136" w14:textId="77777777" w:rsidR="004D69B7" w:rsidRDefault="004D69B7" w:rsidP="002C5AB8">
      <w:pPr>
        <w:rPr>
          <w:rFonts w:ascii="Arial" w:hAnsi="Arial" w:cs="Arial"/>
          <w:lang w:val="en-GB"/>
        </w:rPr>
      </w:pPr>
    </w:p>
    <w:p w14:paraId="68889FFE" w14:textId="77777777" w:rsidR="004D69B7" w:rsidRDefault="00476596" w:rsidP="00F6123F">
      <w:pPr>
        <w:jc w:val="left"/>
        <w:rPr>
          <w:rFonts w:ascii="Arial" w:hAnsi="Arial" w:cs="Arial"/>
          <w:lang w:val="en-GB"/>
        </w:rPr>
      </w:pPr>
      <w:r>
        <w:rPr>
          <w:rFonts w:ascii="Arial" w:hAnsi="Arial" w:cs="Arial"/>
          <w:lang w:val="en-GB"/>
        </w:rPr>
        <w:t xml:space="preserve">This financial position </w:t>
      </w:r>
      <w:r w:rsidR="00F71341" w:rsidRPr="00F71341">
        <w:rPr>
          <w:rFonts w:ascii="Arial" w:hAnsi="Arial" w:cs="Arial"/>
          <w:lang w:val="en-GB"/>
        </w:rPr>
        <w:t>presents the most reasonable case based on all information known</w:t>
      </w:r>
      <w:r>
        <w:rPr>
          <w:rFonts w:ascii="Arial" w:hAnsi="Arial" w:cs="Arial"/>
          <w:lang w:val="en-GB"/>
        </w:rPr>
        <w:t xml:space="preserve"> to NHS </w:t>
      </w:r>
      <w:r w:rsidR="00260912">
        <w:rPr>
          <w:rFonts w:ascii="Arial" w:hAnsi="Arial" w:cs="Arial"/>
          <w:lang w:val="en-GB"/>
        </w:rPr>
        <w:t xml:space="preserve">Golden Jubilee </w:t>
      </w:r>
      <w:r>
        <w:rPr>
          <w:rFonts w:ascii="Arial" w:hAnsi="Arial" w:cs="Arial"/>
          <w:lang w:val="en-GB"/>
        </w:rPr>
        <w:t>at this time</w:t>
      </w:r>
      <w:r w:rsidR="00F71341">
        <w:rPr>
          <w:rFonts w:ascii="Arial" w:hAnsi="Arial" w:cs="Arial"/>
          <w:lang w:val="en-GB"/>
        </w:rPr>
        <w:t xml:space="preserve">. </w:t>
      </w:r>
      <w:r w:rsidR="009B7BA3">
        <w:rPr>
          <w:rFonts w:ascii="Arial" w:hAnsi="Arial" w:cs="Arial"/>
          <w:lang w:val="en-GB"/>
        </w:rPr>
        <w:t xml:space="preserve">  </w:t>
      </w:r>
    </w:p>
    <w:p w14:paraId="5C6ED4A3" w14:textId="77777777" w:rsidR="00F71341" w:rsidRDefault="00F71341" w:rsidP="002C5AB8">
      <w:pPr>
        <w:rPr>
          <w:rFonts w:ascii="Arial" w:hAnsi="Arial" w:cs="Arial"/>
          <w:lang w:val="en-GB"/>
        </w:rPr>
      </w:pPr>
    </w:p>
    <w:p w14:paraId="22E04F07" w14:textId="77777777" w:rsidR="00F71341" w:rsidRDefault="00F71341" w:rsidP="00F6123F">
      <w:pPr>
        <w:jc w:val="left"/>
        <w:rPr>
          <w:rFonts w:ascii="Arial" w:hAnsi="Arial" w:cs="Arial"/>
          <w:lang w:val="en-GB"/>
        </w:rPr>
      </w:pPr>
      <w:r>
        <w:rPr>
          <w:rFonts w:ascii="Arial" w:hAnsi="Arial" w:cs="Arial"/>
          <w:lang w:val="en-GB"/>
        </w:rPr>
        <w:t xml:space="preserve">The overall </w:t>
      </w:r>
      <w:r w:rsidR="009735FE">
        <w:rPr>
          <w:rFonts w:ascii="Arial" w:hAnsi="Arial" w:cs="Arial"/>
          <w:lang w:val="en-GB"/>
        </w:rPr>
        <w:t>202</w:t>
      </w:r>
      <w:r w:rsidR="00F150BF">
        <w:rPr>
          <w:rFonts w:ascii="Arial" w:hAnsi="Arial" w:cs="Arial"/>
          <w:lang w:val="en-GB"/>
        </w:rPr>
        <w:t>5-</w:t>
      </w:r>
      <w:r w:rsidR="009735FE">
        <w:rPr>
          <w:rFonts w:ascii="Arial" w:hAnsi="Arial" w:cs="Arial"/>
          <w:lang w:val="en-GB"/>
        </w:rPr>
        <w:t>2</w:t>
      </w:r>
      <w:r w:rsidR="00F150BF">
        <w:rPr>
          <w:rFonts w:ascii="Arial" w:hAnsi="Arial" w:cs="Arial"/>
          <w:lang w:val="en-GB"/>
        </w:rPr>
        <w:t>6</w:t>
      </w:r>
      <w:r w:rsidR="009735FE">
        <w:rPr>
          <w:rFonts w:ascii="Arial" w:hAnsi="Arial" w:cs="Arial"/>
          <w:lang w:val="en-GB"/>
        </w:rPr>
        <w:t xml:space="preserve"> </w:t>
      </w:r>
      <w:r>
        <w:rPr>
          <w:rFonts w:ascii="Arial" w:hAnsi="Arial" w:cs="Arial"/>
          <w:lang w:val="en-GB"/>
        </w:rPr>
        <w:t xml:space="preserve">gap remains within a tolerance experienced in recent years, and whilst the recurring/non-recurring element of achievement will require </w:t>
      </w:r>
      <w:r w:rsidR="009B7BA3">
        <w:rPr>
          <w:rFonts w:ascii="Arial" w:hAnsi="Arial" w:cs="Arial"/>
          <w:lang w:val="en-GB"/>
        </w:rPr>
        <w:t xml:space="preserve">further </w:t>
      </w:r>
      <w:r>
        <w:rPr>
          <w:rFonts w:ascii="Arial" w:hAnsi="Arial" w:cs="Arial"/>
          <w:lang w:val="en-GB"/>
        </w:rPr>
        <w:t xml:space="preserve">work, this is a </w:t>
      </w:r>
      <w:r w:rsidR="00855229">
        <w:rPr>
          <w:rFonts w:ascii="Arial" w:hAnsi="Arial" w:cs="Arial"/>
          <w:lang w:val="en-GB"/>
        </w:rPr>
        <w:t>value which</w:t>
      </w:r>
      <w:r>
        <w:rPr>
          <w:rFonts w:ascii="Arial" w:hAnsi="Arial" w:cs="Arial"/>
          <w:lang w:val="en-GB"/>
        </w:rPr>
        <w:t xml:space="preserve"> </w:t>
      </w:r>
      <w:r w:rsidR="00855229">
        <w:rPr>
          <w:rFonts w:ascii="Arial" w:hAnsi="Arial" w:cs="Arial"/>
          <w:lang w:val="en-GB"/>
        </w:rPr>
        <w:t>was</w:t>
      </w:r>
      <w:r w:rsidR="009B7BA3">
        <w:rPr>
          <w:rFonts w:ascii="Arial" w:hAnsi="Arial" w:cs="Arial"/>
          <w:lang w:val="en-GB"/>
        </w:rPr>
        <w:t xml:space="preserve"> previously</w:t>
      </w:r>
      <w:r w:rsidR="00855229">
        <w:rPr>
          <w:rFonts w:ascii="Arial" w:hAnsi="Arial" w:cs="Arial"/>
          <w:lang w:val="en-GB"/>
        </w:rPr>
        <w:t xml:space="preserve"> achieved </w:t>
      </w:r>
      <w:r>
        <w:rPr>
          <w:rFonts w:ascii="Arial" w:hAnsi="Arial" w:cs="Arial"/>
          <w:lang w:val="en-GB"/>
        </w:rPr>
        <w:t xml:space="preserve">in recent years to provide a breakeven outturn. </w:t>
      </w:r>
      <w:r w:rsidR="00037DA8">
        <w:rPr>
          <w:rFonts w:ascii="Arial" w:hAnsi="Arial" w:cs="Arial"/>
          <w:lang w:val="en-GB"/>
        </w:rPr>
        <w:t>Although, from a risk perspective it is wor</w:t>
      </w:r>
      <w:r w:rsidR="00FC3512">
        <w:rPr>
          <w:rFonts w:ascii="Arial" w:hAnsi="Arial" w:cs="Arial"/>
          <w:lang w:val="en-GB"/>
        </w:rPr>
        <w:t>th</w:t>
      </w:r>
      <w:r w:rsidR="00037DA8">
        <w:rPr>
          <w:rFonts w:ascii="Arial" w:hAnsi="Arial" w:cs="Arial"/>
          <w:lang w:val="en-GB"/>
        </w:rPr>
        <w:t xml:space="preserve"> noting again that </w:t>
      </w:r>
      <w:r w:rsidR="00EF2D0A">
        <w:rPr>
          <w:rFonts w:ascii="Arial" w:hAnsi="Arial" w:cs="Arial"/>
          <w:lang w:val="en-GB"/>
        </w:rPr>
        <w:t xml:space="preserve">only a 3% uplift on recurrent baseline </w:t>
      </w:r>
      <w:r w:rsidR="00037DA8">
        <w:rPr>
          <w:rFonts w:ascii="Arial" w:hAnsi="Arial" w:cs="Arial"/>
          <w:lang w:val="en-GB"/>
        </w:rPr>
        <w:t xml:space="preserve">has been provided by </w:t>
      </w:r>
      <w:r w:rsidR="00EF2D0A">
        <w:rPr>
          <w:rFonts w:ascii="Arial" w:hAnsi="Arial" w:cs="Arial"/>
          <w:lang w:val="en-GB"/>
        </w:rPr>
        <w:t xml:space="preserve">the </w:t>
      </w:r>
      <w:r w:rsidR="00037DA8">
        <w:rPr>
          <w:rFonts w:ascii="Arial" w:hAnsi="Arial" w:cs="Arial"/>
          <w:lang w:val="en-GB"/>
        </w:rPr>
        <w:t xml:space="preserve">Scottish Government to support inflationary pressures </w:t>
      </w:r>
      <w:r w:rsidR="00EF2D0A">
        <w:rPr>
          <w:rFonts w:ascii="Arial" w:hAnsi="Arial" w:cs="Arial"/>
          <w:lang w:val="en-GB"/>
        </w:rPr>
        <w:t>at this time.</w:t>
      </w:r>
    </w:p>
    <w:p w14:paraId="52C2E2C0" w14:textId="77777777" w:rsidR="00814E2B" w:rsidRDefault="00814E2B" w:rsidP="0078142D">
      <w:pPr>
        <w:pStyle w:val="Heading2"/>
        <w:jc w:val="left"/>
        <w:rPr>
          <w:rFonts w:ascii="Arial" w:hAnsi="Arial" w:cs="Arial"/>
          <w:i w:val="0"/>
          <w:sz w:val="24"/>
          <w:szCs w:val="24"/>
        </w:rPr>
      </w:pPr>
      <w:r>
        <w:rPr>
          <w:rFonts w:ascii="Arial" w:hAnsi="Arial" w:cs="Arial"/>
          <w:i w:val="0"/>
          <w:sz w:val="24"/>
          <w:szCs w:val="24"/>
        </w:rPr>
        <w:t>Key Risks</w:t>
      </w:r>
    </w:p>
    <w:p w14:paraId="53872FC3" w14:textId="0577A769" w:rsidR="00814E2B" w:rsidRDefault="00814E2B" w:rsidP="0078142D">
      <w:pPr>
        <w:pStyle w:val="Heading2"/>
        <w:jc w:val="left"/>
        <w:rPr>
          <w:rFonts w:ascii="Arial" w:hAnsi="Arial" w:cs="Arial"/>
          <w:b w:val="0"/>
          <w:i w:val="0"/>
          <w:sz w:val="24"/>
          <w:szCs w:val="24"/>
        </w:rPr>
      </w:pPr>
      <w:r>
        <w:rPr>
          <w:rFonts w:ascii="Arial" w:hAnsi="Arial" w:cs="Arial"/>
          <w:b w:val="0"/>
          <w:i w:val="0"/>
          <w:sz w:val="24"/>
          <w:szCs w:val="24"/>
        </w:rPr>
        <w:t>The challenging position facing NHS Scotland over the course of the next 3 years reflects the increasing inflationary pressures seen across all Boards.</w:t>
      </w:r>
    </w:p>
    <w:p w14:paraId="5A5E23E9" w14:textId="79FEB2C4" w:rsidR="00814E2B" w:rsidRDefault="00814E2B" w:rsidP="00814E2B"/>
    <w:p w14:paraId="3B1CF7A6" w14:textId="4C66F275" w:rsidR="00814E2B" w:rsidRDefault="00814E2B" w:rsidP="00814E2B">
      <w:pPr>
        <w:rPr>
          <w:rFonts w:ascii="Arial" w:eastAsiaTheme="majorEastAsia" w:hAnsi="Arial" w:cs="Arial"/>
          <w:bCs/>
          <w:iCs/>
        </w:rPr>
      </w:pPr>
      <w:r w:rsidRPr="00814E2B">
        <w:rPr>
          <w:rFonts w:ascii="Arial" w:eastAsiaTheme="majorEastAsia" w:hAnsi="Arial" w:cs="Arial"/>
          <w:bCs/>
          <w:iCs/>
        </w:rPr>
        <w:t>The following is a list of the key assumptions and potential risks within the Financial Plan</w:t>
      </w:r>
      <w:r>
        <w:rPr>
          <w:rFonts w:ascii="Arial" w:eastAsiaTheme="majorEastAsia" w:hAnsi="Arial" w:cs="Arial"/>
          <w:bCs/>
          <w:iCs/>
        </w:rPr>
        <w:t>:-</w:t>
      </w:r>
    </w:p>
    <w:p w14:paraId="3F29FBB1" w14:textId="2CA41EA8" w:rsidR="00814E2B" w:rsidRDefault="00814E2B" w:rsidP="00814E2B">
      <w:pPr>
        <w:pStyle w:val="ListParagraph"/>
        <w:numPr>
          <w:ilvl w:val="0"/>
          <w:numId w:val="27"/>
        </w:numPr>
        <w:rPr>
          <w:rFonts w:ascii="Arial" w:eastAsiaTheme="majorEastAsia" w:hAnsi="Arial" w:cs="Arial"/>
          <w:bCs/>
          <w:iCs/>
        </w:rPr>
      </w:pPr>
      <w:r>
        <w:rPr>
          <w:rFonts w:ascii="Arial" w:eastAsiaTheme="majorEastAsia" w:hAnsi="Arial" w:cs="Arial"/>
          <w:bCs/>
          <w:iCs/>
        </w:rPr>
        <w:t>Inflationary pressures above assumptions in the plan – most notably SG guidance suggests a 19% reduction in Energy costs. The phasing and introduction of this</w:t>
      </w:r>
      <w:r w:rsidR="00A778E9">
        <w:rPr>
          <w:rFonts w:ascii="Arial" w:eastAsiaTheme="majorEastAsia" w:hAnsi="Arial" w:cs="Arial"/>
          <w:bCs/>
          <w:iCs/>
        </w:rPr>
        <w:t xml:space="preserve"> real terms reduction is unclear and local modelling suggests the lower figure of 15% used in this Financial Plan.</w:t>
      </w:r>
    </w:p>
    <w:p w14:paraId="00B208F8" w14:textId="371CE42B" w:rsidR="00A778E9" w:rsidRDefault="00A778E9" w:rsidP="00814E2B">
      <w:pPr>
        <w:pStyle w:val="ListParagraph"/>
        <w:numPr>
          <w:ilvl w:val="0"/>
          <w:numId w:val="27"/>
        </w:numPr>
        <w:rPr>
          <w:rFonts w:ascii="Arial" w:eastAsiaTheme="majorEastAsia" w:hAnsi="Arial" w:cs="Arial"/>
          <w:bCs/>
          <w:iCs/>
        </w:rPr>
      </w:pPr>
      <w:r>
        <w:rPr>
          <w:rFonts w:ascii="Arial" w:eastAsiaTheme="majorEastAsia" w:hAnsi="Arial" w:cs="Arial"/>
          <w:bCs/>
          <w:iCs/>
        </w:rPr>
        <w:t>Agreement of SLA income with NSD and West of Scotland Boards to fund the ADP and inflationary pressures for HLD ADP as well as the additional growth in TAVIs to be funded by SG.</w:t>
      </w:r>
    </w:p>
    <w:p w14:paraId="7549F889" w14:textId="1FC9776E" w:rsidR="00A778E9" w:rsidRDefault="00A778E9" w:rsidP="00814E2B">
      <w:pPr>
        <w:pStyle w:val="ListParagraph"/>
        <w:numPr>
          <w:ilvl w:val="0"/>
          <w:numId w:val="27"/>
        </w:numPr>
        <w:rPr>
          <w:rFonts w:ascii="Arial" w:eastAsiaTheme="majorEastAsia" w:hAnsi="Arial" w:cs="Arial"/>
          <w:bCs/>
          <w:iCs/>
        </w:rPr>
      </w:pPr>
      <w:r>
        <w:rPr>
          <w:rFonts w:ascii="Arial" w:eastAsiaTheme="majorEastAsia" w:hAnsi="Arial" w:cs="Arial"/>
          <w:bCs/>
          <w:iCs/>
        </w:rPr>
        <w:t>Related to this is the delivery of activity beyond the funding agreed in these SLAs as well as the NES activity plan.</w:t>
      </w:r>
    </w:p>
    <w:p w14:paraId="323BBBDA" w14:textId="3BCAF315" w:rsidR="00A778E9" w:rsidRDefault="00A778E9" w:rsidP="00814E2B">
      <w:pPr>
        <w:pStyle w:val="ListParagraph"/>
        <w:numPr>
          <w:ilvl w:val="0"/>
          <w:numId w:val="27"/>
        </w:numPr>
        <w:rPr>
          <w:rFonts w:ascii="Arial" w:eastAsiaTheme="majorEastAsia" w:hAnsi="Arial" w:cs="Arial"/>
          <w:bCs/>
          <w:iCs/>
        </w:rPr>
      </w:pPr>
      <w:r>
        <w:rPr>
          <w:rFonts w:ascii="Arial" w:eastAsiaTheme="majorEastAsia" w:hAnsi="Arial" w:cs="Arial"/>
          <w:bCs/>
          <w:iCs/>
        </w:rPr>
        <w:t>Funding of Pay inflation assumed to be cost neutral.</w:t>
      </w:r>
    </w:p>
    <w:p w14:paraId="081ED4C8" w14:textId="3FAF17A1" w:rsidR="00A778E9" w:rsidRDefault="00A778E9" w:rsidP="00814E2B">
      <w:pPr>
        <w:pStyle w:val="ListParagraph"/>
        <w:numPr>
          <w:ilvl w:val="0"/>
          <w:numId w:val="27"/>
        </w:numPr>
        <w:rPr>
          <w:rFonts w:ascii="Arial" w:eastAsiaTheme="majorEastAsia" w:hAnsi="Arial" w:cs="Arial"/>
          <w:bCs/>
          <w:iCs/>
        </w:rPr>
      </w:pPr>
      <w:r>
        <w:rPr>
          <w:rFonts w:ascii="Arial" w:eastAsiaTheme="majorEastAsia" w:hAnsi="Arial" w:cs="Arial"/>
          <w:bCs/>
          <w:iCs/>
        </w:rPr>
        <w:t xml:space="preserve">Increase in Employers National Insurance Contributions to be funded at 60% directly by SG with the remaining 40% </w:t>
      </w:r>
      <w:r w:rsidR="006F3E42">
        <w:rPr>
          <w:rFonts w:ascii="Arial" w:eastAsiaTheme="majorEastAsia" w:hAnsi="Arial" w:cs="Arial"/>
          <w:bCs/>
          <w:iCs/>
        </w:rPr>
        <w:t xml:space="preserve">still to be agreed but likely to </w:t>
      </w:r>
      <w:r>
        <w:rPr>
          <w:rFonts w:ascii="Arial" w:eastAsiaTheme="majorEastAsia" w:hAnsi="Arial" w:cs="Arial"/>
          <w:bCs/>
          <w:iCs/>
        </w:rPr>
        <w:t xml:space="preserve">be sourced from </w:t>
      </w:r>
      <w:r w:rsidR="006F3E42">
        <w:rPr>
          <w:rFonts w:ascii="Arial" w:eastAsiaTheme="majorEastAsia" w:hAnsi="Arial" w:cs="Arial"/>
          <w:bCs/>
          <w:iCs/>
        </w:rPr>
        <w:t xml:space="preserve">a combination of </w:t>
      </w:r>
      <w:r>
        <w:rPr>
          <w:rFonts w:ascii="Arial" w:eastAsiaTheme="majorEastAsia" w:hAnsi="Arial" w:cs="Arial"/>
          <w:bCs/>
          <w:iCs/>
        </w:rPr>
        <w:t>SLA uplifts and SG Sustainability fund ~£1.7m risk.</w:t>
      </w:r>
    </w:p>
    <w:p w14:paraId="1E55618A" w14:textId="26E37E69" w:rsidR="00A778E9" w:rsidRDefault="00A778E9" w:rsidP="00814E2B">
      <w:pPr>
        <w:pStyle w:val="ListParagraph"/>
        <w:numPr>
          <w:ilvl w:val="0"/>
          <w:numId w:val="27"/>
        </w:numPr>
        <w:rPr>
          <w:rFonts w:ascii="Arial" w:eastAsiaTheme="majorEastAsia" w:hAnsi="Arial" w:cs="Arial"/>
          <w:bCs/>
          <w:iCs/>
        </w:rPr>
      </w:pPr>
      <w:r>
        <w:rPr>
          <w:rFonts w:ascii="Arial" w:eastAsiaTheme="majorEastAsia" w:hAnsi="Arial" w:cs="Arial"/>
          <w:bCs/>
          <w:iCs/>
        </w:rPr>
        <w:t>Confirmation of funding for Phase 1 and Phase 2 costs – especially the increase in Rates and Utilities for the new Surgical Centre.</w:t>
      </w:r>
    </w:p>
    <w:p w14:paraId="605ABE0D" w14:textId="77777777" w:rsidR="00A778E9" w:rsidRDefault="00A778E9" w:rsidP="00A778E9">
      <w:pPr>
        <w:pStyle w:val="ListParagraph"/>
        <w:numPr>
          <w:ilvl w:val="0"/>
          <w:numId w:val="27"/>
        </w:numPr>
        <w:rPr>
          <w:rFonts w:ascii="Arial" w:eastAsiaTheme="majorEastAsia" w:hAnsi="Arial" w:cs="Arial"/>
          <w:bCs/>
          <w:iCs/>
        </w:rPr>
      </w:pPr>
      <w:r>
        <w:rPr>
          <w:rFonts w:ascii="Arial" w:eastAsiaTheme="majorEastAsia" w:hAnsi="Arial" w:cs="Arial"/>
          <w:bCs/>
          <w:iCs/>
        </w:rPr>
        <w:t>Delivery of Efficiency Plan in full to achieve a Breakeven position.</w:t>
      </w:r>
    </w:p>
    <w:p w14:paraId="5CAE5305" w14:textId="77777777" w:rsidR="00814E2B" w:rsidRPr="00814E2B" w:rsidRDefault="00814E2B" w:rsidP="00814E2B"/>
    <w:p w14:paraId="124482E8" w14:textId="3DDFF357" w:rsidR="0078142D" w:rsidRPr="004701E8" w:rsidRDefault="0078142D" w:rsidP="0078142D">
      <w:pPr>
        <w:pStyle w:val="Heading2"/>
        <w:jc w:val="left"/>
        <w:rPr>
          <w:rFonts w:ascii="Arial" w:hAnsi="Arial" w:cs="Arial"/>
          <w:i w:val="0"/>
          <w:sz w:val="24"/>
          <w:szCs w:val="24"/>
        </w:rPr>
      </w:pPr>
      <w:r w:rsidRPr="004701E8">
        <w:rPr>
          <w:rFonts w:ascii="Arial" w:hAnsi="Arial" w:cs="Arial"/>
          <w:i w:val="0"/>
          <w:sz w:val="24"/>
          <w:szCs w:val="24"/>
        </w:rPr>
        <w:t xml:space="preserve">Capital Planning </w:t>
      </w:r>
      <w:r w:rsidR="00EF2D0A">
        <w:rPr>
          <w:rFonts w:ascii="Arial" w:hAnsi="Arial" w:cs="Arial"/>
          <w:i w:val="0"/>
          <w:sz w:val="24"/>
          <w:szCs w:val="24"/>
        </w:rPr>
        <w:t>2025-</w:t>
      </w:r>
      <w:r w:rsidR="005B163D">
        <w:rPr>
          <w:rFonts w:ascii="Arial" w:hAnsi="Arial" w:cs="Arial"/>
          <w:i w:val="0"/>
          <w:sz w:val="24"/>
          <w:szCs w:val="24"/>
        </w:rPr>
        <w:t>2</w:t>
      </w:r>
      <w:r w:rsidR="00EF2D0A">
        <w:rPr>
          <w:rFonts w:ascii="Arial" w:hAnsi="Arial" w:cs="Arial"/>
          <w:i w:val="0"/>
          <w:sz w:val="24"/>
          <w:szCs w:val="24"/>
        </w:rPr>
        <w:t>6</w:t>
      </w:r>
      <w:r w:rsidRPr="004701E8">
        <w:rPr>
          <w:rFonts w:ascii="Arial" w:hAnsi="Arial" w:cs="Arial"/>
          <w:i w:val="0"/>
          <w:sz w:val="24"/>
          <w:szCs w:val="24"/>
        </w:rPr>
        <w:t xml:space="preserve"> to </w:t>
      </w:r>
      <w:r w:rsidR="005B163D">
        <w:rPr>
          <w:rFonts w:ascii="Arial" w:hAnsi="Arial" w:cs="Arial"/>
          <w:i w:val="0"/>
          <w:sz w:val="24"/>
          <w:szCs w:val="24"/>
        </w:rPr>
        <w:t>202</w:t>
      </w:r>
      <w:r w:rsidR="00EF2D0A">
        <w:rPr>
          <w:rFonts w:ascii="Arial" w:hAnsi="Arial" w:cs="Arial"/>
          <w:i w:val="0"/>
          <w:sz w:val="24"/>
          <w:szCs w:val="24"/>
        </w:rPr>
        <w:t>9-30</w:t>
      </w:r>
      <w:r w:rsidRPr="004701E8">
        <w:rPr>
          <w:rFonts w:ascii="Arial" w:hAnsi="Arial" w:cs="Arial"/>
          <w:i w:val="0"/>
          <w:sz w:val="24"/>
          <w:szCs w:val="24"/>
        </w:rPr>
        <w:t xml:space="preserve"> </w:t>
      </w:r>
    </w:p>
    <w:p w14:paraId="695EBD12" w14:textId="77777777" w:rsidR="0078142D" w:rsidRPr="00AC52D4" w:rsidRDefault="0078142D" w:rsidP="0078142D">
      <w:pPr>
        <w:jc w:val="left"/>
      </w:pPr>
    </w:p>
    <w:p w14:paraId="72883D9E" w14:textId="77777777" w:rsidR="0078142D" w:rsidRPr="00AC52D4" w:rsidRDefault="008C2998" w:rsidP="0078142D">
      <w:pPr>
        <w:jc w:val="left"/>
        <w:rPr>
          <w:rFonts w:ascii="Arial" w:hAnsi="Arial" w:cs="Arial"/>
        </w:rPr>
      </w:pPr>
      <w:r>
        <w:rPr>
          <w:rFonts w:ascii="Arial" w:hAnsi="Arial" w:cs="Arial"/>
        </w:rPr>
        <w:t xml:space="preserve">The </w:t>
      </w:r>
      <w:r w:rsidRPr="00AC52D4">
        <w:rPr>
          <w:rFonts w:ascii="Arial" w:hAnsi="Arial" w:cs="Arial"/>
        </w:rPr>
        <w:t>capital</w:t>
      </w:r>
      <w:r w:rsidR="0078142D" w:rsidRPr="00AC52D4">
        <w:rPr>
          <w:rFonts w:ascii="Arial" w:hAnsi="Arial" w:cs="Arial"/>
        </w:rPr>
        <w:t xml:space="preserve"> planning process</w:t>
      </w:r>
      <w:r w:rsidR="00037DA8">
        <w:rPr>
          <w:rFonts w:ascii="Arial" w:hAnsi="Arial" w:cs="Arial"/>
        </w:rPr>
        <w:t xml:space="preserve"> within NHS Golden </w:t>
      </w:r>
      <w:r>
        <w:rPr>
          <w:rFonts w:ascii="Arial" w:hAnsi="Arial" w:cs="Arial"/>
        </w:rPr>
        <w:t>Jubilee</w:t>
      </w:r>
      <w:r w:rsidRPr="00AC52D4">
        <w:rPr>
          <w:rFonts w:ascii="Arial" w:hAnsi="Arial" w:cs="Arial"/>
        </w:rPr>
        <w:t xml:space="preserve"> is</w:t>
      </w:r>
      <w:r w:rsidR="0078142D" w:rsidRPr="00AC52D4">
        <w:rPr>
          <w:rFonts w:ascii="Arial" w:hAnsi="Arial" w:cs="Arial"/>
        </w:rPr>
        <w:t xml:space="preserve"> </w:t>
      </w:r>
      <w:r w:rsidR="00EF2D0A">
        <w:rPr>
          <w:rFonts w:ascii="Arial" w:hAnsi="Arial" w:cs="Arial"/>
        </w:rPr>
        <w:t xml:space="preserve">now </w:t>
      </w:r>
      <w:r w:rsidR="00037DA8">
        <w:rPr>
          <w:rFonts w:ascii="Arial" w:hAnsi="Arial" w:cs="Arial"/>
        </w:rPr>
        <w:t xml:space="preserve">well </w:t>
      </w:r>
      <w:r w:rsidR="0078142D" w:rsidRPr="00AC52D4">
        <w:rPr>
          <w:rFonts w:ascii="Arial" w:hAnsi="Arial" w:cs="Arial"/>
        </w:rPr>
        <w:t xml:space="preserve">established with a </w:t>
      </w:r>
      <w:r w:rsidR="00037DA8">
        <w:rPr>
          <w:rFonts w:ascii="Arial" w:hAnsi="Arial" w:cs="Arial"/>
        </w:rPr>
        <w:t>C</w:t>
      </w:r>
      <w:r w:rsidR="0078142D">
        <w:rPr>
          <w:rFonts w:ascii="Arial" w:hAnsi="Arial" w:cs="Arial"/>
        </w:rPr>
        <w:t xml:space="preserve">ore </w:t>
      </w:r>
      <w:r w:rsidR="00037DA8">
        <w:rPr>
          <w:rFonts w:ascii="Arial" w:hAnsi="Arial" w:cs="Arial"/>
        </w:rPr>
        <w:t>C</w:t>
      </w:r>
      <w:r w:rsidR="0078142D">
        <w:rPr>
          <w:rFonts w:ascii="Arial" w:hAnsi="Arial" w:cs="Arial"/>
        </w:rPr>
        <w:t xml:space="preserve">apital </w:t>
      </w:r>
      <w:r w:rsidR="00037DA8">
        <w:rPr>
          <w:rFonts w:ascii="Arial" w:hAnsi="Arial" w:cs="Arial"/>
        </w:rPr>
        <w:t>G</w:t>
      </w:r>
      <w:r w:rsidR="0078142D">
        <w:rPr>
          <w:rFonts w:ascii="Arial" w:hAnsi="Arial" w:cs="Arial"/>
        </w:rPr>
        <w:t xml:space="preserve">roup meeting monthly to </w:t>
      </w:r>
      <w:r>
        <w:rPr>
          <w:rFonts w:ascii="Arial" w:hAnsi="Arial" w:cs="Arial"/>
        </w:rPr>
        <w:t>review the</w:t>
      </w:r>
      <w:r w:rsidR="004474F0">
        <w:rPr>
          <w:rFonts w:ascii="Arial" w:hAnsi="Arial" w:cs="Arial"/>
        </w:rPr>
        <w:t xml:space="preserve"> </w:t>
      </w:r>
      <w:r>
        <w:rPr>
          <w:rFonts w:ascii="Arial" w:hAnsi="Arial" w:cs="Arial"/>
        </w:rPr>
        <w:t>approved capital</w:t>
      </w:r>
      <w:r w:rsidR="0078142D">
        <w:rPr>
          <w:rFonts w:ascii="Arial" w:hAnsi="Arial" w:cs="Arial"/>
        </w:rPr>
        <w:t xml:space="preserve"> plan</w:t>
      </w:r>
      <w:r w:rsidR="00EF2D0A">
        <w:rPr>
          <w:rFonts w:ascii="Arial" w:hAnsi="Arial" w:cs="Arial"/>
        </w:rPr>
        <w:t xml:space="preserve"> and a strategic Capital Programme Group meeting bi-monthly to review changes in-year.</w:t>
      </w:r>
      <w:r w:rsidR="0078142D" w:rsidRPr="00AC52D4">
        <w:rPr>
          <w:rFonts w:ascii="Arial" w:hAnsi="Arial" w:cs="Arial"/>
        </w:rPr>
        <w:t xml:space="preserve"> </w:t>
      </w:r>
    </w:p>
    <w:p w14:paraId="6FB0CDAF" w14:textId="77777777" w:rsidR="0078142D" w:rsidRDefault="0078142D" w:rsidP="00F01F93">
      <w:pPr>
        <w:jc w:val="left"/>
        <w:rPr>
          <w:rFonts w:ascii="Arial" w:hAnsi="Arial" w:cs="Arial"/>
        </w:rPr>
      </w:pPr>
    </w:p>
    <w:p w14:paraId="20F4EFD1" w14:textId="77777777" w:rsidR="007533AF" w:rsidRDefault="007533AF" w:rsidP="0078142D">
      <w:pPr>
        <w:rPr>
          <w:rFonts w:ascii="Arial" w:hAnsi="Arial" w:cs="Arial"/>
          <w:b/>
        </w:rPr>
      </w:pPr>
    </w:p>
    <w:p w14:paraId="4A6FE8A0" w14:textId="77777777" w:rsidR="007533AF" w:rsidRDefault="007533AF" w:rsidP="0078142D">
      <w:pPr>
        <w:rPr>
          <w:rFonts w:ascii="Arial" w:hAnsi="Arial" w:cs="Arial"/>
          <w:b/>
        </w:rPr>
      </w:pPr>
    </w:p>
    <w:p w14:paraId="6CCF9301" w14:textId="3722BB15" w:rsidR="0078142D" w:rsidRDefault="00E57DCE" w:rsidP="0078142D">
      <w:pPr>
        <w:rPr>
          <w:rFonts w:ascii="Arial" w:hAnsi="Arial" w:cs="Arial"/>
          <w:b/>
        </w:rPr>
      </w:pPr>
      <w:r>
        <w:rPr>
          <w:rFonts w:ascii="Arial" w:hAnsi="Arial" w:cs="Arial"/>
          <w:b/>
        </w:rPr>
        <w:t xml:space="preserve">Summary 5 year Capital Plan detail by area </w:t>
      </w:r>
      <w:r w:rsidR="00EF2D0A">
        <w:rPr>
          <w:rFonts w:ascii="Arial" w:hAnsi="Arial" w:cs="Arial"/>
          <w:b/>
        </w:rPr>
        <w:t>2025-26-2029-30</w:t>
      </w:r>
    </w:p>
    <w:p w14:paraId="724784DF" w14:textId="77777777" w:rsidR="0078142D" w:rsidRDefault="0078142D" w:rsidP="0078142D">
      <w:pPr>
        <w:jc w:val="left"/>
        <w:rPr>
          <w:rFonts w:ascii="Arial" w:hAnsi="Arial" w:cs="Arial"/>
          <w:b/>
        </w:rPr>
      </w:pPr>
    </w:p>
    <w:p w14:paraId="3CC1546D" w14:textId="77777777" w:rsidR="0078142D" w:rsidRDefault="0078142D" w:rsidP="0078142D">
      <w:pPr>
        <w:jc w:val="left"/>
        <w:rPr>
          <w:rFonts w:ascii="Arial" w:hAnsi="Arial" w:cs="Arial"/>
        </w:rPr>
      </w:pPr>
      <w:r>
        <w:rPr>
          <w:rFonts w:ascii="Arial" w:hAnsi="Arial" w:cs="Arial"/>
        </w:rPr>
        <w:t xml:space="preserve">Following detailed discussions </w:t>
      </w:r>
      <w:r w:rsidR="00F01F93">
        <w:rPr>
          <w:rFonts w:ascii="Arial" w:hAnsi="Arial" w:cs="Arial"/>
        </w:rPr>
        <w:t xml:space="preserve">with </w:t>
      </w:r>
      <w:r>
        <w:rPr>
          <w:rFonts w:ascii="Arial" w:hAnsi="Arial" w:cs="Arial"/>
        </w:rPr>
        <w:t xml:space="preserve">SG regarding the </w:t>
      </w:r>
      <w:r w:rsidR="004474F0">
        <w:rPr>
          <w:rFonts w:ascii="Arial" w:hAnsi="Arial" w:cs="Arial"/>
        </w:rPr>
        <w:t xml:space="preserve">expected capital </w:t>
      </w:r>
      <w:r w:rsidR="008C2998">
        <w:rPr>
          <w:rFonts w:ascii="Arial" w:hAnsi="Arial" w:cs="Arial"/>
        </w:rPr>
        <w:t>support from</w:t>
      </w:r>
      <w:r w:rsidR="004474F0">
        <w:rPr>
          <w:rFonts w:ascii="Arial" w:hAnsi="Arial" w:cs="Arial"/>
        </w:rPr>
        <w:t xml:space="preserve"> </w:t>
      </w:r>
      <w:r w:rsidR="0018245B">
        <w:rPr>
          <w:rFonts w:ascii="Arial" w:hAnsi="Arial" w:cs="Arial"/>
        </w:rPr>
        <w:t>202</w:t>
      </w:r>
      <w:r w:rsidR="00EF2D0A">
        <w:rPr>
          <w:rFonts w:ascii="Arial" w:hAnsi="Arial" w:cs="Arial"/>
        </w:rPr>
        <w:t>5-</w:t>
      </w:r>
      <w:r w:rsidR="005E5D14">
        <w:rPr>
          <w:rFonts w:ascii="Arial" w:hAnsi="Arial" w:cs="Arial"/>
        </w:rPr>
        <w:t>2</w:t>
      </w:r>
      <w:r w:rsidR="00EF2D0A">
        <w:rPr>
          <w:rFonts w:ascii="Arial" w:hAnsi="Arial" w:cs="Arial"/>
        </w:rPr>
        <w:t>6</w:t>
      </w:r>
      <w:r w:rsidR="004474F0">
        <w:rPr>
          <w:rFonts w:ascii="Arial" w:hAnsi="Arial" w:cs="Arial"/>
        </w:rPr>
        <w:t xml:space="preserve"> </w:t>
      </w:r>
      <w:r w:rsidR="008C2998">
        <w:rPr>
          <w:rFonts w:ascii="Arial" w:hAnsi="Arial" w:cs="Arial"/>
        </w:rPr>
        <w:t>onwards the</w:t>
      </w:r>
      <w:r>
        <w:rPr>
          <w:rFonts w:ascii="Arial" w:hAnsi="Arial" w:cs="Arial"/>
        </w:rPr>
        <w:t xml:space="preserve"> capital plan for the next five years </w:t>
      </w:r>
      <w:r w:rsidR="005E5D14">
        <w:rPr>
          <w:rFonts w:ascii="Arial" w:hAnsi="Arial" w:cs="Arial"/>
        </w:rPr>
        <w:t>is included below</w:t>
      </w:r>
      <w:r w:rsidR="004474F0">
        <w:rPr>
          <w:rFonts w:ascii="Arial" w:hAnsi="Arial" w:cs="Arial"/>
        </w:rPr>
        <w:t xml:space="preserve">. </w:t>
      </w:r>
    </w:p>
    <w:p w14:paraId="5FD0A559" w14:textId="77777777" w:rsidR="00260912" w:rsidRDefault="00260912" w:rsidP="0078142D">
      <w:pPr>
        <w:jc w:val="left"/>
        <w:rPr>
          <w:rFonts w:ascii="Arial" w:hAnsi="Arial" w:cs="Arial"/>
        </w:rPr>
      </w:pPr>
    </w:p>
    <w:p w14:paraId="626439AC" w14:textId="77777777" w:rsidR="0018245B" w:rsidRDefault="00EF2D0A" w:rsidP="0078142D">
      <w:pPr>
        <w:jc w:val="left"/>
        <w:rPr>
          <w:rFonts w:ascii="Arial" w:hAnsi="Arial" w:cs="Arial"/>
        </w:rPr>
      </w:pPr>
      <w:r w:rsidRPr="00EF2D0A">
        <w:rPr>
          <w:noProof/>
          <w:lang w:val="en-GB" w:eastAsia="en-GB" w:bidi="ar-SA"/>
        </w:rPr>
        <w:drawing>
          <wp:inline distT="0" distB="0" distL="0" distR="0" wp14:anchorId="64AE2406" wp14:editId="07A8EBB3">
            <wp:extent cx="5731510" cy="10384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038431"/>
                    </a:xfrm>
                    <a:prstGeom prst="rect">
                      <a:avLst/>
                    </a:prstGeom>
                    <a:noFill/>
                    <a:ln>
                      <a:noFill/>
                    </a:ln>
                  </pic:spPr>
                </pic:pic>
              </a:graphicData>
            </a:graphic>
          </wp:inline>
        </w:drawing>
      </w:r>
    </w:p>
    <w:p w14:paraId="3A055C5E" w14:textId="77777777" w:rsidR="0018245B" w:rsidRDefault="0018245B" w:rsidP="0078142D">
      <w:pPr>
        <w:jc w:val="left"/>
        <w:rPr>
          <w:rFonts w:ascii="Arial" w:hAnsi="Arial" w:cs="Arial"/>
        </w:rPr>
      </w:pPr>
    </w:p>
    <w:p w14:paraId="7AB556AA" w14:textId="77777777" w:rsidR="0078142D" w:rsidRDefault="0078142D" w:rsidP="0078142D">
      <w:pPr>
        <w:rPr>
          <w:rFonts w:ascii="Arial" w:hAnsi="Arial" w:cs="Arial"/>
        </w:rPr>
      </w:pPr>
    </w:p>
    <w:p w14:paraId="19CAB3C4" w14:textId="77777777" w:rsidR="0078142D" w:rsidRDefault="00EF2D0A" w:rsidP="00F6123F">
      <w:pPr>
        <w:jc w:val="left"/>
        <w:rPr>
          <w:rFonts w:ascii="Arial" w:hAnsi="Arial" w:cs="Arial"/>
        </w:rPr>
      </w:pPr>
      <w:r>
        <w:rPr>
          <w:rFonts w:ascii="Arial" w:hAnsi="Arial" w:cs="Arial"/>
        </w:rPr>
        <w:t>The 2025-</w:t>
      </w:r>
      <w:r w:rsidR="006C4168">
        <w:rPr>
          <w:rFonts w:ascii="Arial" w:hAnsi="Arial" w:cs="Arial"/>
        </w:rPr>
        <w:t>2</w:t>
      </w:r>
      <w:r>
        <w:rPr>
          <w:rFonts w:ascii="Arial" w:hAnsi="Arial" w:cs="Arial"/>
        </w:rPr>
        <w:t>6 and 2026-</w:t>
      </w:r>
      <w:r w:rsidR="006C4168">
        <w:rPr>
          <w:rFonts w:ascii="Arial" w:hAnsi="Arial" w:cs="Arial"/>
        </w:rPr>
        <w:t>2</w:t>
      </w:r>
      <w:r>
        <w:rPr>
          <w:rFonts w:ascii="Arial" w:hAnsi="Arial" w:cs="Arial"/>
        </w:rPr>
        <w:t>7 through to 2027-28</w:t>
      </w:r>
      <w:r w:rsidR="006C4168">
        <w:rPr>
          <w:rFonts w:ascii="Arial" w:hAnsi="Arial" w:cs="Arial"/>
        </w:rPr>
        <w:t xml:space="preserve"> funding for Phase 2 is still subject to the current review of the cost advisor’s final cost report and the Health Finance Capital Team are aware that the current position is indicative only at this stage. This position will be clarified in the coming weeks for t</w:t>
      </w:r>
      <w:r>
        <w:rPr>
          <w:rFonts w:ascii="Arial" w:hAnsi="Arial" w:cs="Arial"/>
        </w:rPr>
        <w:t>he split of funding between the next 3 years.</w:t>
      </w:r>
    </w:p>
    <w:p w14:paraId="105F315C" w14:textId="77777777" w:rsidR="00585957" w:rsidRDefault="00585957" w:rsidP="0078142D">
      <w:pPr>
        <w:jc w:val="left"/>
        <w:rPr>
          <w:rFonts w:ascii="Arial" w:hAnsi="Arial" w:cs="Arial"/>
        </w:rPr>
      </w:pPr>
    </w:p>
    <w:p w14:paraId="2EF55104" w14:textId="77777777" w:rsidR="0078142D" w:rsidRPr="00AC52D4" w:rsidRDefault="0078142D" w:rsidP="0078142D">
      <w:pPr>
        <w:jc w:val="left"/>
        <w:rPr>
          <w:rFonts w:ascii="Arial" w:hAnsi="Arial" w:cs="Arial"/>
        </w:rPr>
      </w:pPr>
      <w:r w:rsidRPr="00AC52D4">
        <w:rPr>
          <w:rFonts w:ascii="Arial" w:hAnsi="Arial" w:cs="Arial"/>
        </w:rPr>
        <w:t xml:space="preserve">The plan is based on </w:t>
      </w:r>
      <w:r w:rsidR="00F01F93">
        <w:rPr>
          <w:rFonts w:ascii="Arial" w:hAnsi="Arial" w:cs="Arial"/>
        </w:rPr>
        <w:t xml:space="preserve">the </w:t>
      </w:r>
      <w:r w:rsidRPr="00AC52D4">
        <w:rPr>
          <w:rFonts w:ascii="Arial" w:hAnsi="Arial" w:cs="Arial"/>
        </w:rPr>
        <w:t xml:space="preserve">planned replacement of equipment at the end of life, known developments </w:t>
      </w:r>
      <w:r w:rsidR="00A53766">
        <w:rPr>
          <w:rFonts w:ascii="Arial" w:hAnsi="Arial" w:cs="Arial"/>
        </w:rPr>
        <w:t>from e-Health and Property</w:t>
      </w:r>
      <w:r w:rsidRPr="00AC52D4">
        <w:rPr>
          <w:rFonts w:ascii="Arial" w:hAnsi="Arial" w:cs="Arial"/>
        </w:rPr>
        <w:t xml:space="preserve">. </w:t>
      </w:r>
      <w:r>
        <w:rPr>
          <w:rFonts w:ascii="Arial" w:hAnsi="Arial" w:cs="Arial"/>
        </w:rPr>
        <w:t xml:space="preserve">Any movement from the submitted plan will be discussed at the </w:t>
      </w:r>
      <w:r w:rsidR="00260912">
        <w:rPr>
          <w:rFonts w:ascii="Arial" w:hAnsi="Arial" w:cs="Arial"/>
        </w:rPr>
        <w:t>C</w:t>
      </w:r>
      <w:r>
        <w:rPr>
          <w:rFonts w:ascii="Arial" w:hAnsi="Arial" w:cs="Arial"/>
        </w:rPr>
        <w:t xml:space="preserve">apital </w:t>
      </w:r>
      <w:r w:rsidR="00260912">
        <w:rPr>
          <w:rFonts w:ascii="Arial" w:hAnsi="Arial" w:cs="Arial"/>
        </w:rPr>
        <w:t>G</w:t>
      </w:r>
      <w:r>
        <w:rPr>
          <w:rFonts w:ascii="Arial" w:hAnsi="Arial" w:cs="Arial"/>
        </w:rPr>
        <w:t>roup as required.</w:t>
      </w:r>
    </w:p>
    <w:p w14:paraId="1431E1F2" w14:textId="77777777" w:rsidR="0078142D" w:rsidRPr="00AC52D4" w:rsidRDefault="0078142D" w:rsidP="0078142D">
      <w:pPr>
        <w:jc w:val="left"/>
        <w:rPr>
          <w:rFonts w:ascii="Arial" w:hAnsi="Arial" w:cs="Arial"/>
        </w:rPr>
      </w:pPr>
    </w:p>
    <w:p w14:paraId="58B5AC12" w14:textId="77777777" w:rsidR="00EF2D0A" w:rsidRDefault="00EF2D0A" w:rsidP="0078142D">
      <w:pPr>
        <w:jc w:val="left"/>
        <w:rPr>
          <w:rFonts w:ascii="Arial" w:hAnsi="Arial" w:cs="Arial"/>
        </w:rPr>
      </w:pPr>
      <w:r>
        <w:rPr>
          <w:rFonts w:ascii="Arial" w:hAnsi="Arial" w:cs="Arial"/>
        </w:rPr>
        <w:t xml:space="preserve">As can be seen from the table above the confirmed Core Capital Resource Limit of £2.691m is well below the requirements envisaged by the Capital Group over the course of the next 5 </w:t>
      </w:r>
      <w:r w:rsidR="008C2998">
        <w:rPr>
          <w:rFonts w:ascii="Arial" w:hAnsi="Arial" w:cs="Arial"/>
        </w:rPr>
        <w:t>years.</w:t>
      </w:r>
      <w:r w:rsidR="008C2998" w:rsidRPr="00AC52D4">
        <w:rPr>
          <w:rFonts w:ascii="Arial" w:hAnsi="Arial" w:cs="Arial"/>
        </w:rPr>
        <w:t xml:space="preserve"> Due</w:t>
      </w:r>
      <w:r w:rsidR="0078142D" w:rsidRPr="00AC52D4">
        <w:rPr>
          <w:rFonts w:ascii="Arial" w:hAnsi="Arial" w:cs="Arial"/>
        </w:rPr>
        <w:t xml:space="preserve"> to the number of expansions undertaken by the Board at the request of SG</w:t>
      </w:r>
      <w:r w:rsidR="00F01F93">
        <w:rPr>
          <w:rFonts w:ascii="Arial" w:hAnsi="Arial" w:cs="Arial"/>
        </w:rPr>
        <w:t>,</w:t>
      </w:r>
      <w:r w:rsidR="0078142D" w:rsidRPr="00AC52D4">
        <w:rPr>
          <w:rFonts w:ascii="Arial" w:hAnsi="Arial" w:cs="Arial"/>
        </w:rPr>
        <w:t xml:space="preserve"> the volume of items that require </w:t>
      </w:r>
      <w:r w:rsidR="00F01F93">
        <w:rPr>
          <w:rFonts w:ascii="Arial" w:hAnsi="Arial" w:cs="Arial"/>
        </w:rPr>
        <w:t xml:space="preserve">to be </w:t>
      </w:r>
      <w:r w:rsidR="0078142D" w:rsidRPr="00AC52D4">
        <w:rPr>
          <w:rFonts w:ascii="Arial" w:hAnsi="Arial" w:cs="Arial"/>
        </w:rPr>
        <w:t>replaced on an annual basis has increase</w:t>
      </w:r>
      <w:r w:rsidR="00F01F93">
        <w:rPr>
          <w:rFonts w:ascii="Arial" w:hAnsi="Arial" w:cs="Arial"/>
        </w:rPr>
        <w:t>d</w:t>
      </w:r>
      <w:r w:rsidR="0078142D" w:rsidRPr="00AC52D4">
        <w:rPr>
          <w:rFonts w:ascii="Arial" w:hAnsi="Arial" w:cs="Arial"/>
        </w:rPr>
        <w:t xml:space="preserve"> year on year since 2008</w:t>
      </w:r>
      <w:r w:rsidR="00F01F93">
        <w:rPr>
          <w:rFonts w:ascii="Arial" w:hAnsi="Arial" w:cs="Arial"/>
        </w:rPr>
        <w:t>;</w:t>
      </w:r>
      <w:r w:rsidR="0078142D" w:rsidRPr="00AC52D4">
        <w:rPr>
          <w:rFonts w:ascii="Arial" w:hAnsi="Arial" w:cs="Arial"/>
        </w:rPr>
        <w:t xml:space="preserve"> when the Heart and Lung Centre opened whilst the corresponding CRL has remained constant at £2.691m. </w:t>
      </w:r>
    </w:p>
    <w:p w14:paraId="4C97205B" w14:textId="77777777" w:rsidR="00EF2D0A" w:rsidRDefault="00EF2D0A" w:rsidP="0078142D">
      <w:pPr>
        <w:jc w:val="left"/>
        <w:rPr>
          <w:rFonts w:ascii="Arial" w:hAnsi="Arial" w:cs="Arial"/>
        </w:rPr>
      </w:pPr>
    </w:p>
    <w:p w14:paraId="5CC11986" w14:textId="77777777" w:rsidR="0078142D" w:rsidRPr="00AC52D4" w:rsidRDefault="0078142D" w:rsidP="0078142D">
      <w:pPr>
        <w:jc w:val="left"/>
        <w:rPr>
          <w:rFonts w:ascii="Arial" w:hAnsi="Arial" w:cs="Arial"/>
        </w:rPr>
      </w:pPr>
      <w:r w:rsidRPr="00AC52D4">
        <w:rPr>
          <w:rFonts w:ascii="Arial" w:hAnsi="Arial" w:cs="Arial"/>
        </w:rPr>
        <w:t xml:space="preserve">Over </w:t>
      </w:r>
      <w:r>
        <w:rPr>
          <w:rFonts w:ascii="Arial" w:hAnsi="Arial" w:cs="Arial"/>
        </w:rPr>
        <w:t>recent year</w:t>
      </w:r>
      <w:r w:rsidR="00A53766">
        <w:rPr>
          <w:rFonts w:ascii="Arial" w:hAnsi="Arial" w:cs="Arial"/>
        </w:rPr>
        <w:t>s</w:t>
      </w:r>
      <w:r w:rsidRPr="00AC52D4">
        <w:rPr>
          <w:rFonts w:ascii="Arial" w:hAnsi="Arial" w:cs="Arial"/>
        </w:rPr>
        <w:t xml:space="preserve"> the Board ha</w:t>
      </w:r>
      <w:r>
        <w:rPr>
          <w:rFonts w:ascii="Arial" w:hAnsi="Arial" w:cs="Arial"/>
        </w:rPr>
        <w:t>s</w:t>
      </w:r>
      <w:r w:rsidRPr="00AC52D4">
        <w:rPr>
          <w:rFonts w:ascii="Arial" w:hAnsi="Arial" w:cs="Arial"/>
        </w:rPr>
        <w:t xml:space="preserve"> endea</w:t>
      </w:r>
      <w:r w:rsidR="00F01F93">
        <w:rPr>
          <w:rFonts w:ascii="Arial" w:hAnsi="Arial" w:cs="Arial"/>
        </w:rPr>
        <w:t>vored to cover the increased in-</w:t>
      </w:r>
      <w:r w:rsidRPr="00AC52D4">
        <w:rPr>
          <w:rFonts w:ascii="Arial" w:hAnsi="Arial" w:cs="Arial"/>
        </w:rPr>
        <w:t xml:space="preserve">year cost for planned equipment replacement using </w:t>
      </w:r>
      <w:r>
        <w:rPr>
          <w:rFonts w:ascii="Arial" w:hAnsi="Arial" w:cs="Arial"/>
        </w:rPr>
        <w:t>additional funding from the Scottish Government if available. H</w:t>
      </w:r>
      <w:r w:rsidR="00F01F93">
        <w:rPr>
          <w:rFonts w:ascii="Arial" w:hAnsi="Arial" w:cs="Arial"/>
        </w:rPr>
        <w:t>owever it is</w:t>
      </w:r>
      <w:r w:rsidRPr="00AC52D4">
        <w:rPr>
          <w:rFonts w:ascii="Arial" w:hAnsi="Arial" w:cs="Arial"/>
        </w:rPr>
        <w:t xml:space="preserve"> recognise</w:t>
      </w:r>
      <w:r w:rsidR="00F01F93">
        <w:rPr>
          <w:rFonts w:ascii="Arial" w:hAnsi="Arial" w:cs="Arial"/>
        </w:rPr>
        <w:t>d</w:t>
      </w:r>
      <w:r w:rsidRPr="00AC52D4">
        <w:rPr>
          <w:rFonts w:ascii="Arial" w:hAnsi="Arial" w:cs="Arial"/>
        </w:rPr>
        <w:t xml:space="preserve"> </w:t>
      </w:r>
      <w:r w:rsidR="00F01F93">
        <w:rPr>
          <w:rFonts w:ascii="Arial" w:hAnsi="Arial" w:cs="Arial"/>
        </w:rPr>
        <w:t xml:space="preserve">that </w:t>
      </w:r>
      <w:r w:rsidRPr="00AC52D4">
        <w:rPr>
          <w:rFonts w:ascii="Arial" w:hAnsi="Arial" w:cs="Arial"/>
        </w:rPr>
        <w:t>this is not sustainable in the long</w:t>
      </w:r>
      <w:r w:rsidR="00F01F93">
        <w:rPr>
          <w:rFonts w:ascii="Arial" w:hAnsi="Arial" w:cs="Arial"/>
        </w:rPr>
        <w:t>er</w:t>
      </w:r>
      <w:r w:rsidRPr="00AC52D4">
        <w:rPr>
          <w:rFonts w:ascii="Arial" w:hAnsi="Arial" w:cs="Arial"/>
        </w:rPr>
        <w:t xml:space="preserve"> term, particularly with the electi</w:t>
      </w:r>
      <w:r w:rsidR="00F01F93">
        <w:rPr>
          <w:rFonts w:ascii="Arial" w:hAnsi="Arial" w:cs="Arial"/>
        </w:rPr>
        <w:t>ve centre</w:t>
      </w:r>
      <w:r w:rsidRPr="00AC52D4">
        <w:rPr>
          <w:rFonts w:ascii="Arial" w:hAnsi="Arial" w:cs="Arial"/>
        </w:rPr>
        <w:t xml:space="preserve"> development</w:t>
      </w:r>
      <w:r w:rsidR="00F01F93">
        <w:rPr>
          <w:rFonts w:ascii="Arial" w:hAnsi="Arial" w:cs="Arial"/>
        </w:rPr>
        <w:t xml:space="preserve"> and any future expansion</w:t>
      </w:r>
      <w:r w:rsidRPr="00AC52D4">
        <w:rPr>
          <w:rFonts w:ascii="Arial" w:hAnsi="Arial" w:cs="Arial"/>
        </w:rPr>
        <w:t xml:space="preserve">.  </w:t>
      </w:r>
      <w:r w:rsidR="004474F0">
        <w:rPr>
          <w:rFonts w:ascii="Arial" w:hAnsi="Arial" w:cs="Arial"/>
        </w:rPr>
        <w:t xml:space="preserve">A case requires to </w:t>
      </w:r>
      <w:r w:rsidR="008C2998">
        <w:rPr>
          <w:rFonts w:ascii="Arial" w:hAnsi="Arial" w:cs="Arial"/>
        </w:rPr>
        <w:t xml:space="preserve">be </w:t>
      </w:r>
      <w:r w:rsidR="004474F0">
        <w:rPr>
          <w:rFonts w:ascii="Arial" w:hAnsi="Arial" w:cs="Arial"/>
        </w:rPr>
        <w:t>made by NHS Golden Jubilee to Scottish Government that the formula capital should be increased given the significant increase in footprint of the hospital and the requirements to ensure that the significant investment made by Scottish Government is well maintained in both the short and medium terms.</w:t>
      </w:r>
    </w:p>
    <w:p w14:paraId="76FD1B0B" w14:textId="77777777" w:rsidR="0078142D" w:rsidRPr="00AC52D4" w:rsidRDefault="0078142D" w:rsidP="0078142D">
      <w:pPr>
        <w:jc w:val="left"/>
        <w:rPr>
          <w:rFonts w:ascii="Arial" w:hAnsi="Arial" w:cs="Arial"/>
        </w:rPr>
      </w:pPr>
    </w:p>
    <w:p w14:paraId="67036E61" w14:textId="77777777" w:rsidR="0078142D" w:rsidRPr="00AC52D4" w:rsidRDefault="0078142D" w:rsidP="0078142D">
      <w:pPr>
        <w:jc w:val="left"/>
        <w:rPr>
          <w:rFonts w:ascii="Arial" w:hAnsi="Arial" w:cs="Arial"/>
          <w:b/>
        </w:rPr>
      </w:pPr>
      <w:r w:rsidRPr="00AC52D4">
        <w:rPr>
          <w:rFonts w:ascii="Arial" w:hAnsi="Arial" w:cs="Arial"/>
          <w:b/>
        </w:rPr>
        <w:t>Non-core funding associated with capital plan</w:t>
      </w:r>
    </w:p>
    <w:p w14:paraId="09AE62F9" w14:textId="77777777" w:rsidR="0078142D" w:rsidRPr="00AC52D4" w:rsidRDefault="0078142D" w:rsidP="0078142D">
      <w:pPr>
        <w:jc w:val="left"/>
        <w:rPr>
          <w:rFonts w:ascii="Arial" w:hAnsi="Arial" w:cs="Arial"/>
          <w:b/>
        </w:rPr>
      </w:pPr>
    </w:p>
    <w:p w14:paraId="021794DF" w14:textId="77777777" w:rsidR="0078142D" w:rsidRPr="00AC52D4" w:rsidRDefault="0078142D" w:rsidP="0078142D">
      <w:pPr>
        <w:jc w:val="left"/>
        <w:rPr>
          <w:rFonts w:ascii="Arial" w:hAnsi="Arial" w:cs="Arial"/>
        </w:rPr>
      </w:pPr>
      <w:r w:rsidRPr="00AC52D4">
        <w:rPr>
          <w:rFonts w:ascii="Arial" w:hAnsi="Arial" w:cs="Arial"/>
        </w:rPr>
        <w:t>The non-core funding associated with the elective center work, namely:</w:t>
      </w:r>
    </w:p>
    <w:p w14:paraId="5DB6DB25" w14:textId="77777777" w:rsidR="0078142D" w:rsidRPr="00AC52D4" w:rsidRDefault="0078142D" w:rsidP="0078142D">
      <w:pPr>
        <w:jc w:val="left"/>
        <w:rPr>
          <w:rFonts w:ascii="Arial" w:hAnsi="Arial" w:cs="Arial"/>
        </w:rPr>
      </w:pPr>
    </w:p>
    <w:p w14:paraId="4B01F3C2" w14:textId="77777777" w:rsidR="0078142D" w:rsidRPr="00AC52D4" w:rsidRDefault="0078142D" w:rsidP="0078142D">
      <w:pPr>
        <w:pStyle w:val="ListParagraph"/>
        <w:numPr>
          <w:ilvl w:val="0"/>
          <w:numId w:val="24"/>
        </w:numPr>
        <w:jc w:val="left"/>
        <w:rPr>
          <w:rFonts w:ascii="Arial" w:hAnsi="Arial" w:cs="Arial"/>
        </w:rPr>
      </w:pPr>
      <w:r w:rsidRPr="00AC52D4">
        <w:rPr>
          <w:rFonts w:ascii="Arial" w:hAnsi="Arial" w:cs="Arial"/>
        </w:rPr>
        <w:t>Deprecation</w:t>
      </w:r>
    </w:p>
    <w:p w14:paraId="24F137BD" w14:textId="77777777" w:rsidR="0078142D" w:rsidRPr="00AC52D4" w:rsidRDefault="0078142D" w:rsidP="0078142D">
      <w:pPr>
        <w:pStyle w:val="ListParagraph"/>
        <w:numPr>
          <w:ilvl w:val="0"/>
          <w:numId w:val="24"/>
        </w:numPr>
        <w:jc w:val="left"/>
        <w:rPr>
          <w:rFonts w:ascii="Arial" w:hAnsi="Arial" w:cs="Arial"/>
        </w:rPr>
      </w:pPr>
      <w:r w:rsidRPr="00AC52D4">
        <w:rPr>
          <w:rFonts w:ascii="Arial" w:hAnsi="Arial" w:cs="Arial"/>
        </w:rPr>
        <w:t xml:space="preserve">Impairment </w:t>
      </w:r>
    </w:p>
    <w:p w14:paraId="54F41477" w14:textId="77777777" w:rsidR="0078142D" w:rsidRPr="00AC52D4" w:rsidRDefault="0078142D" w:rsidP="0078142D">
      <w:pPr>
        <w:pStyle w:val="ListParagraph"/>
        <w:numPr>
          <w:ilvl w:val="0"/>
          <w:numId w:val="24"/>
        </w:numPr>
        <w:jc w:val="left"/>
        <w:rPr>
          <w:rFonts w:ascii="Arial" w:hAnsi="Arial" w:cs="Arial"/>
        </w:rPr>
      </w:pPr>
      <w:r w:rsidRPr="00AC52D4">
        <w:rPr>
          <w:rFonts w:ascii="Arial" w:hAnsi="Arial" w:cs="Arial"/>
        </w:rPr>
        <w:t>IFRS implication</w:t>
      </w:r>
    </w:p>
    <w:p w14:paraId="32C20C06" w14:textId="77777777" w:rsidR="0078142D" w:rsidRPr="00AC52D4" w:rsidRDefault="0078142D" w:rsidP="0078142D">
      <w:pPr>
        <w:jc w:val="left"/>
        <w:rPr>
          <w:rFonts w:ascii="Arial" w:hAnsi="Arial" w:cs="Arial"/>
        </w:rPr>
      </w:pPr>
    </w:p>
    <w:p w14:paraId="59540025" w14:textId="77777777" w:rsidR="0078142D" w:rsidRDefault="0078142D" w:rsidP="0078142D">
      <w:pPr>
        <w:jc w:val="left"/>
        <w:rPr>
          <w:rFonts w:ascii="Arial" w:hAnsi="Arial" w:cs="Arial"/>
        </w:rPr>
      </w:pPr>
      <w:r w:rsidRPr="00AC52D4">
        <w:rPr>
          <w:rFonts w:ascii="Arial" w:hAnsi="Arial" w:cs="Arial"/>
        </w:rPr>
        <w:lastRenderedPageBreak/>
        <w:t>The funding for impairment and depreciation for the building has not currently been finalised for the building works as this will be dependent on the value of impairment on completion which will</w:t>
      </w:r>
      <w:r>
        <w:rPr>
          <w:rFonts w:ascii="Arial" w:hAnsi="Arial" w:cs="Arial"/>
        </w:rPr>
        <w:t xml:space="preserve"> not be known until </w:t>
      </w:r>
      <w:r w:rsidR="00EF2D0A">
        <w:rPr>
          <w:rFonts w:ascii="Arial" w:hAnsi="Arial" w:cs="Arial"/>
        </w:rPr>
        <w:t xml:space="preserve">March </w:t>
      </w:r>
      <w:r>
        <w:rPr>
          <w:rFonts w:ascii="Arial" w:hAnsi="Arial" w:cs="Arial"/>
        </w:rPr>
        <w:t>202</w:t>
      </w:r>
      <w:r w:rsidR="00EF2D0A">
        <w:rPr>
          <w:rFonts w:ascii="Arial" w:hAnsi="Arial" w:cs="Arial"/>
        </w:rPr>
        <w:t>5</w:t>
      </w:r>
      <w:r w:rsidRPr="00AC52D4">
        <w:rPr>
          <w:rFonts w:ascii="Arial" w:hAnsi="Arial" w:cs="Arial"/>
        </w:rPr>
        <w:t xml:space="preserve"> for </w:t>
      </w:r>
      <w:r w:rsidR="00260912">
        <w:rPr>
          <w:rFonts w:ascii="Arial" w:hAnsi="Arial" w:cs="Arial"/>
        </w:rPr>
        <w:t>P</w:t>
      </w:r>
      <w:r w:rsidRPr="00AC52D4">
        <w:rPr>
          <w:rFonts w:ascii="Arial" w:hAnsi="Arial" w:cs="Arial"/>
        </w:rPr>
        <w:t xml:space="preserve">hase </w:t>
      </w:r>
      <w:r w:rsidR="00260912">
        <w:rPr>
          <w:rFonts w:ascii="Arial" w:hAnsi="Arial" w:cs="Arial"/>
        </w:rPr>
        <w:t>T</w:t>
      </w:r>
      <w:r>
        <w:rPr>
          <w:rFonts w:ascii="Arial" w:hAnsi="Arial" w:cs="Arial"/>
        </w:rPr>
        <w:t>wo</w:t>
      </w:r>
      <w:r w:rsidR="004474F0">
        <w:rPr>
          <w:rFonts w:ascii="Arial" w:hAnsi="Arial" w:cs="Arial"/>
        </w:rPr>
        <w:t xml:space="preserve"> </w:t>
      </w:r>
      <w:r w:rsidR="00260912">
        <w:rPr>
          <w:rFonts w:ascii="Arial" w:hAnsi="Arial" w:cs="Arial"/>
        </w:rPr>
        <w:t>S</w:t>
      </w:r>
      <w:r w:rsidR="004474F0">
        <w:rPr>
          <w:rFonts w:ascii="Arial" w:hAnsi="Arial" w:cs="Arial"/>
        </w:rPr>
        <w:t xml:space="preserve">urgical </w:t>
      </w:r>
      <w:r w:rsidR="00260912">
        <w:rPr>
          <w:rFonts w:ascii="Arial" w:hAnsi="Arial" w:cs="Arial"/>
        </w:rPr>
        <w:t>C</w:t>
      </w:r>
      <w:r w:rsidR="004474F0">
        <w:rPr>
          <w:rFonts w:ascii="Arial" w:hAnsi="Arial" w:cs="Arial"/>
        </w:rPr>
        <w:t>entre new build</w:t>
      </w:r>
      <w:r w:rsidRPr="00AC52D4">
        <w:rPr>
          <w:rFonts w:ascii="Arial" w:hAnsi="Arial" w:cs="Arial"/>
        </w:rPr>
        <w:t xml:space="preserve">.  </w:t>
      </w:r>
      <w:r w:rsidR="004474F0">
        <w:rPr>
          <w:rFonts w:ascii="Arial" w:hAnsi="Arial" w:cs="Arial"/>
        </w:rPr>
        <w:t xml:space="preserve">NHS Golden Jubilee </w:t>
      </w:r>
      <w:r w:rsidR="008C2998">
        <w:rPr>
          <w:rFonts w:ascii="Arial" w:hAnsi="Arial" w:cs="Arial"/>
        </w:rPr>
        <w:t xml:space="preserve">staff </w:t>
      </w:r>
      <w:r w:rsidR="008C2998" w:rsidRPr="00AC52D4">
        <w:rPr>
          <w:rFonts w:ascii="Arial" w:hAnsi="Arial" w:cs="Arial"/>
        </w:rPr>
        <w:t>will</w:t>
      </w:r>
      <w:r w:rsidR="008C2998">
        <w:rPr>
          <w:rFonts w:ascii="Arial" w:hAnsi="Arial" w:cs="Arial"/>
        </w:rPr>
        <w:t xml:space="preserve"> </w:t>
      </w:r>
      <w:r w:rsidR="008C2998" w:rsidRPr="00AC52D4">
        <w:rPr>
          <w:rFonts w:ascii="Arial" w:hAnsi="Arial" w:cs="Arial"/>
        </w:rPr>
        <w:t>meet</w:t>
      </w:r>
      <w:r w:rsidR="009F7880">
        <w:rPr>
          <w:rFonts w:ascii="Arial" w:hAnsi="Arial" w:cs="Arial"/>
        </w:rPr>
        <w:t xml:space="preserve"> with </w:t>
      </w:r>
      <w:r w:rsidR="008C2998">
        <w:rPr>
          <w:rFonts w:ascii="Arial" w:hAnsi="Arial" w:cs="Arial"/>
        </w:rPr>
        <w:t>our Valuers</w:t>
      </w:r>
      <w:r>
        <w:rPr>
          <w:rFonts w:ascii="Arial" w:hAnsi="Arial" w:cs="Arial"/>
        </w:rPr>
        <w:t xml:space="preserve"> </w:t>
      </w:r>
      <w:r w:rsidRPr="00AC52D4">
        <w:rPr>
          <w:rFonts w:ascii="Arial" w:hAnsi="Arial" w:cs="Arial"/>
        </w:rPr>
        <w:t xml:space="preserve">to discuss likely </w:t>
      </w:r>
      <w:r w:rsidR="004474F0">
        <w:rPr>
          <w:rFonts w:ascii="Arial" w:hAnsi="Arial" w:cs="Arial"/>
        </w:rPr>
        <w:t xml:space="preserve">impairment </w:t>
      </w:r>
      <w:r w:rsidR="008C2998">
        <w:rPr>
          <w:rFonts w:ascii="Arial" w:hAnsi="Arial" w:cs="Arial"/>
        </w:rPr>
        <w:t xml:space="preserve">levels </w:t>
      </w:r>
      <w:r w:rsidR="008C2998" w:rsidRPr="00AC52D4">
        <w:rPr>
          <w:rFonts w:ascii="Arial" w:hAnsi="Arial" w:cs="Arial"/>
        </w:rPr>
        <w:t>for</w:t>
      </w:r>
      <w:r w:rsidRPr="00AC52D4">
        <w:rPr>
          <w:rFonts w:ascii="Arial" w:hAnsi="Arial" w:cs="Arial"/>
        </w:rPr>
        <w:t xml:space="preserve"> </w:t>
      </w:r>
      <w:r w:rsidR="00260912">
        <w:rPr>
          <w:rFonts w:ascii="Arial" w:hAnsi="Arial" w:cs="Arial"/>
        </w:rPr>
        <w:t>P</w:t>
      </w:r>
      <w:r w:rsidRPr="00AC52D4">
        <w:rPr>
          <w:rFonts w:ascii="Arial" w:hAnsi="Arial" w:cs="Arial"/>
        </w:rPr>
        <w:t xml:space="preserve">hase </w:t>
      </w:r>
      <w:r w:rsidR="00260912">
        <w:rPr>
          <w:rFonts w:ascii="Arial" w:hAnsi="Arial" w:cs="Arial"/>
        </w:rPr>
        <w:t>T</w:t>
      </w:r>
      <w:r>
        <w:rPr>
          <w:rFonts w:ascii="Arial" w:hAnsi="Arial" w:cs="Arial"/>
        </w:rPr>
        <w:t>wo work</w:t>
      </w:r>
      <w:r w:rsidR="004474F0">
        <w:rPr>
          <w:rFonts w:ascii="Arial" w:hAnsi="Arial" w:cs="Arial"/>
        </w:rPr>
        <w:t>s completed to date.</w:t>
      </w:r>
      <w:r w:rsidRPr="00AC52D4">
        <w:rPr>
          <w:rFonts w:ascii="Arial" w:hAnsi="Arial" w:cs="Arial"/>
        </w:rPr>
        <w:t xml:space="preserve">  </w:t>
      </w:r>
      <w:r w:rsidR="00EF2D0A">
        <w:rPr>
          <w:rFonts w:ascii="Arial" w:hAnsi="Arial" w:cs="Arial"/>
        </w:rPr>
        <w:t xml:space="preserve">It is expected this will be resolved in 2024-25 and will not be factored into this revised 3 year </w:t>
      </w:r>
      <w:r w:rsidR="00260912">
        <w:rPr>
          <w:rFonts w:ascii="Arial" w:hAnsi="Arial" w:cs="Arial"/>
        </w:rPr>
        <w:t>F</w:t>
      </w:r>
      <w:r w:rsidR="00EF2D0A">
        <w:rPr>
          <w:rFonts w:ascii="Arial" w:hAnsi="Arial" w:cs="Arial"/>
        </w:rPr>
        <w:t xml:space="preserve">inancial </w:t>
      </w:r>
      <w:r w:rsidR="00260912">
        <w:rPr>
          <w:rFonts w:ascii="Arial" w:hAnsi="Arial" w:cs="Arial"/>
        </w:rPr>
        <w:t>P</w:t>
      </w:r>
      <w:r w:rsidR="00EF2D0A">
        <w:rPr>
          <w:rFonts w:ascii="Arial" w:hAnsi="Arial" w:cs="Arial"/>
        </w:rPr>
        <w:t>lan.</w:t>
      </w:r>
    </w:p>
    <w:p w14:paraId="06966D9A" w14:textId="77777777" w:rsidR="0078142D" w:rsidRPr="00AC52D4" w:rsidRDefault="0078142D" w:rsidP="0078142D">
      <w:pPr>
        <w:jc w:val="left"/>
        <w:rPr>
          <w:rFonts w:ascii="Arial" w:hAnsi="Arial" w:cs="Arial"/>
        </w:rPr>
      </w:pPr>
    </w:p>
    <w:p w14:paraId="53F75E79" w14:textId="77777777" w:rsidR="0078142D" w:rsidRPr="00AC52D4" w:rsidRDefault="0078142D" w:rsidP="0078142D">
      <w:pPr>
        <w:jc w:val="left"/>
        <w:rPr>
          <w:rFonts w:ascii="Arial" w:hAnsi="Arial" w:cs="Arial"/>
        </w:rPr>
      </w:pPr>
      <w:r w:rsidRPr="00AC52D4">
        <w:rPr>
          <w:rFonts w:ascii="Arial" w:hAnsi="Arial" w:cs="Arial"/>
        </w:rPr>
        <w:t>The depreciation for the equipment will be updated following the actual procurement of the items which is phased for both projects.</w:t>
      </w:r>
      <w:r w:rsidR="004A5EAB">
        <w:rPr>
          <w:rFonts w:ascii="Arial" w:hAnsi="Arial" w:cs="Arial"/>
        </w:rPr>
        <w:t xml:space="preserve">  We will not know the associated depreciation for the building until competition of the project and the valuation has been undertaken.</w:t>
      </w:r>
    </w:p>
    <w:p w14:paraId="53F02445" w14:textId="77777777" w:rsidR="0078142D" w:rsidRPr="00AC52D4" w:rsidRDefault="0078142D" w:rsidP="0078142D">
      <w:pPr>
        <w:jc w:val="left"/>
        <w:rPr>
          <w:rFonts w:ascii="Arial" w:hAnsi="Arial" w:cs="Arial"/>
        </w:rPr>
      </w:pPr>
    </w:p>
    <w:p w14:paraId="3EAC3C84" w14:textId="77777777" w:rsidR="0078142D" w:rsidRPr="00D03850" w:rsidRDefault="0078142D" w:rsidP="0078142D">
      <w:pPr>
        <w:jc w:val="left"/>
        <w:rPr>
          <w:rFonts w:ascii="Arial" w:hAnsi="Arial" w:cs="Arial"/>
        </w:rPr>
      </w:pPr>
      <w:r w:rsidRPr="00AC52D4">
        <w:rPr>
          <w:rFonts w:ascii="Arial" w:hAnsi="Arial" w:cs="Arial"/>
        </w:rPr>
        <w:t>The non-core funding associated with the implementation of IFRS 16 is as submitted in the return to SG.</w:t>
      </w:r>
    </w:p>
    <w:p w14:paraId="709A586F" w14:textId="77777777" w:rsidR="0078142D" w:rsidRDefault="0078142D" w:rsidP="002C5AB8">
      <w:pPr>
        <w:rPr>
          <w:rFonts w:ascii="Arial" w:hAnsi="Arial" w:cs="Arial"/>
          <w:lang w:val="en-GB"/>
        </w:rPr>
      </w:pPr>
    </w:p>
    <w:p w14:paraId="6C3F9B46" w14:textId="4647941A" w:rsidR="0078142D" w:rsidRDefault="0078142D" w:rsidP="002C5AB8">
      <w:pPr>
        <w:rPr>
          <w:rFonts w:ascii="Arial" w:hAnsi="Arial" w:cs="Arial"/>
          <w:lang w:val="en-GB"/>
        </w:rPr>
      </w:pPr>
    </w:p>
    <w:p w14:paraId="4309731A" w14:textId="22F2C2FE" w:rsidR="00DD49DA" w:rsidRDefault="00DD49DA" w:rsidP="002C5AB8">
      <w:pPr>
        <w:rPr>
          <w:rFonts w:ascii="Arial" w:hAnsi="Arial" w:cs="Arial"/>
          <w:lang w:val="en-GB"/>
        </w:rPr>
      </w:pPr>
    </w:p>
    <w:p w14:paraId="562F5F51" w14:textId="01EDF314" w:rsidR="00DD49DA" w:rsidRDefault="00DD49DA" w:rsidP="002C5AB8">
      <w:pPr>
        <w:rPr>
          <w:rFonts w:ascii="Arial" w:hAnsi="Arial" w:cs="Arial"/>
          <w:lang w:val="en-GB"/>
        </w:rPr>
      </w:pPr>
    </w:p>
    <w:p w14:paraId="20930296" w14:textId="19EC3D33" w:rsidR="00DD49DA" w:rsidRDefault="00DD49DA" w:rsidP="002C5AB8">
      <w:pPr>
        <w:rPr>
          <w:rFonts w:ascii="Arial" w:hAnsi="Arial" w:cs="Arial"/>
          <w:lang w:val="en-GB"/>
        </w:rPr>
      </w:pPr>
    </w:p>
    <w:p w14:paraId="16F4807B" w14:textId="4BE05707" w:rsidR="00DD49DA" w:rsidRDefault="00DD49DA" w:rsidP="002C5AB8">
      <w:pPr>
        <w:rPr>
          <w:rFonts w:ascii="Arial" w:hAnsi="Arial" w:cs="Arial"/>
          <w:lang w:val="en-GB"/>
        </w:rPr>
      </w:pPr>
    </w:p>
    <w:p w14:paraId="78777577" w14:textId="2954E494" w:rsidR="00DD49DA" w:rsidRDefault="00DD49DA" w:rsidP="002C5AB8">
      <w:pPr>
        <w:rPr>
          <w:rFonts w:ascii="Arial" w:hAnsi="Arial" w:cs="Arial"/>
          <w:lang w:val="en-GB"/>
        </w:rPr>
      </w:pPr>
    </w:p>
    <w:p w14:paraId="38D1D982" w14:textId="30B53347" w:rsidR="00DD49DA" w:rsidRDefault="00DD49DA" w:rsidP="002C5AB8">
      <w:pPr>
        <w:rPr>
          <w:rFonts w:ascii="Arial" w:hAnsi="Arial" w:cs="Arial"/>
          <w:lang w:val="en-GB"/>
        </w:rPr>
      </w:pPr>
    </w:p>
    <w:p w14:paraId="327CFEDD" w14:textId="3B24B08C" w:rsidR="00DD49DA" w:rsidRDefault="00DD49DA" w:rsidP="002C5AB8">
      <w:pPr>
        <w:rPr>
          <w:rFonts w:ascii="Arial" w:hAnsi="Arial" w:cs="Arial"/>
          <w:lang w:val="en-GB"/>
        </w:rPr>
      </w:pPr>
    </w:p>
    <w:p w14:paraId="0995C6BA" w14:textId="4A13CA04" w:rsidR="00DD49DA" w:rsidRDefault="00DD49DA" w:rsidP="002C5AB8">
      <w:pPr>
        <w:rPr>
          <w:rFonts w:ascii="Arial" w:hAnsi="Arial" w:cs="Arial"/>
          <w:lang w:val="en-GB"/>
        </w:rPr>
      </w:pPr>
    </w:p>
    <w:p w14:paraId="7439C90A" w14:textId="7C8C20F5" w:rsidR="00DD49DA" w:rsidRDefault="00DD49DA" w:rsidP="002C5AB8">
      <w:pPr>
        <w:rPr>
          <w:rFonts w:ascii="Arial" w:hAnsi="Arial" w:cs="Arial"/>
          <w:lang w:val="en-GB"/>
        </w:rPr>
      </w:pPr>
    </w:p>
    <w:p w14:paraId="26D944ED" w14:textId="30962D48" w:rsidR="00DD49DA" w:rsidRDefault="00DD49DA" w:rsidP="002C5AB8">
      <w:pPr>
        <w:rPr>
          <w:rFonts w:ascii="Arial" w:hAnsi="Arial" w:cs="Arial"/>
          <w:lang w:val="en-GB"/>
        </w:rPr>
      </w:pPr>
    </w:p>
    <w:p w14:paraId="0C53EAB7" w14:textId="1375CE17" w:rsidR="00DD49DA" w:rsidRDefault="00DD49DA" w:rsidP="002C5AB8">
      <w:pPr>
        <w:rPr>
          <w:rFonts w:ascii="Arial" w:hAnsi="Arial" w:cs="Arial"/>
          <w:lang w:val="en-GB"/>
        </w:rPr>
      </w:pPr>
    </w:p>
    <w:p w14:paraId="29700220" w14:textId="777B4E7E" w:rsidR="00DD49DA" w:rsidRDefault="00DD49DA" w:rsidP="002C5AB8">
      <w:pPr>
        <w:rPr>
          <w:rFonts w:ascii="Arial" w:hAnsi="Arial" w:cs="Arial"/>
          <w:lang w:val="en-GB"/>
        </w:rPr>
      </w:pPr>
    </w:p>
    <w:p w14:paraId="507F2445" w14:textId="208B444A" w:rsidR="00DD49DA" w:rsidRDefault="00DD49DA" w:rsidP="002C5AB8">
      <w:pPr>
        <w:rPr>
          <w:rFonts w:ascii="Arial" w:hAnsi="Arial" w:cs="Arial"/>
          <w:lang w:val="en-GB"/>
        </w:rPr>
      </w:pPr>
    </w:p>
    <w:p w14:paraId="19C79391" w14:textId="6BA01830" w:rsidR="00DD49DA" w:rsidRDefault="00DD49DA" w:rsidP="002C5AB8">
      <w:pPr>
        <w:rPr>
          <w:rFonts w:ascii="Arial" w:hAnsi="Arial" w:cs="Arial"/>
          <w:lang w:val="en-GB"/>
        </w:rPr>
      </w:pPr>
    </w:p>
    <w:p w14:paraId="77CCE511" w14:textId="6245232C" w:rsidR="00DD49DA" w:rsidRDefault="00DD49DA" w:rsidP="002C5AB8">
      <w:pPr>
        <w:rPr>
          <w:rFonts w:ascii="Arial" w:hAnsi="Arial" w:cs="Arial"/>
          <w:lang w:val="en-GB"/>
        </w:rPr>
      </w:pPr>
    </w:p>
    <w:p w14:paraId="116332A4" w14:textId="7E3120A3" w:rsidR="00DD49DA" w:rsidRDefault="00DD49DA" w:rsidP="002C5AB8">
      <w:pPr>
        <w:rPr>
          <w:rFonts w:ascii="Arial" w:hAnsi="Arial" w:cs="Arial"/>
          <w:lang w:val="en-GB"/>
        </w:rPr>
      </w:pPr>
    </w:p>
    <w:p w14:paraId="3DBE10A4" w14:textId="7E69507B" w:rsidR="00DD49DA" w:rsidRDefault="00DD49DA" w:rsidP="002C5AB8">
      <w:pPr>
        <w:rPr>
          <w:rFonts w:ascii="Arial" w:hAnsi="Arial" w:cs="Arial"/>
          <w:lang w:val="en-GB"/>
        </w:rPr>
      </w:pPr>
    </w:p>
    <w:p w14:paraId="29416C4E" w14:textId="02DCDE68" w:rsidR="00DD49DA" w:rsidRDefault="00DD49DA" w:rsidP="002C5AB8">
      <w:pPr>
        <w:rPr>
          <w:rFonts w:ascii="Arial" w:hAnsi="Arial" w:cs="Arial"/>
          <w:lang w:val="en-GB"/>
        </w:rPr>
      </w:pPr>
    </w:p>
    <w:p w14:paraId="6E4CE7FD" w14:textId="38C6E28F" w:rsidR="00DD49DA" w:rsidRDefault="00DD49DA" w:rsidP="002C5AB8">
      <w:pPr>
        <w:rPr>
          <w:rFonts w:ascii="Arial" w:hAnsi="Arial" w:cs="Arial"/>
          <w:lang w:val="en-GB"/>
        </w:rPr>
      </w:pPr>
    </w:p>
    <w:p w14:paraId="40EE49F6" w14:textId="3F32BB6E" w:rsidR="00DD49DA" w:rsidRDefault="00DD49DA" w:rsidP="002C5AB8">
      <w:pPr>
        <w:rPr>
          <w:rFonts w:ascii="Arial" w:hAnsi="Arial" w:cs="Arial"/>
          <w:lang w:val="en-GB"/>
        </w:rPr>
      </w:pPr>
    </w:p>
    <w:p w14:paraId="184D40C2" w14:textId="16B39B61" w:rsidR="00DD49DA" w:rsidRDefault="00DD49DA" w:rsidP="002C5AB8">
      <w:pPr>
        <w:rPr>
          <w:rFonts w:ascii="Arial" w:hAnsi="Arial" w:cs="Arial"/>
          <w:lang w:val="en-GB"/>
        </w:rPr>
      </w:pPr>
    </w:p>
    <w:p w14:paraId="035C886C" w14:textId="7379239D" w:rsidR="00DD49DA" w:rsidRDefault="00DD49DA" w:rsidP="002C5AB8">
      <w:pPr>
        <w:rPr>
          <w:rFonts w:ascii="Arial" w:hAnsi="Arial" w:cs="Arial"/>
          <w:lang w:val="en-GB"/>
        </w:rPr>
      </w:pPr>
    </w:p>
    <w:p w14:paraId="09583F24" w14:textId="3CB2F6A4" w:rsidR="00DD49DA" w:rsidRDefault="00DD49DA" w:rsidP="002C5AB8">
      <w:pPr>
        <w:rPr>
          <w:rFonts w:ascii="Arial" w:hAnsi="Arial" w:cs="Arial"/>
          <w:lang w:val="en-GB"/>
        </w:rPr>
      </w:pPr>
    </w:p>
    <w:p w14:paraId="38ACD349" w14:textId="66638933" w:rsidR="00DD49DA" w:rsidRDefault="00DD49DA" w:rsidP="002C5AB8">
      <w:pPr>
        <w:rPr>
          <w:rFonts w:ascii="Arial" w:hAnsi="Arial" w:cs="Arial"/>
          <w:lang w:val="en-GB"/>
        </w:rPr>
      </w:pPr>
    </w:p>
    <w:p w14:paraId="13936324" w14:textId="75C51D82" w:rsidR="00DD49DA" w:rsidRDefault="00DD49DA" w:rsidP="002C5AB8">
      <w:pPr>
        <w:rPr>
          <w:rFonts w:ascii="Arial" w:hAnsi="Arial" w:cs="Arial"/>
          <w:lang w:val="en-GB"/>
        </w:rPr>
      </w:pPr>
    </w:p>
    <w:p w14:paraId="260A0CD3" w14:textId="3710E3F9" w:rsidR="00DD49DA" w:rsidRDefault="00DD49DA" w:rsidP="002C5AB8">
      <w:pPr>
        <w:rPr>
          <w:rFonts w:ascii="Arial" w:hAnsi="Arial" w:cs="Arial"/>
          <w:lang w:val="en-GB"/>
        </w:rPr>
      </w:pPr>
    </w:p>
    <w:p w14:paraId="1E0693E3" w14:textId="3F8DA225" w:rsidR="00DD49DA" w:rsidRDefault="00DD49DA" w:rsidP="002C5AB8">
      <w:pPr>
        <w:rPr>
          <w:rFonts w:ascii="Arial" w:hAnsi="Arial" w:cs="Arial"/>
          <w:lang w:val="en-GB"/>
        </w:rPr>
      </w:pPr>
    </w:p>
    <w:p w14:paraId="37922D39" w14:textId="0CB4CBD9" w:rsidR="00DD49DA" w:rsidRDefault="00DD49DA" w:rsidP="002C5AB8">
      <w:pPr>
        <w:rPr>
          <w:rFonts w:ascii="Arial" w:hAnsi="Arial" w:cs="Arial"/>
          <w:lang w:val="en-GB"/>
        </w:rPr>
      </w:pPr>
    </w:p>
    <w:p w14:paraId="0EFCFB6F" w14:textId="17521AF2" w:rsidR="00DD49DA" w:rsidRDefault="00DD49DA" w:rsidP="002C5AB8">
      <w:pPr>
        <w:rPr>
          <w:rFonts w:ascii="Arial" w:hAnsi="Arial" w:cs="Arial"/>
          <w:lang w:val="en-GB"/>
        </w:rPr>
      </w:pPr>
    </w:p>
    <w:p w14:paraId="43E06F3C" w14:textId="473DFF04" w:rsidR="00DD49DA" w:rsidRDefault="00DD49DA" w:rsidP="002C5AB8">
      <w:pPr>
        <w:rPr>
          <w:rFonts w:ascii="Arial" w:hAnsi="Arial" w:cs="Arial"/>
          <w:lang w:val="en-GB"/>
        </w:rPr>
      </w:pPr>
    </w:p>
    <w:p w14:paraId="306D1F49" w14:textId="42E39F5F" w:rsidR="00DD49DA" w:rsidRDefault="00DD49DA" w:rsidP="002C5AB8">
      <w:pPr>
        <w:rPr>
          <w:rFonts w:ascii="Arial" w:hAnsi="Arial" w:cs="Arial"/>
          <w:lang w:val="en-GB"/>
        </w:rPr>
      </w:pPr>
    </w:p>
    <w:p w14:paraId="3165D947" w14:textId="214E1ADE" w:rsidR="00DD49DA" w:rsidRDefault="00DD49DA" w:rsidP="002C5AB8">
      <w:pPr>
        <w:rPr>
          <w:rFonts w:ascii="Arial" w:hAnsi="Arial" w:cs="Arial"/>
          <w:lang w:val="en-GB"/>
        </w:rPr>
      </w:pPr>
    </w:p>
    <w:p w14:paraId="4C69803A" w14:textId="31F2DA21" w:rsidR="00DD49DA" w:rsidRDefault="00DD49DA" w:rsidP="002C5AB8">
      <w:pPr>
        <w:rPr>
          <w:rFonts w:ascii="Arial" w:hAnsi="Arial" w:cs="Arial"/>
          <w:lang w:val="en-GB"/>
        </w:rPr>
      </w:pPr>
    </w:p>
    <w:p w14:paraId="7ACB0A41" w14:textId="24FC6601" w:rsidR="00DD49DA" w:rsidRPr="00DD49DA" w:rsidRDefault="00DD49DA" w:rsidP="002C5AB8">
      <w:pPr>
        <w:rPr>
          <w:rFonts w:ascii="Arial" w:hAnsi="Arial" w:cs="Arial"/>
          <w:b/>
          <w:sz w:val="20"/>
          <w:szCs w:val="20"/>
          <w:u w:val="single"/>
          <w:lang w:val="en-GB"/>
        </w:rPr>
      </w:pPr>
      <w:r w:rsidRPr="00DD49DA">
        <w:rPr>
          <w:rFonts w:ascii="Arial" w:hAnsi="Arial" w:cs="Arial"/>
          <w:b/>
          <w:sz w:val="20"/>
          <w:szCs w:val="20"/>
          <w:u w:val="single"/>
          <w:lang w:val="en-GB"/>
        </w:rPr>
        <w:lastRenderedPageBreak/>
        <w:t>Appendix A – Breakdown of Total Income and Expenditure within the Financial Plan</w:t>
      </w:r>
    </w:p>
    <w:p w14:paraId="655E180E" w14:textId="78021236" w:rsidR="00DD49DA" w:rsidRPr="00DD49DA" w:rsidRDefault="00DD49DA" w:rsidP="002C5AB8">
      <w:pPr>
        <w:rPr>
          <w:rFonts w:ascii="Arial" w:hAnsi="Arial" w:cs="Arial"/>
          <w:b/>
          <w:lang w:val="en-GB"/>
        </w:rPr>
      </w:pPr>
      <w:r w:rsidRPr="00DD49DA">
        <w:rPr>
          <w:rFonts w:ascii="Arial" w:hAnsi="Arial" w:cs="Arial"/>
          <w:b/>
          <w:lang w:val="en-GB"/>
        </w:rPr>
        <w:t>TOTAL INCOME</w:t>
      </w:r>
    </w:p>
    <w:p w14:paraId="4C7E2168" w14:textId="3C6556FA" w:rsidR="00DD49DA" w:rsidRDefault="00DD49DA" w:rsidP="002C5AB8">
      <w:pPr>
        <w:rPr>
          <w:rFonts w:ascii="Arial" w:hAnsi="Arial" w:cs="Arial"/>
          <w:lang w:val="en-GB"/>
        </w:rPr>
      </w:pPr>
      <w:r w:rsidRPr="00DD49DA">
        <w:rPr>
          <w:noProof/>
          <w:lang w:val="en-GB" w:eastAsia="en-GB" w:bidi="ar-SA"/>
        </w:rPr>
        <w:drawing>
          <wp:inline distT="0" distB="0" distL="0" distR="0" wp14:anchorId="25C1631E" wp14:editId="50AD85D3">
            <wp:extent cx="5810250" cy="81826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2806" cy="8200293"/>
                    </a:xfrm>
                    <a:prstGeom prst="rect">
                      <a:avLst/>
                    </a:prstGeom>
                    <a:noFill/>
                    <a:ln>
                      <a:noFill/>
                    </a:ln>
                  </pic:spPr>
                </pic:pic>
              </a:graphicData>
            </a:graphic>
          </wp:inline>
        </w:drawing>
      </w:r>
    </w:p>
    <w:p w14:paraId="16C68B5E" w14:textId="526E7E5B" w:rsidR="00DD49DA" w:rsidRDefault="00DD49DA" w:rsidP="002C5AB8">
      <w:pPr>
        <w:rPr>
          <w:rFonts w:ascii="Arial" w:hAnsi="Arial" w:cs="Arial"/>
          <w:lang w:val="en-GB"/>
        </w:rPr>
      </w:pPr>
    </w:p>
    <w:p w14:paraId="73F23CFA" w14:textId="2E6CE5B4" w:rsidR="00DD49DA" w:rsidRDefault="00DD49DA" w:rsidP="002C5AB8">
      <w:pPr>
        <w:rPr>
          <w:rFonts w:ascii="Arial" w:hAnsi="Arial" w:cs="Arial"/>
          <w:lang w:val="en-GB"/>
        </w:rPr>
      </w:pPr>
    </w:p>
    <w:p w14:paraId="259B7CE1" w14:textId="77777777" w:rsidR="00DD49DA" w:rsidRPr="00DD49DA" w:rsidRDefault="00DD49DA" w:rsidP="00DD49DA">
      <w:pPr>
        <w:rPr>
          <w:rFonts w:ascii="Arial" w:hAnsi="Arial" w:cs="Arial"/>
          <w:b/>
          <w:sz w:val="20"/>
          <w:szCs w:val="20"/>
          <w:u w:val="single"/>
          <w:lang w:val="en-GB"/>
        </w:rPr>
      </w:pPr>
      <w:r w:rsidRPr="00DD49DA">
        <w:rPr>
          <w:rFonts w:ascii="Arial" w:hAnsi="Arial" w:cs="Arial"/>
          <w:b/>
          <w:sz w:val="20"/>
          <w:szCs w:val="20"/>
          <w:u w:val="single"/>
          <w:lang w:val="en-GB"/>
        </w:rPr>
        <w:lastRenderedPageBreak/>
        <w:t>Appendix A – Breakdown of Total Income and Expenditure within the Financial Plan</w:t>
      </w:r>
    </w:p>
    <w:p w14:paraId="22B50488" w14:textId="4087FC8C" w:rsidR="00DD49DA" w:rsidRPr="00DD49DA" w:rsidRDefault="00DD49DA" w:rsidP="00DD49DA">
      <w:pPr>
        <w:rPr>
          <w:rFonts w:ascii="Arial" w:hAnsi="Arial" w:cs="Arial"/>
          <w:b/>
          <w:lang w:val="en-GB"/>
        </w:rPr>
      </w:pPr>
      <w:r w:rsidRPr="00DD49DA">
        <w:rPr>
          <w:rFonts w:ascii="Arial" w:hAnsi="Arial" w:cs="Arial"/>
          <w:b/>
          <w:lang w:val="en-GB"/>
        </w:rPr>
        <w:t>TOTAL EXPENDITURE</w:t>
      </w:r>
    </w:p>
    <w:p w14:paraId="3BF05C5A" w14:textId="1173DCA5" w:rsidR="00DD49DA" w:rsidRDefault="00783926" w:rsidP="00DD49DA">
      <w:pPr>
        <w:rPr>
          <w:rFonts w:ascii="Arial" w:hAnsi="Arial" w:cs="Arial"/>
          <w:lang w:val="en-GB"/>
        </w:rPr>
      </w:pPr>
      <w:r w:rsidRPr="00783926">
        <w:rPr>
          <w:noProof/>
          <w:lang w:val="en-GB" w:eastAsia="en-GB" w:bidi="ar-SA"/>
        </w:rPr>
        <w:drawing>
          <wp:inline distT="0" distB="0" distL="0" distR="0" wp14:anchorId="7ED8FFF9" wp14:editId="55D55CBD">
            <wp:extent cx="5731510" cy="790970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7909704"/>
                    </a:xfrm>
                    <a:prstGeom prst="rect">
                      <a:avLst/>
                    </a:prstGeom>
                    <a:noFill/>
                    <a:ln>
                      <a:noFill/>
                    </a:ln>
                  </pic:spPr>
                </pic:pic>
              </a:graphicData>
            </a:graphic>
          </wp:inline>
        </w:drawing>
      </w:r>
    </w:p>
    <w:sectPr w:rsidR="00DD49DA" w:rsidSect="00B04853">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D86F9" w14:textId="77777777" w:rsidR="00006ADC" w:rsidRDefault="00006ADC" w:rsidP="00A715E4">
      <w:r>
        <w:separator/>
      </w:r>
    </w:p>
  </w:endnote>
  <w:endnote w:type="continuationSeparator" w:id="0">
    <w:p w14:paraId="78D267D9" w14:textId="77777777" w:rsidR="00006ADC" w:rsidRDefault="00006ADC" w:rsidP="00A71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282764"/>
      <w:docPartObj>
        <w:docPartGallery w:val="Page Numbers (Bottom of Page)"/>
        <w:docPartUnique/>
      </w:docPartObj>
    </w:sdtPr>
    <w:sdtEndPr>
      <w:rPr>
        <w:noProof/>
      </w:rPr>
    </w:sdtEndPr>
    <w:sdtContent>
      <w:p w14:paraId="4590FDAD" w14:textId="17EF780A" w:rsidR="00D70815" w:rsidRDefault="00D70815">
        <w:pPr>
          <w:pStyle w:val="Footer"/>
          <w:jc w:val="center"/>
        </w:pPr>
        <w:r>
          <w:fldChar w:fldCharType="begin"/>
        </w:r>
        <w:r>
          <w:instrText xml:space="preserve"> PAGE   \* MERGEFORMAT </w:instrText>
        </w:r>
        <w:r>
          <w:fldChar w:fldCharType="separate"/>
        </w:r>
        <w:r w:rsidR="00A11A6E">
          <w:rPr>
            <w:noProof/>
          </w:rPr>
          <w:t>1</w:t>
        </w:r>
        <w:r>
          <w:rPr>
            <w:noProof/>
          </w:rPr>
          <w:fldChar w:fldCharType="end"/>
        </w:r>
      </w:p>
    </w:sdtContent>
  </w:sdt>
  <w:p w14:paraId="6660AE1C" w14:textId="77777777" w:rsidR="00D70815" w:rsidRDefault="00D70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6E3E6" w14:textId="77777777" w:rsidR="00006ADC" w:rsidRDefault="00006ADC" w:rsidP="00A715E4">
      <w:r>
        <w:separator/>
      </w:r>
    </w:p>
  </w:footnote>
  <w:footnote w:type="continuationSeparator" w:id="0">
    <w:p w14:paraId="1AE31DCE" w14:textId="77777777" w:rsidR="00006ADC" w:rsidRDefault="00006ADC" w:rsidP="00A71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D6948" w14:textId="0322B09C" w:rsidR="00D649C5" w:rsidRDefault="00D649C5">
    <w:pPr>
      <w:pStyle w:val="Header"/>
    </w:pPr>
    <w:r>
      <w:tab/>
    </w:r>
    <w:r>
      <w:tab/>
      <w:t xml:space="preserve">Item </w:t>
    </w:r>
    <w:r w:rsidR="00A11A6E">
      <w:t>3.4.5</w:t>
    </w:r>
    <w:r>
      <w:t>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4CB0"/>
    <w:multiLevelType w:val="hybridMultilevel"/>
    <w:tmpl w:val="4608ECDA"/>
    <w:lvl w:ilvl="0" w:tplc="08090001">
      <w:start w:val="1"/>
      <w:numFmt w:val="bullet"/>
      <w:lvlText w:val=""/>
      <w:lvlJc w:val="left"/>
      <w:pPr>
        <w:tabs>
          <w:tab w:val="num" w:pos="720"/>
        </w:tabs>
        <w:ind w:left="720" w:hanging="360"/>
      </w:pPr>
      <w:rPr>
        <w:rFonts w:ascii="Symbol" w:hAnsi="Symbol" w:hint="default"/>
      </w:rPr>
    </w:lvl>
    <w:lvl w:ilvl="1" w:tplc="7444F288" w:tentative="1">
      <w:start w:val="1"/>
      <w:numFmt w:val="bullet"/>
      <w:lvlText w:val=""/>
      <w:lvlJc w:val="left"/>
      <w:pPr>
        <w:tabs>
          <w:tab w:val="num" w:pos="1440"/>
        </w:tabs>
        <w:ind w:left="1440" w:hanging="360"/>
      </w:pPr>
      <w:rPr>
        <w:rFonts w:ascii="Wingdings" w:hAnsi="Wingdings" w:hint="default"/>
      </w:rPr>
    </w:lvl>
    <w:lvl w:ilvl="2" w:tplc="1076E38C" w:tentative="1">
      <w:start w:val="1"/>
      <w:numFmt w:val="bullet"/>
      <w:lvlText w:val=""/>
      <w:lvlJc w:val="left"/>
      <w:pPr>
        <w:tabs>
          <w:tab w:val="num" w:pos="2160"/>
        </w:tabs>
        <w:ind w:left="2160" w:hanging="360"/>
      </w:pPr>
      <w:rPr>
        <w:rFonts w:ascii="Wingdings" w:hAnsi="Wingdings" w:hint="default"/>
      </w:rPr>
    </w:lvl>
    <w:lvl w:ilvl="3" w:tplc="0250FC36" w:tentative="1">
      <w:start w:val="1"/>
      <w:numFmt w:val="bullet"/>
      <w:lvlText w:val=""/>
      <w:lvlJc w:val="left"/>
      <w:pPr>
        <w:tabs>
          <w:tab w:val="num" w:pos="2880"/>
        </w:tabs>
        <w:ind w:left="2880" w:hanging="360"/>
      </w:pPr>
      <w:rPr>
        <w:rFonts w:ascii="Wingdings" w:hAnsi="Wingdings" w:hint="default"/>
      </w:rPr>
    </w:lvl>
    <w:lvl w:ilvl="4" w:tplc="610C7CF4" w:tentative="1">
      <w:start w:val="1"/>
      <w:numFmt w:val="bullet"/>
      <w:lvlText w:val=""/>
      <w:lvlJc w:val="left"/>
      <w:pPr>
        <w:tabs>
          <w:tab w:val="num" w:pos="3600"/>
        </w:tabs>
        <w:ind w:left="3600" w:hanging="360"/>
      </w:pPr>
      <w:rPr>
        <w:rFonts w:ascii="Wingdings" w:hAnsi="Wingdings" w:hint="default"/>
      </w:rPr>
    </w:lvl>
    <w:lvl w:ilvl="5" w:tplc="091E002E" w:tentative="1">
      <w:start w:val="1"/>
      <w:numFmt w:val="bullet"/>
      <w:lvlText w:val=""/>
      <w:lvlJc w:val="left"/>
      <w:pPr>
        <w:tabs>
          <w:tab w:val="num" w:pos="4320"/>
        </w:tabs>
        <w:ind w:left="4320" w:hanging="360"/>
      </w:pPr>
      <w:rPr>
        <w:rFonts w:ascii="Wingdings" w:hAnsi="Wingdings" w:hint="default"/>
      </w:rPr>
    </w:lvl>
    <w:lvl w:ilvl="6" w:tplc="27F67C34" w:tentative="1">
      <w:start w:val="1"/>
      <w:numFmt w:val="bullet"/>
      <w:lvlText w:val=""/>
      <w:lvlJc w:val="left"/>
      <w:pPr>
        <w:tabs>
          <w:tab w:val="num" w:pos="5040"/>
        </w:tabs>
        <w:ind w:left="5040" w:hanging="360"/>
      </w:pPr>
      <w:rPr>
        <w:rFonts w:ascii="Wingdings" w:hAnsi="Wingdings" w:hint="default"/>
      </w:rPr>
    </w:lvl>
    <w:lvl w:ilvl="7" w:tplc="46720ABC" w:tentative="1">
      <w:start w:val="1"/>
      <w:numFmt w:val="bullet"/>
      <w:lvlText w:val=""/>
      <w:lvlJc w:val="left"/>
      <w:pPr>
        <w:tabs>
          <w:tab w:val="num" w:pos="5760"/>
        </w:tabs>
        <w:ind w:left="5760" w:hanging="360"/>
      </w:pPr>
      <w:rPr>
        <w:rFonts w:ascii="Wingdings" w:hAnsi="Wingdings" w:hint="default"/>
      </w:rPr>
    </w:lvl>
    <w:lvl w:ilvl="8" w:tplc="4A32F3E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BA20FB"/>
    <w:multiLevelType w:val="hybridMultilevel"/>
    <w:tmpl w:val="E1D09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42137"/>
    <w:multiLevelType w:val="hybridMultilevel"/>
    <w:tmpl w:val="05CE208E"/>
    <w:lvl w:ilvl="0" w:tplc="59FC874E">
      <w:start w:val="1"/>
      <w:numFmt w:val="bullet"/>
      <w:lvlText w:val=""/>
      <w:lvlJc w:val="left"/>
      <w:pPr>
        <w:tabs>
          <w:tab w:val="num" w:pos="720"/>
        </w:tabs>
        <w:ind w:left="720" w:hanging="360"/>
      </w:pPr>
      <w:rPr>
        <w:rFonts w:ascii="Wingdings" w:hAnsi="Wingdings" w:hint="default"/>
      </w:rPr>
    </w:lvl>
    <w:lvl w:ilvl="1" w:tplc="3A08CC74">
      <w:start w:val="1"/>
      <w:numFmt w:val="bullet"/>
      <w:lvlText w:val=""/>
      <w:lvlJc w:val="left"/>
      <w:pPr>
        <w:tabs>
          <w:tab w:val="num" w:pos="1440"/>
        </w:tabs>
        <w:ind w:left="1440" w:hanging="360"/>
      </w:pPr>
      <w:rPr>
        <w:rFonts w:ascii="Wingdings" w:hAnsi="Wingdings" w:hint="default"/>
      </w:rPr>
    </w:lvl>
    <w:lvl w:ilvl="2" w:tplc="2408979E" w:tentative="1">
      <w:start w:val="1"/>
      <w:numFmt w:val="bullet"/>
      <w:lvlText w:val=""/>
      <w:lvlJc w:val="left"/>
      <w:pPr>
        <w:tabs>
          <w:tab w:val="num" w:pos="2160"/>
        </w:tabs>
        <w:ind w:left="2160" w:hanging="360"/>
      </w:pPr>
      <w:rPr>
        <w:rFonts w:ascii="Wingdings" w:hAnsi="Wingdings" w:hint="default"/>
      </w:rPr>
    </w:lvl>
    <w:lvl w:ilvl="3" w:tplc="149862C6" w:tentative="1">
      <w:start w:val="1"/>
      <w:numFmt w:val="bullet"/>
      <w:lvlText w:val=""/>
      <w:lvlJc w:val="left"/>
      <w:pPr>
        <w:tabs>
          <w:tab w:val="num" w:pos="2880"/>
        </w:tabs>
        <w:ind w:left="2880" w:hanging="360"/>
      </w:pPr>
      <w:rPr>
        <w:rFonts w:ascii="Wingdings" w:hAnsi="Wingdings" w:hint="default"/>
      </w:rPr>
    </w:lvl>
    <w:lvl w:ilvl="4" w:tplc="A3AEE0E4" w:tentative="1">
      <w:start w:val="1"/>
      <w:numFmt w:val="bullet"/>
      <w:lvlText w:val=""/>
      <w:lvlJc w:val="left"/>
      <w:pPr>
        <w:tabs>
          <w:tab w:val="num" w:pos="3600"/>
        </w:tabs>
        <w:ind w:left="3600" w:hanging="360"/>
      </w:pPr>
      <w:rPr>
        <w:rFonts w:ascii="Wingdings" w:hAnsi="Wingdings" w:hint="default"/>
      </w:rPr>
    </w:lvl>
    <w:lvl w:ilvl="5" w:tplc="05223858" w:tentative="1">
      <w:start w:val="1"/>
      <w:numFmt w:val="bullet"/>
      <w:lvlText w:val=""/>
      <w:lvlJc w:val="left"/>
      <w:pPr>
        <w:tabs>
          <w:tab w:val="num" w:pos="4320"/>
        </w:tabs>
        <w:ind w:left="4320" w:hanging="360"/>
      </w:pPr>
      <w:rPr>
        <w:rFonts w:ascii="Wingdings" w:hAnsi="Wingdings" w:hint="default"/>
      </w:rPr>
    </w:lvl>
    <w:lvl w:ilvl="6" w:tplc="F6C81812" w:tentative="1">
      <w:start w:val="1"/>
      <w:numFmt w:val="bullet"/>
      <w:lvlText w:val=""/>
      <w:lvlJc w:val="left"/>
      <w:pPr>
        <w:tabs>
          <w:tab w:val="num" w:pos="5040"/>
        </w:tabs>
        <w:ind w:left="5040" w:hanging="360"/>
      </w:pPr>
      <w:rPr>
        <w:rFonts w:ascii="Wingdings" w:hAnsi="Wingdings" w:hint="default"/>
      </w:rPr>
    </w:lvl>
    <w:lvl w:ilvl="7" w:tplc="D5DCF5FA" w:tentative="1">
      <w:start w:val="1"/>
      <w:numFmt w:val="bullet"/>
      <w:lvlText w:val=""/>
      <w:lvlJc w:val="left"/>
      <w:pPr>
        <w:tabs>
          <w:tab w:val="num" w:pos="5760"/>
        </w:tabs>
        <w:ind w:left="5760" w:hanging="360"/>
      </w:pPr>
      <w:rPr>
        <w:rFonts w:ascii="Wingdings" w:hAnsi="Wingdings" w:hint="default"/>
      </w:rPr>
    </w:lvl>
    <w:lvl w:ilvl="8" w:tplc="394A49D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0165C6"/>
    <w:multiLevelType w:val="hybridMultilevel"/>
    <w:tmpl w:val="4E7EB8DC"/>
    <w:lvl w:ilvl="0" w:tplc="6680D95A">
      <w:start w:val="1"/>
      <w:numFmt w:val="bullet"/>
      <w:lvlText w:val="•"/>
      <w:lvlJc w:val="left"/>
      <w:pPr>
        <w:tabs>
          <w:tab w:val="num" w:pos="720"/>
        </w:tabs>
        <w:ind w:left="720" w:hanging="360"/>
      </w:pPr>
      <w:rPr>
        <w:rFonts w:ascii="Arial" w:hAnsi="Arial" w:hint="default"/>
      </w:rPr>
    </w:lvl>
    <w:lvl w:ilvl="1" w:tplc="0354FA22" w:tentative="1">
      <w:start w:val="1"/>
      <w:numFmt w:val="bullet"/>
      <w:lvlText w:val="•"/>
      <w:lvlJc w:val="left"/>
      <w:pPr>
        <w:tabs>
          <w:tab w:val="num" w:pos="1440"/>
        </w:tabs>
        <w:ind w:left="1440" w:hanging="360"/>
      </w:pPr>
      <w:rPr>
        <w:rFonts w:ascii="Arial" w:hAnsi="Arial" w:hint="default"/>
      </w:rPr>
    </w:lvl>
    <w:lvl w:ilvl="2" w:tplc="707E141E" w:tentative="1">
      <w:start w:val="1"/>
      <w:numFmt w:val="bullet"/>
      <w:lvlText w:val="•"/>
      <w:lvlJc w:val="left"/>
      <w:pPr>
        <w:tabs>
          <w:tab w:val="num" w:pos="2160"/>
        </w:tabs>
        <w:ind w:left="2160" w:hanging="360"/>
      </w:pPr>
      <w:rPr>
        <w:rFonts w:ascii="Arial" w:hAnsi="Arial" w:hint="default"/>
      </w:rPr>
    </w:lvl>
    <w:lvl w:ilvl="3" w:tplc="0BDC3C64" w:tentative="1">
      <w:start w:val="1"/>
      <w:numFmt w:val="bullet"/>
      <w:lvlText w:val="•"/>
      <w:lvlJc w:val="left"/>
      <w:pPr>
        <w:tabs>
          <w:tab w:val="num" w:pos="2880"/>
        </w:tabs>
        <w:ind w:left="2880" w:hanging="360"/>
      </w:pPr>
      <w:rPr>
        <w:rFonts w:ascii="Arial" w:hAnsi="Arial" w:hint="default"/>
      </w:rPr>
    </w:lvl>
    <w:lvl w:ilvl="4" w:tplc="187822CA" w:tentative="1">
      <w:start w:val="1"/>
      <w:numFmt w:val="bullet"/>
      <w:lvlText w:val="•"/>
      <w:lvlJc w:val="left"/>
      <w:pPr>
        <w:tabs>
          <w:tab w:val="num" w:pos="3600"/>
        </w:tabs>
        <w:ind w:left="3600" w:hanging="360"/>
      </w:pPr>
      <w:rPr>
        <w:rFonts w:ascii="Arial" w:hAnsi="Arial" w:hint="default"/>
      </w:rPr>
    </w:lvl>
    <w:lvl w:ilvl="5" w:tplc="1F36D444" w:tentative="1">
      <w:start w:val="1"/>
      <w:numFmt w:val="bullet"/>
      <w:lvlText w:val="•"/>
      <w:lvlJc w:val="left"/>
      <w:pPr>
        <w:tabs>
          <w:tab w:val="num" w:pos="4320"/>
        </w:tabs>
        <w:ind w:left="4320" w:hanging="360"/>
      </w:pPr>
      <w:rPr>
        <w:rFonts w:ascii="Arial" w:hAnsi="Arial" w:hint="default"/>
      </w:rPr>
    </w:lvl>
    <w:lvl w:ilvl="6" w:tplc="B78E5344" w:tentative="1">
      <w:start w:val="1"/>
      <w:numFmt w:val="bullet"/>
      <w:lvlText w:val="•"/>
      <w:lvlJc w:val="left"/>
      <w:pPr>
        <w:tabs>
          <w:tab w:val="num" w:pos="5040"/>
        </w:tabs>
        <w:ind w:left="5040" w:hanging="360"/>
      </w:pPr>
      <w:rPr>
        <w:rFonts w:ascii="Arial" w:hAnsi="Arial" w:hint="default"/>
      </w:rPr>
    </w:lvl>
    <w:lvl w:ilvl="7" w:tplc="EF66B056" w:tentative="1">
      <w:start w:val="1"/>
      <w:numFmt w:val="bullet"/>
      <w:lvlText w:val="•"/>
      <w:lvlJc w:val="left"/>
      <w:pPr>
        <w:tabs>
          <w:tab w:val="num" w:pos="5760"/>
        </w:tabs>
        <w:ind w:left="5760" w:hanging="360"/>
      </w:pPr>
      <w:rPr>
        <w:rFonts w:ascii="Arial" w:hAnsi="Arial" w:hint="default"/>
      </w:rPr>
    </w:lvl>
    <w:lvl w:ilvl="8" w:tplc="54F6D3F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4B530E"/>
    <w:multiLevelType w:val="hybridMultilevel"/>
    <w:tmpl w:val="42948F7C"/>
    <w:lvl w:ilvl="0" w:tplc="3A0AEA82">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ECF617C6" w:tentative="1">
      <w:start w:val="1"/>
      <w:numFmt w:val="bullet"/>
      <w:lvlText w:val=""/>
      <w:lvlJc w:val="left"/>
      <w:pPr>
        <w:tabs>
          <w:tab w:val="num" w:pos="2160"/>
        </w:tabs>
        <w:ind w:left="2160" w:hanging="360"/>
      </w:pPr>
      <w:rPr>
        <w:rFonts w:ascii="Wingdings" w:hAnsi="Wingdings" w:hint="default"/>
      </w:rPr>
    </w:lvl>
    <w:lvl w:ilvl="3" w:tplc="4AC83498" w:tentative="1">
      <w:start w:val="1"/>
      <w:numFmt w:val="bullet"/>
      <w:lvlText w:val=""/>
      <w:lvlJc w:val="left"/>
      <w:pPr>
        <w:tabs>
          <w:tab w:val="num" w:pos="2880"/>
        </w:tabs>
        <w:ind w:left="2880" w:hanging="360"/>
      </w:pPr>
      <w:rPr>
        <w:rFonts w:ascii="Wingdings" w:hAnsi="Wingdings" w:hint="default"/>
      </w:rPr>
    </w:lvl>
    <w:lvl w:ilvl="4" w:tplc="1F124ECA" w:tentative="1">
      <w:start w:val="1"/>
      <w:numFmt w:val="bullet"/>
      <w:lvlText w:val=""/>
      <w:lvlJc w:val="left"/>
      <w:pPr>
        <w:tabs>
          <w:tab w:val="num" w:pos="3600"/>
        </w:tabs>
        <w:ind w:left="3600" w:hanging="360"/>
      </w:pPr>
      <w:rPr>
        <w:rFonts w:ascii="Wingdings" w:hAnsi="Wingdings" w:hint="default"/>
      </w:rPr>
    </w:lvl>
    <w:lvl w:ilvl="5" w:tplc="226E3F00" w:tentative="1">
      <w:start w:val="1"/>
      <w:numFmt w:val="bullet"/>
      <w:lvlText w:val=""/>
      <w:lvlJc w:val="left"/>
      <w:pPr>
        <w:tabs>
          <w:tab w:val="num" w:pos="4320"/>
        </w:tabs>
        <w:ind w:left="4320" w:hanging="360"/>
      </w:pPr>
      <w:rPr>
        <w:rFonts w:ascii="Wingdings" w:hAnsi="Wingdings" w:hint="default"/>
      </w:rPr>
    </w:lvl>
    <w:lvl w:ilvl="6" w:tplc="4D3A1F86" w:tentative="1">
      <w:start w:val="1"/>
      <w:numFmt w:val="bullet"/>
      <w:lvlText w:val=""/>
      <w:lvlJc w:val="left"/>
      <w:pPr>
        <w:tabs>
          <w:tab w:val="num" w:pos="5040"/>
        </w:tabs>
        <w:ind w:left="5040" w:hanging="360"/>
      </w:pPr>
      <w:rPr>
        <w:rFonts w:ascii="Wingdings" w:hAnsi="Wingdings" w:hint="default"/>
      </w:rPr>
    </w:lvl>
    <w:lvl w:ilvl="7" w:tplc="A864B0D0" w:tentative="1">
      <w:start w:val="1"/>
      <w:numFmt w:val="bullet"/>
      <w:lvlText w:val=""/>
      <w:lvlJc w:val="left"/>
      <w:pPr>
        <w:tabs>
          <w:tab w:val="num" w:pos="5760"/>
        </w:tabs>
        <w:ind w:left="5760" w:hanging="360"/>
      </w:pPr>
      <w:rPr>
        <w:rFonts w:ascii="Wingdings" w:hAnsi="Wingdings" w:hint="default"/>
      </w:rPr>
    </w:lvl>
    <w:lvl w:ilvl="8" w:tplc="9B48B4E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795C2D"/>
    <w:multiLevelType w:val="hybridMultilevel"/>
    <w:tmpl w:val="81F63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CF11CC"/>
    <w:multiLevelType w:val="hybridMultilevel"/>
    <w:tmpl w:val="E3F83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B554A3"/>
    <w:multiLevelType w:val="hybridMultilevel"/>
    <w:tmpl w:val="5EAECF7E"/>
    <w:lvl w:ilvl="0" w:tplc="8D0686DE">
      <w:start w:val="1"/>
      <w:numFmt w:val="bullet"/>
      <w:lvlText w:val=""/>
      <w:lvlJc w:val="left"/>
      <w:pPr>
        <w:tabs>
          <w:tab w:val="num" w:pos="720"/>
        </w:tabs>
        <w:ind w:left="720" w:hanging="360"/>
      </w:pPr>
      <w:rPr>
        <w:rFonts w:ascii="Wingdings" w:hAnsi="Wingdings" w:hint="default"/>
      </w:rPr>
    </w:lvl>
    <w:lvl w:ilvl="1" w:tplc="91D8A9A0">
      <w:start w:val="1"/>
      <w:numFmt w:val="bullet"/>
      <w:lvlText w:val=""/>
      <w:lvlJc w:val="left"/>
      <w:pPr>
        <w:tabs>
          <w:tab w:val="num" w:pos="1440"/>
        </w:tabs>
        <w:ind w:left="1440" w:hanging="360"/>
      </w:pPr>
      <w:rPr>
        <w:rFonts w:ascii="Wingdings" w:hAnsi="Wingdings" w:hint="default"/>
      </w:rPr>
    </w:lvl>
    <w:lvl w:ilvl="2" w:tplc="D33662F2" w:tentative="1">
      <w:start w:val="1"/>
      <w:numFmt w:val="bullet"/>
      <w:lvlText w:val=""/>
      <w:lvlJc w:val="left"/>
      <w:pPr>
        <w:tabs>
          <w:tab w:val="num" w:pos="2160"/>
        </w:tabs>
        <w:ind w:left="2160" w:hanging="360"/>
      </w:pPr>
      <w:rPr>
        <w:rFonts w:ascii="Wingdings" w:hAnsi="Wingdings" w:hint="default"/>
      </w:rPr>
    </w:lvl>
    <w:lvl w:ilvl="3" w:tplc="376A26AE" w:tentative="1">
      <w:start w:val="1"/>
      <w:numFmt w:val="bullet"/>
      <w:lvlText w:val=""/>
      <w:lvlJc w:val="left"/>
      <w:pPr>
        <w:tabs>
          <w:tab w:val="num" w:pos="2880"/>
        </w:tabs>
        <w:ind w:left="2880" w:hanging="360"/>
      </w:pPr>
      <w:rPr>
        <w:rFonts w:ascii="Wingdings" w:hAnsi="Wingdings" w:hint="default"/>
      </w:rPr>
    </w:lvl>
    <w:lvl w:ilvl="4" w:tplc="5686EB74" w:tentative="1">
      <w:start w:val="1"/>
      <w:numFmt w:val="bullet"/>
      <w:lvlText w:val=""/>
      <w:lvlJc w:val="left"/>
      <w:pPr>
        <w:tabs>
          <w:tab w:val="num" w:pos="3600"/>
        </w:tabs>
        <w:ind w:left="3600" w:hanging="360"/>
      </w:pPr>
      <w:rPr>
        <w:rFonts w:ascii="Wingdings" w:hAnsi="Wingdings" w:hint="default"/>
      </w:rPr>
    </w:lvl>
    <w:lvl w:ilvl="5" w:tplc="565EE2A0" w:tentative="1">
      <w:start w:val="1"/>
      <w:numFmt w:val="bullet"/>
      <w:lvlText w:val=""/>
      <w:lvlJc w:val="left"/>
      <w:pPr>
        <w:tabs>
          <w:tab w:val="num" w:pos="4320"/>
        </w:tabs>
        <w:ind w:left="4320" w:hanging="360"/>
      </w:pPr>
      <w:rPr>
        <w:rFonts w:ascii="Wingdings" w:hAnsi="Wingdings" w:hint="default"/>
      </w:rPr>
    </w:lvl>
    <w:lvl w:ilvl="6" w:tplc="BFB4E00E" w:tentative="1">
      <w:start w:val="1"/>
      <w:numFmt w:val="bullet"/>
      <w:lvlText w:val=""/>
      <w:lvlJc w:val="left"/>
      <w:pPr>
        <w:tabs>
          <w:tab w:val="num" w:pos="5040"/>
        </w:tabs>
        <w:ind w:left="5040" w:hanging="360"/>
      </w:pPr>
      <w:rPr>
        <w:rFonts w:ascii="Wingdings" w:hAnsi="Wingdings" w:hint="default"/>
      </w:rPr>
    </w:lvl>
    <w:lvl w:ilvl="7" w:tplc="0B66BFE6" w:tentative="1">
      <w:start w:val="1"/>
      <w:numFmt w:val="bullet"/>
      <w:lvlText w:val=""/>
      <w:lvlJc w:val="left"/>
      <w:pPr>
        <w:tabs>
          <w:tab w:val="num" w:pos="5760"/>
        </w:tabs>
        <w:ind w:left="5760" w:hanging="360"/>
      </w:pPr>
      <w:rPr>
        <w:rFonts w:ascii="Wingdings" w:hAnsi="Wingdings" w:hint="default"/>
      </w:rPr>
    </w:lvl>
    <w:lvl w:ilvl="8" w:tplc="50DA116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1B5357"/>
    <w:multiLevelType w:val="hybridMultilevel"/>
    <w:tmpl w:val="0E60C502"/>
    <w:lvl w:ilvl="0" w:tplc="5C98CC98">
      <w:start w:val="1"/>
      <w:numFmt w:val="bullet"/>
      <w:lvlText w:val="•"/>
      <w:lvlJc w:val="left"/>
      <w:pPr>
        <w:tabs>
          <w:tab w:val="num" w:pos="720"/>
        </w:tabs>
        <w:ind w:left="720" w:hanging="360"/>
      </w:pPr>
      <w:rPr>
        <w:rFonts w:ascii="Arial" w:hAnsi="Arial" w:hint="default"/>
      </w:rPr>
    </w:lvl>
    <w:lvl w:ilvl="1" w:tplc="76169424" w:tentative="1">
      <w:start w:val="1"/>
      <w:numFmt w:val="bullet"/>
      <w:lvlText w:val="•"/>
      <w:lvlJc w:val="left"/>
      <w:pPr>
        <w:tabs>
          <w:tab w:val="num" w:pos="1440"/>
        </w:tabs>
        <w:ind w:left="1440" w:hanging="360"/>
      </w:pPr>
      <w:rPr>
        <w:rFonts w:ascii="Arial" w:hAnsi="Arial" w:hint="default"/>
      </w:rPr>
    </w:lvl>
    <w:lvl w:ilvl="2" w:tplc="D038A646" w:tentative="1">
      <w:start w:val="1"/>
      <w:numFmt w:val="bullet"/>
      <w:lvlText w:val="•"/>
      <w:lvlJc w:val="left"/>
      <w:pPr>
        <w:tabs>
          <w:tab w:val="num" w:pos="2160"/>
        </w:tabs>
        <w:ind w:left="2160" w:hanging="360"/>
      </w:pPr>
      <w:rPr>
        <w:rFonts w:ascii="Arial" w:hAnsi="Arial" w:hint="default"/>
      </w:rPr>
    </w:lvl>
    <w:lvl w:ilvl="3" w:tplc="337A1F64" w:tentative="1">
      <w:start w:val="1"/>
      <w:numFmt w:val="bullet"/>
      <w:lvlText w:val="•"/>
      <w:lvlJc w:val="left"/>
      <w:pPr>
        <w:tabs>
          <w:tab w:val="num" w:pos="2880"/>
        </w:tabs>
        <w:ind w:left="2880" w:hanging="360"/>
      </w:pPr>
      <w:rPr>
        <w:rFonts w:ascii="Arial" w:hAnsi="Arial" w:hint="default"/>
      </w:rPr>
    </w:lvl>
    <w:lvl w:ilvl="4" w:tplc="AE3EF042" w:tentative="1">
      <w:start w:val="1"/>
      <w:numFmt w:val="bullet"/>
      <w:lvlText w:val="•"/>
      <w:lvlJc w:val="left"/>
      <w:pPr>
        <w:tabs>
          <w:tab w:val="num" w:pos="3600"/>
        </w:tabs>
        <w:ind w:left="3600" w:hanging="360"/>
      </w:pPr>
      <w:rPr>
        <w:rFonts w:ascii="Arial" w:hAnsi="Arial" w:hint="default"/>
      </w:rPr>
    </w:lvl>
    <w:lvl w:ilvl="5" w:tplc="C6FEA83C" w:tentative="1">
      <w:start w:val="1"/>
      <w:numFmt w:val="bullet"/>
      <w:lvlText w:val="•"/>
      <w:lvlJc w:val="left"/>
      <w:pPr>
        <w:tabs>
          <w:tab w:val="num" w:pos="4320"/>
        </w:tabs>
        <w:ind w:left="4320" w:hanging="360"/>
      </w:pPr>
      <w:rPr>
        <w:rFonts w:ascii="Arial" w:hAnsi="Arial" w:hint="default"/>
      </w:rPr>
    </w:lvl>
    <w:lvl w:ilvl="6" w:tplc="B42803CE" w:tentative="1">
      <w:start w:val="1"/>
      <w:numFmt w:val="bullet"/>
      <w:lvlText w:val="•"/>
      <w:lvlJc w:val="left"/>
      <w:pPr>
        <w:tabs>
          <w:tab w:val="num" w:pos="5040"/>
        </w:tabs>
        <w:ind w:left="5040" w:hanging="360"/>
      </w:pPr>
      <w:rPr>
        <w:rFonts w:ascii="Arial" w:hAnsi="Arial" w:hint="default"/>
      </w:rPr>
    </w:lvl>
    <w:lvl w:ilvl="7" w:tplc="5882020C" w:tentative="1">
      <w:start w:val="1"/>
      <w:numFmt w:val="bullet"/>
      <w:lvlText w:val="•"/>
      <w:lvlJc w:val="left"/>
      <w:pPr>
        <w:tabs>
          <w:tab w:val="num" w:pos="5760"/>
        </w:tabs>
        <w:ind w:left="5760" w:hanging="360"/>
      </w:pPr>
      <w:rPr>
        <w:rFonts w:ascii="Arial" w:hAnsi="Arial" w:hint="default"/>
      </w:rPr>
    </w:lvl>
    <w:lvl w:ilvl="8" w:tplc="CAF0006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184B39"/>
    <w:multiLevelType w:val="hybridMultilevel"/>
    <w:tmpl w:val="33FEE528"/>
    <w:lvl w:ilvl="0" w:tplc="E1587B4C">
      <w:start w:val="1"/>
      <w:numFmt w:val="bullet"/>
      <w:lvlText w:val="•"/>
      <w:lvlJc w:val="left"/>
      <w:pPr>
        <w:tabs>
          <w:tab w:val="num" w:pos="720"/>
        </w:tabs>
        <w:ind w:left="720" w:hanging="360"/>
      </w:pPr>
      <w:rPr>
        <w:rFonts w:ascii="Arial" w:hAnsi="Arial" w:hint="default"/>
      </w:rPr>
    </w:lvl>
    <w:lvl w:ilvl="1" w:tplc="B198C430" w:tentative="1">
      <w:start w:val="1"/>
      <w:numFmt w:val="bullet"/>
      <w:lvlText w:val="•"/>
      <w:lvlJc w:val="left"/>
      <w:pPr>
        <w:tabs>
          <w:tab w:val="num" w:pos="1440"/>
        </w:tabs>
        <w:ind w:left="1440" w:hanging="360"/>
      </w:pPr>
      <w:rPr>
        <w:rFonts w:ascii="Arial" w:hAnsi="Arial" w:hint="default"/>
      </w:rPr>
    </w:lvl>
    <w:lvl w:ilvl="2" w:tplc="DF5EBB7E" w:tentative="1">
      <w:start w:val="1"/>
      <w:numFmt w:val="bullet"/>
      <w:lvlText w:val="•"/>
      <w:lvlJc w:val="left"/>
      <w:pPr>
        <w:tabs>
          <w:tab w:val="num" w:pos="2160"/>
        </w:tabs>
        <w:ind w:left="2160" w:hanging="360"/>
      </w:pPr>
      <w:rPr>
        <w:rFonts w:ascii="Arial" w:hAnsi="Arial" w:hint="default"/>
      </w:rPr>
    </w:lvl>
    <w:lvl w:ilvl="3" w:tplc="6D688C7C" w:tentative="1">
      <w:start w:val="1"/>
      <w:numFmt w:val="bullet"/>
      <w:lvlText w:val="•"/>
      <w:lvlJc w:val="left"/>
      <w:pPr>
        <w:tabs>
          <w:tab w:val="num" w:pos="2880"/>
        </w:tabs>
        <w:ind w:left="2880" w:hanging="360"/>
      </w:pPr>
      <w:rPr>
        <w:rFonts w:ascii="Arial" w:hAnsi="Arial" w:hint="default"/>
      </w:rPr>
    </w:lvl>
    <w:lvl w:ilvl="4" w:tplc="E166CAA0" w:tentative="1">
      <w:start w:val="1"/>
      <w:numFmt w:val="bullet"/>
      <w:lvlText w:val="•"/>
      <w:lvlJc w:val="left"/>
      <w:pPr>
        <w:tabs>
          <w:tab w:val="num" w:pos="3600"/>
        </w:tabs>
        <w:ind w:left="3600" w:hanging="360"/>
      </w:pPr>
      <w:rPr>
        <w:rFonts w:ascii="Arial" w:hAnsi="Arial" w:hint="default"/>
      </w:rPr>
    </w:lvl>
    <w:lvl w:ilvl="5" w:tplc="E96EDF44" w:tentative="1">
      <w:start w:val="1"/>
      <w:numFmt w:val="bullet"/>
      <w:lvlText w:val="•"/>
      <w:lvlJc w:val="left"/>
      <w:pPr>
        <w:tabs>
          <w:tab w:val="num" w:pos="4320"/>
        </w:tabs>
        <w:ind w:left="4320" w:hanging="360"/>
      </w:pPr>
      <w:rPr>
        <w:rFonts w:ascii="Arial" w:hAnsi="Arial" w:hint="default"/>
      </w:rPr>
    </w:lvl>
    <w:lvl w:ilvl="6" w:tplc="DC0AFB34" w:tentative="1">
      <w:start w:val="1"/>
      <w:numFmt w:val="bullet"/>
      <w:lvlText w:val="•"/>
      <w:lvlJc w:val="left"/>
      <w:pPr>
        <w:tabs>
          <w:tab w:val="num" w:pos="5040"/>
        </w:tabs>
        <w:ind w:left="5040" w:hanging="360"/>
      </w:pPr>
      <w:rPr>
        <w:rFonts w:ascii="Arial" w:hAnsi="Arial" w:hint="default"/>
      </w:rPr>
    </w:lvl>
    <w:lvl w:ilvl="7" w:tplc="8424E53C" w:tentative="1">
      <w:start w:val="1"/>
      <w:numFmt w:val="bullet"/>
      <w:lvlText w:val="•"/>
      <w:lvlJc w:val="left"/>
      <w:pPr>
        <w:tabs>
          <w:tab w:val="num" w:pos="5760"/>
        </w:tabs>
        <w:ind w:left="5760" w:hanging="360"/>
      </w:pPr>
      <w:rPr>
        <w:rFonts w:ascii="Arial" w:hAnsi="Arial" w:hint="default"/>
      </w:rPr>
    </w:lvl>
    <w:lvl w:ilvl="8" w:tplc="B0346A3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FCB140C"/>
    <w:multiLevelType w:val="hybridMultilevel"/>
    <w:tmpl w:val="9E24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C11555"/>
    <w:multiLevelType w:val="hybridMultilevel"/>
    <w:tmpl w:val="FF9CCF1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385879"/>
    <w:multiLevelType w:val="hybridMultilevel"/>
    <w:tmpl w:val="C7B4B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837BF0"/>
    <w:multiLevelType w:val="hybridMultilevel"/>
    <w:tmpl w:val="C930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7445A7"/>
    <w:multiLevelType w:val="hybridMultilevel"/>
    <w:tmpl w:val="A0F42982"/>
    <w:lvl w:ilvl="0" w:tplc="BB0AF5BE">
      <w:start w:val="1"/>
      <w:numFmt w:val="bullet"/>
      <w:lvlText w:val=""/>
      <w:lvlJc w:val="left"/>
      <w:pPr>
        <w:tabs>
          <w:tab w:val="num" w:pos="720"/>
        </w:tabs>
        <w:ind w:left="720" w:hanging="360"/>
      </w:pPr>
      <w:rPr>
        <w:rFonts w:ascii="Wingdings" w:hAnsi="Wingdings" w:hint="default"/>
      </w:rPr>
    </w:lvl>
    <w:lvl w:ilvl="1" w:tplc="03A2A830">
      <w:start w:val="1"/>
      <w:numFmt w:val="bullet"/>
      <w:lvlText w:val=""/>
      <w:lvlJc w:val="left"/>
      <w:pPr>
        <w:tabs>
          <w:tab w:val="num" w:pos="1440"/>
        </w:tabs>
        <w:ind w:left="1440" w:hanging="360"/>
      </w:pPr>
      <w:rPr>
        <w:rFonts w:ascii="Wingdings" w:hAnsi="Wingdings" w:hint="default"/>
      </w:rPr>
    </w:lvl>
    <w:lvl w:ilvl="2" w:tplc="E2243820" w:tentative="1">
      <w:start w:val="1"/>
      <w:numFmt w:val="bullet"/>
      <w:lvlText w:val=""/>
      <w:lvlJc w:val="left"/>
      <w:pPr>
        <w:tabs>
          <w:tab w:val="num" w:pos="2160"/>
        </w:tabs>
        <w:ind w:left="2160" w:hanging="360"/>
      </w:pPr>
      <w:rPr>
        <w:rFonts w:ascii="Wingdings" w:hAnsi="Wingdings" w:hint="default"/>
      </w:rPr>
    </w:lvl>
    <w:lvl w:ilvl="3" w:tplc="93C6AACE" w:tentative="1">
      <w:start w:val="1"/>
      <w:numFmt w:val="bullet"/>
      <w:lvlText w:val=""/>
      <w:lvlJc w:val="left"/>
      <w:pPr>
        <w:tabs>
          <w:tab w:val="num" w:pos="2880"/>
        </w:tabs>
        <w:ind w:left="2880" w:hanging="360"/>
      </w:pPr>
      <w:rPr>
        <w:rFonts w:ascii="Wingdings" w:hAnsi="Wingdings" w:hint="default"/>
      </w:rPr>
    </w:lvl>
    <w:lvl w:ilvl="4" w:tplc="11DED44C" w:tentative="1">
      <w:start w:val="1"/>
      <w:numFmt w:val="bullet"/>
      <w:lvlText w:val=""/>
      <w:lvlJc w:val="left"/>
      <w:pPr>
        <w:tabs>
          <w:tab w:val="num" w:pos="3600"/>
        </w:tabs>
        <w:ind w:left="3600" w:hanging="360"/>
      </w:pPr>
      <w:rPr>
        <w:rFonts w:ascii="Wingdings" w:hAnsi="Wingdings" w:hint="default"/>
      </w:rPr>
    </w:lvl>
    <w:lvl w:ilvl="5" w:tplc="1E702EF4" w:tentative="1">
      <w:start w:val="1"/>
      <w:numFmt w:val="bullet"/>
      <w:lvlText w:val=""/>
      <w:lvlJc w:val="left"/>
      <w:pPr>
        <w:tabs>
          <w:tab w:val="num" w:pos="4320"/>
        </w:tabs>
        <w:ind w:left="4320" w:hanging="360"/>
      </w:pPr>
      <w:rPr>
        <w:rFonts w:ascii="Wingdings" w:hAnsi="Wingdings" w:hint="default"/>
      </w:rPr>
    </w:lvl>
    <w:lvl w:ilvl="6" w:tplc="B3F2D71E" w:tentative="1">
      <w:start w:val="1"/>
      <w:numFmt w:val="bullet"/>
      <w:lvlText w:val=""/>
      <w:lvlJc w:val="left"/>
      <w:pPr>
        <w:tabs>
          <w:tab w:val="num" w:pos="5040"/>
        </w:tabs>
        <w:ind w:left="5040" w:hanging="360"/>
      </w:pPr>
      <w:rPr>
        <w:rFonts w:ascii="Wingdings" w:hAnsi="Wingdings" w:hint="default"/>
      </w:rPr>
    </w:lvl>
    <w:lvl w:ilvl="7" w:tplc="465E10FE" w:tentative="1">
      <w:start w:val="1"/>
      <w:numFmt w:val="bullet"/>
      <w:lvlText w:val=""/>
      <w:lvlJc w:val="left"/>
      <w:pPr>
        <w:tabs>
          <w:tab w:val="num" w:pos="5760"/>
        </w:tabs>
        <w:ind w:left="5760" w:hanging="360"/>
      </w:pPr>
      <w:rPr>
        <w:rFonts w:ascii="Wingdings" w:hAnsi="Wingdings" w:hint="default"/>
      </w:rPr>
    </w:lvl>
    <w:lvl w:ilvl="8" w:tplc="44EC884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862A1"/>
    <w:multiLevelType w:val="hybridMultilevel"/>
    <w:tmpl w:val="1D1659B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B117BB"/>
    <w:multiLevelType w:val="hybridMultilevel"/>
    <w:tmpl w:val="01A42D44"/>
    <w:lvl w:ilvl="0" w:tplc="08090001">
      <w:start w:val="1"/>
      <w:numFmt w:val="bullet"/>
      <w:lvlText w:val=""/>
      <w:lvlJc w:val="left"/>
      <w:pPr>
        <w:tabs>
          <w:tab w:val="num" w:pos="720"/>
        </w:tabs>
        <w:ind w:left="720" w:hanging="360"/>
      </w:pPr>
      <w:rPr>
        <w:rFonts w:ascii="Symbol" w:hAnsi="Symbol" w:hint="default"/>
      </w:rPr>
    </w:lvl>
    <w:lvl w:ilvl="1" w:tplc="FDCE5436" w:tentative="1">
      <w:start w:val="1"/>
      <w:numFmt w:val="bullet"/>
      <w:lvlText w:val=""/>
      <w:lvlJc w:val="left"/>
      <w:pPr>
        <w:tabs>
          <w:tab w:val="num" w:pos="1440"/>
        </w:tabs>
        <w:ind w:left="1440" w:hanging="360"/>
      </w:pPr>
      <w:rPr>
        <w:rFonts w:ascii="Wingdings" w:hAnsi="Wingdings" w:hint="default"/>
      </w:rPr>
    </w:lvl>
    <w:lvl w:ilvl="2" w:tplc="371C8330" w:tentative="1">
      <w:start w:val="1"/>
      <w:numFmt w:val="bullet"/>
      <w:lvlText w:val=""/>
      <w:lvlJc w:val="left"/>
      <w:pPr>
        <w:tabs>
          <w:tab w:val="num" w:pos="2160"/>
        </w:tabs>
        <w:ind w:left="2160" w:hanging="360"/>
      </w:pPr>
      <w:rPr>
        <w:rFonts w:ascii="Wingdings" w:hAnsi="Wingdings" w:hint="default"/>
      </w:rPr>
    </w:lvl>
    <w:lvl w:ilvl="3" w:tplc="3286CB46" w:tentative="1">
      <w:start w:val="1"/>
      <w:numFmt w:val="bullet"/>
      <w:lvlText w:val=""/>
      <w:lvlJc w:val="left"/>
      <w:pPr>
        <w:tabs>
          <w:tab w:val="num" w:pos="2880"/>
        </w:tabs>
        <w:ind w:left="2880" w:hanging="360"/>
      </w:pPr>
      <w:rPr>
        <w:rFonts w:ascii="Wingdings" w:hAnsi="Wingdings" w:hint="default"/>
      </w:rPr>
    </w:lvl>
    <w:lvl w:ilvl="4" w:tplc="DD7CA120" w:tentative="1">
      <w:start w:val="1"/>
      <w:numFmt w:val="bullet"/>
      <w:lvlText w:val=""/>
      <w:lvlJc w:val="left"/>
      <w:pPr>
        <w:tabs>
          <w:tab w:val="num" w:pos="3600"/>
        </w:tabs>
        <w:ind w:left="3600" w:hanging="360"/>
      </w:pPr>
      <w:rPr>
        <w:rFonts w:ascii="Wingdings" w:hAnsi="Wingdings" w:hint="default"/>
      </w:rPr>
    </w:lvl>
    <w:lvl w:ilvl="5" w:tplc="BD4A68AA" w:tentative="1">
      <w:start w:val="1"/>
      <w:numFmt w:val="bullet"/>
      <w:lvlText w:val=""/>
      <w:lvlJc w:val="left"/>
      <w:pPr>
        <w:tabs>
          <w:tab w:val="num" w:pos="4320"/>
        </w:tabs>
        <w:ind w:left="4320" w:hanging="360"/>
      </w:pPr>
      <w:rPr>
        <w:rFonts w:ascii="Wingdings" w:hAnsi="Wingdings" w:hint="default"/>
      </w:rPr>
    </w:lvl>
    <w:lvl w:ilvl="6" w:tplc="D8B64E44" w:tentative="1">
      <w:start w:val="1"/>
      <w:numFmt w:val="bullet"/>
      <w:lvlText w:val=""/>
      <w:lvlJc w:val="left"/>
      <w:pPr>
        <w:tabs>
          <w:tab w:val="num" w:pos="5040"/>
        </w:tabs>
        <w:ind w:left="5040" w:hanging="360"/>
      </w:pPr>
      <w:rPr>
        <w:rFonts w:ascii="Wingdings" w:hAnsi="Wingdings" w:hint="default"/>
      </w:rPr>
    </w:lvl>
    <w:lvl w:ilvl="7" w:tplc="16D06A7C" w:tentative="1">
      <w:start w:val="1"/>
      <w:numFmt w:val="bullet"/>
      <w:lvlText w:val=""/>
      <w:lvlJc w:val="left"/>
      <w:pPr>
        <w:tabs>
          <w:tab w:val="num" w:pos="5760"/>
        </w:tabs>
        <w:ind w:left="5760" w:hanging="360"/>
      </w:pPr>
      <w:rPr>
        <w:rFonts w:ascii="Wingdings" w:hAnsi="Wingdings" w:hint="default"/>
      </w:rPr>
    </w:lvl>
    <w:lvl w:ilvl="8" w:tplc="811C970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B51DCE"/>
    <w:multiLevelType w:val="hybridMultilevel"/>
    <w:tmpl w:val="5EFA2F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CE2E9B"/>
    <w:multiLevelType w:val="hybridMultilevel"/>
    <w:tmpl w:val="43E2A408"/>
    <w:lvl w:ilvl="0" w:tplc="6E94C6A6">
      <w:start w:val="1"/>
      <w:numFmt w:val="bullet"/>
      <w:lvlText w:val="•"/>
      <w:lvlJc w:val="left"/>
      <w:pPr>
        <w:tabs>
          <w:tab w:val="num" w:pos="720"/>
        </w:tabs>
        <w:ind w:left="720" w:hanging="360"/>
      </w:pPr>
      <w:rPr>
        <w:rFonts w:ascii="Arial" w:hAnsi="Arial" w:hint="default"/>
      </w:rPr>
    </w:lvl>
    <w:lvl w:ilvl="1" w:tplc="640ED910" w:tentative="1">
      <w:start w:val="1"/>
      <w:numFmt w:val="bullet"/>
      <w:lvlText w:val="•"/>
      <w:lvlJc w:val="left"/>
      <w:pPr>
        <w:tabs>
          <w:tab w:val="num" w:pos="1440"/>
        </w:tabs>
        <w:ind w:left="1440" w:hanging="360"/>
      </w:pPr>
      <w:rPr>
        <w:rFonts w:ascii="Arial" w:hAnsi="Arial" w:hint="default"/>
      </w:rPr>
    </w:lvl>
    <w:lvl w:ilvl="2" w:tplc="F0A8E1CC" w:tentative="1">
      <w:start w:val="1"/>
      <w:numFmt w:val="bullet"/>
      <w:lvlText w:val="•"/>
      <w:lvlJc w:val="left"/>
      <w:pPr>
        <w:tabs>
          <w:tab w:val="num" w:pos="2160"/>
        </w:tabs>
        <w:ind w:left="2160" w:hanging="360"/>
      </w:pPr>
      <w:rPr>
        <w:rFonts w:ascii="Arial" w:hAnsi="Arial" w:hint="default"/>
      </w:rPr>
    </w:lvl>
    <w:lvl w:ilvl="3" w:tplc="F5E28AB4" w:tentative="1">
      <w:start w:val="1"/>
      <w:numFmt w:val="bullet"/>
      <w:lvlText w:val="•"/>
      <w:lvlJc w:val="left"/>
      <w:pPr>
        <w:tabs>
          <w:tab w:val="num" w:pos="2880"/>
        </w:tabs>
        <w:ind w:left="2880" w:hanging="360"/>
      </w:pPr>
      <w:rPr>
        <w:rFonts w:ascii="Arial" w:hAnsi="Arial" w:hint="default"/>
      </w:rPr>
    </w:lvl>
    <w:lvl w:ilvl="4" w:tplc="848A2496" w:tentative="1">
      <w:start w:val="1"/>
      <w:numFmt w:val="bullet"/>
      <w:lvlText w:val="•"/>
      <w:lvlJc w:val="left"/>
      <w:pPr>
        <w:tabs>
          <w:tab w:val="num" w:pos="3600"/>
        </w:tabs>
        <w:ind w:left="3600" w:hanging="360"/>
      </w:pPr>
      <w:rPr>
        <w:rFonts w:ascii="Arial" w:hAnsi="Arial" w:hint="default"/>
      </w:rPr>
    </w:lvl>
    <w:lvl w:ilvl="5" w:tplc="D724362A" w:tentative="1">
      <w:start w:val="1"/>
      <w:numFmt w:val="bullet"/>
      <w:lvlText w:val="•"/>
      <w:lvlJc w:val="left"/>
      <w:pPr>
        <w:tabs>
          <w:tab w:val="num" w:pos="4320"/>
        </w:tabs>
        <w:ind w:left="4320" w:hanging="360"/>
      </w:pPr>
      <w:rPr>
        <w:rFonts w:ascii="Arial" w:hAnsi="Arial" w:hint="default"/>
      </w:rPr>
    </w:lvl>
    <w:lvl w:ilvl="6" w:tplc="69D6BDF0" w:tentative="1">
      <w:start w:val="1"/>
      <w:numFmt w:val="bullet"/>
      <w:lvlText w:val="•"/>
      <w:lvlJc w:val="left"/>
      <w:pPr>
        <w:tabs>
          <w:tab w:val="num" w:pos="5040"/>
        </w:tabs>
        <w:ind w:left="5040" w:hanging="360"/>
      </w:pPr>
      <w:rPr>
        <w:rFonts w:ascii="Arial" w:hAnsi="Arial" w:hint="default"/>
      </w:rPr>
    </w:lvl>
    <w:lvl w:ilvl="7" w:tplc="3FCA8762" w:tentative="1">
      <w:start w:val="1"/>
      <w:numFmt w:val="bullet"/>
      <w:lvlText w:val="•"/>
      <w:lvlJc w:val="left"/>
      <w:pPr>
        <w:tabs>
          <w:tab w:val="num" w:pos="5760"/>
        </w:tabs>
        <w:ind w:left="5760" w:hanging="360"/>
      </w:pPr>
      <w:rPr>
        <w:rFonts w:ascii="Arial" w:hAnsi="Arial" w:hint="default"/>
      </w:rPr>
    </w:lvl>
    <w:lvl w:ilvl="8" w:tplc="453EDE6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7577481"/>
    <w:multiLevelType w:val="hybridMultilevel"/>
    <w:tmpl w:val="8CC252BC"/>
    <w:lvl w:ilvl="0" w:tplc="915AB8E6">
      <w:start w:val="1"/>
      <w:numFmt w:val="bullet"/>
      <w:lvlText w:val="•"/>
      <w:lvlJc w:val="left"/>
      <w:pPr>
        <w:tabs>
          <w:tab w:val="num" w:pos="720"/>
        </w:tabs>
        <w:ind w:left="720" w:hanging="360"/>
      </w:pPr>
      <w:rPr>
        <w:rFonts w:ascii="Arial" w:hAnsi="Arial" w:hint="default"/>
      </w:rPr>
    </w:lvl>
    <w:lvl w:ilvl="1" w:tplc="CC603EB4">
      <w:start w:val="199"/>
      <w:numFmt w:val="bullet"/>
      <w:lvlText w:val=""/>
      <w:lvlJc w:val="left"/>
      <w:pPr>
        <w:tabs>
          <w:tab w:val="num" w:pos="1440"/>
        </w:tabs>
        <w:ind w:left="1440" w:hanging="360"/>
      </w:pPr>
      <w:rPr>
        <w:rFonts w:ascii="Wingdings" w:hAnsi="Wingdings" w:hint="default"/>
      </w:rPr>
    </w:lvl>
    <w:lvl w:ilvl="2" w:tplc="1004C64A" w:tentative="1">
      <w:start w:val="1"/>
      <w:numFmt w:val="bullet"/>
      <w:lvlText w:val="•"/>
      <w:lvlJc w:val="left"/>
      <w:pPr>
        <w:tabs>
          <w:tab w:val="num" w:pos="2160"/>
        </w:tabs>
        <w:ind w:left="2160" w:hanging="360"/>
      </w:pPr>
      <w:rPr>
        <w:rFonts w:ascii="Arial" w:hAnsi="Arial" w:hint="default"/>
      </w:rPr>
    </w:lvl>
    <w:lvl w:ilvl="3" w:tplc="C1E631B0" w:tentative="1">
      <w:start w:val="1"/>
      <w:numFmt w:val="bullet"/>
      <w:lvlText w:val="•"/>
      <w:lvlJc w:val="left"/>
      <w:pPr>
        <w:tabs>
          <w:tab w:val="num" w:pos="2880"/>
        </w:tabs>
        <w:ind w:left="2880" w:hanging="360"/>
      </w:pPr>
      <w:rPr>
        <w:rFonts w:ascii="Arial" w:hAnsi="Arial" w:hint="default"/>
      </w:rPr>
    </w:lvl>
    <w:lvl w:ilvl="4" w:tplc="AC723D4A" w:tentative="1">
      <w:start w:val="1"/>
      <w:numFmt w:val="bullet"/>
      <w:lvlText w:val="•"/>
      <w:lvlJc w:val="left"/>
      <w:pPr>
        <w:tabs>
          <w:tab w:val="num" w:pos="3600"/>
        </w:tabs>
        <w:ind w:left="3600" w:hanging="360"/>
      </w:pPr>
      <w:rPr>
        <w:rFonts w:ascii="Arial" w:hAnsi="Arial" w:hint="default"/>
      </w:rPr>
    </w:lvl>
    <w:lvl w:ilvl="5" w:tplc="CD2A48C8" w:tentative="1">
      <w:start w:val="1"/>
      <w:numFmt w:val="bullet"/>
      <w:lvlText w:val="•"/>
      <w:lvlJc w:val="left"/>
      <w:pPr>
        <w:tabs>
          <w:tab w:val="num" w:pos="4320"/>
        </w:tabs>
        <w:ind w:left="4320" w:hanging="360"/>
      </w:pPr>
      <w:rPr>
        <w:rFonts w:ascii="Arial" w:hAnsi="Arial" w:hint="default"/>
      </w:rPr>
    </w:lvl>
    <w:lvl w:ilvl="6" w:tplc="975896E8" w:tentative="1">
      <w:start w:val="1"/>
      <w:numFmt w:val="bullet"/>
      <w:lvlText w:val="•"/>
      <w:lvlJc w:val="left"/>
      <w:pPr>
        <w:tabs>
          <w:tab w:val="num" w:pos="5040"/>
        </w:tabs>
        <w:ind w:left="5040" w:hanging="360"/>
      </w:pPr>
      <w:rPr>
        <w:rFonts w:ascii="Arial" w:hAnsi="Arial" w:hint="default"/>
      </w:rPr>
    </w:lvl>
    <w:lvl w:ilvl="7" w:tplc="C55E5990" w:tentative="1">
      <w:start w:val="1"/>
      <w:numFmt w:val="bullet"/>
      <w:lvlText w:val="•"/>
      <w:lvlJc w:val="left"/>
      <w:pPr>
        <w:tabs>
          <w:tab w:val="num" w:pos="5760"/>
        </w:tabs>
        <w:ind w:left="5760" w:hanging="360"/>
      </w:pPr>
      <w:rPr>
        <w:rFonts w:ascii="Arial" w:hAnsi="Arial" w:hint="default"/>
      </w:rPr>
    </w:lvl>
    <w:lvl w:ilvl="8" w:tplc="57AE48C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85C1B0D"/>
    <w:multiLevelType w:val="hybridMultilevel"/>
    <w:tmpl w:val="FAE86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D411C7"/>
    <w:multiLevelType w:val="hybridMultilevel"/>
    <w:tmpl w:val="F2B48F32"/>
    <w:lvl w:ilvl="0" w:tplc="08090001">
      <w:start w:val="1"/>
      <w:numFmt w:val="bullet"/>
      <w:lvlText w:val=""/>
      <w:lvlJc w:val="left"/>
      <w:pPr>
        <w:tabs>
          <w:tab w:val="num" w:pos="720"/>
        </w:tabs>
        <w:ind w:left="720" w:hanging="360"/>
      </w:pPr>
      <w:rPr>
        <w:rFonts w:ascii="Symbol" w:hAnsi="Symbol" w:hint="default"/>
      </w:rPr>
    </w:lvl>
    <w:lvl w:ilvl="1" w:tplc="86E815C8">
      <w:start w:val="1"/>
      <w:numFmt w:val="bullet"/>
      <w:lvlText w:val=""/>
      <w:lvlJc w:val="left"/>
      <w:pPr>
        <w:tabs>
          <w:tab w:val="num" w:pos="1440"/>
        </w:tabs>
        <w:ind w:left="1440" w:hanging="360"/>
      </w:pPr>
      <w:rPr>
        <w:rFonts w:ascii="Wingdings" w:hAnsi="Wingdings" w:hint="default"/>
      </w:rPr>
    </w:lvl>
    <w:lvl w:ilvl="2" w:tplc="EA6CF922" w:tentative="1">
      <w:start w:val="1"/>
      <w:numFmt w:val="bullet"/>
      <w:lvlText w:val=""/>
      <w:lvlJc w:val="left"/>
      <w:pPr>
        <w:tabs>
          <w:tab w:val="num" w:pos="2160"/>
        </w:tabs>
        <w:ind w:left="2160" w:hanging="360"/>
      </w:pPr>
      <w:rPr>
        <w:rFonts w:ascii="Wingdings" w:hAnsi="Wingdings" w:hint="default"/>
      </w:rPr>
    </w:lvl>
    <w:lvl w:ilvl="3" w:tplc="1A9AFF66" w:tentative="1">
      <w:start w:val="1"/>
      <w:numFmt w:val="bullet"/>
      <w:lvlText w:val=""/>
      <w:lvlJc w:val="left"/>
      <w:pPr>
        <w:tabs>
          <w:tab w:val="num" w:pos="2880"/>
        </w:tabs>
        <w:ind w:left="2880" w:hanging="360"/>
      </w:pPr>
      <w:rPr>
        <w:rFonts w:ascii="Wingdings" w:hAnsi="Wingdings" w:hint="default"/>
      </w:rPr>
    </w:lvl>
    <w:lvl w:ilvl="4" w:tplc="B1A0E33C" w:tentative="1">
      <w:start w:val="1"/>
      <w:numFmt w:val="bullet"/>
      <w:lvlText w:val=""/>
      <w:lvlJc w:val="left"/>
      <w:pPr>
        <w:tabs>
          <w:tab w:val="num" w:pos="3600"/>
        </w:tabs>
        <w:ind w:left="3600" w:hanging="360"/>
      </w:pPr>
      <w:rPr>
        <w:rFonts w:ascii="Wingdings" w:hAnsi="Wingdings" w:hint="default"/>
      </w:rPr>
    </w:lvl>
    <w:lvl w:ilvl="5" w:tplc="1F229F0C" w:tentative="1">
      <w:start w:val="1"/>
      <w:numFmt w:val="bullet"/>
      <w:lvlText w:val=""/>
      <w:lvlJc w:val="left"/>
      <w:pPr>
        <w:tabs>
          <w:tab w:val="num" w:pos="4320"/>
        </w:tabs>
        <w:ind w:left="4320" w:hanging="360"/>
      </w:pPr>
      <w:rPr>
        <w:rFonts w:ascii="Wingdings" w:hAnsi="Wingdings" w:hint="default"/>
      </w:rPr>
    </w:lvl>
    <w:lvl w:ilvl="6" w:tplc="17E04AE8" w:tentative="1">
      <w:start w:val="1"/>
      <w:numFmt w:val="bullet"/>
      <w:lvlText w:val=""/>
      <w:lvlJc w:val="left"/>
      <w:pPr>
        <w:tabs>
          <w:tab w:val="num" w:pos="5040"/>
        </w:tabs>
        <w:ind w:left="5040" w:hanging="360"/>
      </w:pPr>
      <w:rPr>
        <w:rFonts w:ascii="Wingdings" w:hAnsi="Wingdings" w:hint="default"/>
      </w:rPr>
    </w:lvl>
    <w:lvl w:ilvl="7" w:tplc="1A0A709E" w:tentative="1">
      <w:start w:val="1"/>
      <w:numFmt w:val="bullet"/>
      <w:lvlText w:val=""/>
      <w:lvlJc w:val="left"/>
      <w:pPr>
        <w:tabs>
          <w:tab w:val="num" w:pos="5760"/>
        </w:tabs>
        <w:ind w:left="5760" w:hanging="360"/>
      </w:pPr>
      <w:rPr>
        <w:rFonts w:ascii="Wingdings" w:hAnsi="Wingdings" w:hint="default"/>
      </w:rPr>
    </w:lvl>
    <w:lvl w:ilvl="8" w:tplc="D05A8A6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5B1D81"/>
    <w:multiLevelType w:val="hybridMultilevel"/>
    <w:tmpl w:val="350C5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B85413"/>
    <w:multiLevelType w:val="hybridMultilevel"/>
    <w:tmpl w:val="40B00D02"/>
    <w:lvl w:ilvl="0" w:tplc="8572045E">
      <w:start w:val="1"/>
      <w:numFmt w:val="bullet"/>
      <w:lvlText w:val=""/>
      <w:lvlJc w:val="left"/>
      <w:pPr>
        <w:tabs>
          <w:tab w:val="num" w:pos="720"/>
        </w:tabs>
        <w:ind w:left="720" w:hanging="360"/>
      </w:pPr>
      <w:rPr>
        <w:rFonts w:ascii="Wingdings" w:hAnsi="Wingdings" w:hint="default"/>
      </w:rPr>
    </w:lvl>
    <w:lvl w:ilvl="1" w:tplc="DAEC411E">
      <w:start w:val="1"/>
      <w:numFmt w:val="bullet"/>
      <w:lvlText w:val=""/>
      <w:lvlJc w:val="left"/>
      <w:pPr>
        <w:tabs>
          <w:tab w:val="num" w:pos="1440"/>
        </w:tabs>
        <w:ind w:left="1440" w:hanging="360"/>
      </w:pPr>
      <w:rPr>
        <w:rFonts w:ascii="Wingdings" w:hAnsi="Wingdings" w:hint="default"/>
      </w:rPr>
    </w:lvl>
    <w:lvl w:ilvl="2" w:tplc="AB7C5BF6" w:tentative="1">
      <w:start w:val="1"/>
      <w:numFmt w:val="bullet"/>
      <w:lvlText w:val=""/>
      <w:lvlJc w:val="left"/>
      <w:pPr>
        <w:tabs>
          <w:tab w:val="num" w:pos="2160"/>
        </w:tabs>
        <w:ind w:left="2160" w:hanging="360"/>
      </w:pPr>
      <w:rPr>
        <w:rFonts w:ascii="Wingdings" w:hAnsi="Wingdings" w:hint="default"/>
      </w:rPr>
    </w:lvl>
    <w:lvl w:ilvl="3" w:tplc="5C2C7E5C" w:tentative="1">
      <w:start w:val="1"/>
      <w:numFmt w:val="bullet"/>
      <w:lvlText w:val=""/>
      <w:lvlJc w:val="left"/>
      <w:pPr>
        <w:tabs>
          <w:tab w:val="num" w:pos="2880"/>
        </w:tabs>
        <w:ind w:left="2880" w:hanging="360"/>
      </w:pPr>
      <w:rPr>
        <w:rFonts w:ascii="Wingdings" w:hAnsi="Wingdings" w:hint="default"/>
      </w:rPr>
    </w:lvl>
    <w:lvl w:ilvl="4" w:tplc="08B2DE38" w:tentative="1">
      <w:start w:val="1"/>
      <w:numFmt w:val="bullet"/>
      <w:lvlText w:val=""/>
      <w:lvlJc w:val="left"/>
      <w:pPr>
        <w:tabs>
          <w:tab w:val="num" w:pos="3600"/>
        </w:tabs>
        <w:ind w:left="3600" w:hanging="360"/>
      </w:pPr>
      <w:rPr>
        <w:rFonts w:ascii="Wingdings" w:hAnsi="Wingdings" w:hint="default"/>
      </w:rPr>
    </w:lvl>
    <w:lvl w:ilvl="5" w:tplc="CBDE8FE8" w:tentative="1">
      <w:start w:val="1"/>
      <w:numFmt w:val="bullet"/>
      <w:lvlText w:val=""/>
      <w:lvlJc w:val="left"/>
      <w:pPr>
        <w:tabs>
          <w:tab w:val="num" w:pos="4320"/>
        </w:tabs>
        <w:ind w:left="4320" w:hanging="360"/>
      </w:pPr>
      <w:rPr>
        <w:rFonts w:ascii="Wingdings" w:hAnsi="Wingdings" w:hint="default"/>
      </w:rPr>
    </w:lvl>
    <w:lvl w:ilvl="6" w:tplc="3EE65A38" w:tentative="1">
      <w:start w:val="1"/>
      <w:numFmt w:val="bullet"/>
      <w:lvlText w:val=""/>
      <w:lvlJc w:val="left"/>
      <w:pPr>
        <w:tabs>
          <w:tab w:val="num" w:pos="5040"/>
        </w:tabs>
        <w:ind w:left="5040" w:hanging="360"/>
      </w:pPr>
      <w:rPr>
        <w:rFonts w:ascii="Wingdings" w:hAnsi="Wingdings" w:hint="default"/>
      </w:rPr>
    </w:lvl>
    <w:lvl w:ilvl="7" w:tplc="B2DE9B56" w:tentative="1">
      <w:start w:val="1"/>
      <w:numFmt w:val="bullet"/>
      <w:lvlText w:val=""/>
      <w:lvlJc w:val="left"/>
      <w:pPr>
        <w:tabs>
          <w:tab w:val="num" w:pos="5760"/>
        </w:tabs>
        <w:ind w:left="5760" w:hanging="360"/>
      </w:pPr>
      <w:rPr>
        <w:rFonts w:ascii="Wingdings" w:hAnsi="Wingdings" w:hint="default"/>
      </w:rPr>
    </w:lvl>
    <w:lvl w:ilvl="8" w:tplc="DD105FF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97552C"/>
    <w:multiLevelType w:val="hybridMultilevel"/>
    <w:tmpl w:val="96FE0A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74EA1650"/>
    <w:multiLevelType w:val="hybridMultilevel"/>
    <w:tmpl w:val="3F1211B8"/>
    <w:lvl w:ilvl="0" w:tplc="04302772">
      <w:start w:val="1"/>
      <w:numFmt w:val="bullet"/>
      <w:lvlText w:val="•"/>
      <w:lvlJc w:val="left"/>
      <w:pPr>
        <w:tabs>
          <w:tab w:val="num" w:pos="720"/>
        </w:tabs>
        <w:ind w:left="720" w:hanging="360"/>
      </w:pPr>
      <w:rPr>
        <w:rFonts w:ascii="Arial" w:hAnsi="Arial" w:hint="default"/>
      </w:rPr>
    </w:lvl>
    <w:lvl w:ilvl="1" w:tplc="966AD020" w:tentative="1">
      <w:start w:val="1"/>
      <w:numFmt w:val="bullet"/>
      <w:lvlText w:val="•"/>
      <w:lvlJc w:val="left"/>
      <w:pPr>
        <w:tabs>
          <w:tab w:val="num" w:pos="1440"/>
        </w:tabs>
        <w:ind w:left="1440" w:hanging="360"/>
      </w:pPr>
      <w:rPr>
        <w:rFonts w:ascii="Arial" w:hAnsi="Arial" w:hint="default"/>
      </w:rPr>
    </w:lvl>
    <w:lvl w:ilvl="2" w:tplc="D84C716E" w:tentative="1">
      <w:start w:val="1"/>
      <w:numFmt w:val="bullet"/>
      <w:lvlText w:val="•"/>
      <w:lvlJc w:val="left"/>
      <w:pPr>
        <w:tabs>
          <w:tab w:val="num" w:pos="2160"/>
        </w:tabs>
        <w:ind w:left="2160" w:hanging="360"/>
      </w:pPr>
      <w:rPr>
        <w:rFonts w:ascii="Arial" w:hAnsi="Arial" w:hint="default"/>
      </w:rPr>
    </w:lvl>
    <w:lvl w:ilvl="3" w:tplc="18BC3D04" w:tentative="1">
      <w:start w:val="1"/>
      <w:numFmt w:val="bullet"/>
      <w:lvlText w:val="•"/>
      <w:lvlJc w:val="left"/>
      <w:pPr>
        <w:tabs>
          <w:tab w:val="num" w:pos="2880"/>
        </w:tabs>
        <w:ind w:left="2880" w:hanging="360"/>
      </w:pPr>
      <w:rPr>
        <w:rFonts w:ascii="Arial" w:hAnsi="Arial" w:hint="default"/>
      </w:rPr>
    </w:lvl>
    <w:lvl w:ilvl="4" w:tplc="4DB2107E" w:tentative="1">
      <w:start w:val="1"/>
      <w:numFmt w:val="bullet"/>
      <w:lvlText w:val="•"/>
      <w:lvlJc w:val="left"/>
      <w:pPr>
        <w:tabs>
          <w:tab w:val="num" w:pos="3600"/>
        </w:tabs>
        <w:ind w:left="3600" w:hanging="360"/>
      </w:pPr>
      <w:rPr>
        <w:rFonts w:ascii="Arial" w:hAnsi="Arial" w:hint="default"/>
      </w:rPr>
    </w:lvl>
    <w:lvl w:ilvl="5" w:tplc="1084FAA2" w:tentative="1">
      <w:start w:val="1"/>
      <w:numFmt w:val="bullet"/>
      <w:lvlText w:val="•"/>
      <w:lvlJc w:val="left"/>
      <w:pPr>
        <w:tabs>
          <w:tab w:val="num" w:pos="4320"/>
        </w:tabs>
        <w:ind w:left="4320" w:hanging="360"/>
      </w:pPr>
      <w:rPr>
        <w:rFonts w:ascii="Arial" w:hAnsi="Arial" w:hint="default"/>
      </w:rPr>
    </w:lvl>
    <w:lvl w:ilvl="6" w:tplc="D3D8AC44" w:tentative="1">
      <w:start w:val="1"/>
      <w:numFmt w:val="bullet"/>
      <w:lvlText w:val="•"/>
      <w:lvlJc w:val="left"/>
      <w:pPr>
        <w:tabs>
          <w:tab w:val="num" w:pos="5040"/>
        </w:tabs>
        <w:ind w:left="5040" w:hanging="360"/>
      </w:pPr>
      <w:rPr>
        <w:rFonts w:ascii="Arial" w:hAnsi="Arial" w:hint="default"/>
      </w:rPr>
    </w:lvl>
    <w:lvl w:ilvl="7" w:tplc="4E06A964" w:tentative="1">
      <w:start w:val="1"/>
      <w:numFmt w:val="bullet"/>
      <w:lvlText w:val="•"/>
      <w:lvlJc w:val="left"/>
      <w:pPr>
        <w:tabs>
          <w:tab w:val="num" w:pos="5760"/>
        </w:tabs>
        <w:ind w:left="5760" w:hanging="360"/>
      </w:pPr>
      <w:rPr>
        <w:rFonts w:ascii="Arial" w:hAnsi="Arial" w:hint="default"/>
      </w:rPr>
    </w:lvl>
    <w:lvl w:ilvl="8" w:tplc="05C6E97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508024D"/>
    <w:multiLevelType w:val="hybridMultilevel"/>
    <w:tmpl w:val="C0180862"/>
    <w:lvl w:ilvl="0" w:tplc="00E82F38">
      <w:start w:val="1"/>
      <w:numFmt w:val="bullet"/>
      <w:lvlText w:val="•"/>
      <w:lvlJc w:val="left"/>
      <w:pPr>
        <w:tabs>
          <w:tab w:val="num" w:pos="720"/>
        </w:tabs>
        <w:ind w:left="720" w:hanging="360"/>
      </w:pPr>
      <w:rPr>
        <w:rFonts w:ascii="Arial" w:hAnsi="Arial" w:hint="default"/>
      </w:rPr>
    </w:lvl>
    <w:lvl w:ilvl="1" w:tplc="DD768460" w:tentative="1">
      <w:start w:val="1"/>
      <w:numFmt w:val="bullet"/>
      <w:lvlText w:val="•"/>
      <w:lvlJc w:val="left"/>
      <w:pPr>
        <w:tabs>
          <w:tab w:val="num" w:pos="1440"/>
        </w:tabs>
        <w:ind w:left="1440" w:hanging="360"/>
      </w:pPr>
      <w:rPr>
        <w:rFonts w:ascii="Arial" w:hAnsi="Arial" w:hint="default"/>
      </w:rPr>
    </w:lvl>
    <w:lvl w:ilvl="2" w:tplc="CFDA6D86" w:tentative="1">
      <w:start w:val="1"/>
      <w:numFmt w:val="bullet"/>
      <w:lvlText w:val="•"/>
      <w:lvlJc w:val="left"/>
      <w:pPr>
        <w:tabs>
          <w:tab w:val="num" w:pos="2160"/>
        </w:tabs>
        <w:ind w:left="2160" w:hanging="360"/>
      </w:pPr>
      <w:rPr>
        <w:rFonts w:ascii="Arial" w:hAnsi="Arial" w:hint="default"/>
      </w:rPr>
    </w:lvl>
    <w:lvl w:ilvl="3" w:tplc="4A40DCA0" w:tentative="1">
      <w:start w:val="1"/>
      <w:numFmt w:val="bullet"/>
      <w:lvlText w:val="•"/>
      <w:lvlJc w:val="left"/>
      <w:pPr>
        <w:tabs>
          <w:tab w:val="num" w:pos="2880"/>
        </w:tabs>
        <w:ind w:left="2880" w:hanging="360"/>
      </w:pPr>
      <w:rPr>
        <w:rFonts w:ascii="Arial" w:hAnsi="Arial" w:hint="default"/>
      </w:rPr>
    </w:lvl>
    <w:lvl w:ilvl="4" w:tplc="8AAE9A20" w:tentative="1">
      <w:start w:val="1"/>
      <w:numFmt w:val="bullet"/>
      <w:lvlText w:val="•"/>
      <w:lvlJc w:val="left"/>
      <w:pPr>
        <w:tabs>
          <w:tab w:val="num" w:pos="3600"/>
        </w:tabs>
        <w:ind w:left="3600" w:hanging="360"/>
      </w:pPr>
      <w:rPr>
        <w:rFonts w:ascii="Arial" w:hAnsi="Arial" w:hint="default"/>
      </w:rPr>
    </w:lvl>
    <w:lvl w:ilvl="5" w:tplc="4EE29BEE" w:tentative="1">
      <w:start w:val="1"/>
      <w:numFmt w:val="bullet"/>
      <w:lvlText w:val="•"/>
      <w:lvlJc w:val="left"/>
      <w:pPr>
        <w:tabs>
          <w:tab w:val="num" w:pos="4320"/>
        </w:tabs>
        <w:ind w:left="4320" w:hanging="360"/>
      </w:pPr>
      <w:rPr>
        <w:rFonts w:ascii="Arial" w:hAnsi="Arial" w:hint="default"/>
      </w:rPr>
    </w:lvl>
    <w:lvl w:ilvl="6" w:tplc="9F3E9B1A" w:tentative="1">
      <w:start w:val="1"/>
      <w:numFmt w:val="bullet"/>
      <w:lvlText w:val="•"/>
      <w:lvlJc w:val="left"/>
      <w:pPr>
        <w:tabs>
          <w:tab w:val="num" w:pos="5040"/>
        </w:tabs>
        <w:ind w:left="5040" w:hanging="360"/>
      </w:pPr>
      <w:rPr>
        <w:rFonts w:ascii="Arial" w:hAnsi="Arial" w:hint="default"/>
      </w:rPr>
    </w:lvl>
    <w:lvl w:ilvl="7" w:tplc="C41039BE" w:tentative="1">
      <w:start w:val="1"/>
      <w:numFmt w:val="bullet"/>
      <w:lvlText w:val="•"/>
      <w:lvlJc w:val="left"/>
      <w:pPr>
        <w:tabs>
          <w:tab w:val="num" w:pos="5760"/>
        </w:tabs>
        <w:ind w:left="5760" w:hanging="360"/>
      </w:pPr>
      <w:rPr>
        <w:rFonts w:ascii="Arial" w:hAnsi="Arial" w:hint="default"/>
      </w:rPr>
    </w:lvl>
    <w:lvl w:ilvl="8" w:tplc="BC905314"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25"/>
  </w:num>
  <w:num w:numId="3">
    <w:abstractNumId w:val="21"/>
  </w:num>
  <w:num w:numId="4">
    <w:abstractNumId w:val="26"/>
  </w:num>
  <w:num w:numId="5">
    <w:abstractNumId w:val="16"/>
  </w:num>
  <w:num w:numId="6">
    <w:abstractNumId w:val="9"/>
  </w:num>
  <w:num w:numId="7">
    <w:abstractNumId w:val="0"/>
  </w:num>
  <w:num w:numId="8">
    <w:abstractNumId w:val="19"/>
  </w:num>
  <w:num w:numId="9">
    <w:abstractNumId w:val="7"/>
  </w:num>
  <w:num w:numId="10">
    <w:abstractNumId w:val="8"/>
  </w:num>
  <w:num w:numId="11">
    <w:abstractNumId w:val="3"/>
  </w:num>
  <w:num w:numId="12">
    <w:abstractNumId w:val="18"/>
  </w:num>
  <w:num w:numId="13">
    <w:abstractNumId w:val="2"/>
  </w:num>
  <w:num w:numId="14">
    <w:abstractNumId w:val="23"/>
  </w:num>
  <w:num w:numId="15">
    <w:abstractNumId w:val="14"/>
  </w:num>
  <w:num w:numId="16">
    <w:abstractNumId w:val="5"/>
  </w:num>
  <w:num w:numId="17">
    <w:abstractNumId w:val="22"/>
  </w:num>
  <w:num w:numId="18">
    <w:abstractNumId w:val="4"/>
  </w:num>
  <w:num w:numId="19">
    <w:abstractNumId w:val="24"/>
  </w:num>
  <w:num w:numId="20">
    <w:abstractNumId w:val="13"/>
  </w:num>
  <w:num w:numId="21">
    <w:abstractNumId w:val="12"/>
  </w:num>
  <w:num w:numId="22">
    <w:abstractNumId w:val="20"/>
  </w:num>
  <w:num w:numId="23">
    <w:abstractNumId w:val="11"/>
  </w:num>
  <w:num w:numId="24">
    <w:abstractNumId w:val="17"/>
  </w:num>
  <w:num w:numId="25">
    <w:abstractNumId w:val="15"/>
  </w:num>
  <w:num w:numId="26">
    <w:abstractNumId w:val="1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20DA4"/>
    <w:rsid w:val="00006ADC"/>
    <w:rsid w:val="00007D15"/>
    <w:rsid w:val="00015222"/>
    <w:rsid w:val="00020DA4"/>
    <w:rsid w:val="00024EA7"/>
    <w:rsid w:val="00037DA8"/>
    <w:rsid w:val="00053397"/>
    <w:rsid w:val="000604CA"/>
    <w:rsid w:val="00067C77"/>
    <w:rsid w:val="00082C90"/>
    <w:rsid w:val="000A2199"/>
    <w:rsid w:val="000B03B7"/>
    <w:rsid w:val="000B2ED2"/>
    <w:rsid w:val="000D08FF"/>
    <w:rsid w:val="00107AE8"/>
    <w:rsid w:val="0011100A"/>
    <w:rsid w:val="001207EA"/>
    <w:rsid w:val="00122C4E"/>
    <w:rsid w:val="00152630"/>
    <w:rsid w:val="00156D47"/>
    <w:rsid w:val="001742AF"/>
    <w:rsid w:val="00181F84"/>
    <w:rsid w:val="00181FB5"/>
    <w:rsid w:val="0018245B"/>
    <w:rsid w:val="00192D9A"/>
    <w:rsid w:val="001A7779"/>
    <w:rsid w:val="001C3E3E"/>
    <w:rsid w:val="001D4D4A"/>
    <w:rsid w:val="001E1940"/>
    <w:rsid w:val="001E74E4"/>
    <w:rsid w:val="001F3F2D"/>
    <w:rsid w:val="001F6487"/>
    <w:rsid w:val="00221DB2"/>
    <w:rsid w:val="00241E70"/>
    <w:rsid w:val="00244D64"/>
    <w:rsid w:val="00254A72"/>
    <w:rsid w:val="002552B7"/>
    <w:rsid w:val="002573B9"/>
    <w:rsid w:val="00260912"/>
    <w:rsid w:val="002671AC"/>
    <w:rsid w:val="002717AA"/>
    <w:rsid w:val="002B06F5"/>
    <w:rsid w:val="002B5872"/>
    <w:rsid w:val="002B5D8D"/>
    <w:rsid w:val="002B5E77"/>
    <w:rsid w:val="002C5AB8"/>
    <w:rsid w:val="002D09DE"/>
    <w:rsid w:val="002D1C45"/>
    <w:rsid w:val="002E0F7F"/>
    <w:rsid w:val="003567A5"/>
    <w:rsid w:val="00373CC9"/>
    <w:rsid w:val="003942BF"/>
    <w:rsid w:val="003A7C65"/>
    <w:rsid w:val="003B2421"/>
    <w:rsid w:val="003C0846"/>
    <w:rsid w:val="003C1D5F"/>
    <w:rsid w:val="003C3769"/>
    <w:rsid w:val="003E47C5"/>
    <w:rsid w:val="003F6823"/>
    <w:rsid w:val="00403836"/>
    <w:rsid w:val="00412B1E"/>
    <w:rsid w:val="00424254"/>
    <w:rsid w:val="004242EF"/>
    <w:rsid w:val="00430AFE"/>
    <w:rsid w:val="004474F0"/>
    <w:rsid w:val="004701E8"/>
    <w:rsid w:val="004736CF"/>
    <w:rsid w:val="00476596"/>
    <w:rsid w:val="004A5EAB"/>
    <w:rsid w:val="004D35A8"/>
    <w:rsid w:val="004D69B7"/>
    <w:rsid w:val="004E302F"/>
    <w:rsid w:val="004F114A"/>
    <w:rsid w:val="004F19A5"/>
    <w:rsid w:val="004F6766"/>
    <w:rsid w:val="004F78A5"/>
    <w:rsid w:val="00507FE9"/>
    <w:rsid w:val="0051644A"/>
    <w:rsid w:val="00522E23"/>
    <w:rsid w:val="0052623D"/>
    <w:rsid w:val="00541F23"/>
    <w:rsid w:val="0054649B"/>
    <w:rsid w:val="00556C81"/>
    <w:rsid w:val="00585957"/>
    <w:rsid w:val="00587B8B"/>
    <w:rsid w:val="00595547"/>
    <w:rsid w:val="005A28D5"/>
    <w:rsid w:val="005B163D"/>
    <w:rsid w:val="005C1E55"/>
    <w:rsid w:val="005D54CC"/>
    <w:rsid w:val="005E5D14"/>
    <w:rsid w:val="005E7D2C"/>
    <w:rsid w:val="005F5F00"/>
    <w:rsid w:val="00602326"/>
    <w:rsid w:val="006034CE"/>
    <w:rsid w:val="00613000"/>
    <w:rsid w:val="006140E5"/>
    <w:rsid w:val="00626609"/>
    <w:rsid w:val="00632038"/>
    <w:rsid w:val="0066728A"/>
    <w:rsid w:val="00676140"/>
    <w:rsid w:val="00684D96"/>
    <w:rsid w:val="006C4168"/>
    <w:rsid w:val="006D1F55"/>
    <w:rsid w:val="006D4500"/>
    <w:rsid w:val="006E2544"/>
    <w:rsid w:val="006E60D7"/>
    <w:rsid w:val="006F3E42"/>
    <w:rsid w:val="00701989"/>
    <w:rsid w:val="0071432F"/>
    <w:rsid w:val="007533AF"/>
    <w:rsid w:val="00753BD6"/>
    <w:rsid w:val="00773668"/>
    <w:rsid w:val="0078142D"/>
    <w:rsid w:val="00783926"/>
    <w:rsid w:val="00791C22"/>
    <w:rsid w:val="007B0CF0"/>
    <w:rsid w:val="007B606C"/>
    <w:rsid w:val="007B79B9"/>
    <w:rsid w:val="007C2892"/>
    <w:rsid w:val="007E76D0"/>
    <w:rsid w:val="007F7A74"/>
    <w:rsid w:val="00813557"/>
    <w:rsid w:val="00814E2B"/>
    <w:rsid w:val="00817A10"/>
    <w:rsid w:val="00842842"/>
    <w:rsid w:val="00855229"/>
    <w:rsid w:val="00863EA9"/>
    <w:rsid w:val="008816A9"/>
    <w:rsid w:val="008C1BAB"/>
    <w:rsid w:val="008C2998"/>
    <w:rsid w:val="008C32F4"/>
    <w:rsid w:val="008C3A08"/>
    <w:rsid w:val="009215EC"/>
    <w:rsid w:val="00921EEA"/>
    <w:rsid w:val="00963B43"/>
    <w:rsid w:val="009735FE"/>
    <w:rsid w:val="00991409"/>
    <w:rsid w:val="00991EFB"/>
    <w:rsid w:val="009B7BA3"/>
    <w:rsid w:val="009B7D7D"/>
    <w:rsid w:val="009C430B"/>
    <w:rsid w:val="009F7880"/>
    <w:rsid w:val="00A11A6E"/>
    <w:rsid w:val="00A23DD8"/>
    <w:rsid w:val="00A25336"/>
    <w:rsid w:val="00A43428"/>
    <w:rsid w:val="00A53766"/>
    <w:rsid w:val="00A551D0"/>
    <w:rsid w:val="00A55886"/>
    <w:rsid w:val="00A616EB"/>
    <w:rsid w:val="00A715E4"/>
    <w:rsid w:val="00A721B0"/>
    <w:rsid w:val="00A73E63"/>
    <w:rsid w:val="00A778E9"/>
    <w:rsid w:val="00A851E3"/>
    <w:rsid w:val="00A873F3"/>
    <w:rsid w:val="00A95F19"/>
    <w:rsid w:val="00AB5CB5"/>
    <w:rsid w:val="00AB7571"/>
    <w:rsid w:val="00AC05F3"/>
    <w:rsid w:val="00AE475C"/>
    <w:rsid w:val="00AF440F"/>
    <w:rsid w:val="00AF4846"/>
    <w:rsid w:val="00B025A5"/>
    <w:rsid w:val="00B04853"/>
    <w:rsid w:val="00B074A7"/>
    <w:rsid w:val="00B26952"/>
    <w:rsid w:val="00B360F4"/>
    <w:rsid w:val="00B43502"/>
    <w:rsid w:val="00B60776"/>
    <w:rsid w:val="00B65544"/>
    <w:rsid w:val="00B724BF"/>
    <w:rsid w:val="00B72E12"/>
    <w:rsid w:val="00BA13EE"/>
    <w:rsid w:val="00BC0074"/>
    <w:rsid w:val="00BC0A07"/>
    <w:rsid w:val="00C1573F"/>
    <w:rsid w:val="00C20146"/>
    <w:rsid w:val="00C3693D"/>
    <w:rsid w:val="00C4257E"/>
    <w:rsid w:val="00C564BA"/>
    <w:rsid w:val="00C819AA"/>
    <w:rsid w:val="00C947AF"/>
    <w:rsid w:val="00CA1557"/>
    <w:rsid w:val="00CE2030"/>
    <w:rsid w:val="00CE459A"/>
    <w:rsid w:val="00CF14EC"/>
    <w:rsid w:val="00CF1DB4"/>
    <w:rsid w:val="00CF65E7"/>
    <w:rsid w:val="00D013A2"/>
    <w:rsid w:val="00D149AF"/>
    <w:rsid w:val="00D256BB"/>
    <w:rsid w:val="00D26C3F"/>
    <w:rsid w:val="00D355A4"/>
    <w:rsid w:val="00D56824"/>
    <w:rsid w:val="00D62770"/>
    <w:rsid w:val="00D649C5"/>
    <w:rsid w:val="00D70815"/>
    <w:rsid w:val="00D93CB0"/>
    <w:rsid w:val="00D96F34"/>
    <w:rsid w:val="00DB51D7"/>
    <w:rsid w:val="00DC02A8"/>
    <w:rsid w:val="00DC5464"/>
    <w:rsid w:val="00DD49DA"/>
    <w:rsid w:val="00DE00D7"/>
    <w:rsid w:val="00DE65F3"/>
    <w:rsid w:val="00E57D72"/>
    <w:rsid w:val="00E57DCE"/>
    <w:rsid w:val="00E62113"/>
    <w:rsid w:val="00E90B1A"/>
    <w:rsid w:val="00E95AB9"/>
    <w:rsid w:val="00E9636B"/>
    <w:rsid w:val="00E972B8"/>
    <w:rsid w:val="00EA2349"/>
    <w:rsid w:val="00EA6352"/>
    <w:rsid w:val="00EB08B7"/>
    <w:rsid w:val="00EB4C62"/>
    <w:rsid w:val="00EB51AE"/>
    <w:rsid w:val="00EB5697"/>
    <w:rsid w:val="00EB6031"/>
    <w:rsid w:val="00EE68A9"/>
    <w:rsid w:val="00EF2D0A"/>
    <w:rsid w:val="00EF5CB0"/>
    <w:rsid w:val="00F01F93"/>
    <w:rsid w:val="00F1105F"/>
    <w:rsid w:val="00F13921"/>
    <w:rsid w:val="00F142F9"/>
    <w:rsid w:val="00F150BF"/>
    <w:rsid w:val="00F24B35"/>
    <w:rsid w:val="00F44940"/>
    <w:rsid w:val="00F45B1C"/>
    <w:rsid w:val="00F6123F"/>
    <w:rsid w:val="00F6467F"/>
    <w:rsid w:val="00F65DB4"/>
    <w:rsid w:val="00F66879"/>
    <w:rsid w:val="00F71341"/>
    <w:rsid w:val="00F85250"/>
    <w:rsid w:val="00FA6153"/>
    <w:rsid w:val="00FC3512"/>
    <w:rsid w:val="00FE2A35"/>
    <w:rsid w:val="00FF3151"/>
    <w:rsid w:val="00FF7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1E2A3"/>
  <w15:chartTrackingRefBased/>
  <w15:docId w15:val="{562BCEA1-92AE-4207-A168-9DA82FB73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DA4"/>
    <w:pPr>
      <w:spacing w:after="0" w:line="240" w:lineRule="auto"/>
      <w:jc w:val="both"/>
    </w:pPr>
    <w:rPr>
      <w:rFonts w:asciiTheme="majorHAnsi" w:eastAsiaTheme="minorEastAsia" w:hAnsiTheme="majorHAnsi" w:cstheme="majorHAnsi"/>
      <w:sz w:val="24"/>
      <w:szCs w:val="24"/>
      <w:lang w:val="en-US" w:bidi="en-US"/>
    </w:rPr>
  </w:style>
  <w:style w:type="paragraph" w:styleId="Heading2">
    <w:name w:val="heading 2"/>
    <w:basedOn w:val="Normal"/>
    <w:next w:val="Normal"/>
    <w:link w:val="Heading2Char"/>
    <w:uiPriority w:val="9"/>
    <w:unhideWhenUsed/>
    <w:qFormat/>
    <w:rsid w:val="0078142D"/>
    <w:pPr>
      <w:keepNext/>
      <w:spacing w:before="240" w:after="60"/>
      <w:outlineLvl w:val="1"/>
    </w:pPr>
    <w:rPr>
      <w:rFonts w:eastAsiaTheme="majorEastAsia"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4D96"/>
    <w:pPr>
      <w:spacing w:before="100" w:beforeAutospacing="1" w:after="100" w:afterAutospacing="1"/>
      <w:jc w:val="left"/>
    </w:pPr>
    <w:rPr>
      <w:rFonts w:ascii="Times New Roman" w:hAnsi="Times New Roman" w:cs="Times New Roman"/>
      <w:lang w:val="en-GB" w:eastAsia="en-GB" w:bidi="ar-SA"/>
    </w:rPr>
  </w:style>
  <w:style w:type="paragraph" w:customStyle="1" w:styleId="Default">
    <w:name w:val="Default"/>
    <w:rsid w:val="000D08FF"/>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ListParagraph">
    <w:name w:val="List Paragraph"/>
    <w:aliases w:val="L"/>
    <w:basedOn w:val="Normal"/>
    <w:uiPriority w:val="34"/>
    <w:qFormat/>
    <w:rsid w:val="001E1940"/>
    <w:pPr>
      <w:ind w:left="720"/>
      <w:contextualSpacing/>
    </w:pPr>
  </w:style>
  <w:style w:type="character" w:styleId="CommentReference">
    <w:name w:val="annotation reference"/>
    <w:basedOn w:val="DefaultParagraphFont"/>
    <w:uiPriority w:val="99"/>
    <w:semiHidden/>
    <w:unhideWhenUsed/>
    <w:rsid w:val="00107AE8"/>
    <w:rPr>
      <w:sz w:val="16"/>
      <w:szCs w:val="16"/>
    </w:rPr>
  </w:style>
  <w:style w:type="paragraph" w:styleId="CommentText">
    <w:name w:val="annotation text"/>
    <w:basedOn w:val="Normal"/>
    <w:link w:val="CommentTextChar"/>
    <w:uiPriority w:val="99"/>
    <w:semiHidden/>
    <w:unhideWhenUsed/>
    <w:rsid w:val="00107AE8"/>
    <w:rPr>
      <w:sz w:val="20"/>
      <w:szCs w:val="20"/>
    </w:rPr>
  </w:style>
  <w:style w:type="character" w:customStyle="1" w:styleId="CommentTextChar">
    <w:name w:val="Comment Text Char"/>
    <w:basedOn w:val="DefaultParagraphFont"/>
    <w:link w:val="CommentText"/>
    <w:uiPriority w:val="99"/>
    <w:semiHidden/>
    <w:rsid w:val="00107AE8"/>
    <w:rPr>
      <w:rFonts w:asciiTheme="majorHAnsi" w:eastAsiaTheme="minorEastAsia" w:hAnsiTheme="majorHAnsi" w:cstheme="majorHAnsi"/>
      <w:sz w:val="20"/>
      <w:szCs w:val="20"/>
      <w:lang w:val="en-US" w:bidi="en-US"/>
    </w:rPr>
  </w:style>
  <w:style w:type="paragraph" w:styleId="CommentSubject">
    <w:name w:val="annotation subject"/>
    <w:basedOn w:val="CommentText"/>
    <w:next w:val="CommentText"/>
    <w:link w:val="CommentSubjectChar"/>
    <w:uiPriority w:val="99"/>
    <w:semiHidden/>
    <w:unhideWhenUsed/>
    <w:rsid w:val="00107AE8"/>
    <w:rPr>
      <w:b/>
      <w:bCs/>
    </w:rPr>
  </w:style>
  <w:style w:type="character" w:customStyle="1" w:styleId="CommentSubjectChar">
    <w:name w:val="Comment Subject Char"/>
    <w:basedOn w:val="CommentTextChar"/>
    <w:link w:val="CommentSubject"/>
    <w:uiPriority w:val="99"/>
    <w:semiHidden/>
    <w:rsid w:val="00107AE8"/>
    <w:rPr>
      <w:rFonts w:asciiTheme="majorHAnsi" w:eastAsiaTheme="minorEastAsia" w:hAnsiTheme="majorHAnsi" w:cstheme="majorHAnsi"/>
      <w:b/>
      <w:bCs/>
      <w:sz w:val="20"/>
      <w:szCs w:val="20"/>
      <w:lang w:val="en-US" w:bidi="en-US"/>
    </w:rPr>
  </w:style>
  <w:style w:type="paragraph" w:styleId="BalloonText">
    <w:name w:val="Balloon Text"/>
    <w:basedOn w:val="Normal"/>
    <w:link w:val="BalloonTextChar"/>
    <w:uiPriority w:val="99"/>
    <w:semiHidden/>
    <w:unhideWhenUsed/>
    <w:rsid w:val="00107A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AE8"/>
    <w:rPr>
      <w:rFonts w:ascii="Segoe UI" w:eastAsiaTheme="minorEastAsia" w:hAnsi="Segoe UI" w:cs="Segoe UI"/>
      <w:sz w:val="18"/>
      <w:szCs w:val="18"/>
      <w:lang w:val="en-US" w:bidi="en-US"/>
    </w:rPr>
  </w:style>
  <w:style w:type="table" w:styleId="TableGrid">
    <w:name w:val="Table Grid"/>
    <w:basedOn w:val="TableNormal"/>
    <w:uiPriority w:val="39"/>
    <w:rsid w:val="00B43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15E4"/>
    <w:pPr>
      <w:tabs>
        <w:tab w:val="center" w:pos="4513"/>
        <w:tab w:val="right" w:pos="9026"/>
      </w:tabs>
    </w:pPr>
  </w:style>
  <w:style w:type="character" w:customStyle="1" w:styleId="HeaderChar">
    <w:name w:val="Header Char"/>
    <w:basedOn w:val="DefaultParagraphFont"/>
    <w:link w:val="Header"/>
    <w:uiPriority w:val="99"/>
    <w:rsid w:val="00A715E4"/>
    <w:rPr>
      <w:rFonts w:asciiTheme="majorHAnsi" w:eastAsiaTheme="minorEastAsia" w:hAnsiTheme="majorHAnsi" w:cstheme="majorHAnsi"/>
      <w:sz w:val="24"/>
      <w:szCs w:val="24"/>
      <w:lang w:val="en-US" w:bidi="en-US"/>
    </w:rPr>
  </w:style>
  <w:style w:type="paragraph" w:styleId="Footer">
    <w:name w:val="footer"/>
    <w:basedOn w:val="Normal"/>
    <w:link w:val="FooterChar"/>
    <w:uiPriority w:val="99"/>
    <w:unhideWhenUsed/>
    <w:rsid w:val="00A715E4"/>
    <w:pPr>
      <w:tabs>
        <w:tab w:val="center" w:pos="4513"/>
        <w:tab w:val="right" w:pos="9026"/>
      </w:tabs>
    </w:pPr>
  </w:style>
  <w:style w:type="character" w:customStyle="1" w:styleId="FooterChar">
    <w:name w:val="Footer Char"/>
    <w:basedOn w:val="DefaultParagraphFont"/>
    <w:link w:val="Footer"/>
    <w:uiPriority w:val="99"/>
    <w:rsid w:val="00A715E4"/>
    <w:rPr>
      <w:rFonts w:asciiTheme="majorHAnsi" w:eastAsiaTheme="minorEastAsia" w:hAnsiTheme="majorHAnsi" w:cstheme="majorHAnsi"/>
      <w:sz w:val="24"/>
      <w:szCs w:val="24"/>
      <w:lang w:val="en-US" w:bidi="en-US"/>
    </w:rPr>
  </w:style>
  <w:style w:type="character" w:customStyle="1" w:styleId="Heading2Char">
    <w:name w:val="Heading 2 Char"/>
    <w:basedOn w:val="DefaultParagraphFont"/>
    <w:link w:val="Heading2"/>
    <w:uiPriority w:val="9"/>
    <w:rsid w:val="0078142D"/>
    <w:rPr>
      <w:rFonts w:asciiTheme="majorHAnsi" w:eastAsiaTheme="majorEastAsia" w:hAnsiTheme="majorHAnsi" w:cstheme="majorBidi"/>
      <w:b/>
      <w:bCs/>
      <w:i/>
      <w:iCs/>
      <w:sz w:val="28"/>
      <w:szCs w:val="28"/>
      <w:lang w:val="en-US" w:bidi="en-US"/>
    </w:rPr>
  </w:style>
  <w:style w:type="paragraph" w:customStyle="1" w:styleId="paragraph">
    <w:name w:val="paragraph"/>
    <w:basedOn w:val="Normal"/>
    <w:rsid w:val="00D56824"/>
    <w:pPr>
      <w:spacing w:before="100" w:beforeAutospacing="1" w:after="100" w:afterAutospacing="1"/>
      <w:jc w:val="left"/>
    </w:pPr>
    <w:rPr>
      <w:rFonts w:ascii="Times New Roman" w:eastAsia="Times New Roman" w:hAnsi="Times New Roman" w:cs="Times New Roman"/>
      <w:lang w:val="en-GB" w:eastAsia="en-GB" w:bidi="ar-SA"/>
    </w:rPr>
  </w:style>
  <w:style w:type="character" w:customStyle="1" w:styleId="normaltextrun">
    <w:name w:val="normaltextrun"/>
    <w:basedOn w:val="DefaultParagraphFont"/>
    <w:rsid w:val="00D56824"/>
  </w:style>
  <w:style w:type="character" w:customStyle="1" w:styleId="eop">
    <w:name w:val="eop"/>
    <w:basedOn w:val="DefaultParagraphFont"/>
    <w:rsid w:val="00D56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0314">
      <w:bodyDiv w:val="1"/>
      <w:marLeft w:val="0"/>
      <w:marRight w:val="0"/>
      <w:marTop w:val="0"/>
      <w:marBottom w:val="0"/>
      <w:divBdr>
        <w:top w:val="none" w:sz="0" w:space="0" w:color="auto"/>
        <w:left w:val="none" w:sz="0" w:space="0" w:color="auto"/>
        <w:bottom w:val="none" w:sz="0" w:space="0" w:color="auto"/>
        <w:right w:val="none" w:sz="0" w:space="0" w:color="auto"/>
      </w:divBdr>
      <w:divsChild>
        <w:div w:id="1608125303">
          <w:marLeft w:val="1008"/>
          <w:marRight w:val="0"/>
          <w:marTop w:val="110"/>
          <w:marBottom w:val="0"/>
          <w:divBdr>
            <w:top w:val="none" w:sz="0" w:space="0" w:color="auto"/>
            <w:left w:val="none" w:sz="0" w:space="0" w:color="auto"/>
            <w:bottom w:val="none" w:sz="0" w:space="0" w:color="auto"/>
            <w:right w:val="none" w:sz="0" w:space="0" w:color="auto"/>
          </w:divBdr>
        </w:div>
        <w:div w:id="413016272">
          <w:marLeft w:val="1008"/>
          <w:marRight w:val="0"/>
          <w:marTop w:val="110"/>
          <w:marBottom w:val="0"/>
          <w:divBdr>
            <w:top w:val="none" w:sz="0" w:space="0" w:color="auto"/>
            <w:left w:val="none" w:sz="0" w:space="0" w:color="auto"/>
            <w:bottom w:val="none" w:sz="0" w:space="0" w:color="auto"/>
            <w:right w:val="none" w:sz="0" w:space="0" w:color="auto"/>
          </w:divBdr>
        </w:div>
        <w:div w:id="129444367">
          <w:marLeft w:val="1008"/>
          <w:marRight w:val="0"/>
          <w:marTop w:val="110"/>
          <w:marBottom w:val="0"/>
          <w:divBdr>
            <w:top w:val="none" w:sz="0" w:space="0" w:color="auto"/>
            <w:left w:val="none" w:sz="0" w:space="0" w:color="auto"/>
            <w:bottom w:val="none" w:sz="0" w:space="0" w:color="auto"/>
            <w:right w:val="none" w:sz="0" w:space="0" w:color="auto"/>
          </w:divBdr>
        </w:div>
        <w:div w:id="1910577472">
          <w:marLeft w:val="1008"/>
          <w:marRight w:val="0"/>
          <w:marTop w:val="110"/>
          <w:marBottom w:val="0"/>
          <w:divBdr>
            <w:top w:val="none" w:sz="0" w:space="0" w:color="auto"/>
            <w:left w:val="none" w:sz="0" w:space="0" w:color="auto"/>
            <w:bottom w:val="none" w:sz="0" w:space="0" w:color="auto"/>
            <w:right w:val="none" w:sz="0" w:space="0" w:color="auto"/>
          </w:divBdr>
        </w:div>
        <w:div w:id="1411997958">
          <w:marLeft w:val="1008"/>
          <w:marRight w:val="0"/>
          <w:marTop w:val="110"/>
          <w:marBottom w:val="0"/>
          <w:divBdr>
            <w:top w:val="none" w:sz="0" w:space="0" w:color="auto"/>
            <w:left w:val="none" w:sz="0" w:space="0" w:color="auto"/>
            <w:bottom w:val="none" w:sz="0" w:space="0" w:color="auto"/>
            <w:right w:val="none" w:sz="0" w:space="0" w:color="auto"/>
          </w:divBdr>
        </w:div>
        <w:div w:id="871724645">
          <w:marLeft w:val="1008"/>
          <w:marRight w:val="0"/>
          <w:marTop w:val="110"/>
          <w:marBottom w:val="0"/>
          <w:divBdr>
            <w:top w:val="none" w:sz="0" w:space="0" w:color="auto"/>
            <w:left w:val="none" w:sz="0" w:space="0" w:color="auto"/>
            <w:bottom w:val="none" w:sz="0" w:space="0" w:color="auto"/>
            <w:right w:val="none" w:sz="0" w:space="0" w:color="auto"/>
          </w:divBdr>
        </w:div>
        <w:div w:id="620186796">
          <w:marLeft w:val="1008"/>
          <w:marRight w:val="0"/>
          <w:marTop w:val="110"/>
          <w:marBottom w:val="0"/>
          <w:divBdr>
            <w:top w:val="none" w:sz="0" w:space="0" w:color="auto"/>
            <w:left w:val="none" w:sz="0" w:space="0" w:color="auto"/>
            <w:bottom w:val="none" w:sz="0" w:space="0" w:color="auto"/>
            <w:right w:val="none" w:sz="0" w:space="0" w:color="auto"/>
          </w:divBdr>
        </w:div>
        <w:div w:id="1504592350">
          <w:marLeft w:val="1008"/>
          <w:marRight w:val="0"/>
          <w:marTop w:val="110"/>
          <w:marBottom w:val="0"/>
          <w:divBdr>
            <w:top w:val="none" w:sz="0" w:space="0" w:color="auto"/>
            <w:left w:val="none" w:sz="0" w:space="0" w:color="auto"/>
            <w:bottom w:val="none" w:sz="0" w:space="0" w:color="auto"/>
            <w:right w:val="none" w:sz="0" w:space="0" w:color="auto"/>
          </w:divBdr>
        </w:div>
      </w:divsChild>
    </w:div>
    <w:div w:id="44330554">
      <w:bodyDiv w:val="1"/>
      <w:marLeft w:val="0"/>
      <w:marRight w:val="0"/>
      <w:marTop w:val="0"/>
      <w:marBottom w:val="0"/>
      <w:divBdr>
        <w:top w:val="none" w:sz="0" w:space="0" w:color="auto"/>
        <w:left w:val="none" w:sz="0" w:space="0" w:color="auto"/>
        <w:bottom w:val="none" w:sz="0" w:space="0" w:color="auto"/>
        <w:right w:val="none" w:sz="0" w:space="0" w:color="auto"/>
      </w:divBdr>
    </w:div>
    <w:div w:id="125390345">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2">
          <w:marLeft w:val="1008"/>
          <w:marRight w:val="0"/>
          <w:marTop w:val="110"/>
          <w:marBottom w:val="0"/>
          <w:divBdr>
            <w:top w:val="none" w:sz="0" w:space="0" w:color="auto"/>
            <w:left w:val="none" w:sz="0" w:space="0" w:color="auto"/>
            <w:bottom w:val="none" w:sz="0" w:space="0" w:color="auto"/>
            <w:right w:val="none" w:sz="0" w:space="0" w:color="auto"/>
          </w:divBdr>
        </w:div>
        <w:div w:id="781463409">
          <w:marLeft w:val="1008"/>
          <w:marRight w:val="0"/>
          <w:marTop w:val="110"/>
          <w:marBottom w:val="0"/>
          <w:divBdr>
            <w:top w:val="none" w:sz="0" w:space="0" w:color="auto"/>
            <w:left w:val="none" w:sz="0" w:space="0" w:color="auto"/>
            <w:bottom w:val="none" w:sz="0" w:space="0" w:color="auto"/>
            <w:right w:val="none" w:sz="0" w:space="0" w:color="auto"/>
          </w:divBdr>
        </w:div>
        <w:div w:id="117526937">
          <w:marLeft w:val="1008"/>
          <w:marRight w:val="0"/>
          <w:marTop w:val="110"/>
          <w:marBottom w:val="0"/>
          <w:divBdr>
            <w:top w:val="none" w:sz="0" w:space="0" w:color="auto"/>
            <w:left w:val="none" w:sz="0" w:space="0" w:color="auto"/>
            <w:bottom w:val="none" w:sz="0" w:space="0" w:color="auto"/>
            <w:right w:val="none" w:sz="0" w:space="0" w:color="auto"/>
          </w:divBdr>
        </w:div>
        <w:div w:id="890070565">
          <w:marLeft w:val="1008"/>
          <w:marRight w:val="0"/>
          <w:marTop w:val="110"/>
          <w:marBottom w:val="0"/>
          <w:divBdr>
            <w:top w:val="none" w:sz="0" w:space="0" w:color="auto"/>
            <w:left w:val="none" w:sz="0" w:space="0" w:color="auto"/>
            <w:bottom w:val="none" w:sz="0" w:space="0" w:color="auto"/>
            <w:right w:val="none" w:sz="0" w:space="0" w:color="auto"/>
          </w:divBdr>
        </w:div>
        <w:div w:id="867645075">
          <w:marLeft w:val="1008"/>
          <w:marRight w:val="0"/>
          <w:marTop w:val="110"/>
          <w:marBottom w:val="0"/>
          <w:divBdr>
            <w:top w:val="none" w:sz="0" w:space="0" w:color="auto"/>
            <w:left w:val="none" w:sz="0" w:space="0" w:color="auto"/>
            <w:bottom w:val="none" w:sz="0" w:space="0" w:color="auto"/>
            <w:right w:val="none" w:sz="0" w:space="0" w:color="auto"/>
          </w:divBdr>
        </w:div>
        <w:div w:id="1546797726">
          <w:marLeft w:val="1008"/>
          <w:marRight w:val="0"/>
          <w:marTop w:val="110"/>
          <w:marBottom w:val="0"/>
          <w:divBdr>
            <w:top w:val="none" w:sz="0" w:space="0" w:color="auto"/>
            <w:left w:val="none" w:sz="0" w:space="0" w:color="auto"/>
            <w:bottom w:val="none" w:sz="0" w:space="0" w:color="auto"/>
            <w:right w:val="none" w:sz="0" w:space="0" w:color="auto"/>
          </w:divBdr>
        </w:div>
        <w:div w:id="1161700545">
          <w:marLeft w:val="1008"/>
          <w:marRight w:val="0"/>
          <w:marTop w:val="110"/>
          <w:marBottom w:val="0"/>
          <w:divBdr>
            <w:top w:val="none" w:sz="0" w:space="0" w:color="auto"/>
            <w:left w:val="none" w:sz="0" w:space="0" w:color="auto"/>
            <w:bottom w:val="none" w:sz="0" w:space="0" w:color="auto"/>
            <w:right w:val="none" w:sz="0" w:space="0" w:color="auto"/>
          </w:divBdr>
        </w:div>
      </w:divsChild>
    </w:div>
    <w:div w:id="138226646">
      <w:bodyDiv w:val="1"/>
      <w:marLeft w:val="0"/>
      <w:marRight w:val="0"/>
      <w:marTop w:val="0"/>
      <w:marBottom w:val="0"/>
      <w:divBdr>
        <w:top w:val="none" w:sz="0" w:space="0" w:color="auto"/>
        <w:left w:val="none" w:sz="0" w:space="0" w:color="auto"/>
        <w:bottom w:val="none" w:sz="0" w:space="0" w:color="auto"/>
        <w:right w:val="none" w:sz="0" w:space="0" w:color="auto"/>
      </w:divBdr>
      <w:divsChild>
        <w:div w:id="1125809706">
          <w:marLeft w:val="504"/>
          <w:marRight w:val="0"/>
          <w:marTop w:val="140"/>
          <w:marBottom w:val="0"/>
          <w:divBdr>
            <w:top w:val="none" w:sz="0" w:space="0" w:color="auto"/>
            <w:left w:val="none" w:sz="0" w:space="0" w:color="auto"/>
            <w:bottom w:val="none" w:sz="0" w:space="0" w:color="auto"/>
            <w:right w:val="none" w:sz="0" w:space="0" w:color="auto"/>
          </w:divBdr>
        </w:div>
        <w:div w:id="131563213">
          <w:marLeft w:val="504"/>
          <w:marRight w:val="0"/>
          <w:marTop w:val="140"/>
          <w:marBottom w:val="0"/>
          <w:divBdr>
            <w:top w:val="none" w:sz="0" w:space="0" w:color="auto"/>
            <w:left w:val="none" w:sz="0" w:space="0" w:color="auto"/>
            <w:bottom w:val="none" w:sz="0" w:space="0" w:color="auto"/>
            <w:right w:val="none" w:sz="0" w:space="0" w:color="auto"/>
          </w:divBdr>
        </w:div>
        <w:div w:id="1289120192">
          <w:marLeft w:val="504"/>
          <w:marRight w:val="0"/>
          <w:marTop w:val="140"/>
          <w:marBottom w:val="0"/>
          <w:divBdr>
            <w:top w:val="none" w:sz="0" w:space="0" w:color="auto"/>
            <w:left w:val="none" w:sz="0" w:space="0" w:color="auto"/>
            <w:bottom w:val="none" w:sz="0" w:space="0" w:color="auto"/>
            <w:right w:val="none" w:sz="0" w:space="0" w:color="auto"/>
          </w:divBdr>
        </w:div>
        <w:div w:id="1096632493">
          <w:marLeft w:val="504"/>
          <w:marRight w:val="0"/>
          <w:marTop w:val="140"/>
          <w:marBottom w:val="0"/>
          <w:divBdr>
            <w:top w:val="none" w:sz="0" w:space="0" w:color="auto"/>
            <w:left w:val="none" w:sz="0" w:space="0" w:color="auto"/>
            <w:bottom w:val="none" w:sz="0" w:space="0" w:color="auto"/>
            <w:right w:val="none" w:sz="0" w:space="0" w:color="auto"/>
          </w:divBdr>
        </w:div>
        <w:div w:id="1942253800">
          <w:marLeft w:val="504"/>
          <w:marRight w:val="0"/>
          <w:marTop w:val="140"/>
          <w:marBottom w:val="0"/>
          <w:divBdr>
            <w:top w:val="none" w:sz="0" w:space="0" w:color="auto"/>
            <w:left w:val="none" w:sz="0" w:space="0" w:color="auto"/>
            <w:bottom w:val="none" w:sz="0" w:space="0" w:color="auto"/>
            <w:right w:val="none" w:sz="0" w:space="0" w:color="auto"/>
          </w:divBdr>
        </w:div>
        <w:div w:id="371809660">
          <w:marLeft w:val="504"/>
          <w:marRight w:val="0"/>
          <w:marTop w:val="140"/>
          <w:marBottom w:val="0"/>
          <w:divBdr>
            <w:top w:val="none" w:sz="0" w:space="0" w:color="auto"/>
            <w:left w:val="none" w:sz="0" w:space="0" w:color="auto"/>
            <w:bottom w:val="none" w:sz="0" w:space="0" w:color="auto"/>
            <w:right w:val="none" w:sz="0" w:space="0" w:color="auto"/>
          </w:divBdr>
        </w:div>
      </w:divsChild>
    </w:div>
    <w:div w:id="140777922">
      <w:bodyDiv w:val="1"/>
      <w:marLeft w:val="0"/>
      <w:marRight w:val="0"/>
      <w:marTop w:val="0"/>
      <w:marBottom w:val="0"/>
      <w:divBdr>
        <w:top w:val="none" w:sz="0" w:space="0" w:color="auto"/>
        <w:left w:val="none" w:sz="0" w:space="0" w:color="auto"/>
        <w:bottom w:val="none" w:sz="0" w:space="0" w:color="auto"/>
        <w:right w:val="none" w:sz="0" w:space="0" w:color="auto"/>
      </w:divBdr>
    </w:div>
    <w:div w:id="401833503">
      <w:bodyDiv w:val="1"/>
      <w:marLeft w:val="0"/>
      <w:marRight w:val="0"/>
      <w:marTop w:val="0"/>
      <w:marBottom w:val="0"/>
      <w:divBdr>
        <w:top w:val="none" w:sz="0" w:space="0" w:color="auto"/>
        <w:left w:val="none" w:sz="0" w:space="0" w:color="auto"/>
        <w:bottom w:val="none" w:sz="0" w:space="0" w:color="auto"/>
        <w:right w:val="none" w:sz="0" w:space="0" w:color="auto"/>
      </w:divBdr>
    </w:div>
    <w:div w:id="507210110">
      <w:bodyDiv w:val="1"/>
      <w:marLeft w:val="0"/>
      <w:marRight w:val="0"/>
      <w:marTop w:val="0"/>
      <w:marBottom w:val="0"/>
      <w:divBdr>
        <w:top w:val="none" w:sz="0" w:space="0" w:color="auto"/>
        <w:left w:val="none" w:sz="0" w:space="0" w:color="auto"/>
        <w:bottom w:val="none" w:sz="0" w:space="0" w:color="auto"/>
        <w:right w:val="none" w:sz="0" w:space="0" w:color="auto"/>
      </w:divBdr>
    </w:div>
    <w:div w:id="542257599">
      <w:bodyDiv w:val="1"/>
      <w:marLeft w:val="0"/>
      <w:marRight w:val="0"/>
      <w:marTop w:val="0"/>
      <w:marBottom w:val="0"/>
      <w:divBdr>
        <w:top w:val="none" w:sz="0" w:space="0" w:color="auto"/>
        <w:left w:val="none" w:sz="0" w:space="0" w:color="auto"/>
        <w:bottom w:val="none" w:sz="0" w:space="0" w:color="auto"/>
        <w:right w:val="none" w:sz="0" w:space="0" w:color="auto"/>
      </w:divBdr>
    </w:div>
    <w:div w:id="566958808">
      <w:bodyDiv w:val="1"/>
      <w:marLeft w:val="0"/>
      <w:marRight w:val="0"/>
      <w:marTop w:val="0"/>
      <w:marBottom w:val="0"/>
      <w:divBdr>
        <w:top w:val="none" w:sz="0" w:space="0" w:color="auto"/>
        <w:left w:val="none" w:sz="0" w:space="0" w:color="auto"/>
        <w:bottom w:val="none" w:sz="0" w:space="0" w:color="auto"/>
        <w:right w:val="none" w:sz="0" w:space="0" w:color="auto"/>
      </w:divBdr>
      <w:divsChild>
        <w:div w:id="643120861">
          <w:marLeft w:val="547"/>
          <w:marRight w:val="0"/>
          <w:marTop w:val="140"/>
          <w:marBottom w:val="0"/>
          <w:divBdr>
            <w:top w:val="none" w:sz="0" w:space="0" w:color="auto"/>
            <w:left w:val="none" w:sz="0" w:space="0" w:color="auto"/>
            <w:bottom w:val="none" w:sz="0" w:space="0" w:color="auto"/>
            <w:right w:val="none" w:sz="0" w:space="0" w:color="auto"/>
          </w:divBdr>
        </w:div>
        <w:div w:id="1062561736">
          <w:marLeft w:val="547"/>
          <w:marRight w:val="0"/>
          <w:marTop w:val="140"/>
          <w:marBottom w:val="0"/>
          <w:divBdr>
            <w:top w:val="none" w:sz="0" w:space="0" w:color="auto"/>
            <w:left w:val="none" w:sz="0" w:space="0" w:color="auto"/>
            <w:bottom w:val="none" w:sz="0" w:space="0" w:color="auto"/>
            <w:right w:val="none" w:sz="0" w:space="0" w:color="auto"/>
          </w:divBdr>
        </w:div>
        <w:div w:id="1735621596">
          <w:marLeft w:val="504"/>
          <w:marRight w:val="0"/>
          <w:marTop w:val="140"/>
          <w:marBottom w:val="0"/>
          <w:divBdr>
            <w:top w:val="none" w:sz="0" w:space="0" w:color="auto"/>
            <w:left w:val="none" w:sz="0" w:space="0" w:color="auto"/>
            <w:bottom w:val="none" w:sz="0" w:space="0" w:color="auto"/>
            <w:right w:val="none" w:sz="0" w:space="0" w:color="auto"/>
          </w:divBdr>
        </w:div>
        <w:div w:id="1242911748">
          <w:marLeft w:val="504"/>
          <w:marRight w:val="0"/>
          <w:marTop w:val="140"/>
          <w:marBottom w:val="0"/>
          <w:divBdr>
            <w:top w:val="none" w:sz="0" w:space="0" w:color="auto"/>
            <w:left w:val="none" w:sz="0" w:space="0" w:color="auto"/>
            <w:bottom w:val="none" w:sz="0" w:space="0" w:color="auto"/>
            <w:right w:val="none" w:sz="0" w:space="0" w:color="auto"/>
          </w:divBdr>
        </w:div>
        <w:div w:id="403260061">
          <w:marLeft w:val="504"/>
          <w:marRight w:val="0"/>
          <w:marTop w:val="140"/>
          <w:marBottom w:val="0"/>
          <w:divBdr>
            <w:top w:val="none" w:sz="0" w:space="0" w:color="auto"/>
            <w:left w:val="none" w:sz="0" w:space="0" w:color="auto"/>
            <w:bottom w:val="none" w:sz="0" w:space="0" w:color="auto"/>
            <w:right w:val="none" w:sz="0" w:space="0" w:color="auto"/>
          </w:divBdr>
        </w:div>
      </w:divsChild>
    </w:div>
    <w:div w:id="810706600">
      <w:bodyDiv w:val="1"/>
      <w:marLeft w:val="0"/>
      <w:marRight w:val="0"/>
      <w:marTop w:val="0"/>
      <w:marBottom w:val="0"/>
      <w:divBdr>
        <w:top w:val="none" w:sz="0" w:space="0" w:color="auto"/>
        <w:left w:val="none" w:sz="0" w:space="0" w:color="auto"/>
        <w:bottom w:val="none" w:sz="0" w:space="0" w:color="auto"/>
        <w:right w:val="none" w:sz="0" w:space="0" w:color="auto"/>
      </w:divBdr>
      <w:divsChild>
        <w:div w:id="491067796">
          <w:marLeft w:val="504"/>
          <w:marRight w:val="0"/>
          <w:marTop w:val="140"/>
          <w:marBottom w:val="0"/>
          <w:divBdr>
            <w:top w:val="none" w:sz="0" w:space="0" w:color="auto"/>
            <w:left w:val="none" w:sz="0" w:space="0" w:color="auto"/>
            <w:bottom w:val="none" w:sz="0" w:space="0" w:color="auto"/>
            <w:right w:val="none" w:sz="0" w:space="0" w:color="auto"/>
          </w:divBdr>
        </w:div>
        <w:div w:id="1180506341">
          <w:marLeft w:val="1008"/>
          <w:marRight w:val="0"/>
          <w:marTop w:val="110"/>
          <w:marBottom w:val="0"/>
          <w:divBdr>
            <w:top w:val="none" w:sz="0" w:space="0" w:color="auto"/>
            <w:left w:val="none" w:sz="0" w:space="0" w:color="auto"/>
            <w:bottom w:val="none" w:sz="0" w:space="0" w:color="auto"/>
            <w:right w:val="none" w:sz="0" w:space="0" w:color="auto"/>
          </w:divBdr>
        </w:div>
        <w:div w:id="1544363577">
          <w:marLeft w:val="1008"/>
          <w:marRight w:val="0"/>
          <w:marTop w:val="110"/>
          <w:marBottom w:val="0"/>
          <w:divBdr>
            <w:top w:val="none" w:sz="0" w:space="0" w:color="auto"/>
            <w:left w:val="none" w:sz="0" w:space="0" w:color="auto"/>
            <w:bottom w:val="none" w:sz="0" w:space="0" w:color="auto"/>
            <w:right w:val="none" w:sz="0" w:space="0" w:color="auto"/>
          </w:divBdr>
        </w:div>
        <w:div w:id="566183102">
          <w:marLeft w:val="1008"/>
          <w:marRight w:val="0"/>
          <w:marTop w:val="110"/>
          <w:marBottom w:val="0"/>
          <w:divBdr>
            <w:top w:val="none" w:sz="0" w:space="0" w:color="auto"/>
            <w:left w:val="none" w:sz="0" w:space="0" w:color="auto"/>
            <w:bottom w:val="none" w:sz="0" w:space="0" w:color="auto"/>
            <w:right w:val="none" w:sz="0" w:space="0" w:color="auto"/>
          </w:divBdr>
        </w:div>
        <w:div w:id="631255084">
          <w:marLeft w:val="1008"/>
          <w:marRight w:val="0"/>
          <w:marTop w:val="110"/>
          <w:marBottom w:val="0"/>
          <w:divBdr>
            <w:top w:val="none" w:sz="0" w:space="0" w:color="auto"/>
            <w:left w:val="none" w:sz="0" w:space="0" w:color="auto"/>
            <w:bottom w:val="none" w:sz="0" w:space="0" w:color="auto"/>
            <w:right w:val="none" w:sz="0" w:space="0" w:color="auto"/>
          </w:divBdr>
        </w:div>
      </w:divsChild>
    </w:div>
    <w:div w:id="817960161">
      <w:bodyDiv w:val="1"/>
      <w:marLeft w:val="0"/>
      <w:marRight w:val="0"/>
      <w:marTop w:val="0"/>
      <w:marBottom w:val="0"/>
      <w:divBdr>
        <w:top w:val="none" w:sz="0" w:space="0" w:color="auto"/>
        <w:left w:val="none" w:sz="0" w:space="0" w:color="auto"/>
        <w:bottom w:val="none" w:sz="0" w:space="0" w:color="auto"/>
        <w:right w:val="none" w:sz="0" w:space="0" w:color="auto"/>
      </w:divBdr>
      <w:divsChild>
        <w:div w:id="1441490155">
          <w:marLeft w:val="0"/>
          <w:marRight w:val="0"/>
          <w:marTop w:val="0"/>
          <w:marBottom w:val="0"/>
          <w:divBdr>
            <w:top w:val="none" w:sz="0" w:space="0" w:color="auto"/>
            <w:left w:val="none" w:sz="0" w:space="0" w:color="auto"/>
            <w:bottom w:val="none" w:sz="0" w:space="0" w:color="auto"/>
            <w:right w:val="none" w:sz="0" w:space="0" w:color="auto"/>
          </w:divBdr>
          <w:divsChild>
            <w:div w:id="704017338">
              <w:marLeft w:val="0"/>
              <w:marRight w:val="0"/>
              <w:marTop w:val="0"/>
              <w:marBottom w:val="0"/>
              <w:divBdr>
                <w:top w:val="none" w:sz="0" w:space="0" w:color="auto"/>
                <w:left w:val="none" w:sz="0" w:space="0" w:color="auto"/>
                <w:bottom w:val="none" w:sz="0" w:space="0" w:color="auto"/>
                <w:right w:val="none" w:sz="0" w:space="0" w:color="auto"/>
              </w:divBdr>
            </w:div>
          </w:divsChild>
        </w:div>
        <w:div w:id="1884780653">
          <w:marLeft w:val="0"/>
          <w:marRight w:val="0"/>
          <w:marTop w:val="0"/>
          <w:marBottom w:val="0"/>
          <w:divBdr>
            <w:top w:val="none" w:sz="0" w:space="0" w:color="auto"/>
            <w:left w:val="none" w:sz="0" w:space="0" w:color="auto"/>
            <w:bottom w:val="none" w:sz="0" w:space="0" w:color="auto"/>
            <w:right w:val="none" w:sz="0" w:space="0" w:color="auto"/>
          </w:divBdr>
          <w:divsChild>
            <w:div w:id="959459027">
              <w:marLeft w:val="0"/>
              <w:marRight w:val="0"/>
              <w:marTop w:val="0"/>
              <w:marBottom w:val="0"/>
              <w:divBdr>
                <w:top w:val="none" w:sz="0" w:space="0" w:color="auto"/>
                <w:left w:val="none" w:sz="0" w:space="0" w:color="auto"/>
                <w:bottom w:val="none" w:sz="0" w:space="0" w:color="auto"/>
                <w:right w:val="none" w:sz="0" w:space="0" w:color="auto"/>
              </w:divBdr>
            </w:div>
          </w:divsChild>
        </w:div>
        <w:div w:id="1533033556">
          <w:marLeft w:val="0"/>
          <w:marRight w:val="0"/>
          <w:marTop w:val="0"/>
          <w:marBottom w:val="0"/>
          <w:divBdr>
            <w:top w:val="none" w:sz="0" w:space="0" w:color="auto"/>
            <w:left w:val="none" w:sz="0" w:space="0" w:color="auto"/>
            <w:bottom w:val="none" w:sz="0" w:space="0" w:color="auto"/>
            <w:right w:val="none" w:sz="0" w:space="0" w:color="auto"/>
          </w:divBdr>
          <w:divsChild>
            <w:div w:id="493452436">
              <w:marLeft w:val="0"/>
              <w:marRight w:val="0"/>
              <w:marTop w:val="0"/>
              <w:marBottom w:val="0"/>
              <w:divBdr>
                <w:top w:val="none" w:sz="0" w:space="0" w:color="auto"/>
                <w:left w:val="none" w:sz="0" w:space="0" w:color="auto"/>
                <w:bottom w:val="none" w:sz="0" w:space="0" w:color="auto"/>
                <w:right w:val="none" w:sz="0" w:space="0" w:color="auto"/>
              </w:divBdr>
            </w:div>
          </w:divsChild>
        </w:div>
        <w:div w:id="2088258279">
          <w:marLeft w:val="0"/>
          <w:marRight w:val="0"/>
          <w:marTop w:val="0"/>
          <w:marBottom w:val="0"/>
          <w:divBdr>
            <w:top w:val="none" w:sz="0" w:space="0" w:color="auto"/>
            <w:left w:val="none" w:sz="0" w:space="0" w:color="auto"/>
            <w:bottom w:val="none" w:sz="0" w:space="0" w:color="auto"/>
            <w:right w:val="none" w:sz="0" w:space="0" w:color="auto"/>
          </w:divBdr>
          <w:divsChild>
            <w:div w:id="61879273">
              <w:marLeft w:val="0"/>
              <w:marRight w:val="0"/>
              <w:marTop w:val="0"/>
              <w:marBottom w:val="0"/>
              <w:divBdr>
                <w:top w:val="none" w:sz="0" w:space="0" w:color="auto"/>
                <w:left w:val="none" w:sz="0" w:space="0" w:color="auto"/>
                <w:bottom w:val="none" w:sz="0" w:space="0" w:color="auto"/>
                <w:right w:val="none" w:sz="0" w:space="0" w:color="auto"/>
              </w:divBdr>
            </w:div>
          </w:divsChild>
        </w:div>
        <w:div w:id="1045641095">
          <w:marLeft w:val="0"/>
          <w:marRight w:val="0"/>
          <w:marTop w:val="0"/>
          <w:marBottom w:val="0"/>
          <w:divBdr>
            <w:top w:val="none" w:sz="0" w:space="0" w:color="auto"/>
            <w:left w:val="none" w:sz="0" w:space="0" w:color="auto"/>
            <w:bottom w:val="none" w:sz="0" w:space="0" w:color="auto"/>
            <w:right w:val="none" w:sz="0" w:space="0" w:color="auto"/>
          </w:divBdr>
          <w:divsChild>
            <w:div w:id="749231949">
              <w:marLeft w:val="0"/>
              <w:marRight w:val="0"/>
              <w:marTop w:val="0"/>
              <w:marBottom w:val="0"/>
              <w:divBdr>
                <w:top w:val="none" w:sz="0" w:space="0" w:color="auto"/>
                <w:left w:val="none" w:sz="0" w:space="0" w:color="auto"/>
                <w:bottom w:val="none" w:sz="0" w:space="0" w:color="auto"/>
                <w:right w:val="none" w:sz="0" w:space="0" w:color="auto"/>
              </w:divBdr>
            </w:div>
          </w:divsChild>
        </w:div>
        <w:div w:id="397364600">
          <w:marLeft w:val="0"/>
          <w:marRight w:val="0"/>
          <w:marTop w:val="0"/>
          <w:marBottom w:val="0"/>
          <w:divBdr>
            <w:top w:val="none" w:sz="0" w:space="0" w:color="auto"/>
            <w:left w:val="none" w:sz="0" w:space="0" w:color="auto"/>
            <w:bottom w:val="none" w:sz="0" w:space="0" w:color="auto"/>
            <w:right w:val="none" w:sz="0" w:space="0" w:color="auto"/>
          </w:divBdr>
          <w:divsChild>
            <w:div w:id="1638099906">
              <w:marLeft w:val="0"/>
              <w:marRight w:val="0"/>
              <w:marTop w:val="0"/>
              <w:marBottom w:val="0"/>
              <w:divBdr>
                <w:top w:val="none" w:sz="0" w:space="0" w:color="auto"/>
                <w:left w:val="none" w:sz="0" w:space="0" w:color="auto"/>
                <w:bottom w:val="none" w:sz="0" w:space="0" w:color="auto"/>
                <w:right w:val="none" w:sz="0" w:space="0" w:color="auto"/>
              </w:divBdr>
            </w:div>
          </w:divsChild>
        </w:div>
        <w:div w:id="707992756">
          <w:marLeft w:val="0"/>
          <w:marRight w:val="0"/>
          <w:marTop w:val="0"/>
          <w:marBottom w:val="0"/>
          <w:divBdr>
            <w:top w:val="none" w:sz="0" w:space="0" w:color="auto"/>
            <w:left w:val="none" w:sz="0" w:space="0" w:color="auto"/>
            <w:bottom w:val="none" w:sz="0" w:space="0" w:color="auto"/>
            <w:right w:val="none" w:sz="0" w:space="0" w:color="auto"/>
          </w:divBdr>
          <w:divsChild>
            <w:div w:id="634264392">
              <w:marLeft w:val="0"/>
              <w:marRight w:val="0"/>
              <w:marTop w:val="0"/>
              <w:marBottom w:val="0"/>
              <w:divBdr>
                <w:top w:val="none" w:sz="0" w:space="0" w:color="auto"/>
                <w:left w:val="none" w:sz="0" w:space="0" w:color="auto"/>
                <w:bottom w:val="none" w:sz="0" w:space="0" w:color="auto"/>
                <w:right w:val="none" w:sz="0" w:space="0" w:color="auto"/>
              </w:divBdr>
            </w:div>
          </w:divsChild>
        </w:div>
        <w:div w:id="338510468">
          <w:marLeft w:val="0"/>
          <w:marRight w:val="0"/>
          <w:marTop w:val="0"/>
          <w:marBottom w:val="0"/>
          <w:divBdr>
            <w:top w:val="none" w:sz="0" w:space="0" w:color="auto"/>
            <w:left w:val="none" w:sz="0" w:space="0" w:color="auto"/>
            <w:bottom w:val="none" w:sz="0" w:space="0" w:color="auto"/>
            <w:right w:val="none" w:sz="0" w:space="0" w:color="auto"/>
          </w:divBdr>
          <w:divsChild>
            <w:div w:id="1092358502">
              <w:marLeft w:val="0"/>
              <w:marRight w:val="0"/>
              <w:marTop w:val="0"/>
              <w:marBottom w:val="0"/>
              <w:divBdr>
                <w:top w:val="none" w:sz="0" w:space="0" w:color="auto"/>
                <w:left w:val="none" w:sz="0" w:space="0" w:color="auto"/>
                <w:bottom w:val="none" w:sz="0" w:space="0" w:color="auto"/>
                <w:right w:val="none" w:sz="0" w:space="0" w:color="auto"/>
              </w:divBdr>
            </w:div>
          </w:divsChild>
        </w:div>
        <w:div w:id="1749619472">
          <w:marLeft w:val="0"/>
          <w:marRight w:val="0"/>
          <w:marTop w:val="0"/>
          <w:marBottom w:val="0"/>
          <w:divBdr>
            <w:top w:val="none" w:sz="0" w:space="0" w:color="auto"/>
            <w:left w:val="none" w:sz="0" w:space="0" w:color="auto"/>
            <w:bottom w:val="none" w:sz="0" w:space="0" w:color="auto"/>
            <w:right w:val="none" w:sz="0" w:space="0" w:color="auto"/>
          </w:divBdr>
          <w:divsChild>
            <w:div w:id="1840583978">
              <w:marLeft w:val="0"/>
              <w:marRight w:val="0"/>
              <w:marTop w:val="0"/>
              <w:marBottom w:val="0"/>
              <w:divBdr>
                <w:top w:val="none" w:sz="0" w:space="0" w:color="auto"/>
                <w:left w:val="none" w:sz="0" w:space="0" w:color="auto"/>
                <w:bottom w:val="none" w:sz="0" w:space="0" w:color="auto"/>
                <w:right w:val="none" w:sz="0" w:space="0" w:color="auto"/>
              </w:divBdr>
            </w:div>
          </w:divsChild>
        </w:div>
        <w:div w:id="381253259">
          <w:marLeft w:val="0"/>
          <w:marRight w:val="0"/>
          <w:marTop w:val="0"/>
          <w:marBottom w:val="0"/>
          <w:divBdr>
            <w:top w:val="none" w:sz="0" w:space="0" w:color="auto"/>
            <w:left w:val="none" w:sz="0" w:space="0" w:color="auto"/>
            <w:bottom w:val="none" w:sz="0" w:space="0" w:color="auto"/>
            <w:right w:val="none" w:sz="0" w:space="0" w:color="auto"/>
          </w:divBdr>
          <w:divsChild>
            <w:div w:id="1813981965">
              <w:marLeft w:val="0"/>
              <w:marRight w:val="0"/>
              <w:marTop w:val="0"/>
              <w:marBottom w:val="0"/>
              <w:divBdr>
                <w:top w:val="none" w:sz="0" w:space="0" w:color="auto"/>
                <w:left w:val="none" w:sz="0" w:space="0" w:color="auto"/>
                <w:bottom w:val="none" w:sz="0" w:space="0" w:color="auto"/>
                <w:right w:val="none" w:sz="0" w:space="0" w:color="auto"/>
              </w:divBdr>
            </w:div>
          </w:divsChild>
        </w:div>
        <w:div w:id="1859656230">
          <w:marLeft w:val="0"/>
          <w:marRight w:val="0"/>
          <w:marTop w:val="0"/>
          <w:marBottom w:val="0"/>
          <w:divBdr>
            <w:top w:val="none" w:sz="0" w:space="0" w:color="auto"/>
            <w:left w:val="none" w:sz="0" w:space="0" w:color="auto"/>
            <w:bottom w:val="none" w:sz="0" w:space="0" w:color="auto"/>
            <w:right w:val="none" w:sz="0" w:space="0" w:color="auto"/>
          </w:divBdr>
          <w:divsChild>
            <w:div w:id="1445075679">
              <w:marLeft w:val="0"/>
              <w:marRight w:val="0"/>
              <w:marTop w:val="0"/>
              <w:marBottom w:val="0"/>
              <w:divBdr>
                <w:top w:val="none" w:sz="0" w:space="0" w:color="auto"/>
                <w:left w:val="none" w:sz="0" w:space="0" w:color="auto"/>
                <w:bottom w:val="none" w:sz="0" w:space="0" w:color="auto"/>
                <w:right w:val="none" w:sz="0" w:space="0" w:color="auto"/>
              </w:divBdr>
            </w:div>
          </w:divsChild>
        </w:div>
        <w:div w:id="177236642">
          <w:marLeft w:val="0"/>
          <w:marRight w:val="0"/>
          <w:marTop w:val="0"/>
          <w:marBottom w:val="0"/>
          <w:divBdr>
            <w:top w:val="none" w:sz="0" w:space="0" w:color="auto"/>
            <w:left w:val="none" w:sz="0" w:space="0" w:color="auto"/>
            <w:bottom w:val="none" w:sz="0" w:space="0" w:color="auto"/>
            <w:right w:val="none" w:sz="0" w:space="0" w:color="auto"/>
          </w:divBdr>
          <w:divsChild>
            <w:div w:id="1002317860">
              <w:marLeft w:val="0"/>
              <w:marRight w:val="0"/>
              <w:marTop w:val="0"/>
              <w:marBottom w:val="0"/>
              <w:divBdr>
                <w:top w:val="none" w:sz="0" w:space="0" w:color="auto"/>
                <w:left w:val="none" w:sz="0" w:space="0" w:color="auto"/>
                <w:bottom w:val="none" w:sz="0" w:space="0" w:color="auto"/>
                <w:right w:val="none" w:sz="0" w:space="0" w:color="auto"/>
              </w:divBdr>
            </w:div>
          </w:divsChild>
        </w:div>
        <w:div w:id="1760756075">
          <w:marLeft w:val="0"/>
          <w:marRight w:val="0"/>
          <w:marTop w:val="0"/>
          <w:marBottom w:val="0"/>
          <w:divBdr>
            <w:top w:val="none" w:sz="0" w:space="0" w:color="auto"/>
            <w:left w:val="none" w:sz="0" w:space="0" w:color="auto"/>
            <w:bottom w:val="none" w:sz="0" w:space="0" w:color="auto"/>
            <w:right w:val="none" w:sz="0" w:space="0" w:color="auto"/>
          </w:divBdr>
          <w:divsChild>
            <w:div w:id="1953318342">
              <w:marLeft w:val="0"/>
              <w:marRight w:val="0"/>
              <w:marTop w:val="0"/>
              <w:marBottom w:val="0"/>
              <w:divBdr>
                <w:top w:val="none" w:sz="0" w:space="0" w:color="auto"/>
                <w:left w:val="none" w:sz="0" w:space="0" w:color="auto"/>
                <w:bottom w:val="none" w:sz="0" w:space="0" w:color="auto"/>
                <w:right w:val="none" w:sz="0" w:space="0" w:color="auto"/>
              </w:divBdr>
            </w:div>
          </w:divsChild>
        </w:div>
        <w:div w:id="1181704327">
          <w:marLeft w:val="0"/>
          <w:marRight w:val="0"/>
          <w:marTop w:val="0"/>
          <w:marBottom w:val="0"/>
          <w:divBdr>
            <w:top w:val="none" w:sz="0" w:space="0" w:color="auto"/>
            <w:left w:val="none" w:sz="0" w:space="0" w:color="auto"/>
            <w:bottom w:val="none" w:sz="0" w:space="0" w:color="auto"/>
            <w:right w:val="none" w:sz="0" w:space="0" w:color="auto"/>
          </w:divBdr>
          <w:divsChild>
            <w:div w:id="1548759956">
              <w:marLeft w:val="0"/>
              <w:marRight w:val="0"/>
              <w:marTop w:val="0"/>
              <w:marBottom w:val="0"/>
              <w:divBdr>
                <w:top w:val="none" w:sz="0" w:space="0" w:color="auto"/>
                <w:left w:val="none" w:sz="0" w:space="0" w:color="auto"/>
                <w:bottom w:val="none" w:sz="0" w:space="0" w:color="auto"/>
                <w:right w:val="none" w:sz="0" w:space="0" w:color="auto"/>
              </w:divBdr>
            </w:div>
          </w:divsChild>
        </w:div>
        <w:div w:id="1197305400">
          <w:marLeft w:val="0"/>
          <w:marRight w:val="0"/>
          <w:marTop w:val="0"/>
          <w:marBottom w:val="0"/>
          <w:divBdr>
            <w:top w:val="none" w:sz="0" w:space="0" w:color="auto"/>
            <w:left w:val="none" w:sz="0" w:space="0" w:color="auto"/>
            <w:bottom w:val="none" w:sz="0" w:space="0" w:color="auto"/>
            <w:right w:val="none" w:sz="0" w:space="0" w:color="auto"/>
          </w:divBdr>
          <w:divsChild>
            <w:div w:id="867108336">
              <w:marLeft w:val="0"/>
              <w:marRight w:val="0"/>
              <w:marTop w:val="0"/>
              <w:marBottom w:val="0"/>
              <w:divBdr>
                <w:top w:val="none" w:sz="0" w:space="0" w:color="auto"/>
                <w:left w:val="none" w:sz="0" w:space="0" w:color="auto"/>
                <w:bottom w:val="none" w:sz="0" w:space="0" w:color="auto"/>
                <w:right w:val="none" w:sz="0" w:space="0" w:color="auto"/>
              </w:divBdr>
            </w:div>
          </w:divsChild>
        </w:div>
        <w:div w:id="1642349491">
          <w:marLeft w:val="0"/>
          <w:marRight w:val="0"/>
          <w:marTop w:val="0"/>
          <w:marBottom w:val="0"/>
          <w:divBdr>
            <w:top w:val="none" w:sz="0" w:space="0" w:color="auto"/>
            <w:left w:val="none" w:sz="0" w:space="0" w:color="auto"/>
            <w:bottom w:val="none" w:sz="0" w:space="0" w:color="auto"/>
            <w:right w:val="none" w:sz="0" w:space="0" w:color="auto"/>
          </w:divBdr>
          <w:divsChild>
            <w:div w:id="203949549">
              <w:marLeft w:val="0"/>
              <w:marRight w:val="0"/>
              <w:marTop w:val="0"/>
              <w:marBottom w:val="0"/>
              <w:divBdr>
                <w:top w:val="none" w:sz="0" w:space="0" w:color="auto"/>
                <w:left w:val="none" w:sz="0" w:space="0" w:color="auto"/>
                <w:bottom w:val="none" w:sz="0" w:space="0" w:color="auto"/>
                <w:right w:val="none" w:sz="0" w:space="0" w:color="auto"/>
              </w:divBdr>
            </w:div>
          </w:divsChild>
        </w:div>
        <w:div w:id="134880881">
          <w:marLeft w:val="0"/>
          <w:marRight w:val="0"/>
          <w:marTop w:val="0"/>
          <w:marBottom w:val="0"/>
          <w:divBdr>
            <w:top w:val="none" w:sz="0" w:space="0" w:color="auto"/>
            <w:left w:val="none" w:sz="0" w:space="0" w:color="auto"/>
            <w:bottom w:val="none" w:sz="0" w:space="0" w:color="auto"/>
            <w:right w:val="none" w:sz="0" w:space="0" w:color="auto"/>
          </w:divBdr>
          <w:divsChild>
            <w:div w:id="1290473163">
              <w:marLeft w:val="0"/>
              <w:marRight w:val="0"/>
              <w:marTop w:val="0"/>
              <w:marBottom w:val="0"/>
              <w:divBdr>
                <w:top w:val="none" w:sz="0" w:space="0" w:color="auto"/>
                <w:left w:val="none" w:sz="0" w:space="0" w:color="auto"/>
                <w:bottom w:val="none" w:sz="0" w:space="0" w:color="auto"/>
                <w:right w:val="none" w:sz="0" w:space="0" w:color="auto"/>
              </w:divBdr>
            </w:div>
          </w:divsChild>
        </w:div>
        <w:div w:id="2013868892">
          <w:marLeft w:val="0"/>
          <w:marRight w:val="0"/>
          <w:marTop w:val="0"/>
          <w:marBottom w:val="0"/>
          <w:divBdr>
            <w:top w:val="none" w:sz="0" w:space="0" w:color="auto"/>
            <w:left w:val="none" w:sz="0" w:space="0" w:color="auto"/>
            <w:bottom w:val="none" w:sz="0" w:space="0" w:color="auto"/>
            <w:right w:val="none" w:sz="0" w:space="0" w:color="auto"/>
          </w:divBdr>
          <w:divsChild>
            <w:div w:id="1512717279">
              <w:marLeft w:val="0"/>
              <w:marRight w:val="0"/>
              <w:marTop w:val="0"/>
              <w:marBottom w:val="0"/>
              <w:divBdr>
                <w:top w:val="none" w:sz="0" w:space="0" w:color="auto"/>
                <w:left w:val="none" w:sz="0" w:space="0" w:color="auto"/>
                <w:bottom w:val="none" w:sz="0" w:space="0" w:color="auto"/>
                <w:right w:val="none" w:sz="0" w:space="0" w:color="auto"/>
              </w:divBdr>
            </w:div>
          </w:divsChild>
        </w:div>
        <w:div w:id="1727146172">
          <w:marLeft w:val="0"/>
          <w:marRight w:val="0"/>
          <w:marTop w:val="0"/>
          <w:marBottom w:val="0"/>
          <w:divBdr>
            <w:top w:val="none" w:sz="0" w:space="0" w:color="auto"/>
            <w:left w:val="none" w:sz="0" w:space="0" w:color="auto"/>
            <w:bottom w:val="none" w:sz="0" w:space="0" w:color="auto"/>
            <w:right w:val="none" w:sz="0" w:space="0" w:color="auto"/>
          </w:divBdr>
          <w:divsChild>
            <w:div w:id="1802385875">
              <w:marLeft w:val="0"/>
              <w:marRight w:val="0"/>
              <w:marTop w:val="0"/>
              <w:marBottom w:val="0"/>
              <w:divBdr>
                <w:top w:val="none" w:sz="0" w:space="0" w:color="auto"/>
                <w:left w:val="none" w:sz="0" w:space="0" w:color="auto"/>
                <w:bottom w:val="none" w:sz="0" w:space="0" w:color="auto"/>
                <w:right w:val="none" w:sz="0" w:space="0" w:color="auto"/>
              </w:divBdr>
            </w:div>
          </w:divsChild>
        </w:div>
        <w:div w:id="717973066">
          <w:marLeft w:val="0"/>
          <w:marRight w:val="0"/>
          <w:marTop w:val="0"/>
          <w:marBottom w:val="0"/>
          <w:divBdr>
            <w:top w:val="none" w:sz="0" w:space="0" w:color="auto"/>
            <w:left w:val="none" w:sz="0" w:space="0" w:color="auto"/>
            <w:bottom w:val="none" w:sz="0" w:space="0" w:color="auto"/>
            <w:right w:val="none" w:sz="0" w:space="0" w:color="auto"/>
          </w:divBdr>
          <w:divsChild>
            <w:div w:id="1170605711">
              <w:marLeft w:val="0"/>
              <w:marRight w:val="0"/>
              <w:marTop w:val="0"/>
              <w:marBottom w:val="0"/>
              <w:divBdr>
                <w:top w:val="none" w:sz="0" w:space="0" w:color="auto"/>
                <w:left w:val="none" w:sz="0" w:space="0" w:color="auto"/>
                <w:bottom w:val="none" w:sz="0" w:space="0" w:color="auto"/>
                <w:right w:val="none" w:sz="0" w:space="0" w:color="auto"/>
              </w:divBdr>
            </w:div>
          </w:divsChild>
        </w:div>
        <w:div w:id="166678555">
          <w:marLeft w:val="0"/>
          <w:marRight w:val="0"/>
          <w:marTop w:val="0"/>
          <w:marBottom w:val="0"/>
          <w:divBdr>
            <w:top w:val="none" w:sz="0" w:space="0" w:color="auto"/>
            <w:left w:val="none" w:sz="0" w:space="0" w:color="auto"/>
            <w:bottom w:val="none" w:sz="0" w:space="0" w:color="auto"/>
            <w:right w:val="none" w:sz="0" w:space="0" w:color="auto"/>
          </w:divBdr>
          <w:divsChild>
            <w:div w:id="1408041604">
              <w:marLeft w:val="0"/>
              <w:marRight w:val="0"/>
              <w:marTop w:val="0"/>
              <w:marBottom w:val="0"/>
              <w:divBdr>
                <w:top w:val="none" w:sz="0" w:space="0" w:color="auto"/>
                <w:left w:val="none" w:sz="0" w:space="0" w:color="auto"/>
                <w:bottom w:val="none" w:sz="0" w:space="0" w:color="auto"/>
                <w:right w:val="none" w:sz="0" w:space="0" w:color="auto"/>
              </w:divBdr>
            </w:div>
          </w:divsChild>
        </w:div>
        <w:div w:id="604726282">
          <w:marLeft w:val="0"/>
          <w:marRight w:val="0"/>
          <w:marTop w:val="0"/>
          <w:marBottom w:val="0"/>
          <w:divBdr>
            <w:top w:val="none" w:sz="0" w:space="0" w:color="auto"/>
            <w:left w:val="none" w:sz="0" w:space="0" w:color="auto"/>
            <w:bottom w:val="none" w:sz="0" w:space="0" w:color="auto"/>
            <w:right w:val="none" w:sz="0" w:space="0" w:color="auto"/>
          </w:divBdr>
          <w:divsChild>
            <w:div w:id="1253007601">
              <w:marLeft w:val="0"/>
              <w:marRight w:val="0"/>
              <w:marTop w:val="0"/>
              <w:marBottom w:val="0"/>
              <w:divBdr>
                <w:top w:val="none" w:sz="0" w:space="0" w:color="auto"/>
                <w:left w:val="none" w:sz="0" w:space="0" w:color="auto"/>
                <w:bottom w:val="none" w:sz="0" w:space="0" w:color="auto"/>
                <w:right w:val="none" w:sz="0" w:space="0" w:color="auto"/>
              </w:divBdr>
            </w:div>
          </w:divsChild>
        </w:div>
        <w:div w:id="475225322">
          <w:marLeft w:val="0"/>
          <w:marRight w:val="0"/>
          <w:marTop w:val="0"/>
          <w:marBottom w:val="0"/>
          <w:divBdr>
            <w:top w:val="none" w:sz="0" w:space="0" w:color="auto"/>
            <w:left w:val="none" w:sz="0" w:space="0" w:color="auto"/>
            <w:bottom w:val="none" w:sz="0" w:space="0" w:color="auto"/>
            <w:right w:val="none" w:sz="0" w:space="0" w:color="auto"/>
          </w:divBdr>
          <w:divsChild>
            <w:div w:id="1936093032">
              <w:marLeft w:val="0"/>
              <w:marRight w:val="0"/>
              <w:marTop w:val="0"/>
              <w:marBottom w:val="0"/>
              <w:divBdr>
                <w:top w:val="none" w:sz="0" w:space="0" w:color="auto"/>
                <w:left w:val="none" w:sz="0" w:space="0" w:color="auto"/>
                <w:bottom w:val="none" w:sz="0" w:space="0" w:color="auto"/>
                <w:right w:val="none" w:sz="0" w:space="0" w:color="auto"/>
              </w:divBdr>
            </w:div>
          </w:divsChild>
        </w:div>
        <w:div w:id="1977753574">
          <w:marLeft w:val="0"/>
          <w:marRight w:val="0"/>
          <w:marTop w:val="0"/>
          <w:marBottom w:val="0"/>
          <w:divBdr>
            <w:top w:val="none" w:sz="0" w:space="0" w:color="auto"/>
            <w:left w:val="none" w:sz="0" w:space="0" w:color="auto"/>
            <w:bottom w:val="none" w:sz="0" w:space="0" w:color="auto"/>
            <w:right w:val="none" w:sz="0" w:space="0" w:color="auto"/>
          </w:divBdr>
          <w:divsChild>
            <w:div w:id="35592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16861">
      <w:bodyDiv w:val="1"/>
      <w:marLeft w:val="0"/>
      <w:marRight w:val="0"/>
      <w:marTop w:val="0"/>
      <w:marBottom w:val="0"/>
      <w:divBdr>
        <w:top w:val="none" w:sz="0" w:space="0" w:color="auto"/>
        <w:left w:val="none" w:sz="0" w:space="0" w:color="auto"/>
        <w:bottom w:val="none" w:sz="0" w:space="0" w:color="auto"/>
        <w:right w:val="none" w:sz="0" w:space="0" w:color="auto"/>
      </w:divBdr>
      <w:divsChild>
        <w:div w:id="263996633">
          <w:marLeft w:val="446"/>
          <w:marRight w:val="0"/>
          <w:marTop w:val="0"/>
          <w:marBottom w:val="0"/>
          <w:divBdr>
            <w:top w:val="none" w:sz="0" w:space="0" w:color="auto"/>
            <w:left w:val="none" w:sz="0" w:space="0" w:color="auto"/>
            <w:bottom w:val="none" w:sz="0" w:space="0" w:color="auto"/>
            <w:right w:val="none" w:sz="0" w:space="0" w:color="auto"/>
          </w:divBdr>
        </w:div>
        <w:div w:id="2012683275">
          <w:marLeft w:val="446"/>
          <w:marRight w:val="0"/>
          <w:marTop w:val="0"/>
          <w:marBottom w:val="0"/>
          <w:divBdr>
            <w:top w:val="none" w:sz="0" w:space="0" w:color="auto"/>
            <w:left w:val="none" w:sz="0" w:space="0" w:color="auto"/>
            <w:bottom w:val="none" w:sz="0" w:space="0" w:color="auto"/>
            <w:right w:val="none" w:sz="0" w:space="0" w:color="auto"/>
          </w:divBdr>
        </w:div>
        <w:div w:id="1400136023">
          <w:marLeft w:val="446"/>
          <w:marRight w:val="0"/>
          <w:marTop w:val="0"/>
          <w:marBottom w:val="0"/>
          <w:divBdr>
            <w:top w:val="none" w:sz="0" w:space="0" w:color="auto"/>
            <w:left w:val="none" w:sz="0" w:space="0" w:color="auto"/>
            <w:bottom w:val="none" w:sz="0" w:space="0" w:color="auto"/>
            <w:right w:val="none" w:sz="0" w:space="0" w:color="auto"/>
          </w:divBdr>
        </w:div>
        <w:div w:id="1936748408">
          <w:marLeft w:val="446"/>
          <w:marRight w:val="0"/>
          <w:marTop w:val="0"/>
          <w:marBottom w:val="0"/>
          <w:divBdr>
            <w:top w:val="none" w:sz="0" w:space="0" w:color="auto"/>
            <w:left w:val="none" w:sz="0" w:space="0" w:color="auto"/>
            <w:bottom w:val="none" w:sz="0" w:space="0" w:color="auto"/>
            <w:right w:val="none" w:sz="0" w:space="0" w:color="auto"/>
          </w:divBdr>
        </w:div>
        <w:div w:id="1203908039">
          <w:marLeft w:val="547"/>
          <w:marRight w:val="0"/>
          <w:marTop w:val="0"/>
          <w:marBottom w:val="0"/>
          <w:divBdr>
            <w:top w:val="none" w:sz="0" w:space="0" w:color="auto"/>
            <w:left w:val="none" w:sz="0" w:space="0" w:color="auto"/>
            <w:bottom w:val="none" w:sz="0" w:space="0" w:color="auto"/>
            <w:right w:val="none" w:sz="0" w:space="0" w:color="auto"/>
          </w:divBdr>
        </w:div>
        <w:div w:id="476653814">
          <w:marLeft w:val="446"/>
          <w:marRight w:val="0"/>
          <w:marTop w:val="0"/>
          <w:marBottom w:val="0"/>
          <w:divBdr>
            <w:top w:val="none" w:sz="0" w:space="0" w:color="auto"/>
            <w:left w:val="none" w:sz="0" w:space="0" w:color="auto"/>
            <w:bottom w:val="none" w:sz="0" w:space="0" w:color="auto"/>
            <w:right w:val="none" w:sz="0" w:space="0" w:color="auto"/>
          </w:divBdr>
        </w:div>
        <w:div w:id="1696349423">
          <w:marLeft w:val="446"/>
          <w:marRight w:val="0"/>
          <w:marTop w:val="0"/>
          <w:marBottom w:val="0"/>
          <w:divBdr>
            <w:top w:val="none" w:sz="0" w:space="0" w:color="auto"/>
            <w:left w:val="none" w:sz="0" w:space="0" w:color="auto"/>
            <w:bottom w:val="none" w:sz="0" w:space="0" w:color="auto"/>
            <w:right w:val="none" w:sz="0" w:space="0" w:color="auto"/>
          </w:divBdr>
        </w:div>
        <w:div w:id="611206337">
          <w:marLeft w:val="446"/>
          <w:marRight w:val="0"/>
          <w:marTop w:val="0"/>
          <w:marBottom w:val="0"/>
          <w:divBdr>
            <w:top w:val="none" w:sz="0" w:space="0" w:color="auto"/>
            <w:left w:val="none" w:sz="0" w:space="0" w:color="auto"/>
            <w:bottom w:val="none" w:sz="0" w:space="0" w:color="auto"/>
            <w:right w:val="none" w:sz="0" w:space="0" w:color="auto"/>
          </w:divBdr>
        </w:div>
      </w:divsChild>
    </w:div>
    <w:div w:id="981498598">
      <w:bodyDiv w:val="1"/>
      <w:marLeft w:val="0"/>
      <w:marRight w:val="0"/>
      <w:marTop w:val="0"/>
      <w:marBottom w:val="0"/>
      <w:divBdr>
        <w:top w:val="none" w:sz="0" w:space="0" w:color="auto"/>
        <w:left w:val="none" w:sz="0" w:space="0" w:color="auto"/>
        <w:bottom w:val="none" w:sz="0" w:space="0" w:color="auto"/>
        <w:right w:val="none" w:sz="0" w:space="0" w:color="auto"/>
      </w:divBdr>
    </w:div>
    <w:div w:id="1101030182">
      <w:bodyDiv w:val="1"/>
      <w:marLeft w:val="0"/>
      <w:marRight w:val="0"/>
      <w:marTop w:val="0"/>
      <w:marBottom w:val="0"/>
      <w:divBdr>
        <w:top w:val="none" w:sz="0" w:space="0" w:color="auto"/>
        <w:left w:val="none" w:sz="0" w:space="0" w:color="auto"/>
        <w:bottom w:val="none" w:sz="0" w:space="0" w:color="auto"/>
        <w:right w:val="none" w:sz="0" w:space="0" w:color="auto"/>
      </w:divBdr>
    </w:div>
    <w:div w:id="1191841016">
      <w:bodyDiv w:val="1"/>
      <w:marLeft w:val="0"/>
      <w:marRight w:val="0"/>
      <w:marTop w:val="0"/>
      <w:marBottom w:val="0"/>
      <w:divBdr>
        <w:top w:val="none" w:sz="0" w:space="0" w:color="auto"/>
        <w:left w:val="none" w:sz="0" w:space="0" w:color="auto"/>
        <w:bottom w:val="none" w:sz="0" w:space="0" w:color="auto"/>
        <w:right w:val="none" w:sz="0" w:space="0" w:color="auto"/>
      </w:divBdr>
      <w:divsChild>
        <w:div w:id="981427637">
          <w:marLeft w:val="1008"/>
          <w:marRight w:val="0"/>
          <w:marTop w:val="110"/>
          <w:marBottom w:val="0"/>
          <w:divBdr>
            <w:top w:val="none" w:sz="0" w:space="0" w:color="auto"/>
            <w:left w:val="none" w:sz="0" w:space="0" w:color="auto"/>
            <w:bottom w:val="none" w:sz="0" w:space="0" w:color="auto"/>
            <w:right w:val="none" w:sz="0" w:space="0" w:color="auto"/>
          </w:divBdr>
        </w:div>
        <w:div w:id="506941271">
          <w:marLeft w:val="1008"/>
          <w:marRight w:val="0"/>
          <w:marTop w:val="110"/>
          <w:marBottom w:val="0"/>
          <w:divBdr>
            <w:top w:val="none" w:sz="0" w:space="0" w:color="auto"/>
            <w:left w:val="none" w:sz="0" w:space="0" w:color="auto"/>
            <w:bottom w:val="none" w:sz="0" w:space="0" w:color="auto"/>
            <w:right w:val="none" w:sz="0" w:space="0" w:color="auto"/>
          </w:divBdr>
        </w:div>
        <w:div w:id="1352492833">
          <w:marLeft w:val="1008"/>
          <w:marRight w:val="0"/>
          <w:marTop w:val="110"/>
          <w:marBottom w:val="0"/>
          <w:divBdr>
            <w:top w:val="none" w:sz="0" w:space="0" w:color="auto"/>
            <w:left w:val="none" w:sz="0" w:space="0" w:color="auto"/>
            <w:bottom w:val="none" w:sz="0" w:space="0" w:color="auto"/>
            <w:right w:val="none" w:sz="0" w:space="0" w:color="auto"/>
          </w:divBdr>
        </w:div>
        <w:div w:id="82265058">
          <w:marLeft w:val="1008"/>
          <w:marRight w:val="0"/>
          <w:marTop w:val="110"/>
          <w:marBottom w:val="0"/>
          <w:divBdr>
            <w:top w:val="none" w:sz="0" w:space="0" w:color="auto"/>
            <w:left w:val="none" w:sz="0" w:space="0" w:color="auto"/>
            <w:bottom w:val="none" w:sz="0" w:space="0" w:color="auto"/>
            <w:right w:val="none" w:sz="0" w:space="0" w:color="auto"/>
          </w:divBdr>
        </w:div>
        <w:div w:id="567498973">
          <w:marLeft w:val="1008"/>
          <w:marRight w:val="0"/>
          <w:marTop w:val="110"/>
          <w:marBottom w:val="0"/>
          <w:divBdr>
            <w:top w:val="none" w:sz="0" w:space="0" w:color="auto"/>
            <w:left w:val="none" w:sz="0" w:space="0" w:color="auto"/>
            <w:bottom w:val="none" w:sz="0" w:space="0" w:color="auto"/>
            <w:right w:val="none" w:sz="0" w:space="0" w:color="auto"/>
          </w:divBdr>
        </w:div>
        <w:div w:id="1613125805">
          <w:marLeft w:val="1008"/>
          <w:marRight w:val="0"/>
          <w:marTop w:val="110"/>
          <w:marBottom w:val="0"/>
          <w:divBdr>
            <w:top w:val="none" w:sz="0" w:space="0" w:color="auto"/>
            <w:left w:val="none" w:sz="0" w:space="0" w:color="auto"/>
            <w:bottom w:val="none" w:sz="0" w:space="0" w:color="auto"/>
            <w:right w:val="none" w:sz="0" w:space="0" w:color="auto"/>
          </w:divBdr>
        </w:div>
        <w:div w:id="270669577">
          <w:marLeft w:val="1008"/>
          <w:marRight w:val="0"/>
          <w:marTop w:val="110"/>
          <w:marBottom w:val="0"/>
          <w:divBdr>
            <w:top w:val="none" w:sz="0" w:space="0" w:color="auto"/>
            <w:left w:val="none" w:sz="0" w:space="0" w:color="auto"/>
            <w:bottom w:val="none" w:sz="0" w:space="0" w:color="auto"/>
            <w:right w:val="none" w:sz="0" w:space="0" w:color="auto"/>
          </w:divBdr>
        </w:div>
        <w:div w:id="1770008895">
          <w:marLeft w:val="1008"/>
          <w:marRight w:val="0"/>
          <w:marTop w:val="110"/>
          <w:marBottom w:val="0"/>
          <w:divBdr>
            <w:top w:val="none" w:sz="0" w:space="0" w:color="auto"/>
            <w:left w:val="none" w:sz="0" w:space="0" w:color="auto"/>
            <w:bottom w:val="none" w:sz="0" w:space="0" w:color="auto"/>
            <w:right w:val="none" w:sz="0" w:space="0" w:color="auto"/>
          </w:divBdr>
        </w:div>
      </w:divsChild>
    </w:div>
    <w:div w:id="1244756853">
      <w:bodyDiv w:val="1"/>
      <w:marLeft w:val="0"/>
      <w:marRight w:val="0"/>
      <w:marTop w:val="0"/>
      <w:marBottom w:val="0"/>
      <w:divBdr>
        <w:top w:val="none" w:sz="0" w:space="0" w:color="auto"/>
        <w:left w:val="none" w:sz="0" w:space="0" w:color="auto"/>
        <w:bottom w:val="none" w:sz="0" w:space="0" w:color="auto"/>
        <w:right w:val="none" w:sz="0" w:space="0" w:color="auto"/>
      </w:divBdr>
      <w:divsChild>
        <w:div w:id="1451512711">
          <w:marLeft w:val="547"/>
          <w:marRight w:val="0"/>
          <w:marTop w:val="140"/>
          <w:marBottom w:val="0"/>
          <w:divBdr>
            <w:top w:val="none" w:sz="0" w:space="0" w:color="auto"/>
            <w:left w:val="none" w:sz="0" w:space="0" w:color="auto"/>
            <w:bottom w:val="none" w:sz="0" w:space="0" w:color="auto"/>
            <w:right w:val="none" w:sz="0" w:space="0" w:color="auto"/>
          </w:divBdr>
        </w:div>
        <w:div w:id="2017919676">
          <w:marLeft w:val="662"/>
          <w:marRight w:val="0"/>
          <w:marTop w:val="140"/>
          <w:marBottom w:val="0"/>
          <w:divBdr>
            <w:top w:val="none" w:sz="0" w:space="0" w:color="auto"/>
            <w:left w:val="none" w:sz="0" w:space="0" w:color="auto"/>
            <w:bottom w:val="none" w:sz="0" w:space="0" w:color="auto"/>
            <w:right w:val="none" w:sz="0" w:space="0" w:color="auto"/>
          </w:divBdr>
        </w:div>
        <w:div w:id="1875147167">
          <w:marLeft w:val="662"/>
          <w:marRight w:val="0"/>
          <w:marTop w:val="140"/>
          <w:marBottom w:val="0"/>
          <w:divBdr>
            <w:top w:val="none" w:sz="0" w:space="0" w:color="auto"/>
            <w:left w:val="none" w:sz="0" w:space="0" w:color="auto"/>
            <w:bottom w:val="none" w:sz="0" w:space="0" w:color="auto"/>
            <w:right w:val="none" w:sz="0" w:space="0" w:color="auto"/>
          </w:divBdr>
        </w:div>
        <w:div w:id="1845631267">
          <w:marLeft w:val="662"/>
          <w:marRight w:val="0"/>
          <w:marTop w:val="140"/>
          <w:marBottom w:val="0"/>
          <w:divBdr>
            <w:top w:val="none" w:sz="0" w:space="0" w:color="auto"/>
            <w:left w:val="none" w:sz="0" w:space="0" w:color="auto"/>
            <w:bottom w:val="none" w:sz="0" w:space="0" w:color="auto"/>
            <w:right w:val="none" w:sz="0" w:space="0" w:color="auto"/>
          </w:divBdr>
        </w:div>
        <w:div w:id="600524984">
          <w:marLeft w:val="662"/>
          <w:marRight w:val="0"/>
          <w:marTop w:val="140"/>
          <w:marBottom w:val="0"/>
          <w:divBdr>
            <w:top w:val="none" w:sz="0" w:space="0" w:color="auto"/>
            <w:left w:val="none" w:sz="0" w:space="0" w:color="auto"/>
            <w:bottom w:val="none" w:sz="0" w:space="0" w:color="auto"/>
            <w:right w:val="none" w:sz="0" w:space="0" w:color="auto"/>
          </w:divBdr>
        </w:div>
      </w:divsChild>
    </w:div>
    <w:div w:id="1384404773">
      <w:bodyDiv w:val="1"/>
      <w:marLeft w:val="0"/>
      <w:marRight w:val="0"/>
      <w:marTop w:val="0"/>
      <w:marBottom w:val="0"/>
      <w:divBdr>
        <w:top w:val="none" w:sz="0" w:space="0" w:color="auto"/>
        <w:left w:val="none" w:sz="0" w:space="0" w:color="auto"/>
        <w:bottom w:val="none" w:sz="0" w:space="0" w:color="auto"/>
        <w:right w:val="none" w:sz="0" w:space="0" w:color="auto"/>
      </w:divBdr>
      <w:divsChild>
        <w:div w:id="11803280">
          <w:marLeft w:val="504"/>
          <w:marRight w:val="0"/>
          <w:marTop w:val="140"/>
          <w:marBottom w:val="0"/>
          <w:divBdr>
            <w:top w:val="none" w:sz="0" w:space="0" w:color="auto"/>
            <w:left w:val="none" w:sz="0" w:space="0" w:color="auto"/>
            <w:bottom w:val="none" w:sz="0" w:space="0" w:color="auto"/>
            <w:right w:val="none" w:sz="0" w:space="0" w:color="auto"/>
          </w:divBdr>
        </w:div>
        <w:div w:id="1559128205">
          <w:marLeft w:val="504"/>
          <w:marRight w:val="0"/>
          <w:marTop w:val="140"/>
          <w:marBottom w:val="0"/>
          <w:divBdr>
            <w:top w:val="none" w:sz="0" w:space="0" w:color="auto"/>
            <w:left w:val="none" w:sz="0" w:space="0" w:color="auto"/>
            <w:bottom w:val="none" w:sz="0" w:space="0" w:color="auto"/>
            <w:right w:val="none" w:sz="0" w:space="0" w:color="auto"/>
          </w:divBdr>
        </w:div>
        <w:div w:id="621350661">
          <w:marLeft w:val="504"/>
          <w:marRight w:val="0"/>
          <w:marTop w:val="140"/>
          <w:marBottom w:val="0"/>
          <w:divBdr>
            <w:top w:val="none" w:sz="0" w:space="0" w:color="auto"/>
            <w:left w:val="none" w:sz="0" w:space="0" w:color="auto"/>
            <w:bottom w:val="none" w:sz="0" w:space="0" w:color="auto"/>
            <w:right w:val="none" w:sz="0" w:space="0" w:color="auto"/>
          </w:divBdr>
        </w:div>
        <w:div w:id="225378983">
          <w:marLeft w:val="504"/>
          <w:marRight w:val="0"/>
          <w:marTop w:val="140"/>
          <w:marBottom w:val="0"/>
          <w:divBdr>
            <w:top w:val="none" w:sz="0" w:space="0" w:color="auto"/>
            <w:left w:val="none" w:sz="0" w:space="0" w:color="auto"/>
            <w:bottom w:val="none" w:sz="0" w:space="0" w:color="auto"/>
            <w:right w:val="none" w:sz="0" w:space="0" w:color="auto"/>
          </w:divBdr>
        </w:div>
      </w:divsChild>
    </w:div>
    <w:div w:id="1426732583">
      <w:bodyDiv w:val="1"/>
      <w:marLeft w:val="0"/>
      <w:marRight w:val="0"/>
      <w:marTop w:val="0"/>
      <w:marBottom w:val="0"/>
      <w:divBdr>
        <w:top w:val="none" w:sz="0" w:space="0" w:color="auto"/>
        <w:left w:val="none" w:sz="0" w:space="0" w:color="auto"/>
        <w:bottom w:val="none" w:sz="0" w:space="0" w:color="auto"/>
        <w:right w:val="none" w:sz="0" w:space="0" w:color="auto"/>
      </w:divBdr>
      <w:divsChild>
        <w:div w:id="399015278">
          <w:marLeft w:val="0"/>
          <w:marRight w:val="0"/>
          <w:marTop w:val="0"/>
          <w:marBottom w:val="0"/>
          <w:divBdr>
            <w:top w:val="none" w:sz="0" w:space="0" w:color="auto"/>
            <w:left w:val="none" w:sz="0" w:space="0" w:color="auto"/>
            <w:bottom w:val="none" w:sz="0" w:space="0" w:color="auto"/>
            <w:right w:val="none" w:sz="0" w:space="0" w:color="auto"/>
          </w:divBdr>
        </w:div>
        <w:div w:id="496506531">
          <w:marLeft w:val="0"/>
          <w:marRight w:val="0"/>
          <w:marTop w:val="0"/>
          <w:marBottom w:val="0"/>
          <w:divBdr>
            <w:top w:val="none" w:sz="0" w:space="0" w:color="auto"/>
            <w:left w:val="none" w:sz="0" w:space="0" w:color="auto"/>
            <w:bottom w:val="none" w:sz="0" w:space="0" w:color="auto"/>
            <w:right w:val="none" w:sz="0" w:space="0" w:color="auto"/>
          </w:divBdr>
        </w:div>
        <w:div w:id="72627924">
          <w:marLeft w:val="0"/>
          <w:marRight w:val="0"/>
          <w:marTop w:val="0"/>
          <w:marBottom w:val="0"/>
          <w:divBdr>
            <w:top w:val="none" w:sz="0" w:space="0" w:color="auto"/>
            <w:left w:val="none" w:sz="0" w:space="0" w:color="auto"/>
            <w:bottom w:val="none" w:sz="0" w:space="0" w:color="auto"/>
            <w:right w:val="none" w:sz="0" w:space="0" w:color="auto"/>
          </w:divBdr>
        </w:div>
        <w:div w:id="163784896">
          <w:marLeft w:val="0"/>
          <w:marRight w:val="0"/>
          <w:marTop w:val="0"/>
          <w:marBottom w:val="0"/>
          <w:divBdr>
            <w:top w:val="none" w:sz="0" w:space="0" w:color="auto"/>
            <w:left w:val="none" w:sz="0" w:space="0" w:color="auto"/>
            <w:bottom w:val="none" w:sz="0" w:space="0" w:color="auto"/>
            <w:right w:val="none" w:sz="0" w:space="0" w:color="auto"/>
          </w:divBdr>
        </w:div>
        <w:div w:id="1368487723">
          <w:marLeft w:val="0"/>
          <w:marRight w:val="0"/>
          <w:marTop w:val="0"/>
          <w:marBottom w:val="0"/>
          <w:divBdr>
            <w:top w:val="none" w:sz="0" w:space="0" w:color="auto"/>
            <w:left w:val="none" w:sz="0" w:space="0" w:color="auto"/>
            <w:bottom w:val="none" w:sz="0" w:space="0" w:color="auto"/>
            <w:right w:val="none" w:sz="0" w:space="0" w:color="auto"/>
          </w:divBdr>
        </w:div>
      </w:divsChild>
    </w:div>
    <w:div w:id="1571816621">
      <w:bodyDiv w:val="1"/>
      <w:marLeft w:val="0"/>
      <w:marRight w:val="0"/>
      <w:marTop w:val="0"/>
      <w:marBottom w:val="0"/>
      <w:divBdr>
        <w:top w:val="none" w:sz="0" w:space="0" w:color="auto"/>
        <w:left w:val="none" w:sz="0" w:space="0" w:color="auto"/>
        <w:bottom w:val="none" w:sz="0" w:space="0" w:color="auto"/>
        <w:right w:val="none" w:sz="0" w:space="0" w:color="auto"/>
      </w:divBdr>
      <w:divsChild>
        <w:div w:id="773936968">
          <w:marLeft w:val="0"/>
          <w:marRight w:val="0"/>
          <w:marTop w:val="0"/>
          <w:marBottom w:val="0"/>
          <w:divBdr>
            <w:top w:val="none" w:sz="0" w:space="0" w:color="auto"/>
            <w:left w:val="none" w:sz="0" w:space="0" w:color="auto"/>
            <w:bottom w:val="none" w:sz="0" w:space="0" w:color="auto"/>
            <w:right w:val="none" w:sz="0" w:space="0" w:color="auto"/>
          </w:divBdr>
        </w:div>
        <w:div w:id="49573768">
          <w:marLeft w:val="0"/>
          <w:marRight w:val="0"/>
          <w:marTop w:val="0"/>
          <w:marBottom w:val="0"/>
          <w:divBdr>
            <w:top w:val="none" w:sz="0" w:space="0" w:color="auto"/>
            <w:left w:val="none" w:sz="0" w:space="0" w:color="auto"/>
            <w:bottom w:val="none" w:sz="0" w:space="0" w:color="auto"/>
            <w:right w:val="none" w:sz="0" w:space="0" w:color="auto"/>
          </w:divBdr>
        </w:div>
        <w:div w:id="1844928851">
          <w:marLeft w:val="0"/>
          <w:marRight w:val="0"/>
          <w:marTop w:val="0"/>
          <w:marBottom w:val="0"/>
          <w:divBdr>
            <w:top w:val="none" w:sz="0" w:space="0" w:color="auto"/>
            <w:left w:val="none" w:sz="0" w:space="0" w:color="auto"/>
            <w:bottom w:val="none" w:sz="0" w:space="0" w:color="auto"/>
            <w:right w:val="none" w:sz="0" w:space="0" w:color="auto"/>
          </w:divBdr>
        </w:div>
      </w:divsChild>
    </w:div>
    <w:div w:id="1597395635">
      <w:bodyDiv w:val="1"/>
      <w:marLeft w:val="0"/>
      <w:marRight w:val="0"/>
      <w:marTop w:val="0"/>
      <w:marBottom w:val="0"/>
      <w:divBdr>
        <w:top w:val="none" w:sz="0" w:space="0" w:color="auto"/>
        <w:left w:val="none" w:sz="0" w:space="0" w:color="auto"/>
        <w:bottom w:val="none" w:sz="0" w:space="0" w:color="auto"/>
        <w:right w:val="none" w:sz="0" w:space="0" w:color="auto"/>
      </w:divBdr>
      <w:divsChild>
        <w:div w:id="925112546">
          <w:marLeft w:val="1008"/>
          <w:marRight w:val="0"/>
          <w:marTop w:val="110"/>
          <w:marBottom w:val="0"/>
          <w:divBdr>
            <w:top w:val="none" w:sz="0" w:space="0" w:color="auto"/>
            <w:left w:val="none" w:sz="0" w:space="0" w:color="auto"/>
            <w:bottom w:val="none" w:sz="0" w:space="0" w:color="auto"/>
            <w:right w:val="none" w:sz="0" w:space="0" w:color="auto"/>
          </w:divBdr>
        </w:div>
        <w:div w:id="1754274600">
          <w:marLeft w:val="1008"/>
          <w:marRight w:val="0"/>
          <w:marTop w:val="110"/>
          <w:marBottom w:val="0"/>
          <w:divBdr>
            <w:top w:val="none" w:sz="0" w:space="0" w:color="auto"/>
            <w:left w:val="none" w:sz="0" w:space="0" w:color="auto"/>
            <w:bottom w:val="none" w:sz="0" w:space="0" w:color="auto"/>
            <w:right w:val="none" w:sz="0" w:space="0" w:color="auto"/>
          </w:divBdr>
        </w:div>
        <w:div w:id="206844413">
          <w:marLeft w:val="1008"/>
          <w:marRight w:val="0"/>
          <w:marTop w:val="110"/>
          <w:marBottom w:val="0"/>
          <w:divBdr>
            <w:top w:val="none" w:sz="0" w:space="0" w:color="auto"/>
            <w:left w:val="none" w:sz="0" w:space="0" w:color="auto"/>
            <w:bottom w:val="none" w:sz="0" w:space="0" w:color="auto"/>
            <w:right w:val="none" w:sz="0" w:space="0" w:color="auto"/>
          </w:divBdr>
        </w:div>
        <w:div w:id="1226836500">
          <w:marLeft w:val="1008"/>
          <w:marRight w:val="0"/>
          <w:marTop w:val="110"/>
          <w:marBottom w:val="0"/>
          <w:divBdr>
            <w:top w:val="none" w:sz="0" w:space="0" w:color="auto"/>
            <w:left w:val="none" w:sz="0" w:space="0" w:color="auto"/>
            <w:bottom w:val="none" w:sz="0" w:space="0" w:color="auto"/>
            <w:right w:val="none" w:sz="0" w:space="0" w:color="auto"/>
          </w:divBdr>
        </w:div>
        <w:div w:id="1741246755">
          <w:marLeft w:val="1008"/>
          <w:marRight w:val="0"/>
          <w:marTop w:val="110"/>
          <w:marBottom w:val="0"/>
          <w:divBdr>
            <w:top w:val="none" w:sz="0" w:space="0" w:color="auto"/>
            <w:left w:val="none" w:sz="0" w:space="0" w:color="auto"/>
            <w:bottom w:val="none" w:sz="0" w:space="0" w:color="auto"/>
            <w:right w:val="none" w:sz="0" w:space="0" w:color="auto"/>
          </w:divBdr>
        </w:div>
        <w:div w:id="1917979446">
          <w:marLeft w:val="1008"/>
          <w:marRight w:val="0"/>
          <w:marTop w:val="110"/>
          <w:marBottom w:val="0"/>
          <w:divBdr>
            <w:top w:val="none" w:sz="0" w:space="0" w:color="auto"/>
            <w:left w:val="none" w:sz="0" w:space="0" w:color="auto"/>
            <w:bottom w:val="none" w:sz="0" w:space="0" w:color="auto"/>
            <w:right w:val="none" w:sz="0" w:space="0" w:color="auto"/>
          </w:divBdr>
        </w:div>
        <w:div w:id="1534999881">
          <w:marLeft w:val="1008"/>
          <w:marRight w:val="0"/>
          <w:marTop w:val="110"/>
          <w:marBottom w:val="0"/>
          <w:divBdr>
            <w:top w:val="none" w:sz="0" w:space="0" w:color="auto"/>
            <w:left w:val="none" w:sz="0" w:space="0" w:color="auto"/>
            <w:bottom w:val="none" w:sz="0" w:space="0" w:color="auto"/>
            <w:right w:val="none" w:sz="0" w:space="0" w:color="auto"/>
          </w:divBdr>
        </w:div>
        <w:div w:id="2000962040">
          <w:marLeft w:val="1008"/>
          <w:marRight w:val="0"/>
          <w:marTop w:val="110"/>
          <w:marBottom w:val="0"/>
          <w:divBdr>
            <w:top w:val="none" w:sz="0" w:space="0" w:color="auto"/>
            <w:left w:val="none" w:sz="0" w:space="0" w:color="auto"/>
            <w:bottom w:val="none" w:sz="0" w:space="0" w:color="auto"/>
            <w:right w:val="none" w:sz="0" w:space="0" w:color="auto"/>
          </w:divBdr>
        </w:div>
      </w:divsChild>
    </w:div>
    <w:div w:id="1809712198">
      <w:bodyDiv w:val="1"/>
      <w:marLeft w:val="0"/>
      <w:marRight w:val="0"/>
      <w:marTop w:val="0"/>
      <w:marBottom w:val="0"/>
      <w:divBdr>
        <w:top w:val="none" w:sz="0" w:space="0" w:color="auto"/>
        <w:left w:val="none" w:sz="0" w:space="0" w:color="auto"/>
        <w:bottom w:val="none" w:sz="0" w:space="0" w:color="auto"/>
        <w:right w:val="none" w:sz="0" w:space="0" w:color="auto"/>
      </w:divBdr>
      <w:divsChild>
        <w:div w:id="429201959">
          <w:marLeft w:val="1008"/>
          <w:marRight w:val="0"/>
          <w:marTop w:val="110"/>
          <w:marBottom w:val="0"/>
          <w:divBdr>
            <w:top w:val="none" w:sz="0" w:space="0" w:color="auto"/>
            <w:left w:val="none" w:sz="0" w:space="0" w:color="auto"/>
            <w:bottom w:val="none" w:sz="0" w:space="0" w:color="auto"/>
            <w:right w:val="none" w:sz="0" w:space="0" w:color="auto"/>
          </w:divBdr>
        </w:div>
        <w:div w:id="211310234">
          <w:marLeft w:val="1008"/>
          <w:marRight w:val="0"/>
          <w:marTop w:val="110"/>
          <w:marBottom w:val="0"/>
          <w:divBdr>
            <w:top w:val="none" w:sz="0" w:space="0" w:color="auto"/>
            <w:left w:val="none" w:sz="0" w:space="0" w:color="auto"/>
            <w:bottom w:val="none" w:sz="0" w:space="0" w:color="auto"/>
            <w:right w:val="none" w:sz="0" w:space="0" w:color="auto"/>
          </w:divBdr>
        </w:div>
      </w:divsChild>
    </w:div>
    <w:div w:id="1995798531">
      <w:bodyDiv w:val="1"/>
      <w:marLeft w:val="0"/>
      <w:marRight w:val="0"/>
      <w:marTop w:val="0"/>
      <w:marBottom w:val="0"/>
      <w:divBdr>
        <w:top w:val="none" w:sz="0" w:space="0" w:color="auto"/>
        <w:left w:val="none" w:sz="0" w:space="0" w:color="auto"/>
        <w:bottom w:val="none" w:sz="0" w:space="0" w:color="auto"/>
        <w:right w:val="none" w:sz="0" w:space="0" w:color="auto"/>
      </w:divBdr>
    </w:div>
    <w:div w:id="2018533222">
      <w:bodyDiv w:val="1"/>
      <w:marLeft w:val="0"/>
      <w:marRight w:val="0"/>
      <w:marTop w:val="0"/>
      <w:marBottom w:val="0"/>
      <w:divBdr>
        <w:top w:val="none" w:sz="0" w:space="0" w:color="auto"/>
        <w:left w:val="none" w:sz="0" w:space="0" w:color="auto"/>
        <w:bottom w:val="none" w:sz="0" w:space="0" w:color="auto"/>
        <w:right w:val="none" w:sz="0" w:space="0" w:color="auto"/>
      </w:divBdr>
    </w:div>
    <w:div w:id="2028174666">
      <w:bodyDiv w:val="1"/>
      <w:marLeft w:val="0"/>
      <w:marRight w:val="0"/>
      <w:marTop w:val="0"/>
      <w:marBottom w:val="0"/>
      <w:divBdr>
        <w:top w:val="none" w:sz="0" w:space="0" w:color="auto"/>
        <w:left w:val="none" w:sz="0" w:space="0" w:color="auto"/>
        <w:bottom w:val="none" w:sz="0" w:space="0" w:color="auto"/>
        <w:right w:val="none" w:sz="0" w:space="0" w:color="auto"/>
      </w:divBdr>
    </w:div>
    <w:div w:id="210850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F2C7C01829B14BA755309D5E279C90" ma:contentTypeVersion="17" ma:contentTypeDescription="Create a new document." ma:contentTypeScope="" ma:versionID="31d3795355cfa2c4ecba1ce39162a198">
  <xsd:schema xmlns:xsd="http://www.w3.org/2001/XMLSchema" xmlns:xs="http://www.w3.org/2001/XMLSchema" xmlns:p="http://schemas.microsoft.com/office/2006/metadata/properties" xmlns:ns3="48a3cf01-9924-4cd7-a6c7-23001d487023" xmlns:ns4="811f619f-0ff2-4d4a-b6b5-28f48116f864" targetNamespace="http://schemas.microsoft.com/office/2006/metadata/properties" ma:root="true" ma:fieldsID="776fdcdd9d5448d76b41597f902ebc1c" ns3:_="" ns4:_="">
    <xsd:import namespace="48a3cf01-9924-4cd7-a6c7-23001d487023"/>
    <xsd:import namespace="811f619f-0ff2-4d4a-b6b5-28f48116f86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_activity" minOccurs="0"/>
                <xsd:element ref="ns4:MediaServiceObjectDetectorVersions" minOccurs="0"/>
                <xsd:element ref="ns4:MediaServiceSearchProperties" minOccurs="0"/>
                <xsd:element ref="ns4:MediaServiceGenerationTime" minOccurs="0"/>
                <xsd:element ref="ns4:MediaServiceEventHashCode" minOccurs="0"/>
                <xsd:element ref="ns4:MediaServiceSystem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cf01-9924-4cd7-a6c7-23001d4870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1f619f-0ff2-4d4a-b6b5-28f48116f86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11f619f-0ff2-4d4a-b6b5-28f48116f8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648F2C-D95D-4869-9E06-E78027588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cf01-9924-4cd7-a6c7-23001d487023"/>
    <ds:schemaRef ds:uri="811f619f-0ff2-4d4a-b6b5-28f48116f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5E2585-FC88-4E74-9319-C7D395583329}">
  <ds:schemaRefs>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811f619f-0ff2-4d4a-b6b5-28f48116f864"/>
    <ds:schemaRef ds:uri="48a3cf01-9924-4cd7-a6c7-23001d487023"/>
    <ds:schemaRef ds:uri="http://www.w3.org/XML/1998/namespace"/>
  </ds:schemaRefs>
</ds:datastoreItem>
</file>

<file path=customXml/itemProps3.xml><?xml version="1.0" encoding="utf-8"?>
<ds:datastoreItem xmlns:ds="http://schemas.openxmlformats.org/officeDocument/2006/customXml" ds:itemID="{70C6F036-03AC-4F04-A502-7531916AF2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2529</Words>
  <Characters>14417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OBrien</dc:creator>
  <cp:keywords/>
  <dc:description/>
  <cp:lastModifiedBy>Nicki Hamer (NHS GOLDEN JUBILEE)</cp:lastModifiedBy>
  <cp:revision>2</cp:revision>
  <dcterms:created xsi:type="dcterms:W3CDTF">2025-03-21T13:35:00Z</dcterms:created>
  <dcterms:modified xsi:type="dcterms:W3CDTF">2025-03-21T13:35:00Z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0x0101009AF2C7C01829B14BA755309D5E279C90</vt:lpwstr>
  </property>
</Properties>
</file>