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4C32" w14:textId="77777777" w:rsidR="00430C09" w:rsidRPr="00140DB3" w:rsidRDefault="00430C09" w:rsidP="00300317">
      <w:pPr>
        <w:pStyle w:val="Heading1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7167C374" wp14:editId="34C230F4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FA87" w14:textId="77777777" w:rsidR="00446219" w:rsidRDefault="00446219" w:rsidP="00300317">
      <w:pPr>
        <w:pStyle w:val="Heading2"/>
        <w:rPr>
          <w:rStyle w:val="Heading3Char"/>
          <w:b/>
          <w:highlight w:val="lightGray"/>
        </w:rPr>
      </w:pPr>
      <w:bookmarkStart w:id="0" w:name="_GoBack"/>
      <w:bookmarkEnd w:id="0"/>
    </w:p>
    <w:p w14:paraId="0FF2B0C9" w14:textId="77777777" w:rsidR="009807B4" w:rsidRPr="00FD5A48" w:rsidRDefault="0023473B" w:rsidP="00EF1DB7">
      <w:pPr>
        <w:pStyle w:val="Heading3"/>
        <w:spacing w:after="240"/>
        <w:ind w:left="4536" w:hanging="4536"/>
      </w:pPr>
      <w:r w:rsidRPr="00FD5A48">
        <w:rPr>
          <w:rStyle w:val="Heading3Char"/>
          <w:b/>
        </w:rPr>
        <w:t>Meeting:</w:t>
      </w:r>
      <w:r w:rsidR="00B77902" w:rsidRPr="00FD5A48">
        <w:rPr>
          <w:rStyle w:val="Heading3Char"/>
          <w:b/>
        </w:rPr>
        <w:tab/>
      </w:r>
      <w:r w:rsidR="000316A2">
        <w:rPr>
          <w:rStyle w:val="Heading3Char"/>
          <w:b/>
        </w:rPr>
        <w:t>NHS Golden Jubilee Board</w:t>
      </w:r>
    </w:p>
    <w:p w14:paraId="6C74DB25" w14:textId="4F1A3B7A" w:rsidR="00430C09" w:rsidRPr="00FD5A48" w:rsidRDefault="00430C09" w:rsidP="00EF1DB7">
      <w:pPr>
        <w:pStyle w:val="Heading3"/>
        <w:spacing w:after="240"/>
        <w:ind w:left="4536" w:hanging="4536"/>
      </w:pPr>
      <w:r w:rsidRPr="00FD5A48">
        <w:rPr>
          <w:rStyle w:val="Heading3Char"/>
          <w:b/>
        </w:rPr>
        <w:t>Meeting dat</w:t>
      </w:r>
      <w:r w:rsidR="0023473B" w:rsidRPr="00FD5A48">
        <w:rPr>
          <w:rStyle w:val="Heading3Char"/>
          <w:b/>
        </w:rPr>
        <w:t>e:</w:t>
      </w:r>
      <w:r w:rsidR="00B77902" w:rsidRPr="00FD5A48">
        <w:rPr>
          <w:rStyle w:val="Heading3Char"/>
          <w:b/>
        </w:rPr>
        <w:tab/>
      </w:r>
      <w:r w:rsidR="00D83005">
        <w:rPr>
          <w:rStyle w:val="Heading3Char"/>
          <w:b/>
        </w:rPr>
        <w:t>27 March 2025</w:t>
      </w:r>
    </w:p>
    <w:p w14:paraId="5A0814C3" w14:textId="6ED59741" w:rsidR="00B77902" w:rsidRPr="00FD5A48" w:rsidRDefault="00430C09" w:rsidP="00EF1DB7">
      <w:pPr>
        <w:pStyle w:val="Heading3"/>
        <w:spacing w:before="0" w:after="240"/>
        <w:ind w:left="4536" w:hanging="4536"/>
      </w:pPr>
      <w:r w:rsidRPr="00FD5A48">
        <w:rPr>
          <w:rStyle w:val="Heading3Char"/>
          <w:b/>
        </w:rPr>
        <w:t>Title</w:t>
      </w:r>
      <w:r w:rsidR="00AA77F7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496B29">
        <w:rPr>
          <w:rStyle w:val="Heading3Char"/>
          <w:b/>
        </w:rPr>
        <w:t xml:space="preserve">NHS GJ Board </w:t>
      </w:r>
      <w:r w:rsidR="007E0450">
        <w:rPr>
          <w:rStyle w:val="Heading3Char"/>
          <w:b/>
        </w:rPr>
        <w:t xml:space="preserve">Corporate Governance </w:t>
      </w:r>
      <w:r w:rsidR="00E9328B">
        <w:rPr>
          <w:rStyle w:val="Heading3Char"/>
          <w:b/>
        </w:rPr>
        <w:t>Update – Quarter Three (Oc</w:t>
      </w:r>
      <w:r w:rsidR="00D83005">
        <w:rPr>
          <w:rStyle w:val="Heading3Char"/>
          <w:b/>
        </w:rPr>
        <w:t>tober-Dec</w:t>
      </w:r>
      <w:r w:rsidR="00BD56D1">
        <w:rPr>
          <w:rStyle w:val="Heading3Char"/>
          <w:b/>
        </w:rPr>
        <w:t>ember 2024)</w:t>
      </w:r>
    </w:p>
    <w:p w14:paraId="031157E2" w14:textId="77777777" w:rsidR="00D52F96" w:rsidRDefault="0003098A" w:rsidP="00EF1DB7">
      <w:pPr>
        <w:pStyle w:val="Heading3"/>
        <w:spacing w:before="120" w:after="24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</w:t>
      </w:r>
      <w:r w:rsidR="00430C09" w:rsidRPr="00FD5A48">
        <w:rPr>
          <w:rStyle w:val="Heading3Char"/>
          <w:b/>
        </w:rPr>
        <w:t>esponsible Executive/Non-Executive</w:t>
      </w:r>
      <w:r w:rsidRPr="00FD5A48">
        <w:rPr>
          <w:rStyle w:val="Heading3Char"/>
          <w:b/>
        </w:rPr>
        <w:t xml:space="preserve">: </w:t>
      </w:r>
      <w:r w:rsidR="00B77902" w:rsidRPr="00FD5A48">
        <w:rPr>
          <w:rStyle w:val="Heading3Char"/>
          <w:b/>
        </w:rPr>
        <w:tab/>
      </w:r>
      <w:r w:rsidR="007E586D">
        <w:rPr>
          <w:rStyle w:val="Heading3Char"/>
          <w:b/>
        </w:rPr>
        <w:t>Gordon James, Chief Executive</w:t>
      </w:r>
    </w:p>
    <w:p w14:paraId="4B6520D0" w14:textId="77777777" w:rsidR="00430C09" w:rsidRDefault="00430C09" w:rsidP="00EF1DB7">
      <w:pPr>
        <w:pStyle w:val="Heading3"/>
        <w:spacing w:before="120" w:after="24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Report Author</w:t>
      </w:r>
      <w:r w:rsidR="0003098A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FD5A48">
        <w:rPr>
          <w:rStyle w:val="Heading3Char"/>
          <w:b/>
        </w:rPr>
        <w:t>Nicki Hamer, Head of Corporate Governance and Board Secretary</w:t>
      </w:r>
    </w:p>
    <w:p w14:paraId="01A8AFC0" w14:textId="77777777" w:rsidR="00B77902" w:rsidRPr="00B77902" w:rsidRDefault="00B77902" w:rsidP="00300317"/>
    <w:p w14:paraId="3F6AF73F" w14:textId="77777777" w:rsidR="00430C09" w:rsidRPr="00912CBC" w:rsidRDefault="00BF3AF0" w:rsidP="00300317">
      <w:pPr>
        <w:pStyle w:val="Heading2"/>
        <w:spacing w:before="0"/>
      </w:pPr>
      <w:r w:rsidRPr="00912CBC">
        <w:t>1</w:t>
      </w:r>
      <w:r w:rsidRPr="00912CBC">
        <w:tab/>
      </w:r>
      <w:r w:rsidR="00430C09" w:rsidRPr="00912CBC">
        <w:t>Purpose</w:t>
      </w:r>
    </w:p>
    <w:p w14:paraId="059C02F5" w14:textId="5A560548" w:rsidR="009807B4" w:rsidRPr="00912CBC" w:rsidRDefault="00430C09" w:rsidP="00300317">
      <w:pPr>
        <w:pStyle w:val="Heading3"/>
        <w:spacing w:before="0"/>
        <w:ind w:left="720"/>
        <w:rPr>
          <w:lang w:eastAsia="en-GB"/>
        </w:rPr>
      </w:pPr>
      <w:r w:rsidRPr="00912CBC">
        <w:rPr>
          <w:lang w:eastAsia="en-GB"/>
        </w:rPr>
        <w:t>This</w:t>
      </w:r>
      <w:r w:rsidR="00F3256A">
        <w:rPr>
          <w:lang w:eastAsia="en-GB"/>
        </w:rPr>
        <w:t xml:space="preserve"> is presented to </w:t>
      </w:r>
      <w:r w:rsidR="00DE06F2">
        <w:t>NHS G</w:t>
      </w:r>
      <w:r w:rsidR="000137B9">
        <w:t xml:space="preserve">olden </w:t>
      </w:r>
      <w:r w:rsidR="00DE06F2">
        <w:t>J</w:t>
      </w:r>
      <w:r w:rsidR="000137B9">
        <w:t>ubilee</w:t>
      </w:r>
      <w:r w:rsidR="00DE06F2">
        <w:t xml:space="preserve"> Board</w:t>
      </w:r>
      <w:r w:rsidR="002E0D1A">
        <w:rPr>
          <w:rFonts w:cs="Arial"/>
          <w:color w:val="000000"/>
        </w:rPr>
        <w:t xml:space="preserve"> </w:t>
      </w:r>
      <w:r w:rsidR="00446219" w:rsidRPr="00912CBC">
        <w:rPr>
          <w:lang w:eastAsia="en-GB"/>
        </w:rPr>
        <w:t xml:space="preserve">for: </w:t>
      </w:r>
    </w:p>
    <w:p w14:paraId="4D2A327E" w14:textId="77777777" w:rsidR="007E586D" w:rsidRDefault="007E586D" w:rsidP="00300317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66DFDC2B" w14:textId="77777777" w:rsidR="007E586D" w:rsidRDefault="007E586D" w:rsidP="00300317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Discussion</w:t>
      </w:r>
    </w:p>
    <w:p w14:paraId="350E5A01" w14:textId="77777777" w:rsidR="007E586D" w:rsidRPr="007E586D" w:rsidRDefault="007E586D" w:rsidP="00300317">
      <w:pPr>
        <w:rPr>
          <w:lang w:eastAsia="en-GB"/>
        </w:rPr>
      </w:pPr>
    </w:p>
    <w:p w14:paraId="029F9FED" w14:textId="77777777" w:rsidR="00430C09" w:rsidRPr="00912CBC" w:rsidRDefault="00430C09" w:rsidP="00300317">
      <w:pPr>
        <w:pStyle w:val="Heading3"/>
        <w:spacing w:before="0"/>
        <w:ind w:left="720"/>
        <w:rPr>
          <w:lang w:eastAsia="en-GB"/>
        </w:rPr>
      </w:pPr>
      <w:r w:rsidRPr="00912CBC">
        <w:rPr>
          <w:lang w:eastAsia="en-GB"/>
        </w:rPr>
        <w:t>This report relates to</w:t>
      </w:r>
      <w:r w:rsidR="00AA77F7" w:rsidRPr="00912CBC">
        <w:rPr>
          <w:lang w:eastAsia="en-GB"/>
        </w:rPr>
        <w:t xml:space="preserve"> a</w:t>
      </w:r>
      <w:r w:rsidRPr="00912CBC">
        <w:rPr>
          <w:lang w:eastAsia="en-GB"/>
        </w:rPr>
        <w:t>:</w:t>
      </w:r>
    </w:p>
    <w:p w14:paraId="40C6E61E" w14:textId="77777777" w:rsidR="009807B4" w:rsidRDefault="009807B4" w:rsidP="003003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912CBC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976EE62" w14:textId="77777777" w:rsidR="00BD4F63" w:rsidRPr="00912CBC" w:rsidRDefault="00BD4F63" w:rsidP="003003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52A3FC25" w14:textId="77777777" w:rsidR="00430C09" w:rsidRPr="00912CBC" w:rsidRDefault="00430C09" w:rsidP="00300317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780CE969" w14:textId="77777777" w:rsidR="00430C09" w:rsidRDefault="00430C09" w:rsidP="00300317">
      <w:pPr>
        <w:pStyle w:val="Heading3"/>
        <w:spacing w:before="0"/>
        <w:ind w:left="720"/>
        <w:rPr>
          <w:lang w:eastAsia="en-GB"/>
        </w:rPr>
      </w:pPr>
      <w:r w:rsidRPr="00912CBC">
        <w:rPr>
          <w:lang w:eastAsia="en-GB"/>
        </w:rPr>
        <w:t>This aligns to the following</w:t>
      </w:r>
      <w:r w:rsidR="00047714" w:rsidRPr="00912CBC">
        <w:rPr>
          <w:lang w:eastAsia="en-GB"/>
        </w:rPr>
        <w:t xml:space="preserve"> NHS</w:t>
      </w:r>
      <w:r w:rsidR="00100DA6">
        <w:rPr>
          <w:lang w:eastAsia="en-GB"/>
        </w:rPr>
        <w:t xml:space="preserve"> </w:t>
      </w:r>
      <w:r w:rsidR="00047714" w:rsidRPr="00912CBC">
        <w:rPr>
          <w:lang w:eastAsia="en-GB"/>
        </w:rPr>
        <w:t>Scotland</w:t>
      </w:r>
      <w:r w:rsidRPr="00912CBC">
        <w:rPr>
          <w:lang w:eastAsia="en-GB"/>
        </w:rPr>
        <w:t xml:space="preserve"> quality </w:t>
      </w:r>
      <w:r w:rsidR="009807B4" w:rsidRPr="00912CBC">
        <w:rPr>
          <w:lang w:eastAsia="en-GB"/>
        </w:rPr>
        <w:t>ambition(s)</w:t>
      </w:r>
      <w:r w:rsidRPr="00912CBC">
        <w:rPr>
          <w:lang w:eastAsia="en-GB"/>
        </w:rPr>
        <w:t>:</w:t>
      </w:r>
    </w:p>
    <w:p w14:paraId="22635669" w14:textId="77777777" w:rsidR="00C01B6B" w:rsidRDefault="00C01B6B" w:rsidP="003003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14:paraId="57F6B7F6" w14:textId="77777777" w:rsidR="009807B4" w:rsidRDefault="00912CBC" w:rsidP="003003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3C3FE6">
        <w:rPr>
          <w:rFonts w:ascii="Arial" w:hAnsi="Arial" w:cs="Arial"/>
          <w:color w:val="000000"/>
          <w:sz w:val="24"/>
          <w:szCs w:val="24"/>
        </w:rPr>
        <w:t>Effective</w:t>
      </w:r>
    </w:p>
    <w:p w14:paraId="2EFC2C97" w14:textId="77777777" w:rsidR="00C01B6B" w:rsidRPr="003C3FE6" w:rsidRDefault="00C01B6B" w:rsidP="00300317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14:paraId="1B4756A1" w14:textId="77777777" w:rsidR="00430C09" w:rsidRDefault="00430C09" w:rsidP="00300317"/>
    <w:p w14:paraId="1AD313B1" w14:textId="77777777" w:rsidR="00EF1DB7" w:rsidRPr="00B546C8" w:rsidRDefault="00EF1DB7" w:rsidP="00EF1DB7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 w:rsidRPr="00B546C8">
        <w:rPr>
          <w:rFonts w:cs="Arial"/>
          <w:b/>
          <w:color w:val="000000"/>
          <w:szCs w:val="24"/>
        </w:rPr>
        <w:t>This aligns to</w:t>
      </w:r>
      <w:r>
        <w:rPr>
          <w:rFonts w:cs="Arial"/>
          <w:b/>
          <w:color w:val="000000"/>
          <w:szCs w:val="24"/>
        </w:rPr>
        <w:t xml:space="preserve"> all of</w:t>
      </w:r>
      <w:r w:rsidRPr="00B546C8">
        <w:rPr>
          <w:rFonts w:cs="Arial"/>
          <w:b/>
          <w:color w:val="000000"/>
          <w:szCs w:val="24"/>
        </w:rPr>
        <w:t xml:space="preserve"> the </w:t>
      </w:r>
      <w:r>
        <w:rPr>
          <w:rFonts w:cs="Arial"/>
          <w:b/>
          <w:color w:val="000000"/>
          <w:szCs w:val="24"/>
        </w:rPr>
        <w:t>N</w:t>
      </w:r>
      <w:r w:rsidRPr="00B546C8">
        <w:rPr>
          <w:rFonts w:cs="Arial"/>
          <w:b/>
          <w:color w:val="000000"/>
          <w:szCs w:val="24"/>
        </w:rPr>
        <w:t>HSGJ Corporate Objectives</w:t>
      </w:r>
    </w:p>
    <w:p w14:paraId="2EA71F6E" w14:textId="77777777" w:rsidR="00EF1DB7" w:rsidRDefault="00EF1DB7" w:rsidP="00300317"/>
    <w:p w14:paraId="5C6D864B" w14:textId="77777777" w:rsidR="00EF1DB7" w:rsidRDefault="00EF1DB7" w:rsidP="00300317"/>
    <w:p w14:paraId="70C5C216" w14:textId="77777777" w:rsidR="00430C09" w:rsidRDefault="00C94BF7" w:rsidP="00300317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6DB3B3D6" w14:textId="77777777" w:rsidR="0003098A" w:rsidRDefault="0003098A" w:rsidP="00300317">
      <w:pPr>
        <w:pStyle w:val="Heading3"/>
        <w:spacing w:before="0"/>
      </w:pPr>
    </w:p>
    <w:p w14:paraId="2206FDAC" w14:textId="77777777" w:rsidR="00430C09" w:rsidRDefault="00C94BF7" w:rsidP="00300317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013E7CBD" w14:textId="77777777" w:rsidR="00D52F96" w:rsidRDefault="00D52F96" w:rsidP="00300317">
      <w:pPr>
        <w:ind w:left="720"/>
        <w:rPr>
          <w:rFonts w:cs="Arial"/>
          <w:color w:val="000000"/>
          <w:szCs w:val="24"/>
        </w:rPr>
      </w:pPr>
    </w:p>
    <w:p w14:paraId="55441C8D" w14:textId="74B24E76" w:rsidR="00430C09" w:rsidRDefault="007E586D" w:rsidP="00300317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purpose of this paper is to provide an update on the </w:t>
      </w:r>
      <w:r w:rsidR="00C96E92">
        <w:rPr>
          <w:rFonts w:cs="Arial"/>
          <w:color w:val="000000"/>
          <w:szCs w:val="24"/>
        </w:rPr>
        <w:t xml:space="preserve">governance </w:t>
      </w:r>
      <w:r>
        <w:rPr>
          <w:rFonts w:cs="Arial"/>
          <w:color w:val="000000"/>
          <w:szCs w:val="24"/>
        </w:rPr>
        <w:t>work which h</w:t>
      </w:r>
      <w:r w:rsidR="003C5DEF">
        <w:rPr>
          <w:rFonts w:cs="Arial"/>
          <w:color w:val="000000"/>
          <w:szCs w:val="24"/>
        </w:rPr>
        <w:t xml:space="preserve">as been ongoing </w:t>
      </w:r>
      <w:r w:rsidR="00D83005">
        <w:rPr>
          <w:rFonts w:cs="Arial"/>
          <w:color w:val="000000"/>
          <w:szCs w:val="24"/>
        </w:rPr>
        <w:t>during Quarter 3</w:t>
      </w:r>
      <w:r>
        <w:rPr>
          <w:rFonts w:cs="Arial"/>
          <w:color w:val="000000"/>
          <w:szCs w:val="24"/>
        </w:rPr>
        <w:t xml:space="preserve">.  </w:t>
      </w:r>
      <w:r w:rsidR="006B3CCC">
        <w:rPr>
          <w:rFonts w:cs="Arial"/>
          <w:color w:val="000000"/>
          <w:szCs w:val="24"/>
        </w:rPr>
        <w:t xml:space="preserve">  </w:t>
      </w:r>
      <w:r w:rsidR="00C06047">
        <w:rPr>
          <w:rFonts w:cs="Arial"/>
          <w:color w:val="000000"/>
          <w:szCs w:val="24"/>
        </w:rPr>
        <w:t xml:space="preserve">  </w:t>
      </w:r>
    </w:p>
    <w:p w14:paraId="3108286A" w14:textId="77777777" w:rsidR="00430C09" w:rsidRDefault="00430C09" w:rsidP="00300317">
      <w:pPr>
        <w:rPr>
          <w:rFonts w:cs="Arial"/>
          <w:color w:val="000000"/>
          <w:szCs w:val="24"/>
        </w:rPr>
      </w:pPr>
    </w:p>
    <w:p w14:paraId="21032B9F" w14:textId="77777777" w:rsidR="00430C09" w:rsidRDefault="00430C09" w:rsidP="00300317">
      <w:pPr>
        <w:pStyle w:val="Heading2"/>
        <w:numPr>
          <w:ilvl w:val="1"/>
          <w:numId w:val="24"/>
        </w:numPr>
        <w:spacing w:before="0"/>
        <w:ind w:left="709" w:hanging="709"/>
      </w:pPr>
      <w:r>
        <w:t>Background</w:t>
      </w:r>
    </w:p>
    <w:p w14:paraId="11AD46AF" w14:textId="77777777" w:rsidR="00D52F96" w:rsidRDefault="00D52F96" w:rsidP="00300317">
      <w:pPr>
        <w:ind w:left="709"/>
        <w:contextualSpacing/>
        <w:rPr>
          <w:rFonts w:cs="Arial"/>
          <w:bCs/>
          <w:szCs w:val="24"/>
        </w:rPr>
      </w:pPr>
    </w:p>
    <w:p w14:paraId="3F7D6BD6" w14:textId="77777777" w:rsidR="004D5880" w:rsidRPr="004D5880" w:rsidRDefault="004D5880" w:rsidP="00300317">
      <w:pPr>
        <w:ind w:left="709"/>
        <w:contextualSpacing/>
        <w:rPr>
          <w:rFonts w:cs="Arial"/>
          <w:b/>
          <w:szCs w:val="24"/>
        </w:rPr>
      </w:pPr>
      <w:r w:rsidRPr="004D5880">
        <w:rPr>
          <w:rFonts w:cs="Arial"/>
          <w:bCs/>
          <w:szCs w:val="24"/>
        </w:rPr>
        <w:t xml:space="preserve">The Blueprint for Good Governance – Second Edition (DL (2022)38) (the Blueprint) was published in November 2022 and </w:t>
      </w:r>
      <w:r w:rsidRPr="004D5880">
        <w:rPr>
          <w:rFonts w:cs="Arial"/>
          <w:szCs w:val="24"/>
        </w:rPr>
        <w:t xml:space="preserve">emphasised the importance of good corporate governance to maintain high standards of clinical, staff and financial governance.  The Blueprint supports a </w:t>
      </w:r>
      <w:r w:rsidR="00740CDD">
        <w:rPr>
          <w:rFonts w:cs="Arial"/>
          <w:szCs w:val="24"/>
        </w:rPr>
        <w:t xml:space="preserve">Once for Scotland </w:t>
      </w:r>
      <w:r w:rsidRPr="004D5880">
        <w:rPr>
          <w:rFonts w:cs="Arial"/>
          <w:szCs w:val="24"/>
        </w:rPr>
        <w:t>governance approach across NHS Scotland.</w:t>
      </w:r>
    </w:p>
    <w:p w14:paraId="499EB66D" w14:textId="77777777" w:rsidR="004D5880" w:rsidRPr="002558AA" w:rsidRDefault="004D5880" w:rsidP="00300317">
      <w:pPr>
        <w:pStyle w:val="ListParagraph"/>
        <w:ind w:left="709" w:hanging="709"/>
        <w:rPr>
          <w:rFonts w:ascii="Arial" w:hAnsi="Arial" w:cs="Arial"/>
          <w:b/>
          <w:sz w:val="24"/>
          <w:szCs w:val="24"/>
        </w:rPr>
      </w:pPr>
    </w:p>
    <w:p w14:paraId="68C94A96" w14:textId="77777777" w:rsidR="004D5880" w:rsidRPr="004D5880" w:rsidRDefault="004D5880" w:rsidP="00300317">
      <w:pPr>
        <w:ind w:left="709"/>
        <w:contextualSpacing/>
        <w:rPr>
          <w:rFonts w:cs="Arial"/>
          <w:b/>
          <w:szCs w:val="24"/>
        </w:rPr>
      </w:pPr>
      <w:r w:rsidRPr="004D5880">
        <w:rPr>
          <w:rFonts w:cs="Arial"/>
          <w:szCs w:val="24"/>
        </w:rPr>
        <w:lastRenderedPageBreak/>
        <w:t>NHS Golden Jubilee (NHS GJ) has implemented a number of developments to its governance framework to ensure good corporate governance principles are embedded throughout the organisation and undertakes continuous review and improvement of the system.</w:t>
      </w:r>
    </w:p>
    <w:p w14:paraId="0D3F5847" w14:textId="77777777" w:rsidR="004D5880" w:rsidRDefault="004D5880" w:rsidP="00300317">
      <w:pPr>
        <w:ind w:left="709" w:hanging="709"/>
        <w:contextualSpacing/>
        <w:rPr>
          <w:rFonts w:eastAsia="Calibri" w:cs="Arial"/>
          <w:b/>
          <w:spacing w:val="0"/>
          <w:szCs w:val="24"/>
          <w:lang w:eastAsia="en-GB"/>
        </w:rPr>
      </w:pPr>
    </w:p>
    <w:p w14:paraId="522A51F7" w14:textId="4968FB92" w:rsidR="004D5880" w:rsidRDefault="004D5880" w:rsidP="00300317">
      <w:pPr>
        <w:ind w:left="709"/>
        <w:contextualSpacing/>
        <w:rPr>
          <w:rFonts w:cs="Arial"/>
          <w:szCs w:val="24"/>
        </w:rPr>
      </w:pPr>
      <w:r w:rsidRPr="004D5880">
        <w:rPr>
          <w:rFonts w:cs="Arial"/>
          <w:szCs w:val="24"/>
        </w:rPr>
        <w:t xml:space="preserve">This report outlines </w:t>
      </w:r>
      <w:r w:rsidR="008859A8">
        <w:rPr>
          <w:rFonts w:cs="Arial"/>
          <w:szCs w:val="24"/>
        </w:rPr>
        <w:t xml:space="preserve">the </w:t>
      </w:r>
      <w:r w:rsidRPr="004D5880">
        <w:rPr>
          <w:rFonts w:cs="Arial"/>
          <w:szCs w:val="24"/>
        </w:rPr>
        <w:t>work conducted through</w:t>
      </w:r>
      <w:r w:rsidR="00DE06F2">
        <w:rPr>
          <w:rFonts w:cs="Arial"/>
          <w:szCs w:val="24"/>
        </w:rPr>
        <w:t xml:space="preserve"> Q</w:t>
      </w:r>
      <w:r w:rsidR="00D83005">
        <w:rPr>
          <w:rFonts w:cs="Arial"/>
          <w:szCs w:val="24"/>
        </w:rPr>
        <w:t>uarter 3</w:t>
      </w:r>
      <w:r>
        <w:rPr>
          <w:rFonts w:cs="Arial"/>
          <w:szCs w:val="24"/>
        </w:rPr>
        <w:t xml:space="preserve"> </w:t>
      </w:r>
      <w:r w:rsidRPr="004D5880">
        <w:rPr>
          <w:rFonts w:cs="Arial"/>
          <w:szCs w:val="24"/>
        </w:rPr>
        <w:t>to augment and develop the corporate governance arrangements across NHS GJ.</w:t>
      </w:r>
    </w:p>
    <w:p w14:paraId="5B87E4B5" w14:textId="77777777" w:rsidR="00A42B70" w:rsidRDefault="00A42B70" w:rsidP="00300317">
      <w:pPr>
        <w:ind w:left="709"/>
        <w:contextualSpacing/>
        <w:rPr>
          <w:rFonts w:cs="Arial"/>
          <w:szCs w:val="24"/>
        </w:rPr>
      </w:pPr>
    </w:p>
    <w:p w14:paraId="3C975715" w14:textId="77777777" w:rsidR="0079685E" w:rsidRDefault="0079685E" w:rsidP="00300317">
      <w:pPr>
        <w:pStyle w:val="Default"/>
        <w:ind w:left="709"/>
      </w:pPr>
    </w:p>
    <w:p w14:paraId="14F49F1E" w14:textId="77777777" w:rsidR="00F3337D" w:rsidRDefault="00C87B62" w:rsidP="00300317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0788F740" w14:textId="14337F4D" w:rsidR="008859A8" w:rsidRDefault="008859A8" w:rsidP="00FA0C60">
      <w:pPr>
        <w:jc w:val="right"/>
      </w:pPr>
    </w:p>
    <w:p w14:paraId="67BE8D0C" w14:textId="1D009D60" w:rsidR="00A42B70" w:rsidRDefault="00A42B70" w:rsidP="00A42B70">
      <w:pPr>
        <w:ind w:left="709"/>
      </w:pPr>
      <w:r>
        <w:t>The Corporate Governance Update for Quarter 3 demonstrates that NHS Golden Jubilee’s governance arrangements are robust and transparent throughout the organisation.  This report highlights information relating to:</w:t>
      </w:r>
    </w:p>
    <w:p w14:paraId="6453917A" w14:textId="77777777" w:rsidR="00A42B70" w:rsidRDefault="00A42B70" w:rsidP="00A42B70">
      <w:pPr>
        <w:ind w:left="709"/>
      </w:pPr>
    </w:p>
    <w:p w14:paraId="16A77522" w14:textId="3510ABA5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Non-Executive Directors</w:t>
      </w:r>
    </w:p>
    <w:p w14:paraId="15BD1672" w14:textId="1FC94DF2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Board Development</w:t>
      </w:r>
    </w:p>
    <w:p w14:paraId="08C00539" w14:textId="2A74AEF5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Executive Directors</w:t>
      </w:r>
    </w:p>
    <w:p w14:paraId="5968C797" w14:textId="5412B57A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Corporate Administration</w:t>
      </w:r>
    </w:p>
    <w:p w14:paraId="6CC8EB79" w14:textId="283F1DFD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Blueprint for Good Governance – Second Edition</w:t>
      </w:r>
    </w:p>
    <w:p w14:paraId="186E3E11" w14:textId="47AA932D" w:rsidR="00A42B70" w:rsidRPr="00A42B70" w:rsidRDefault="00A42B70" w:rsidP="00A42B70">
      <w:pPr>
        <w:pStyle w:val="ListParagraph"/>
        <w:numPr>
          <w:ilvl w:val="0"/>
          <w:numId w:val="46"/>
        </w:numPr>
        <w:rPr>
          <w:rFonts w:ascii="Arial" w:hAnsi="Arial" w:cs="Arial"/>
          <w:sz w:val="24"/>
        </w:rPr>
      </w:pPr>
      <w:r w:rsidRPr="00A42B70">
        <w:rPr>
          <w:rFonts w:ascii="Arial" w:hAnsi="Arial" w:cs="Arial"/>
          <w:sz w:val="24"/>
        </w:rPr>
        <w:t>Directors Letters</w:t>
      </w:r>
    </w:p>
    <w:p w14:paraId="0060E6A7" w14:textId="77777777" w:rsidR="0070299E" w:rsidRDefault="0070299E" w:rsidP="00312F5F">
      <w:pPr>
        <w:shd w:val="clear" w:color="auto" w:fill="FFFFFF" w:themeFill="background1"/>
        <w:ind w:left="720"/>
        <w:contextualSpacing/>
      </w:pPr>
    </w:p>
    <w:p w14:paraId="64ACC516" w14:textId="3F3823C7" w:rsidR="00215FBB" w:rsidRDefault="00A42B70" w:rsidP="00300317">
      <w:pPr>
        <w:ind w:left="720"/>
      </w:pPr>
      <w:r>
        <w:t xml:space="preserve">The report also includes other communications received from Scottish Government and external stakeholders.  </w:t>
      </w:r>
    </w:p>
    <w:p w14:paraId="6B6BC65B" w14:textId="77777777" w:rsidR="00312F5F" w:rsidRDefault="00312F5F" w:rsidP="00300317">
      <w:pPr>
        <w:ind w:left="720"/>
      </w:pPr>
    </w:p>
    <w:p w14:paraId="20059589" w14:textId="77777777" w:rsidR="00375E68" w:rsidRPr="0027089E" w:rsidRDefault="00375E68" w:rsidP="0027089E">
      <w:pPr>
        <w:rPr>
          <w:rFonts w:cs="Arial"/>
          <w:szCs w:val="24"/>
        </w:rPr>
      </w:pPr>
    </w:p>
    <w:p w14:paraId="11467892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78C3DAC" w14:textId="77777777" w:rsidR="00F3337D" w:rsidRDefault="003A7F53" w:rsidP="00300317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ensure that</w:t>
      </w:r>
      <w:r w:rsidR="00EC76CB">
        <w:rPr>
          <w:rFonts w:cs="Arial"/>
          <w:color w:val="000000"/>
          <w:szCs w:val="24"/>
        </w:rPr>
        <w:t xml:space="preserve"> good governance supports the effective delivery of quality, patient-centred services</w:t>
      </w:r>
      <w:r w:rsidR="00A40076">
        <w:rPr>
          <w:rFonts w:cs="Arial"/>
          <w:color w:val="000000"/>
          <w:szCs w:val="24"/>
        </w:rPr>
        <w:t>.</w:t>
      </w:r>
    </w:p>
    <w:p w14:paraId="3A26D803" w14:textId="77777777" w:rsidR="00A40076" w:rsidRPr="00A40076" w:rsidRDefault="00A40076" w:rsidP="00300317">
      <w:pPr>
        <w:ind w:left="709"/>
        <w:rPr>
          <w:rFonts w:cs="Arial"/>
          <w:color w:val="000000"/>
          <w:szCs w:val="24"/>
        </w:rPr>
      </w:pPr>
    </w:p>
    <w:p w14:paraId="7F39AD79" w14:textId="77777777" w:rsidR="00AA77F7" w:rsidRDefault="00C87B62" w:rsidP="00300317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62C0F89C" w14:textId="77777777" w:rsidR="00AA77F7" w:rsidRDefault="00A40076" w:rsidP="00300317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no workforce implications</w:t>
      </w:r>
      <w:r w:rsidR="00E66152">
        <w:rPr>
          <w:rFonts w:cs="Arial"/>
          <w:color w:val="000000"/>
          <w:szCs w:val="24"/>
        </w:rPr>
        <w:t xml:space="preserve"> arising from this paper</w:t>
      </w:r>
      <w:r>
        <w:rPr>
          <w:rFonts w:cs="Arial"/>
          <w:color w:val="000000"/>
          <w:szCs w:val="24"/>
        </w:rPr>
        <w:t>.</w:t>
      </w:r>
    </w:p>
    <w:p w14:paraId="200E6A0A" w14:textId="77777777" w:rsidR="00F3337D" w:rsidRPr="00AA77F7" w:rsidRDefault="00F3337D" w:rsidP="00300317">
      <w:pPr>
        <w:rPr>
          <w:rFonts w:cs="Arial"/>
          <w:color w:val="000000"/>
          <w:szCs w:val="24"/>
        </w:rPr>
      </w:pPr>
    </w:p>
    <w:p w14:paraId="6406D4A7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7518EE65" w14:textId="77777777" w:rsidR="00E66152" w:rsidRPr="00022C05" w:rsidRDefault="00E66152" w:rsidP="00300317">
      <w:pPr>
        <w:pStyle w:val="ListParagraph"/>
        <w:ind w:firstLine="4"/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</w:pPr>
      <w:r w:rsidRPr="00022C05"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  <w:t>There are no financial implications arising from this paper.</w:t>
      </w:r>
    </w:p>
    <w:p w14:paraId="587E8FD4" w14:textId="77777777" w:rsidR="00DA409D" w:rsidRDefault="00DA409D" w:rsidP="00300317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0A608AAA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4B45CA6" w14:textId="77777777" w:rsidR="00DA409D" w:rsidRPr="00A13CC8" w:rsidRDefault="0072170F" w:rsidP="00300317">
      <w:pPr>
        <w:ind w:left="709"/>
        <w:jc w:val="both"/>
      </w:pPr>
      <w:r w:rsidRPr="00A13CC8">
        <w:t xml:space="preserve">Reviewing and aligning practice (where appropriate) to the revised Blueprint will provide further assurance that NHS </w:t>
      </w:r>
      <w:r w:rsidR="00A13CC8">
        <w:t>GJ</w:t>
      </w:r>
      <w:r w:rsidRPr="00A13CC8">
        <w:t xml:space="preserve"> has robust corporate governance practices in place that support the delivery of </w:t>
      </w:r>
      <w:r w:rsidR="00A13CC8">
        <w:t xml:space="preserve">the </w:t>
      </w:r>
      <w:r w:rsidRPr="00A13CC8">
        <w:t>Corporate Objectives.</w:t>
      </w:r>
    </w:p>
    <w:p w14:paraId="06530B53" w14:textId="77777777" w:rsidR="0072170F" w:rsidRPr="00BF3AF0" w:rsidRDefault="0072170F" w:rsidP="00300317">
      <w:pPr>
        <w:ind w:left="709"/>
        <w:jc w:val="both"/>
        <w:rPr>
          <w:rFonts w:cs="Arial"/>
          <w:color w:val="000000"/>
          <w:szCs w:val="24"/>
        </w:rPr>
      </w:pPr>
    </w:p>
    <w:p w14:paraId="3AE6196A" w14:textId="77777777" w:rsidR="00F3337D" w:rsidRDefault="00C87B62" w:rsidP="00300317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2869BC12" w14:textId="77777777" w:rsidR="00F3337D" w:rsidRPr="00A40076" w:rsidRDefault="00A40076" w:rsidP="00300317">
      <w:pPr>
        <w:ind w:left="720"/>
        <w:rPr>
          <w:rFonts w:cs="Arial"/>
          <w:color w:val="000000"/>
          <w:szCs w:val="24"/>
        </w:rPr>
      </w:pPr>
      <w:r w:rsidRPr="00A40076">
        <w:rPr>
          <w:rFonts w:cs="Arial"/>
          <w:color w:val="000000"/>
          <w:szCs w:val="24"/>
        </w:rPr>
        <w:t>An impact assessment has not been completed as there is no impact in relation to inequalities or protected characteristics</w:t>
      </w:r>
      <w:r w:rsidR="00792FA9">
        <w:rPr>
          <w:rFonts w:cs="Arial"/>
          <w:color w:val="000000"/>
          <w:szCs w:val="24"/>
        </w:rPr>
        <w:t xml:space="preserve"> within this paper</w:t>
      </w:r>
      <w:r w:rsidRPr="00A40076">
        <w:rPr>
          <w:rFonts w:cs="Arial"/>
          <w:color w:val="000000"/>
          <w:szCs w:val="24"/>
        </w:rPr>
        <w:t>.</w:t>
      </w:r>
    </w:p>
    <w:p w14:paraId="7B60B9BB" w14:textId="77777777" w:rsidR="00BF3AF0" w:rsidRPr="00BF3AF0" w:rsidRDefault="00BF3AF0" w:rsidP="00300317">
      <w:pPr>
        <w:ind w:left="720"/>
        <w:rPr>
          <w:rFonts w:cs="Arial"/>
          <w:color w:val="000000"/>
          <w:szCs w:val="24"/>
          <w:highlight w:val="lightGray"/>
        </w:rPr>
      </w:pPr>
    </w:p>
    <w:p w14:paraId="48C227CE" w14:textId="77777777" w:rsidR="00446219" w:rsidRPr="00DA354A" w:rsidRDefault="00C87B62" w:rsidP="00300317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5B7DE0D4" w14:textId="77777777" w:rsidR="00DA409D" w:rsidRPr="006659EB" w:rsidRDefault="00DA409D" w:rsidP="00300317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6659EB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14:paraId="0726FA70" w14:textId="77777777" w:rsidR="00AA77F7" w:rsidRDefault="00DA409D" w:rsidP="00300317">
      <w:pPr>
        <w:pStyle w:val="ListParagrap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0DA6">
        <w:rPr>
          <w:rFonts w:ascii="Arial" w:eastAsiaTheme="minorHAnsi" w:hAnsi="Arial" w:cs="Arial"/>
          <w:color w:val="000000"/>
          <w:sz w:val="24"/>
          <w:szCs w:val="23"/>
          <w:lang w:eastAsia="en-US"/>
        </w:rPr>
        <w:t>No impacts were identified in relation to climate emergency and sustainability when preparing this paper</w:t>
      </w:r>
      <w:r w:rsidRPr="00DA409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14:paraId="7D6250DB" w14:textId="77777777" w:rsidR="00DA409D" w:rsidRPr="00F3337D" w:rsidRDefault="00DA409D" w:rsidP="0030031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FC4EE46" w14:textId="77777777" w:rsidR="00446219" w:rsidRDefault="00446219" w:rsidP="00300317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00F5D211" w14:textId="77777777" w:rsidR="00DA409D" w:rsidRDefault="00C031EF" w:rsidP="00300317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C031EF">
        <w:rPr>
          <w:rFonts w:ascii="Arial" w:hAnsi="Arial" w:cs="Arial"/>
          <w:sz w:val="24"/>
          <w:szCs w:val="24"/>
        </w:rPr>
        <w:t xml:space="preserve">Other than the consideration given to the Annual Report by the </w:t>
      </w:r>
      <w:r w:rsidR="009F4E13">
        <w:rPr>
          <w:rFonts w:ascii="Arial" w:hAnsi="Arial" w:cs="Arial"/>
          <w:sz w:val="24"/>
          <w:szCs w:val="24"/>
        </w:rPr>
        <w:t>Board</w:t>
      </w:r>
      <w:r w:rsidRPr="00C031EF">
        <w:rPr>
          <w:rFonts w:ascii="Arial" w:hAnsi="Arial" w:cs="Arial"/>
          <w:sz w:val="24"/>
          <w:szCs w:val="24"/>
        </w:rPr>
        <w:t xml:space="preserve">, consultation and engagement is not relevant to this item.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889975" w14:textId="77777777" w:rsidR="00A13CC8" w:rsidRPr="00DA409D" w:rsidRDefault="00A13CC8" w:rsidP="00300317">
      <w:pPr>
        <w:pStyle w:val="ListParagraph"/>
        <w:ind w:left="709"/>
        <w:rPr>
          <w:rFonts w:ascii="Arial" w:hAnsi="Arial" w:cs="Arial"/>
          <w:sz w:val="24"/>
          <w:szCs w:val="24"/>
          <w:highlight w:val="lightGray"/>
        </w:rPr>
      </w:pPr>
    </w:p>
    <w:p w14:paraId="2074220E" w14:textId="77777777" w:rsidR="00446219" w:rsidRDefault="00446219" w:rsidP="00300317">
      <w:pPr>
        <w:pStyle w:val="Heading3"/>
        <w:numPr>
          <w:ilvl w:val="2"/>
          <w:numId w:val="16"/>
        </w:numPr>
        <w:spacing w:before="0"/>
      </w:pPr>
      <w:r>
        <w:lastRenderedPageBreak/>
        <w:t>Route to the Meeting</w:t>
      </w:r>
    </w:p>
    <w:p w14:paraId="224B3E8A" w14:textId="77777777" w:rsidR="00CB5AE7" w:rsidRDefault="007D75CF" w:rsidP="00300317">
      <w:pPr>
        <w:pStyle w:val="ListParagraph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4"/>
          <w:szCs w:val="24"/>
        </w:rPr>
      </w:pPr>
      <w:r w:rsidRPr="00D913E0">
        <w:rPr>
          <w:rFonts w:ascii="Arial" w:eastAsiaTheme="minorHAnsi" w:hAnsi="Arial" w:cs="Arial"/>
          <w:color w:val="000000"/>
          <w:sz w:val="24"/>
          <w:szCs w:val="24"/>
        </w:rPr>
        <w:t>Th</w:t>
      </w:r>
      <w:r w:rsidR="009F4E13">
        <w:rPr>
          <w:rFonts w:ascii="Arial" w:eastAsiaTheme="minorHAnsi" w:hAnsi="Arial" w:cs="Arial"/>
          <w:color w:val="000000"/>
          <w:sz w:val="24"/>
          <w:szCs w:val="24"/>
        </w:rPr>
        <w:t xml:space="preserve">is paper has not been through any other route.  </w:t>
      </w:r>
    </w:p>
    <w:p w14:paraId="3BAB0A9A" w14:textId="4FFC3304" w:rsidR="00430C09" w:rsidRDefault="00430C09" w:rsidP="00300317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193DFD97" w14:textId="77777777" w:rsidR="00A42B70" w:rsidRPr="00DB4216" w:rsidRDefault="00A42B70" w:rsidP="00300317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2BC280F3" w14:textId="77777777" w:rsidR="00BF3AF0" w:rsidRDefault="00BF3AF0" w:rsidP="00300317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5FD9BD4C" w14:textId="77777777" w:rsidR="00207804" w:rsidRPr="00207804" w:rsidRDefault="00207804" w:rsidP="00300317">
      <w:pPr>
        <w:pStyle w:val="ListParagraph"/>
        <w:ind w:left="525"/>
      </w:pPr>
    </w:p>
    <w:p w14:paraId="3F3FF057" w14:textId="5D8E25E7" w:rsidR="00F944D9" w:rsidRPr="00022C05" w:rsidRDefault="007D75CF" w:rsidP="00300317">
      <w:pPr>
        <w:ind w:left="2160" w:hanging="1451"/>
        <w:rPr>
          <w:rFonts w:cs="Arial"/>
          <w:color w:val="000000" w:themeColor="text1"/>
          <w:szCs w:val="24"/>
        </w:rPr>
      </w:pPr>
      <w:r>
        <w:rPr>
          <w:b/>
        </w:rPr>
        <w:t>Decision:</w:t>
      </w:r>
      <w:r>
        <w:rPr>
          <w:b/>
        </w:rPr>
        <w:tab/>
      </w:r>
      <w:r w:rsidR="008E0D64">
        <w:t>NHS Golden J</w:t>
      </w:r>
      <w:r w:rsidR="000316A2">
        <w:t>ubilee Board is</w:t>
      </w:r>
      <w:r w:rsidR="00C031EF">
        <w:t xml:space="preserve"> asked </w:t>
      </w:r>
      <w:r>
        <w:t>to r</w:t>
      </w:r>
      <w:r w:rsidR="00C031EF" w:rsidRPr="00792FA9">
        <w:rPr>
          <w:rFonts w:cs="Arial"/>
          <w:color w:val="000000" w:themeColor="text1"/>
          <w:szCs w:val="24"/>
        </w:rPr>
        <w:t>eceive</w:t>
      </w:r>
      <w:r w:rsidR="00A13CC8">
        <w:rPr>
          <w:rFonts w:cs="Arial"/>
          <w:color w:val="000000" w:themeColor="text1"/>
          <w:szCs w:val="24"/>
        </w:rPr>
        <w:t xml:space="preserve"> and</w:t>
      </w:r>
      <w:r>
        <w:rPr>
          <w:rFonts w:cs="Arial"/>
          <w:color w:val="000000" w:themeColor="text1"/>
          <w:szCs w:val="24"/>
        </w:rPr>
        <w:t xml:space="preserve"> </w:t>
      </w:r>
      <w:r w:rsidR="00D913E0">
        <w:rPr>
          <w:rFonts w:cs="Arial"/>
          <w:color w:val="000000" w:themeColor="text1"/>
          <w:szCs w:val="24"/>
        </w:rPr>
        <w:t>discuss</w:t>
      </w:r>
      <w:r>
        <w:rPr>
          <w:rFonts w:cs="Arial"/>
          <w:color w:val="000000" w:themeColor="text1"/>
          <w:szCs w:val="24"/>
        </w:rPr>
        <w:t xml:space="preserve"> </w:t>
      </w:r>
      <w:r w:rsidR="00A13CC8">
        <w:rPr>
          <w:rFonts w:cs="Arial"/>
          <w:color w:val="000000" w:themeColor="text1"/>
          <w:szCs w:val="24"/>
        </w:rPr>
        <w:t xml:space="preserve">NHS GJ </w:t>
      </w:r>
      <w:r w:rsidR="007E0450">
        <w:rPr>
          <w:rFonts w:cs="Arial"/>
          <w:color w:val="000000" w:themeColor="text1"/>
          <w:szCs w:val="24"/>
        </w:rPr>
        <w:t xml:space="preserve">Corporate Governance </w:t>
      </w:r>
      <w:r w:rsidR="000316A2">
        <w:rPr>
          <w:rFonts w:cs="Arial"/>
          <w:color w:val="000000" w:themeColor="text1"/>
          <w:szCs w:val="24"/>
        </w:rPr>
        <w:t xml:space="preserve">Update – </w:t>
      </w:r>
      <w:r w:rsidR="000706A4">
        <w:rPr>
          <w:rFonts w:cs="Arial"/>
          <w:color w:val="000000" w:themeColor="text1"/>
          <w:szCs w:val="24"/>
        </w:rPr>
        <w:t>Quarter 3</w:t>
      </w:r>
      <w:r w:rsidR="00792FA9" w:rsidRPr="00022C05">
        <w:rPr>
          <w:rFonts w:cs="Arial"/>
          <w:color w:val="000000" w:themeColor="text1"/>
          <w:szCs w:val="24"/>
        </w:rPr>
        <w:t>.</w:t>
      </w:r>
    </w:p>
    <w:p w14:paraId="12F40A62" w14:textId="0ECC3A65" w:rsidR="00F152FB" w:rsidRDefault="00F152FB" w:rsidP="00300317">
      <w:pPr>
        <w:ind w:left="720"/>
        <w:rPr>
          <w:rFonts w:cs="Arial"/>
          <w:color w:val="000000"/>
          <w:szCs w:val="24"/>
          <w:highlight w:val="lightGray"/>
        </w:rPr>
      </w:pPr>
    </w:p>
    <w:p w14:paraId="4BE8F7D4" w14:textId="77777777" w:rsidR="00A42B70" w:rsidRPr="00F05C63" w:rsidRDefault="00A42B70" w:rsidP="00300317">
      <w:pPr>
        <w:ind w:left="720"/>
        <w:rPr>
          <w:rFonts w:cs="Arial"/>
          <w:color w:val="000000"/>
          <w:szCs w:val="24"/>
          <w:highlight w:val="lightGray"/>
        </w:rPr>
      </w:pPr>
    </w:p>
    <w:p w14:paraId="373EFDBC" w14:textId="77777777" w:rsidR="00C87B62" w:rsidRDefault="00C87B62" w:rsidP="00300317">
      <w:pPr>
        <w:pStyle w:val="Heading2"/>
        <w:numPr>
          <w:ilvl w:val="0"/>
          <w:numId w:val="16"/>
        </w:numPr>
        <w:spacing w:before="0"/>
      </w:pPr>
      <w:r>
        <w:t>List of appendices</w:t>
      </w:r>
    </w:p>
    <w:p w14:paraId="0698EE9D" w14:textId="77777777" w:rsidR="00C87B62" w:rsidRDefault="00C87B62" w:rsidP="00300317">
      <w:pPr>
        <w:rPr>
          <w:rFonts w:cs="Arial"/>
          <w:color w:val="000000" w:themeColor="text1"/>
          <w:szCs w:val="24"/>
        </w:rPr>
      </w:pPr>
    </w:p>
    <w:p w14:paraId="2D60D3CF" w14:textId="77777777" w:rsidR="00A42B70" w:rsidRDefault="005B2E7C" w:rsidP="00300317">
      <w:pPr>
        <w:ind w:firstLine="525"/>
        <w:rPr>
          <w:rFonts w:cs="Arial"/>
          <w:color w:val="000000" w:themeColor="text1"/>
          <w:szCs w:val="24"/>
        </w:rPr>
      </w:pPr>
      <w:proofErr w:type="gramStart"/>
      <w:r w:rsidRPr="005B2E7C">
        <w:rPr>
          <w:rFonts w:cs="Arial"/>
          <w:color w:val="000000" w:themeColor="text1"/>
          <w:szCs w:val="24"/>
        </w:rPr>
        <w:t>The</w:t>
      </w:r>
      <w:r w:rsidR="00A42B70">
        <w:rPr>
          <w:rFonts w:cs="Arial"/>
          <w:color w:val="000000" w:themeColor="text1"/>
          <w:szCs w:val="24"/>
        </w:rPr>
        <w:t xml:space="preserve"> is</w:t>
      </w:r>
      <w:proofErr w:type="gramEnd"/>
      <w:r w:rsidR="00A42B70">
        <w:rPr>
          <w:rFonts w:cs="Arial"/>
          <w:color w:val="000000" w:themeColor="text1"/>
          <w:szCs w:val="24"/>
        </w:rPr>
        <w:t xml:space="preserve"> one Appendix </w:t>
      </w:r>
      <w:r w:rsidRPr="005B2E7C">
        <w:rPr>
          <w:rFonts w:cs="Arial"/>
          <w:color w:val="000000" w:themeColor="text1"/>
          <w:szCs w:val="24"/>
        </w:rPr>
        <w:t>to this report</w:t>
      </w:r>
      <w:r w:rsidR="00A42B70">
        <w:rPr>
          <w:rFonts w:cs="Arial"/>
          <w:color w:val="000000" w:themeColor="text1"/>
          <w:szCs w:val="24"/>
        </w:rPr>
        <w:t>:</w:t>
      </w:r>
    </w:p>
    <w:p w14:paraId="1B4CEB95" w14:textId="77777777" w:rsidR="00A42B70" w:rsidRDefault="00A42B70" w:rsidP="00300317">
      <w:pPr>
        <w:ind w:firstLine="525"/>
        <w:rPr>
          <w:rFonts w:cs="Arial"/>
          <w:color w:val="000000" w:themeColor="text1"/>
          <w:szCs w:val="24"/>
        </w:rPr>
      </w:pPr>
    </w:p>
    <w:p w14:paraId="3406C44B" w14:textId="405D72A0" w:rsidR="00837891" w:rsidRPr="005B2E7C" w:rsidRDefault="00A42B70" w:rsidP="00300317">
      <w:pPr>
        <w:ind w:firstLine="525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Appendix 1, Corporate Governance Update Q3</w:t>
      </w:r>
    </w:p>
    <w:p w14:paraId="02A54120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18C00DDE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1AE0BBB2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3A8D4F11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5A1F09E1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3CADA3F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4823971A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18688FCC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E61464B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4D2AC7F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51306AB6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497ABB95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047B1973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018C0DD9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4FBF2BA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009BD2EB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4F73E6F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4C2329F3" w14:textId="77777777" w:rsidR="000E03AA" w:rsidRDefault="000E03AA" w:rsidP="00300317">
      <w:pPr>
        <w:ind w:firstLine="525"/>
        <w:rPr>
          <w:rFonts w:cs="Arial"/>
          <w:color w:val="000000" w:themeColor="text1"/>
          <w:szCs w:val="24"/>
          <w:highlight w:val="yellow"/>
        </w:rPr>
      </w:pPr>
    </w:p>
    <w:p w14:paraId="7C0D3DCB" w14:textId="77777777" w:rsidR="000E03AA" w:rsidRPr="00586307" w:rsidRDefault="000E03AA" w:rsidP="00300317">
      <w:pPr>
        <w:ind w:firstLine="525"/>
        <w:rPr>
          <w:rFonts w:cs="Arial"/>
          <w:color w:val="000000"/>
          <w:szCs w:val="24"/>
          <w:highlight w:val="yellow"/>
        </w:rPr>
      </w:pPr>
    </w:p>
    <w:p w14:paraId="230891E1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1AD12567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6494B0E4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3752F7D1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04F9D05D" w14:textId="77777777" w:rsidR="00837891" w:rsidRDefault="00837891" w:rsidP="00300317">
      <w:pPr>
        <w:rPr>
          <w:rFonts w:cs="Arial"/>
          <w:color w:val="000000"/>
          <w:szCs w:val="24"/>
          <w:highlight w:val="lightGray"/>
        </w:rPr>
      </w:pPr>
    </w:p>
    <w:p w14:paraId="7EBB458A" w14:textId="77777777" w:rsidR="00837891" w:rsidRDefault="00837891" w:rsidP="00300317">
      <w:pPr>
        <w:spacing w:before="40" w:after="40"/>
        <w:rPr>
          <w:rFonts w:cs="Arial"/>
          <w:color w:val="000000"/>
          <w:szCs w:val="24"/>
          <w:highlight w:val="lightGray"/>
        </w:rPr>
      </w:pPr>
    </w:p>
    <w:sectPr w:rsidR="00837891" w:rsidSect="00FA0C60">
      <w:headerReference w:type="default" r:id="rId12"/>
      <w:footerReference w:type="default" r:id="rId13"/>
      <w:pgSz w:w="11906" w:h="16838"/>
      <w:pgMar w:top="567" w:right="567" w:bottom="284" w:left="567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B73E" w14:textId="77777777" w:rsidR="00E9328B" w:rsidRDefault="00E9328B">
      <w:r>
        <w:separator/>
      </w:r>
    </w:p>
  </w:endnote>
  <w:endnote w:type="continuationSeparator" w:id="0">
    <w:p w14:paraId="194E3DD3" w14:textId="77777777" w:rsidR="00E9328B" w:rsidRDefault="00E9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20C6" w14:textId="77777777" w:rsidR="00E9328B" w:rsidRDefault="00E9328B" w:rsidP="003F7F61">
    <w:pPr>
      <w:pStyle w:val="Footer"/>
      <w:jc w:val="center"/>
      <w:rPr>
        <w:rFonts w:cs="Arial"/>
        <w:sz w:val="16"/>
        <w:szCs w:val="16"/>
      </w:rPr>
    </w:pPr>
  </w:p>
  <w:p w14:paraId="3F47350E" w14:textId="37E20FC9" w:rsidR="00E9328B" w:rsidRPr="00C35168" w:rsidRDefault="00E9328B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71474A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71474A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E957B" w14:textId="77777777" w:rsidR="00E9328B" w:rsidRDefault="00E9328B">
      <w:r>
        <w:separator/>
      </w:r>
    </w:p>
  </w:footnote>
  <w:footnote w:type="continuationSeparator" w:id="0">
    <w:p w14:paraId="7A488DEF" w14:textId="77777777" w:rsidR="00E9328B" w:rsidRDefault="00E9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55085" w14:textId="37D94210" w:rsidR="00E9328B" w:rsidRPr="00125A9E" w:rsidRDefault="00E9328B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Item </w:t>
    </w:r>
    <w:r w:rsidR="0071474A">
      <w:rPr>
        <w:rFonts w:cs="Arial"/>
        <w:b/>
        <w:color w:val="2E74B5" w:themeColor="accent1" w:themeShade="BF"/>
        <w:sz w:val="20"/>
      </w:rPr>
      <w:t>2.5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12D5"/>
    <w:multiLevelType w:val="hybridMultilevel"/>
    <w:tmpl w:val="597A2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773A8"/>
    <w:multiLevelType w:val="hybridMultilevel"/>
    <w:tmpl w:val="6574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1DFD"/>
    <w:multiLevelType w:val="hybridMultilevel"/>
    <w:tmpl w:val="3F761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B7DA7"/>
    <w:multiLevelType w:val="hybridMultilevel"/>
    <w:tmpl w:val="7AB291DA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3334C1D"/>
    <w:multiLevelType w:val="hybridMultilevel"/>
    <w:tmpl w:val="0C685206"/>
    <w:lvl w:ilvl="0" w:tplc="A92E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14652"/>
    <w:multiLevelType w:val="hybridMultilevel"/>
    <w:tmpl w:val="FB86D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490B6A"/>
    <w:multiLevelType w:val="hybridMultilevel"/>
    <w:tmpl w:val="37A2C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A5523A"/>
    <w:multiLevelType w:val="hybridMultilevel"/>
    <w:tmpl w:val="68503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CDE32A8"/>
    <w:multiLevelType w:val="hybridMultilevel"/>
    <w:tmpl w:val="19E6D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4B6CB9"/>
    <w:multiLevelType w:val="hybridMultilevel"/>
    <w:tmpl w:val="7D627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B0334B"/>
    <w:multiLevelType w:val="multilevel"/>
    <w:tmpl w:val="23EEA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4D10ECF"/>
    <w:multiLevelType w:val="hybridMultilevel"/>
    <w:tmpl w:val="BE368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EB1704"/>
    <w:multiLevelType w:val="hybridMultilevel"/>
    <w:tmpl w:val="B9FEE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72E5C0D"/>
    <w:multiLevelType w:val="hybridMultilevel"/>
    <w:tmpl w:val="4C48C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DB311A"/>
    <w:multiLevelType w:val="hybridMultilevel"/>
    <w:tmpl w:val="BA54B9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B2F6793"/>
    <w:multiLevelType w:val="hybridMultilevel"/>
    <w:tmpl w:val="EA8EF13E"/>
    <w:lvl w:ilvl="0" w:tplc="08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2BF3531B"/>
    <w:multiLevelType w:val="hybridMultilevel"/>
    <w:tmpl w:val="0FCEBE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40146"/>
    <w:multiLevelType w:val="hybridMultilevel"/>
    <w:tmpl w:val="0D4E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35723"/>
    <w:multiLevelType w:val="multilevel"/>
    <w:tmpl w:val="5B82FDE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8E2617"/>
    <w:multiLevelType w:val="hybridMultilevel"/>
    <w:tmpl w:val="EE548B06"/>
    <w:lvl w:ilvl="0" w:tplc="1A5E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1103C"/>
    <w:multiLevelType w:val="hybridMultilevel"/>
    <w:tmpl w:val="086A4D8A"/>
    <w:lvl w:ilvl="0" w:tplc="08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7" w15:restartNumberingAfterBreak="0">
    <w:nsid w:val="67445DB9"/>
    <w:multiLevelType w:val="hybridMultilevel"/>
    <w:tmpl w:val="74A4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B2E4C"/>
    <w:multiLevelType w:val="hybridMultilevel"/>
    <w:tmpl w:val="CB5E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D3958"/>
    <w:multiLevelType w:val="hybridMultilevel"/>
    <w:tmpl w:val="4948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316B86"/>
    <w:multiLevelType w:val="hybridMultilevel"/>
    <w:tmpl w:val="8B888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416E63"/>
    <w:multiLevelType w:val="hybridMultilevel"/>
    <w:tmpl w:val="327AF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A046AE"/>
    <w:multiLevelType w:val="hybridMultilevel"/>
    <w:tmpl w:val="993E7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890721"/>
    <w:multiLevelType w:val="hybridMultilevel"/>
    <w:tmpl w:val="3910A6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7"/>
  </w:num>
  <w:num w:numId="4">
    <w:abstractNumId w:val="40"/>
  </w:num>
  <w:num w:numId="5">
    <w:abstractNumId w:val="23"/>
  </w:num>
  <w:num w:numId="6">
    <w:abstractNumId w:val="17"/>
  </w:num>
  <w:num w:numId="7">
    <w:abstractNumId w:val="30"/>
  </w:num>
  <w:num w:numId="8">
    <w:abstractNumId w:val="16"/>
  </w:num>
  <w:num w:numId="9">
    <w:abstractNumId w:val="33"/>
  </w:num>
  <w:num w:numId="10">
    <w:abstractNumId w:val="10"/>
  </w:num>
  <w:num w:numId="11">
    <w:abstractNumId w:val="34"/>
  </w:num>
  <w:num w:numId="12">
    <w:abstractNumId w:val="7"/>
  </w:num>
  <w:num w:numId="13">
    <w:abstractNumId w:val="14"/>
  </w:num>
  <w:num w:numId="14">
    <w:abstractNumId w:val="21"/>
  </w:num>
  <w:num w:numId="15">
    <w:abstractNumId w:val="24"/>
  </w:num>
  <w:num w:numId="16">
    <w:abstractNumId w:val="22"/>
  </w:num>
  <w:num w:numId="17">
    <w:abstractNumId w:val="32"/>
  </w:num>
  <w:num w:numId="18">
    <w:abstractNumId w:val="20"/>
  </w:num>
  <w:num w:numId="19">
    <w:abstractNumId w:val="5"/>
  </w:num>
  <w:num w:numId="20">
    <w:abstractNumId w:val="39"/>
  </w:num>
  <w:num w:numId="21">
    <w:abstractNumId w:val="9"/>
  </w:num>
  <w:num w:numId="22">
    <w:abstractNumId w:val="28"/>
  </w:num>
  <w:num w:numId="23">
    <w:abstractNumId w:val="13"/>
  </w:num>
  <w:num w:numId="24">
    <w:abstractNumId w:val="29"/>
  </w:num>
  <w:num w:numId="25">
    <w:abstractNumId w:val="42"/>
  </w:num>
  <w:num w:numId="26">
    <w:abstractNumId w:val="16"/>
  </w:num>
  <w:num w:numId="27">
    <w:abstractNumId w:val="44"/>
  </w:num>
  <w:num w:numId="28">
    <w:abstractNumId w:val="4"/>
  </w:num>
  <w:num w:numId="29">
    <w:abstractNumId w:val="43"/>
  </w:num>
  <w:num w:numId="30">
    <w:abstractNumId w:val="11"/>
  </w:num>
  <w:num w:numId="31">
    <w:abstractNumId w:val="37"/>
  </w:num>
  <w:num w:numId="32">
    <w:abstractNumId w:val="8"/>
  </w:num>
  <w:num w:numId="33">
    <w:abstractNumId w:val="1"/>
  </w:num>
  <w:num w:numId="34">
    <w:abstractNumId w:val="26"/>
  </w:num>
  <w:num w:numId="35">
    <w:abstractNumId w:val="19"/>
  </w:num>
  <w:num w:numId="36">
    <w:abstractNumId w:val="2"/>
  </w:num>
  <w:num w:numId="37">
    <w:abstractNumId w:val="15"/>
  </w:num>
  <w:num w:numId="38">
    <w:abstractNumId w:val="31"/>
  </w:num>
  <w:num w:numId="39">
    <w:abstractNumId w:val="3"/>
  </w:num>
  <w:num w:numId="40">
    <w:abstractNumId w:val="38"/>
  </w:num>
  <w:num w:numId="41">
    <w:abstractNumId w:val="6"/>
  </w:num>
  <w:num w:numId="42">
    <w:abstractNumId w:val="18"/>
  </w:num>
  <w:num w:numId="43">
    <w:abstractNumId w:val="25"/>
  </w:num>
  <w:num w:numId="44">
    <w:abstractNumId w:val="12"/>
  </w:num>
  <w:num w:numId="45">
    <w:abstractNumId w:val="4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37B9"/>
    <w:rsid w:val="00022C05"/>
    <w:rsid w:val="00023E30"/>
    <w:rsid w:val="0003098A"/>
    <w:rsid w:val="000316A2"/>
    <w:rsid w:val="00045131"/>
    <w:rsid w:val="00045A5C"/>
    <w:rsid w:val="00047714"/>
    <w:rsid w:val="00050596"/>
    <w:rsid w:val="000660D1"/>
    <w:rsid w:val="000706A4"/>
    <w:rsid w:val="00073441"/>
    <w:rsid w:val="000917BD"/>
    <w:rsid w:val="00091974"/>
    <w:rsid w:val="000945DB"/>
    <w:rsid w:val="000A412A"/>
    <w:rsid w:val="000C6B67"/>
    <w:rsid w:val="000D595C"/>
    <w:rsid w:val="000D716E"/>
    <w:rsid w:val="000E03AA"/>
    <w:rsid w:val="000F7706"/>
    <w:rsid w:val="00100DA6"/>
    <w:rsid w:val="00114FE5"/>
    <w:rsid w:val="00125A0E"/>
    <w:rsid w:val="00125A9E"/>
    <w:rsid w:val="00140DB3"/>
    <w:rsid w:val="00162597"/>
    <w:rsid w:val="00170AAD"/>
    <w:rsid w:val="00191924"/>
    <w:rsid w:val="001A2D24"/>
    <w:rsid w:val="001A6CBE"/>
    <w:rsid w:val="001C0974"/>
    <w:rsid w:val="001D6887"/>
    <w:rsid w:val="001E4436"/>
    <w:rsid w:val="001F1C76"/>
    <w:rsid w:val="00200867"/>
    <w:rsid w:val="00203B06"/>
    <w:rsid w:val="00206AF0"/>
    <w:rsid w:val="00207804"/>
    <w:rsid w:val="00215FBB"/>
    <w:rsid w:val="00227777"/>
    <w:rsid w:val="0023473B"/>
    <w:rsid w:val="00256109"/>
    <w:rsid w:val="0025768D"/>
    <w:rsid w:val="0026587E"/>
    <w:rsid w:val="00266503"/>
    <w:rsid w:val="0027089E"/>
    <w:rsid w:val="0027517F"/>
    <w:rsid w:val="00282302"/>
    <w:rsid w:val="002C1CB1"/>
    <w:rsid w:val="002D28B4"/>
    <w:rsid w:val="002D7B0E"/>
    <w:rsid w:val="002E0D1A"/>
    <w:rsid w:val="002E24EC"/>
    <w:rsid w:val="002E55F4"/>
    <w:rsid w:val="002F34F7"/>
    <w:rsid w:val="002F62FC"/>
    <w:rsid w:val="00300317"/>
    <w:rsid w:val="0030193D"/>
    <w:rsid w:val="00304BFE"/>
    <w:rsid w:val="00311235"/>
    <w:rsid w:val="00311A57"/>
    <w:rsid w:val="00312F5F"/>
    <w:rsid w:val="003235A0"/>
    <w:rsid w:val="003310DC"/>
    <w:rsid w:val="0033790B"/>
    <w:rsid w:val="00357348"/>
    <w:rsid w:val="003674E1"/>
    <w:rsid w:val="00375E68"/>
    <w:rsid w:val="003821BA"/>
    <w:rsid w:val="00385D06"/>
    <w:rsid w:val="003A1BD6"/>
    <w:rsid w:val="003A7F53"/>
    <w:rsid w:val="003C3FE6"/>
    <w:rsid w:val="003C5DEF"/>
    <w:rsid w:val="003F76B2"/>
    <w:rsid w:val="003F7F61"/>
    <w:rsid w:val="004170C7"/>
    <w:rsid w:val="00430C09"/>
    <w:rsid w:val="0043507A"/>
    <w:rsid w:val="00437F2B"/>
    <w:rsid w:val="00446219"/>
    <w:rsid w:val="004727DA"/>
    <w:rsid w:val="004840B7"/>
    <w:rsid w:val="00486989"/>
    <w:rsid w:val="00495B36"/>
    <w:rsid w:val="00496769"/>
    <w:rsid w:val="00496B29"/>
    <w:rsid w:val="004A3621"/>
    <w:rsid w:val="004A39D0"/>
    <w:rsid w:val="004B5BB8"/>
    <w:rsid w:val="004C24DE"/>
    <w:rsid w:val="004C3A6F"/>
    <w:rsid w:val="004D5880"/>
    <w:rsid w:val="004E6B99"/>
    <w:rsid w:val="00517FDE"/>
    <w:rsid w:val="00526FB4"/>
    <w:rsid w:val="0053140A"/>
    <w:rsid w:val="00566C8C"/>
    <w:rsid w:val="0056755D"/>
    <w:rsid w:val="00582CD3"/>
    <w:rsid w:val="00585DF9"/>
    <w:rsid w:val="00586307"/>
    <w:rsid w:val="00591C18"/>
    <w:rsid w:val="005A0E7D"/>
    <w:rsid w:val="005A155C"/>
    <w:rsid w:val="005B2E7C"/>
    <w:rsid w:val="005C2BE9"/>
    <w:rsid w:val="005E15D3"/>
    <w:rsid w:val="00610728"/>
    <w:rsid w:val="006173A9"/>
    <w:rsid w:val="00630CF1"/>
    <w:rsid w:val="00631726"/>
    <w:rsid w:val="006619E8"/>
    <w:rsid w:val="006659EB"/>
    <w:rsid w:val="0066601C"/>
    <w:rsid w:val="006876BD"/>
    <w:rsid w:val="00696201"/>
    <w:rsid w:val="006A0EF6"/>
    <w:rsid w:val="006B0556"/>
    <w:rsid w:val="006B3CCC"/>
    <w:rsid w:val="006D1343"/>
    <w:rsid w:val="006E37BD"/>
    <w:rsid w:val="006F31BD"/>
    <w:rsid w:val="0070299E"/>
    <w:rsid w:val="0071474A"/>
    <w:rsid w:val="0072170F"/>
    <w:rsid w:val="00736182"/>
    <w:rsid w:val="00740CDD"/>
    <w:rsid w:val="007634C5"/>
    <w:rsid w:val="007645A9"/>
    <w:rsid w:val="00777D48"/>
    <w:rsid w:val="00790042"/>
    <w:rsid w:val="007919BE"/>
    <w:rsid w:val="00792FA9"/>
    <w:rsid w:val="00793A3E"/>
    <w:rsid w:val="0079685E"/>
    <w:rsid w:val="00797822"/>
    <w:rsid w:val="007C6CBD"/>
    <w:rsid w:val="007D1FA1"/>
    <w:rsid w:val="007D357F"/>
    <w:rsid w:val="007D75CF"/>
    <w:rsid w:val="007E0450"/>
    <w:rsid w:val="007E3A9D"/>
    <w:rsid w:val="007E586D"/>
    <w:rsid w:val="007F32CF"/>
    <w:rsid w:val="00807A12"/>
    <w:rsid w:val="00811002"/>
    <w:rsid w:val="00816E22"/>
    <w:rsid w:val="00837891"/>
    <w:rsid w:val="00837A9E"/>
    <w:rsid w:val="008675CA"/>
    <w:rsid w:val="00870C63"/>
    <w:rsid w:val="00876447"/>
    <w:rsid w:val="008802AC"/>
    <w:rsid w:val="00883828"/>
    <w:rsid w:val="008859A8"/>
    <w:rsid w:val="00886D18"/>
    <w:rsid w:val="008B1B1F"/>
    <w:rsid w:val="008E0D64"/>
    <w:rsid w:val="008E39CA"/>
    <w:rsid w:val="009036D4"/>
    <w:rsid w:val="00912CBC"/>
    <w:rsid w:val="00927C6C"/>
    <w:rsid w:val="009376AC"/>
    <w:rsid w:val="00945CA9"/>
    <w:rsid w:val="009610EC"/>
    <w:rsid w:val="009747ED"/>
    <w:rsid w:val="0098047C"/>
    <w:rsid w:val="009807B4"/>
    <w:rsid w:val="00980C97"/>
    <w:rsid w:val="00982B81"/>
    <w:rsid w:val="009A1437"/>
    <w:rsid w:val="009A59AE"/>
    <w:rsid w:val="009D1859"/>
    <w:rsid w:val="009E564F"/>
    <w:rsid w:val="009F2E44"/>
    <w:rsid w:val="009F4E13"/>
    <w:rsid w:val="00A12F83"/>
    <w:rsid w:val="00A13C6D"/>
    <w:rsid w:val="00A13CC8"/>
    <w:rsid w:val="00A2680C"/>
    <w:rsid w:val="00A27231"/>
    <w:rsid w:val="00A37E93"/>
    <w:rsid w:val="00A40076"/>
    <w:rsid w:val="00A40F5A"/>
    <w:rsid w:val="00A42B70"/>
    <w:rsid w:val="00A54B0F"/>
    <w:rsid w:val="00A57E56"/>
    <w:rsid w:val="00A62B58"/>
    <w:rsid w:val="00A75D01"/>
    <w:rsid w:val="00A83805"/>
    <w:rsid w:val="00A84C97"/>
    <w:rsid w:val="00A854FD"/>
    <w:rsid w:val="00A90CF6"/>
    <w:rsid w:val="00AA1016"/>
    <w:rsid w:val="00AA4BAF"/>
    <w:rsid w:val="00AA77F7"/>
    <w:rsid w:val="00AB3906"/>
    <w:rsid w:val="00AC5742"/>
    <w:rsid w:val="00AE522B"/>
    <w:rsid w:val="00AE7869"/>
    <w:rsid w:val="00AF0530"/>
    <w:rsid w:val="00AF356A"/>
    <w:rsid w:val="00AF700B"/>
    <w:rsid w:val="00AF790B"/>
    <w:rsid w:val="00B00970"/>
    <w:rsid w:val="00B178D4"/>
    <w:rsid w:val="00B347E2"/>
    <w:rsid w:val="00B3764E"/>
    <w:rsid w:val="00B37CC0"/>
    <w:rsid w:val="00B4605A"/>
    <w:rsid w:val="00B546C8"/>
    <w:rsid w:val="00B562FA"/>
    <w:rsid w:val="00B60832"/>
    <w:rsid w:val="00B62D15"/>
    <w:rsid w:val="00B7445F"/>
    <w:rsid w:val="00B76528"/>
    <w:rsid w:val="00B77902"/>
    <w:rsid w:val="00B8122A"/>
    <w:rsid w:val="00B851FC"/>
    <w:rsid w:val="00BA04D3"/>
    <w:rsid w:val="00BA23E6"/>
    <w:rsid w:val="00BA30B1"/>
    <w:rsid w:val="00BD4F63"/>
    <w:rsid w:val="00BD56D1"/>
    <w:rsid w:val="00BE2A60"/>
    <w:rsid w:val="00BE48E0"/>
    <w:rsid w:val="00BE4F71"/>
    <w:rsid w:val="00BF0CBD"/>
    <w:rsid w:val="00BF3AF0"/>
    <w:rsid w:val="00BF4341"/>
    <w:rsid w:val="00BF72EA"/>
    <w:rsid w:val="00C01B6B"/>
    <w:rsid w:val="00C029BD"/>
    <w:rsid w:val="00C031EF"/>
    <w:rsid w:val="00C06047"/>
    <w:rsid w:val="00C13F1B"/>
    <w:rsid w:val="00C17B99"/>
    <w:rsid w:val="00C20ED7"/>
    <w:rsid w:val="00C26551"/>
    <w:rsid w:val="00C34769"/>
    <w:rsid w:val="00C7219F"/>
    <w:rsid w:val="00C768E7"/>
    <w:rsid w:val="00C87B62"/>
    <w:rsid w:val="00C9008D"/>
    <w:rsid w:val="00C92F2F"/>
    <w:rsid w:val="00C94BF7"/>
    <w:rsid w:val="00C96E92"/>
    <w:rsid w:val="00C97BAD"/>
    <w:rsid w:val="00CA0C3A"/>
    <w:rsid w:val="00CB1AA7"/>
    <w:rsid w:val="00CB1B60"/>
    <w:rsid w:val="00CB47F0"/>
    <w:rsid w:val="00CB4BE9"/>
    <w:rsid w:val="00CB5AE7"/>
    <w:rsid w:val="00CB6A58"/>
    <w:rsid w:val="00CC57B7"/>
    <w:rsid w:val="00CC6308"/>
    <w:rsid w:val="00CE1F80"/>
    <w:rsid w:val="00CF7A21"/>
    <w:rsid w:val="00D3501E"/>
    <w:rsid w:val="00D37BB7"/>
    <w:rsid w:val="00D51CAC"/>
    <w:rsid w:val="00D52F96"/>
    <w:rsid w:val="00D619C7"/>
    <w:rsid w:val="00D62FC3"/>
    <w:rsid w:val="00D83005"/>
    <w:rsid w:val="00D87F74"/>
    <w:rsid w:val="00D913E0"/>
    <w:rsid w:val="00DA317B"/>
    <w:rsid w:val="00DA3DA9"/>
    <w:rsid w:val="00DA409D"/>
    <w:rsid w:val="00DA6E1E"/>
    <w:rsid w:val="00DC2591"/>
    <w:rsid w:val="00DD2D3D"/>
    <w:rsid w:val="00DD5B77"/>
    <w:rsid w:val="00DD6252"/>
    <w:rsid w:val="00DE06F2"/>
    <w:rsid w:val="00DE3207"/>
    <w:rsid w:val="00DF1BE0"/>
    <w:rsid w:val="00DF6470"/>
    <w:rsid w:val="00DF69D5"/>
    <w:rsid w:val="00E16D19"/>
    <w:rsid w:val="00E353DE"/>
    <w:rsid w:val="00E46CD6"/>
    <w:rsid w:val="00E616EB"/>
    <w:rsid w:val="00E64C12"/>
    <w:rsid w:val="00E66152"/>
    <w:rsid w:val="00E71596"/>
    <w:rsid w:val="00E71CD2"/>
    <w:rsid w:val="00E9328B"/>
    <w:rsid w:val="00EC76CB"/>
    <w:rsid w:val="00ED6F88"/>
    <w:rsid w:val="00EE3F3C"/>
    <w:rsid w:val="00EE451D"/>
    <w:rsid w:val="00EF1DB7"/>
    <w:rsid w:val="00F13B10"/>
    <w:rsid w:val="00F152FB"/>
    <w:rsid w:val="00F17960"/>
    <w:rsid w:val="00F2602E"/>
    <w:rsid w:val="00F3256A"/>
    <w:rsid w:val="00F3337D"/>
    <w:rsid w:val="00F34468"/>
    <w:rsid w:val="00F42301"/>
    <w:rsid w:val="00F701BA"/>
    <w:rsid w:val="00F708AB"/>
    <w:rsid w:val="00F802D3"/>
    <w:rsid w:val="00F944D9"/>
    <w:rsid w:val="00F971C4"/>
    <w:rsid w:val="00FA0C60"/>
    <w:rsid w:val="00FA2A2E"/>
    <w:rsid w:val="00FA76B2"/>
    <w:rsid w:val="00FD5A4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4E806CE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47ED"/>
    <w:pPr>
      <w:widowControl w:val="0"/>
      <w:jc w:val="both"/>
    </w:pPr>
    <w:rPr>
      <w:rFonts w:ascii="Times New Roman" w:hAnsi="Times New Roman"/>
      <w:spacing w:val="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47ED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1924"/>
    <w:rPr>
      <w:color w:val="0563C1"/>
      <w:u w:val="single"/>
    </w:rPr>
  </w:style>
  <w:style w:type="paragraph" w:customStyle="1" w:styleId="xmsonormal">
    <w:name w:val="x_msonormal"/>
    <w:basedOn w:val="Normal"/>
    <w:uiPriority w:val="99"/>
    <w:rsid w:val="00312F5F"/>
    <w:rPr>
      <w:rFonts w:ascii="Calibri" w:eastAsiaTheme="minorHAnsi" w:hAnsi="Calibri"/>
      <w:spacing w:val="0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517FD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56164DB5D9439788DF57662FEF24" ma:contentTypeVersion="14" ma:contentTypeDescription="Create a new document." ma:contentTypeScope="" ma:versionID="9fe316953644f12f306e69ac2a35fb03">
  <xsd:schema xmlns:xsd="http://www.w3.org/2001/XMLSchema" xmlns:xs="http://www.w3.org/2001/XMLSchema" xmlns:p="http://schemas.microsoft.com/office/2006/metadata/properties" xmlns:ns3="7624fbc7-be4c-4bb9-9907-572dd2157b4d" xmlns:ns4="2f64e866-ece4-4017-80d9-960ad89f01a2" targetNamespace="http://schemas.microsoft.com/office/2006/metadata/properties" ma:root="true" ma:fieldsID="e69b468a13409ad21a2219b2abc8fa24" ns3:_="" ns4:_="">
    <xsd:import namespace="7624fbc7-be4c-4bb9-9907-572dd2157b4d"/>
    <xsd:import namespace="2f64e866-ece4-4017-80d9-960ad89f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fbc7-be4c-4bb9-9907-572dd215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866-ece4-4017-80d9-960ad89f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4fbc7-be4c-4bb9-9907-572dd2157b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FCF-615D-4B8D-B8A0-96CE1EF02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fbc7-be4c-4bb9-9907-572dd2157b4d"/>
    <ds:schemaRef ds:uri="2f64e866-ece4-4017-80d9-960ad89f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973F8-42D2-43E7-86B7-6B0BFC681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8635-EE5F-4F9C-93DE-1C1B9ACB55D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64e866-ece4-4017-80d9-960ad89f01a2"/>
    <ds:schemaRef ds:uri="7624fbc7-be4c-4bb9-9907-572dd2157b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DA5E40-29D6-4AD0-88E8-5C1F38E8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5</cp:revision>
  <cp:lastPrinted>2019-10-07T12:25:00Z</cp:lastPrinted>
  <dcterms:created xsi:type="dcterms:W3CDTF">2025-03-11T16:55:00Z</dcterms:created>
  <dcterms:modified xsi:type="dcterms:W3CDTF">2025-03-19T12:43:00Z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0x0101007F9256164DB5D9439788DF57662FEF24</vt:lpwstr>
  </property>
</Properties>
</file>