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E92930">
        <w:rPr>
          <w:rStyle w:val="Heading3Char"/>
          <w:b/>
        </w:rPr>
        <w:t>olden Jubilee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065970">
        <w:rPr>
          <w:rStyle w:val="Heading3Char"/>
          <w:b/>
        </w:rPr>
        <w:t>27</w:t>
      </w:r>
      <w:r w:rsidR="00712B45">
        <w:rPr>
          <w:rStyle w:val="Heading3Char"/>
          <w:b/>
        </w:rPr>
        <w:t xml:space="preserve"> March</w:t>
      </w:r>
      <w:r w:rsidR="00C93ED1">
        <w:rPr>
          <w:rStyle w:val="Heading3Char"/>
          <w:b/>
        </w:rPr>
        <w:t xml:space="preserve"> </w:t>
      </w:r>
      <w:r w:rsidR="00712B45">
        <w:rPr>
          <w:rStyle w:val="Heading3Char"/>
          <w:b/>
        </w:rPr>
        <w:t>2025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1415F">
        <w:rPr>
          <w:rFonts w:cs="Arial"/>
          <w:bCs/>
        </w:rPr>
        <w:t>Clinical Governance</w:t>
      </w:r>
      <w:r w:rsidR="00050D76" w:rsidRPr="00050D76">
        <w:rPr>
          <w:rFonts w:cs="Arial"/>
          <w:bCs/>
        </w:rPr>
        <w:t xml:space="preserve"> Committee </w:t>
      </w:r>
      <w:bookmarkStart w:id="0" w:name="_GoBack"/>
      <w:bookmarkEnd w:id="0"/>
      <w:r w:rsidR="00E979D1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A128CD" w:rsidRDefault="0003098A" w:rsidP="00D1022D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D1415F">
        <w:rPr>
          <w:rStyle w:val="Heading3Char"/>
          <w:b/>
        </w:rPr>
        <w:t>M</w:t>
      </w:r>
      <w:r w:rsidR="00A128CD">
        <w:rPr>
          <w:rStyle w:val="Heading3Char"/>
          <w:b/>
        </w:rPr>
        <w:t>ark MacGregor, Medical Director</w:t>
      </w:r>
    </w:p>
    <w:p w:rsidR="00CC4412" w:rsidRPr="00CC4412" w:rsidRDefault="00CC4412" w:rsidP="00CC4412">
      <w:pPr>
        <w:rPr>
          <w:rFonts w:eastAsiaTheme="majorEastAsia"/>
          <w:b/>
        </w:rPr>
      </w:pP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>
        <w:rPr>
          <w:rFonts w:eastAsiaTheme="majorEastAsia"/>
          <w:b/>
        </w:rPr>
        <w:t xml:space="preserve">   Anne Marie Cavanagh, Director of Nursing</w:t>
      </w:r>
    </w:p>
    <w:p w:rsidR="00D1022D" w:rsidRDefault="00A128CD" w:rsidP="00A128CD">
      <w:pPr>
        <w:pStyle w:val="Heading3"/>
        <w:ind w:left="4536"/>
        <w:rPr>
          <w:rStyle w:val="Heading3Char"/>
          <w:b/>
        </w:rPr>
      </w:pPr>
      <w:r>
        <w:rPr>
          <w:rStyle w:val="Heading3Char"/>
          <w:b/>
        </w:rPr>
        <w:t>M</w:t>
      </w:r>
      <w:r w:rsidR="00D1415F">
        <w:rPr>
          <w:rStyle w:val="Heading3Char"/>
          <w:b/>
        </w:rPr>
        <w:t>orag Brown</w:t>
      </w:r>
      <w:r w:rsidR="00D1022D">
        <w:rPr>
          <w:rStyle w:val="Heading3Char"/>
          <w:b/>
        </w:rPr>
        <w:t>, Non-Executive Director (Chair)</w:t>
      </w:r>
    </w:p>
    <w:p w:rsidR="00D1022D" w:rsidRPr="00D1022D" w:rsidRDefault="00D1022D" w:rsidP="00D1022D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A43514">
        <w:rPr>
          <w:rStyle w:val="Heading3Char"/>
          <w:b/>
        </w:rPr>
        <w:t>Nicki Hamer</w:t>
      </w:r>
      <w:r w:rsidR="00961989">
        <w:rPr>
          <w:rStyle w:val="Heading3Char"/>
          <w:b/>
        </w:rPr>
        <w:t>, Head of Corporate Governance and Board Secretary</w:t>
      </w:r>
    </w:p>
    <w:p w:rsidR="00961989" w:rsidRPr="00B77902" w:rsidRDefault="00961989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694868">
        <w:rPr>
          <w:lang w:eastAsia="en-GB"/>
        </w:rPr>
        <w:t>NHS Golden Jubilee</w:t>
      </w:r>
      <w:r w:rsidRPr="009807B4">
        <w:rPr>
          <w:lang w:eastAsia="en-GB"/>
        </w:rPr>
        <w:t xml:space="preserve"> Board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116EFD">
        <w:rPr>
          <w:rFonts w:ascii="Arial" w:hAnsi="Arial" w:cs="Arial"/>
          <w:color w:val="000000"/>
          <w:sz w:val="24"/>
          <w:szCs w:val="24"/>
        </w:rPr>
        <w:t>all C</w:t>
      </w:r>
      <w:r w:rsidRPr="00E91820">
        <w:rPr>
          <w:rFonts w:ascii="Arial" w:hAnsi="Arial" w:cs="Arial"/>
          <w:color w:val="000000"/>
          <w:sz w:val="24"/>
          <w:szCs w:val="24"/>
        </w:rPr>
        <w:t xml:space="preserve">orporate </w:t>
      </w:r>
      <w:r w:rsidR="00116EFD">
        <w:rPr>
          <w:rFonts w:ascii="Arial" w:hAnsi="Arial" w:cs="Arial"/>
          <w:color w:val="000000"/>
          <w:sz w:val="24"/>
          <w:szCs w:val="24"/>
        </w:rPr>
        <w:t>O</w:t>
      </w:r>
      <w:r w:rsidRPr="00E91820">
        <w:rPr>
          <w:rFonts w:ascii="Arial" w:hAnsi="Arial" w:cs="Arial"/>
          <w:color w:val="000000"/>
          <w:sz w:val="24"/>
          <w:szCs w:val="24"/>
        </w:rPr>
        <w:t>bjectives</w:t>
      </w:r>
    </w:p>
    <w:p w:rsidR="00430C09" w:rsidRDefault="00430C09" w:rsidP="009807B4">
      <w:pPr>
        <w:spacing w:line="276" w:lineRule="auto"/>
      </w:pPr>
    </w:p>
    <w:p w:rsidR="00E67229" w:rsidRDefault="00E67229" w:rsidP="009807B4">
      <w:pPr>
        <w:spacing w:line="276" w:lineRule="auto"/>
      </w:pPr>
    </w:p>
    <w:p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CC4412" w:rsidRPr="00CC4412" w:rsidRDefault="00CC4412" w:rsidP="003D757C">
      <w:pPr>
        <w:ind w:left="709" w:right="183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>There were no issues of concern raised at the meeting.</w:t>
      </w:r>
    </w:p>
    <w:p w:rsidR="00CC4412" w:rsidRDefault="00CC4412" w:rsidP="003D757C">
      <w:pPr>
        <w:ind w:left="709" w:right="183"/>
        <w:rPr>
          <w:rFonts w:cs="Arial"/>
          <w:bCs/>
        </w:rPr>
      </w:pPr>
    </w:p>
    <w:p w:rsidR="00050D76" w:rsidRDefault="00D1415F" w:rsidP="00D7465E">
      <w:pPr>
        <w:ind w:left="709" w:right="183"/>
        <w:rPr>
          <w:rFonts w:cs="Arial"/>
          <w:bCs/>
        </w:rPr>
      </w:pPr>
      <w:r>
        <w:rPr>
          <w:rFonts w:cs="Arial"/>
          <w:bCs/>
        </w:rPr>
        <w:t xml:space="preserve">Clinical Governance </w:t>
      </w:r>
      <w:r w:rsidR="00050D76">
        <w:rPr>
          <w:rFonts w:cs="Arial"/>
          <w:bCs/>
        </w:rPr>
        <w:t xml:space="preserve">Committee was held on </w:t>
      </w:r>
      <w:r w:rsidR="00E168BD">
        <w:rPr>
          <w:rFonts w:cs="Arial"/>
          <w:bCs/>
        </w:rPr>
        <w:t>6 March</w:t>
      </w:r>
      <w:r w:rsidR="00C93ED1">
        <w:rPr>
          <w:rFonts w:cs="Arial"/>
          <w:bCs/>
        </w:rPr>
        <w:t xml:space="preserve"> </w:t>
      </w:r>
      <w:r w:rsidR="00E168BD">
        <w:rPr>
          <w:rFonts w:cs="Arial"/>
          <w:bCs/>
        </w:rPr>
        <w:t>2025</w:t>
      </w:r>
      <w:r w:rsidR="00116EFD">
        <w:rPr>
          <w:rFonts w:cs="Arial"/>
          <w:bCs/>
        </w:rPr>
        <w:t xml:space="preserve"> and</w:t>
      </w:r>
      <w:r w:rsidR="00050D76">
        <w:rPr>
          <w:rFonts w:cs="Arial"/>
          <w:bCs/>
        </w:rPr>
        <w:t xml:space="preserve"> the following key points were noted at the meeting.  </w:t>
      </w:r>
      <w:r w:rsidR="00705BAA">
        <w:rPr>
          <w:rFonts w:cs="Arial"/>
          <w:bCs/>
        </w:rPr>
        <w:t xml:space="preserve">The </w:t>
      </w:r>
      <w:r w:rsidR="00D7465E">
        <w:rPr>
          <w:rFonts w:cs="Arial"/>
          <w:bCs/>
        </w:rPr>
        <w:t>C</w:t>
      </w:r>
      <w:r w:rsidR="00705BAA">
        <w:rPr>
          <w:rFonts w:cs="Arial"/>
          <w:bCs/>
        </w:rPr>
        <w:t xml:space="preserve">ommittee welcomed the new Head of </w:t>
      </w:r>
      <w:r w:rsidR="00D7465E">
        <w:rPr>
          <w:rFonts w:cs="Arial"/>
          <w:bCs/>
        </w:rPr>
        <w:t>Risk and C</w:t>
      </w:r>
      <w:r w:rsidR="00705BAA">
        <w:rPr>
          <w:rFonts w:cs="Arial"/>
          <w:bCs/>
        </w:rPr>
        <w:t xml:space="preserve">linical </w:t>
      </w:r>
      <w:r w:rsidR="00D7465E">
        <w:rPr>
          <w:rFonts w:cs="Arial"/>
          <w:bCs/>
        </w:rPr>
        <w:t>G</w:t>
      </w:r>
      <w:r w:rsidR="00705BAA">
        <w:rPr>
          <w:rFonts w:cs="Arial"/>
          <w:bCs/>
        </w:rPr>
        <w:t>overnance, Kevin</w:t>
      </w:r>
      <w:r w:rsidR="00D7465E">
        <w:rPr>
          <w:rFonts w:cs="Arial"/>
          <w:bCs/>
        </w:rPr>
        <w:t xml:space="preserve"> McMahon.</w:t>
      </w:r>
    </w:p>
    <w:p w:rsidR="00D7465E" w:rsidRDefault="00D7465E" w:rsidP="00D7465E">
      <w:pPr>
        <w:ind w:left="709" w:right="183"/>
        <w:rPr>
          <w:rFonts w:cs="Arial"/>
          <w:bCs/>
        </w:rPr>
      </w:pPr>
    </w:p>
    <w:p w:rsidR="00D7465E" w:rsidRDefault="00D7465E" w:rsidP="00D7465E">
      <w:pPr>
        <w:ind w:left="709" w:right="183"/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C93ED1">
        <w:tc>
          <w:tcPr>
            <w:tcW w:w="1251" w:type="dxa"/>
            <w:gridSpan w:val="2"/>
          </w:tcPr>
          <w:p w:rsidR="00050D76" w:rsidRPr="00C30F3E" w:rsidRDefault="00733D1F" w:rsidP="00C1128C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Safe</w:t>
            </w:r>
          </w:p>
        </w:tc>
        <w:tc>
          <w:tcPr>
            <w:tcW w:w="7929" w:type="dxa"/>
            <w:shd w:val="clear" w:color="auto" w:fill="auto"/>
          </w:tcPr>
          <w:p w:rsidR="00DB5DC3" w:rsidRDefault="00C93ED1" w:rsidP="00E0701A">
            <w:pPr>
              <w:tabs>
                <w:tab w:val="left" w:pos="980"/>
              </w:tabs>
              <w:rPr>
                <w:rFonts w:eastAsiaTheme="minorHAnsi" w:cs="Arial"/>
                <w:spacing w:val="0"/>
                <w:szCs w:val="24"/>
                <w:lang w:val="en-US"/>
              </w:rPr>
            </w:pPr>
            <w:r w:rsidRPr="00C93ED1"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Committee noted the Significant Adverse</w:t>
            </w:r>
            <w:r w:rsidR="00E168BD">
              <w:rPr>
                <w:rFonts w:eastAsiaTheme="minorHAnsi" w:cs="Arial"/>
                <w:spacing w:val="0"/>
                <w:szCs w:val="24"/>
                <w:lang w:val="en-US"/>
              </w:rPr>
              <w:t xml:space="preserve"> Events/SAER Update and noted that although th</w:t>
            </w:r>
            <w:r w:rsidR="00844A7E">
              <w:rPr>
                <w:rFonts w:eastAsiaTheme="minorHAnsi" w:cs="Arial"/>
                <w:spacing w:val="0"/>
                <w:szCs w:val="24"/>
                <w:lang w:val="en-US"/>
              </w:rPr>
              <w:t>ere is confidence</w:t>
            </w:r>
            <w:r w:rsidR="00E168BD">
              <w:rPr>
                <w:rFonts w:eastAsiaTheme="minorHAnsi" w:cs="Arial"/>
                <w:spacing w:val="0"/>
                <w:szCs w:val="24"/>
                <w:lang w:val="en-US"/>
              </w:rPr>
              <w:t xml:space="preserve"> that newly added risks are being progressed in a time</w:t>
            </w:r>
            <w:r w:rsidR="00844A7E">
              <w:rPr>
                <w:rFonts w:eastAsiaTheme="minorHAnsi" w:cs="Arial"/>
                <w:spacing w:val="0"/>
                <w:szCs w:val="24"/>
                <w:lang w:val="en-US"/>
              </w:rPr>
              <w:t>ou</w:t>
            </w:r>
            <w:r w:rsidR="00E168BD">
              <w:rPr>
                <w:rFonts w:eastAsiaTheme="minorHAnsi" w:cs="Arial"/>
                <w:spacing w:val="0"/>
                <w:szCs w:val="24"/>
                <w:lang w:val="en-US"/>
              </w:rPr>
              <w:t>s manner</w:t>
            </w:r>
            <w:r w:rsidR="00065970">
              <w:rPr>
                <w:rFonts w:eastAsiaTheme="minorHAnsi" w:cs="Arial"/>
                <w:spacing w:val="0"/>
                <w:szCs w:val="24"/>
                <w:lang w:val="en-US"/>
              </w:rPr>
              <w:t>,</w:t>
            </w:r>
            <w:r w:rsidR="00844A7E">
              <w:rPr>
                <w:rFonts w:eastAsiaTheme="minorHAnsi" w:cs="Arial"/>
                <w:spacing w:val="0"/>
                <w:szCs w:val="24"/>
                <w:lang w:val="en-US"/>
              </w:rPr>
              <w:t xml:space="preserve"> there remains an outstanding backlog of old</w:t>
            </w:r>
            <w:r w:rsidR="00AB6D30">
              <w:rPr>
                <w:rFonts w:eastAsiaTheme="minorHAnsi" w:cs="Arial"/>
                <w:spacing w:val="0"/>
                <w:szCs w:val="24"/>
                <w:lang w:val="en-US"/>
              </w:rPr>
              <w:t xml:space="preserve">er SAERS. </w:t>
            </w:r>
            <w:r w:rsidR="00D7465E">
              <w:rPr>
                <w:rFonts w:eastAsiaTheme="minorHAnsi" w:cs="Arial"/>
                <w:spacing w:val="0"/>
                <w:szCs w:val="24"/>
                <w:lang w:val="en-US"/>
              </w:rPr>
              <w:t xml:space="preserve"> The new </w:t>
            </w:r>
            <w:r w:rsidR="00065970">
              <w:rPr>
                <w:rFonts w:eastAsiaTheme="minorHAnsi" w:cs="Arial"/>
                <w:spacing w:val="0"/>
                <w:szCs w:val="24"/>
                <w:lang w:val="en-US"/>
              </w:rPr>
              <w:t xml:space="preserve">Head of Risk and Clinical Governance </w:t>
            </w:r>
            <w:r w:rsidR="00705BAA">
              <w:rPr>
                <w:rFonts w:eastAsiaTheme="minorHAnsi" w:cs="Arial"/>
                <w:spacing w:val="0"/>
                <w:szCs w:val="24"/>
                <w:lang w:val="en-US"/>
              </w:rPr>
              <w:t>will expedite this.</w:t>
            </w:r>
          </w:p>
          <w:p w:rsidR="00D20EE6" w:rsidRDefault="00D20EE6" w:rsidP="001A0CEE">
            <w:pPr>
              <w:rPr>
                <w:rFonts w:eastAsiaTheme="minorHAnsi" w:cs="Arial"/>
                <w:spacing w:val="0"/>
                <w:szCs w:val="24"/>
                <w:highlight w:val="yellow"/>
                <w:lang w:val="en-US"/>
              </w:rPr>
            </w:pPr>
          </w:p>
          <w:p w:rsidR="00065970" w:rsidRDefault="00844A7E" w:rsidP="00065970">
            <w:r>
              <w:lastRenderedPageBreak/>
              <w:t xml:space="preserve">The Committee approved </w:t>
            </w:r>
            <w:r w:rsidR="00050C0E">
              <w:t xml:space="preserve">the </w:t>
            </w:r>
            <w:r w:rsidR="008061DC">
              <w:t xml:space="preserve">Health Improvement Scotland </w:t>
            </w:r>
            <w:r w:rsidR="00A15853">
              <w:t xml:space="preserve">Quarter 3 Health Care </w:t>
            </w:r>
            <w:r w:rsidR="00050C0E">
              <w:t>Staffi</w:t>
            </w:r>
            <w:r w:rsidR="00A15853">
              <w:t xml:space="preserve">ng Programme </w:t>
            </w:r>
            <w:r w:rsidR="008061DC">
              <w:t xml:space="preserve">noting </w:t>
            </w:r>
            <w:r w:rsidR="00065970">
              <w:t>this was an interim report and there was good progress in a number of areas.  The Annual R</w:t>
            </w:r>
            <w:r w:rsidR="008061DC">
              <w:t xml:space="preserve">eport </w:t>
            </w:r>
            <w:r w:rsidR="00065970">
              <w:t xml:space="preserve">to </w:t>
            </w:r>
            <w:r w:rsidR="008061DC">
              <w:t xml:space="preserve">Scottish Government </w:t>
            </w:r>
            <w:r w:rsidR="00065970">
              <w:t>will include the final quarter four information</w:t>
            </w:r>
            <w:r w:rsidR="008061DC">
              <w:t>.</w:t>
            </w:r>
          </w:p>
          <w:p w:rsidR="00221CC2" w:rsidRPr="00787591" w:rsidRDefault="008061DC" w:rsidP="00065970">
            <w:pPr>
              <w:rPr>
                <w:rFonts w:cs="Arial"/>
                <w:szCs w:val="24"/>
                <w:highlight w:val="yellow"/>
              </w:rPr>
            </w:pPr>
            <w:r>
              <w:t xml:space="preserve"> </w:t>
            </w:r>
          </w:p>
        </w:tc>
      </w:tr>
      <w:tr w:rsidR="00733D1F" w:rsidRPr="00973522" w:rsidTr="008856AC">
        <w:tc>
          <w:tcPr>
            <w:tcW w:w="1251" w:type="dxa"/>
            <w:gridSpan w:val="2"/>
          </w:tcPr>
          <w:p w:rsidR="00733D1F" w:rsidRDefault="00733D1F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Effective</w:t>
            </w:r>
          </w:p>
        </w:tc>
        <w:tc>
          <w:tcPr>
            <w:tcW w:w="7929" w:type="dxa"/>
            <w:shd w:val="clear" w:color="auto" w:fill="auto"/>
          </w:tcPr>
          <w:p w:rsidR="00920B71" w:rsidRDefault="00215B9A" w:rsidP="00287421">
            <w:r>
              <w:t>The Committee approved the Performance Report</w:t>
            </w:r>
            <w:r w:rsidR="00920B71">
              <w:t xml:space="preserve"> and noted the hand hygiene compliance had risen to 99%.  </w:t>
            </w:r>
          </w:p>
          <w:p w:rsidR="00920B71" w:rsidRDefault="00920B71" w:rsidP="00287421"/>
          <w:p w:rsidR="00920B71" w:rsidRDefault="00C07865" w:rsidP="00287421">
            <w:r>
              <w:t>The C</w:t>
            </w:r>
            <w:r w:rsidR="00920B71">
              <w:t xml:space="preserve">ommittee noted the decline in </w:t>
            </w:r>
            <w:proofErr w:type="spellStart"/>
            <w:r w:rsidR="00920B71">
              <w:t>Covid</w:t>
            </w:r>
            <w:proofErr w:type="spellEnd"/>
            <w:r w:rsidR="00920B71">
              <w:t xml:space="preserve"> and Flu vaccinations and would like to see more focus and promotion on staff vaccinations in preparation of winter planning.</w:t>
            </w:r>
          </w:p>
          <w:p w:rsidR="00920B71" w:rsidRDefault="00920B71" w:rsidP="00287421"/>
          <w:p w:rsidR="008856AC" w:rsidRDefault="00BC5295" w:rsidP="00920B71">
            <w:r>
              <w:t xml:space="preserve">The Committee </w:t>
            </w:r>
            <w:r w:rsidR="00920B71">
              <w:t>received</w:t>
            </w:r>
            <w:r>
              <w:t xml:space="preserve"> the Clinical Department update from Ophthalmology</w:t>
            </w:r>
            <w:r w:rsidR="00920B71">
              <w:t xml:space="preserve">, noting the service is the second </w:t>
            </w:r>
            <w:r>
              <w:t xml:space="preserve">largest provider of Cataract surgery in the UK and have consistently produced outcomes which are higher than the national average. </w:t>
            </w:r>
          </w:p>
          <w:p w:rsidR="00920B71" w:rsidRPr="00C533BE" w:rsidRDefault="00920B71" w:rsidP="00920B71"/>
        </w:tc>
      </w:tr>
      <w:tr w:rsidR="0097177E" w:rsidRPr="00C4455B" w:rsidTr="00AF47A3">
        <w:trPr>
          <w:trHeight w:val="1087"/>
        </w:trPr>
        <w:tc>
          <w:tcPr>
            <w:tcW w:w="1251" w:type="dxa"/>
            <w:gridSpan w:val="2"/>
          </w:tcPr>
          <w:p w:rsidR="0097177E" w:rsidRDefault="0097177E" w:rsidP="00C45F03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Person </w:t>
            </w:r>
            <w:proofErr w:type="spellStart"/>
            <w:r>
              <w:rPr>
                <w:rFonts w:cs="Arial"/>
                <w:bCs/>
                <w:lang w:val="en-US"/>
              </w:rPr>
              <w:t>Centred</w:t>
            </w:r>
            <w:proofErr w:type="spellEnd"/>
          </w:p>
        </w:tc>
        <w:tc>
          <w:tcPr>
            <w:tcW w:w="7929" w:type="dxa"/>
          </w:tcPr>
          <w:p w:rsidR="00466937" w:rsidRDefault="005F7CD2" w:rsidP="001E6915">
            <w:pPr>
              <w:rPr>
                <w:rFonts w:cs="Arial"/>
                <w:szCs w:val="24"/>
              </w:rPr>
            </w:pPr>
            <w:r w:rsidRPr="0072324F">
              <w:rPr>
                <w:rFonts w:cs="Arial"/>
                <w:szCs w:val="24"/>
              </w:rPr>
              <w:t xml:space="preserve">The Committee </w:t>
            </w:r>
            <w:r w:rsidR="006572F1" w:rsidRPr="0072324F">
              <w:rPr>
                <w:rFonts w:cs="Arial"/>
                <w:szCs w:val="24"/>
              </w:rPr>
              <w:t>approve</w:t>
            </w:r>
            <w:r w:rsidRPr="0072324F">
              <w:rPr>
                <w:rFonts w:cs="Arial"/>
                <w:szCs w:val="24"/>
              </w:rPr>
              <w:t xml:space="preserve">d the </w:t>
            </w:r>
            <w:r w:rsidR="006572F1" w:rsidRPr="0072324F">
              <w:rPr>
                <w:rFonts w:cs="Arial"/>
                <w:szCs w:val="24"/>
              </w:rPr>
              <w:t>Whistleblowing</w:t>
            </w:r>
            <w:r w:rsidR="00A43514" w:rsidRPr="0072324F">
              <w:rPr>
                <w:rFonts w:cs="Arial"/>
                <w:szCs w:val="24"/>
              </w:rPr>
              <w:t xml:space="preserve"> </w:t>
            </w:r>
            <w:r w:rsidR="00956ABE">
              <w:rPr>
                <w:rFonts w:cs="Arial"/>
                <w:szCs w:val="24"/>
              </w:rPr>
              <w:t xml:space="preserve">Quarter 3 </w:t>
            </w:r>
            <w:r w:rsidR="00A43514" w:rsidRPr="0072324F">
              <w:rPr>
                <w:rFonts w:cs="Arial"/>
                <w:szCs w:val="24"/>
              </w:rPr>
              <w:t>R</w:t>
            </w:r>
            <w:r w:rsidR="00956ABE">
              <w:rPr>
                <w:rFonts w:cs="Arial"/>
                <w:szCs w:val="24"/>
              </w:rPr>
              <w:t>eport</w:t>
            </w:r>
            <w:r w:rsidR="00920B71">
              <w:rPr>
                <w:rFonts w:cs="Arial"/>
                <w:szCs w:val="24"/>
              </w:rPr>
              <w:t xml:space="preserve"> and noted the detailed work undertaken by a </w:t>
            </w:r>
            <w:r w:rsidR="00466937">
              <w:rPr>
                <w:rFonts w:cs="Arial"/>
                <w:szCs w:val="24"/>
              </w:rPr>
              <w:t xml:space="preserve">recent survey which </w:t>
            </w:r>
            <w:r w:rsidR="00920B71">
              <w:rPr>
                <w:rFonts w:cs="Arial"/>
                <w:szCs w:val="24"/>
              </w:rPr>
              <w:t xml:space="preserve">had taken place as </w:t>
            </w:r>
            <w:r w:rsidR="00466937">
              <w:rPr>
                <w:rFonts w:cs="Arial"/>
                <w:szCs w:val="24"/>
              </w:rPr>
              <w:t xml:space="preserve">part of Speak </w:t>
            </w:r>
            <w:r w:rsidR="00920B71">
              <w:rPr>
                <w:rFonts w:cs="Arial"/>
                <w:szCs w:val="24"/>
              </w:rPr>
              <w:t>Up</w:t>
            </w:r>
            <w:r w:rsidR="00466937">
              <w:rPr>
                <w:rFonts w:cs="Arial"/>
                <w:szCs w:val="24"/>
              </w:rPr>
              <w:t xml:space="preserve"> week</w:t>
            </w:r>
            <w:r w:rsidR="00920B71">
              <w:rPr>
                <w:rFonts w:cs="Arial"/>
                <w:szCs w:val="24"/>
              </w:rPr>
              <w:t>.  The Committee thanked all involved for promoting this work.</w:t>
            </w:r>
          </w:p>
          <w:p w:rsidR="00466937" w:rsidRDefault="00466937" w:rsidP="001E6915">
            <w:pPr>
              <w:rPr>
                <w:rFonts w:cs="Arial"/>
                <w:szCs w:val="24"/>
              </w:rPr>
            </w:pPr>
          </w:p>
          <w:p w:rsidR="004404AE" w:rsidRDefault="00466937" w:rsidP="001E691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</w:t>
            </w:r>
            <w:r w:rsidR="00920B71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ommittee approved the Blueprint for Good Corporate Governance Implementation Plan 2024/25. All actions associated with the report have been completed and this has resulted in streamlined and more effective process</w:t>
            </w:r>
            <w:r w:rsidR="00920B71">
              <w:rPr>
                <w:rFonts w:cs="Arial"/>
                <w:szCs w:val="24"/>
              </w:rPr>
              <w:t>es</w:t>
            </w:r>
            <w:r>
              <w:rPr>
                <w:rFonts w:cs="Arial"/>
                <w:szCs w:val="24"/>
              </w:rPr>
              <w:t>.</w:t>
            </w:r>
          </w:p>
          <w:p w:rsidR="00466937" w:rsidRDefault="00466937" w:rsidP="001E6915">
            <w:pPr>
              <w:rPr>
                <w:rFonts w:cs="Arial"/>
                <w:szCs w:val="24"/>
              </w:rPr>
            </w:pPr>
          </w:p>
          <w:p w:rsidR="00FD1CDB" w:rsidRPr="002A20D1" w:rsidRDefault="00920B71" w:rsidP="001E691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</w:t>
            </w:r>
            <w:r w:rsidR="00466937">
              <w:rPr>
                <w:rFonts w:cs="Arial"/>
                <w:szCs w:val="24"/>
              </w:rPr>
              <w:t xml:space="preserve">ommittee </w:t>
            </w:r>
            <w:r>
              <w:rPr>
                <w:rFonts w:cs="Arial"/>
                <w:szCs w:val="24"/>
              </w:rPr>
              <w:t>welcom</w:t>
            </w:r>
            <w:r w:rsidR="00466937">
              <w:rPr>
                <w:rFonts w:cs="Arial"/>
                <w:szCs w:val="24"/>
              </w:rPr>
              <w:t>ed the Patient Story</w:t>
            </w:r>
            <w:r w:rsidR="00C07865">
              <w:rPr>
                <w:rFonts w:cs="Arial"/>
                <w:szCs w:val="24"/>
              </w:rPr>
              <w:t>.  This was a positive patient experience with the patient receiving</w:t>
            </w:r>
            <w:r>
              <w:rPr>
                <w:rFonts w:cs="Arial"/>
                <w:szCs w:val="24"/>
              </w:rPr>
              <w:t xml:space="preserve"> C</w:t>
            </w:r>
            <w:r w:rsidR="00C07865">
              <w:rPr>
                <w:rFonts w:cs="Arial"/>
                <w:szCs w:val="24"/>
              </w:rPr>
              <w:t>ardiac surgery.  The Committee wanted to pass on their thanks to the Cardiac Surgical Team for the work they continue to do for NHS GJ patients.</w:t>
            </w:r>
            <w:r w:rsidR="00466937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</w:p>
          <w:p w:rsidR="004404AE" w:rsidRPr="00787591" w:rsidRDefault="004404AE" w:rsidP="002A20D1">
            <w:pPr>
              <w:rPr>
                <w:rFonts w:cs="Arial"/>
                <w:szCs w:val="24"/>
                <w:highlight w:val="yellow"/>
              </w:rPr>
            </w:pPr>
          </w:p>
        </w:tc>
      </w:tr>
    </w:tbl>
    <w:p w:rsidR="00156B76" w:rsidRDefault="00156B76" w:rsidP="00050D76"/>
    <w:p w:rsidR="004404AE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8E1DD5">
        <w:rPr>
          <w:rFonts w:hAnsi="Arial" w:cs="Arial"/>
          <w:lang w:val="en-US"/>
        </w:rPr>
        <w:t xml:space="preserve">Clinical Governance Committee </w:t>
      </w:r>
      <w:r w:rsidR="00C07865">
        <w:rPr>
          <w:rFonts w:hAnsi="Arial" w:cs="Arial"/>
          <w:lang w:val="en-US"/>
        </w:rPr>
        <w:t>meeting i</w:t>
      </w:r>
      <w:r w:rsidR="00E7372F">
        <w:rPr>
          <w:rFonts w:hAnsi="Arial" w:cs="Arial"/>
          <w:lang w:val="en-US"/>
        </w:rPr>
        <w:t xml:space="preserve">s scheduled for </w:t>
      </w:r>
      <w:r w:rsidR="004404AE">
        <w:rPr>
          <w:rFonts w:hAnsi="Arial" w:cs="Arial"/>
          <w:lang w:val="en-US"/>
        </w:rPr>
        <w:t xml:space="preserve">Thursday </w:t>
      </w:r>
      <w:r w:rsidR="00C4758E">
        <w:rPr>
          <w:rFonts w:hAnsi="Arial" w:cs="Arial"/>
          <w:lang w:val="en-US"/>
        </w:rPr>
        <w:t>8 May</w:t>
      </w:r>
      <w:r w:rsidR="00C93ED1">
        <w:rPr>
          <w:rFonts w:hAnsi="Arial" w:cs="Arial"/>
          <w:lang w:val="en-US"/>
        </w:rPr>
        <w:t xml:space="preserve"> 2025.</w:t>
      </w:r>
    </w:p>
    <w:p w:rsidR="004404AE" w:rsidRDefault="004404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A722AE" w:rsidRDefault="00A722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3D757C">
      <w:pPr>
        <w:pStyle w:val="Heading2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3D757C" w:rsidRDefault="003D757C" w:rsidP="007E133D">
      <w:pPr>
        <w:ind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733D1F">
        <w:rPr>
          <w:rFonts w:cs="Arial"/>
        </w:rPr>
        <w:t xml:space="preserve">Clinical Governance </w:t>
      </w:r>
      <w:r w:rsidR="007E133D">
        <w:rPr>
          <w:rFonts w:cs="Arial"/>
        </w:rPr>
        <w:t>Committee Update.</w:t>
      </w:r>
    </w:p>
    <w:p w:rsidR="005738FA" w:rsidRDefault="005738FA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733D1F" w:rsidP="007E133D">
      <w:pPr>
        <w:ind w:left="-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 xml:space="preserve">Morag Brown </w:t>
      </w:r>
    </w:p>
    <w:p w:rsidR="007E133D" w:rsidRDefault="007E133D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733D1F">
        <w:rPr>
          <w:rFonts w:cs="Arial"/>
          <w:b/>
          <w:bCs/>
        </w:rPr>
        <w:t xml:space="preserve">Clinical Governance </w:t>
      </w:r>
      <w:r>
        <w:rPr>
          <w:rFonts w:cs="Arial"/>
          <w:b/>
          <w:bCs/>
        </w:rPr>
        <w:t>Committee</w:t>
      </w:r>
    </w:p>
    <w:p w:rsidR="007E133D" w:rsidRPr="005F1768" w:rsidRDefault="00C93ED1" w:rsidP="005F1768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November </w:t>
      </w:r>
      <w:r w:rsidR="00931E82">
        <w:rPr>
          <w:rFonts w:cs="Arial"/>
          <w:b/>
          <w:bCs/>
        </w:rPr>
        <w:t>2024</w:t>
      </w:r>
    </w:p>
    <w:sectPr w:rsidR="007E133D" w:rsidRPr="005F1768" w:rsidSect="00B00FF3">
      <w:headerReference w:type="default" r:id="rId8"/>
      <w:footerReference w:type="default" r:id="rId9"/>
      <w:pgSz w:w="11906" w:h="16838"/>
      <w:pgMar w:top="828" w:right="851" w:bottom="851" w:left="992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C6D" w:rsidRDefault="00741C6D">
      <w:r>
        <w:separator/>
      </w:r>
    </w:p>
  </w:endnote>
  <w:endnote w:type="continuationSeparator" w:id="0">
    <w:p w:rsidR="00741C6D" w:rsidRDefault="0074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2B5F30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2B5F30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C6D" w:rsidRDefault="00741C6D">
      <w:r>
        <w:separator/>
      </w:r>
    </w:p>
  </w:footnote>
  <w:footnote w:type="continuationSeparator" w:id="0">
    <w:p w:rsidR="00741C6D" w:rsidRDefault="0074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311DF5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 w:rsidR="002B5F30">
      <w:rPr>
        <w:rFonts w:cs="Arial"/>
        <w:b/>
        <w:color w:val="2E74B5" w:themeColor="accent1" w:themeShade="BF"/>
        <w:sz w:val="20"/>
      </w:rPr>
      <w:t>4.1.1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73AD9"/>
    <w:multiLevelType w:val="hybridMultilevel"/>
    <w:tmpl w:val="A060EFCA"/>
    <w:lvl w:ilvl="0" w:tplc="08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 w15:restartNumberingAfterBreak="0">
    <w:nsid w:val="09D969DE"/>
    <w:multiLevelType w:val="hybridMultilevel"/>
    <w:tmpl w:val="5402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EB1704"/>
    <w:multiLevelType w:val="hybridMultilevel"/>
    <w:tmpl w:val="C9567F6A"/>
    <w:lvl w:ilvl="0" w:tplc="8B60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E7D84"/>
    <w:multiLevelType w:val="hybridMultilevel"/>
    <w:tmpl w:val="09AC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C644C3"/>
    <w:multiLevelType w:val="hybridMultilevel"/>
    <w:tmpl w:val="BE14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5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9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29"/>
  </w:num>
  <w:num w:numId="5">
    <w:abstractNumId w:val="14"/>
  </w:num>
  <w:num w:numId="6">
    <w:abstractNumId w:val="11"/>
  </w:num>
  <w:num w:numId="7">
    <w:abstractNumId w:val="21"/>
  </w:num>
  <w:num w:numId="8">
    <w:abstractNumId w:val="10"/>
  </w:num>
  <w:num w:numId="9">
    <w:abstractNumId w:val="26"/>
  </w:num>
  <w:num w:numId="10">
    <w:abstractNumId w:val="6"/>
  </w:num>
  <w:num w:numId="11">
    <w:abstractNumId w:val="27"/>
  </w:num>
  <w:num w:numId="12">
    <w:abstractNumId w:val="5"/>
  </w:num>
  <w:num w:numId="13">
    <w:abstractNumId w:val="8"/>
  </w:num>
  <w:num w:numId="14">
    <w:abstractNumId w:val="12"/>
  </w:num>
  <w:num w:numId="15">
    <w:abstractNumId w:val="15"/>
  </w:num>
  <w:num w:numId="16">
    <w:abstractNumId w:val="13"/>
  </w:num>
  <w:num w:numId="17">
    <w:abstractNumId w:val="24"/>
  </w:num>
  <w:num w:numId="18">
    <w:abstractNumId w:val="23"/>
  </w:num>
  <w:num w:numId="19">
    <w:abstractNumId w:val="9"/>
  </w:num>
  <w:num w:numId="20">
    <w:abstractNumId w:val="22"/>
  </w:num>
  <w:num w:numId="21">
    <w:abstractNumId w:val="4"/>
  </w:num>
  <w:num w:numId="22">
    <w:abstractNumId w:val="17"/>
  </w:num>
  <w:num w:numId="23">
    <w:abstractNumId w:val="3"/>
  </w:num>
  <w:num w:numId="24">
    <w:abstractNumId w:val="25"/>
  </w:num>
  <w:num w:numId="25">
    <w:abstractNumId w:val="16"/>
  </w:num>
  <w:num w:numId="26">
    <w:abstractNumId w:val="7"/>
  </w:num>
  <w:num w:numId="27">
    <w:abstractNumId w:val="20"/>
  </w:num>
  <w:num w:numId="28">
    <w:abstractNumId w:val="18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0C0F"/>
    <w:rsid w:val="000052E6"/>
    <w:rsid w:val="0003098A"/>
    <w:rsid w:val="00031C61"/>
    <w:rsid w:val="0004246B"/>
    <w:rsid w:val="00047714"/>
    <w:rsid w:val="00050C0E"/>
    <w:rsid w:val="00050D76"/>
    <w:rsid w:val="0006530B"/>
    <w:rsid w:val="00065970"/>
    <w:rsid w:val="00072A23"/>
    <w:rsid w:val="00075289"/>
    <w:rsid w:val="00076AC6"/>
    <w:rsid w:val="00090340"/>
    <w:rsid w:val="00091974"/>
    <w:rsid w:val="000945DB"/>
    <w:rsid w:val="00094832"/>
    <w:rsid w:val="000963B7"/>
    <w:rsid w:val="000A2C62"/>
    <w:rsid w:val="000C1A96"/>
    <w:rsid w:val="000F0454"/>
    <w:rsid w:val="000F44C6"/>
    <w:rsid w:val="000F7706"/>
    <w:rsid w:val="00100233"/>
    <w:rsid w:val="00111469"/>
    <w:rsid w:val="00112CC1"/>
    <w:rsid w:val="00115D50"/>
    <w:rsid w:val="00116EFD"/>
    <w:rsid w:val="001233A6"/>
    <w:rsid w:val="00125A9E"/>
    <w:rsid w:val="00140DB3"/>
    <w:rsid w:val="00156B76"/>
    <w:rsid w:val="00162FD2"/>
    <w:rsid w:val="0018377D"/>
    <w:rsid w:val="00192A22"/>
    <w:rsid w:val="001A0CEE"/>
    <w:rsid w:val="001D250F"/>
    <w:rsid w:val="001E6915"/>
    <w:rsid w:val="001F1F8D"/>
    <w:rsid w:val="001F7C44"/>
    <w:rsid w:val="00215B9A"/>
    <w:rsid w:val="00217C9B"/>
    <w:rsid w:val="00221CC2"/>
    <w:rsid w:val="002236A4"/>
    <w:rsid w:val="0023473B"/>
    <w:rsid w:val="00244F6F"/>
    <w:rsid w:val="00245140"/>
    <w:rsid w:val="002459C1"/>
    <w:rsid w:val="002609B1"/>
    <w:rsid w:val="00262D6A"/>
    <w:rsid w:val="00273F84"/>
    <w:rsid w:val="002858CD"/>
    <w:rsid w:val="00287421"/>
    <w:rsid w:val="00287DCE"/>
    <w:rsid w:val="002947D8"/>
    <w:rsid w:val="002A0B5F"/>
    <w:rsid w:val="002A20D1"/>
    <w:rsid w:val="002B5F30"/>
    <w:rsid w:val="002F407B"/>
    <w:rsid w:val="0030362F"/>
    <w:rsid w:val="0030733C"/>
    <w:rsid w:val="00311DF5"/>
    <w:rsid w:val="003173B3"/>
    <w:rsid w:val="003175D5"/>
    <w:rsid w:val="0033790B"/>
    <w:rsid w:val="00340810"/>
    <w:rsid w:val="00343CDB"/>
    <w:rsid w:val="00346269"/>
    <w:rsid w:val="00346655"/>
    <w:rsid w:val="00356CF0"/>
    <w:rsid w:val="003635FA"/>
    <w:rsid w:val="00377F9B"/>
    <w:rsid w:val="003A525B"/>
    <w:rsid w:val="003B54F5"/>
    <w:rsid w:val="003B7BD0"/>
    <w:rsid w:val="003D757C"/>
    <w:rsid w:val="003E0691"/>
    <w:rsid w:val="003F0AB1"/>
    <w:rsid w:val="003F1696"/>
    <w:rsid w:val="003F5742"/>
    <w:rsid w:val="003F7F61"/>
    <w:rsid w:val="00400499"/>
    <w:rsid w:val="00430C09"/>
    <w:rsid w:val="004404AE"/>
    <w:rsid w:val="00446219"/>
    <w:rsid w:val="00466281"/>
    <w:rsid w:val="00466937"/>
    <w:rsid w:val="0047563B"/>
    <w:rsid w:val="00493CEF"/>
    <w:rsid w:val="00495B36"/>
    <w:rsid w:val="004C24DE"/>
    <w:rsid w:val="004C29B3"/>
    <w:rsid w:val="004C564E"/>
    <w:rsid w:val="004E775A"/>
    <w:rsid w:val="004E7A32"/>
    <w:rsid w:val="004F25C0"/>
    <w:rsid w:val="00500825"/>
    <w:rsid w:val="00504C16"/>
    <w:rsid w:val="005540A1"/>
    <w:rsid w:val="00563B5B"/>
    <w:rsid w:val="00566EE1"/>
    <w:rsid w:val="00573886"/>
    <w:rsid w:val="005738FA"/>
    <w:rsid w:val="00591C18"/>
    <w:rsid w:val="005A2E47"/>
    <w:rsid w:val="005B1021"/>
    <w:rsid w:val="005B31BE"/>
    <w:rsid w:val="005B5ED3"/>
    <w:rsid w:val="005C0495"/>
    <w:rsid w:val="005C3D64"/>
    <w:rsid w:val="005D7A85"/>
    <w:rsid w:val="005E6C98"/>
    <w:rsid w:val="005F1768"/>
    <w:rsid w:val="005F499E"/>
    <w:rsid w:val="005F7CD2"/>
    <w:rsid w:val="00603CAF"/>
    <w:rsid w:val="00610728"/>
    <w:rsid w:val="006173A9"/>
    <w:rsid w:val="006572F1"/>
    <w:rsid w:val="00674B5E"/>
    <w:rsid w:val="00677133"/>
    <w:rsid w:val="006829F0"/>
    <w:rsid w:val="00686465"/>
    <w:rsid w:val="00694868"/>
    <w:rsid w:val="006D1343"/>
    <w:rsid w:val="006E3F74"/>
    <w:rsid w:val="007015C0"/>
    <w:rsid w:val="00705BAA"/>
    <w:rsid w:val="00706ABE"/>
    <w:rsid w:val="00707BFF"/>
    <w:rsid w:val="00712B45"/>
    <w:rsid w:val="0072324F"/>
    <w:rsid w:val="00724B6A"/>
    <w:rsid w:val="00724C0C"/>
    <w:rsid w:val="00732C86"/>
    <w:rsid w:val="00733D1F"/>
    <w:rsid w:val="00741C6D"/>
    <w:rsid w:val="0075080D"/>
    <w:rsid w:val="00755EB8"/>
    <w:rsid w:val="00761561"/>
    <w:rsid w:val="00767BCA"/>
    <w:rsid w:val="00767C5F"/>
    <w:rsid w:val="00787591"/>
    <w:rsid w:val="00793A83"/>
    <w:rsid w:val="007B75D3"/>
    <w:rsid w:val="007E133D"/>
    <w:rsid w:val="007F031D"/>
    <w:rsid w:val="007F32CF"/>
    <w:rsid w:val="008061DC"/>
    <w:rsid w:val="00811E7D"/>
    <w:rsid w:val="00816E22"/>
    <w:rsid w:val="00823F28"/>
    <w:rsid w:val="00836178"/>
    <w:rsid w:val="00844A7E"/>
    <w:rsid w:val="008856AC"/>
    <w:rsid w:val="00891956"/>
    <w:rsid w:val="008A0019"/>
    <w:rsid w:val="008A527A"/>
    <w:rsid w:val="008C3814"/>
    <w:rsid w:val="008C7F7E"/>
    <w:rsid w:val="008D216D"/>
    <w:rsid w:val="008E1DD5"/>
    <w:rsid w:val="00920B71"/>
    <w:rsid w:val="00927C6C"/>
    <w:rsid w:val="00930CED"/>
    <w:rsid w:val="00931E82"/>
    <w:rsid w:val="00934D7A"/>
    <w:rsid w:val="00937A80"/>
    <w:rsid w:val="0095106C"/>
    <w:rsid w:val="00955505"/>
    <w:rsid w:val="00956ABE"/>
    <w:rsid w:val="00961989"/>
    <w:rsid w:val="009646D3"/>
    <w:rsid w:val="0097177E"/>
    <w:rsid w:val="00976D1B"/>
    <w:rsid w:val="009807B4"/>
    <w:rsid w:val="0098581E"/>
    <w:rsid w:val="00987280"/>
    <w:rsid w:val="009A503C"/>
    <w:rsid w:val="009B4300"/>
    <w:rsid w:val="009C5992"/>
    <w:rsid w:val="009F3570"/>
    <w:rsid w:val="009F4BF0"/>
    <w:rsid w:val="009F74AE"/>
    <w:rsid w:val="00A02830"/>
    <w:rsid w:val="00A029A1"/>
    <w:rsid w:val="00A128CD"/>
    <w:rsid w:val="00A13988"/>
    <w:rsid w:val="00A15853"/>
    <w:rsid w:val="00A2680C"/>
    <w:rsid w:val="00A27D8F"/>
    <w:rsid w:val="00A41666"/>
    <w:rsid w:val="00A43514"/>
    <w:rsid w:val="00A43898"/>
    <w:rsid w:val="00A4610C"/>
    <w:rsid w:val="00A52F1A"/>
    <w:rsid w:val="00A62B58"/>
    <w:rsid w:val="00A722AE"/>
    <w:rsid w:val="00A84C97"/>
    <w:rsid w:val="00A93BD8"/>
    <w:rsid w:val="00AA77F7"/>
    <w:rsid w:val="00AB6D30"/>
    <w:rsid w:val="00AE522B"/>
    <w:rsid w:val="00AF0530"/>
    <w:rsid w:val="00AF2D41"/>
    <w:rsid w:val="00AF356A"/>
    <w:rsid w:val="00AF47A3"/>
    <w:rsid w:val="00B0075A"/>
    <w:rsid w:val="00B00FF3"/>
    <w:rsid w:val="00B178D4"/>
    <w:rsid w:val="00B404A2"/>
    <w:rsid w:val="00B40F04"/>
    <w:rsid w:val="00B53C07"/>
    <w:rsid w:val="00B546C8"/>
    <w:rsid w:val="00B562FA"/>
    <w:rsid w:val="00B6178B"/>
    <w:rsid w:val="00B72382"/>
    <w:rsid w:val="00B7445F"/>
    <w:rsid w:val="00B77902"/>
    <w:rsid w:val="00B851FC"/>
    <w:rsid w:val="00B8749F"/>
    <w:rsid w:val="00BB1692"/>
    <w:rsid w:val="00BB31B9"/>
    <w:rsid w:val="00BB4A04"/>
    <w:rsid w:val="00BC5295"/>
    <w:rsid w:val="00BD5F51"/>
    <w:rsid w:val="00BE793D"/>
    <w:rsid w:val="00BF3AF0"/>
    <w:rsid w:val="00C07865"/>
    <w:rsid w:val="00C1128C"/>
    <w:rsid w:val="00C133F3"/>
    <w:rsid w:val="00C33F1F"/>
    <w:rsid w:val="00C408D4"/>
    <w:rsid w:val="00C4455B"/>
    <w:rsid w:val="00C45F03"/>
    <w:rsid w:val="00C4758E"/>
    <w:rsid w:val="00C533BE"/>
    <w:rsid w:val="00C5371C"/>
    <w:rsid w:val="00C8219C"/>
    <w:rsid w:val="00C84CF1"/>
    <w:rsid w:val="00C87B62"/>
    <w:rsid w:val="00C93ED1"/>
    <w:rsid w:val="00C94BF7"/>
    <w:rsid w:val="00CB0D87"/>
    <w:rsid w:val="00CB5C26"/>
    <w:rsid w:val="00CC4412"/>
    <w:rsid w:val="00CC77B3"/>
    <w:rsid w:val="00CD420D"/>
    <w:rsid w:val="00CE6872"/>
    <w:rsid w:val="00CF3A82"/>
    <w:rsid w:val="00D1022D"/>
    <w:rsid w:val="00D1108D"/>
    <w:rsid w:val="00D1415F"/>
    <w:rsid w:val="00D20EE6"/>
    <w:rsid w:val="00D372DD"/>
    <w:rsid w:val="00D40B26"/>
    <w:rsid w:val="00D65364"/>
    <w:rsid w:val="00D73876"/>
    <w:rsid w:val="00D7465E"/>
    <w:rsid w:val="00DB46A0"/>
    <w:rsid w:val="00DB5DC3"/>
    <w:rsid w:val="00DB781A"/>
    <w:rsid w:val="00DC5886"/>
    <w:rsid w:val="00DC7A0F"/>
    <w:rsid w:val="00DC7C53"/>
    <w:rsid w:val="00DD2D3D"/>
    <w:rsid w:val="00DD4EAE"/>
    <w:rsid w:val="00DD6252"/>
    <w:rsid w:val="00DE00C6"/>
    <w:rsid w:val="00DF1BE0"/>
    <w:rsid w:val="00E0701A"/>
    <w:rsid w:val="00E168BD"/>
    <w:rsid w:val="00E231CF"/>
    <w:rsid w:val="00E322E8"/>
    <w:rsid w:val="00E41943"/>
    <w:rsid w:val="00E4590E"/>
    <w:rsid w:val="00E46B08"/>
    <w:rsid w:val="00E46E4D"/>
    <w:rsid w:val="00E61120"/>
    <w:rsid w:val="00E67229"/>
    <w:rsid w:val="00E71CD2"/>
    <w:rsid w:val="00E7372F"/>
    <w:rsid w:val="00E81366"/>
    <w:rsid w:val="00E906A9"/>
    <w:rsid w:val="00E92930"/>
    <w:rsid w:val="00E979D1"/>
    <w:rsid w:val="00EB5480"/>
    <w:rsid w:val="00EC5298"/>
    <w:rsid w:val="00EC596E"/>
    <w:rsid w:val="00ED2CF9"/>
    <w:rsid w:val="00EE2992"/>
    <w:rsid w:val="00EE712B"/>
    <w:rsid w:val="00F05FA1"/>
    <w:rsid w:val="00F109DE"/>
    <w:rsid w:val="00F14E3E"/>
    <w:rsid w:val="00F3337D"/>
    <w:rsid w:val="00F360BE"/>
    <w:rsid w:val="00F42A7C"/>
    <w:rsid w:val="00F44D85"/>
    <w:rsid w:val="00F57E40"/>
    <w:rsid w:val="00F66B09"/>
    <w:rsid w:val="00F77994"/>
    <w:rsid w:val="00F87758"/>
    <w:rsid w:val="00F87828"/>
    <w:rsid w:val="00F90519"/>
    <w:rsid w:val="00F9163B"/>
    <w:rsid w:val="00F95D11"/>
    <w:rsid w:val="00FA1EBE"/>
    <w:rsid w:val="00FA209F"/>
    <w:rsid w:val="00FA2C11"/>
    <w:rsid w:val="00FA7B9C"/>
    <w:rsid w:val="00FD1CDB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9AE62C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23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Curran (NHS GOLDEN JUBILEE)</cp:lastModifiedBy>
  <cp:revision>3</cp:revision>
  <cp:lastPrinted>2024-09-10T08:46:00Z</cp:lastPrinted>
  <dcterms:created xsi:type="dcterms:W3CDTF">2025-03-20T11:44:00Z</dcterms:created>
  <dcterms:modified xsi:type="dcterms:W3CDTF">2025-03-21T11:29:00Z</dcterms:modified>
</cp:coreProperties>
</file>