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E92930">
        <w:rPr>
          <w:rStyle w:val="Heading3Char"/>
          <w:b/>
        </w:rPr>
        <w:t>olden Jubilee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F360BE">
        <w:rPr>
          <w:rStyle w:val="Heading3Char"/>
          <w:b/>
        </w:rPr>
        <w:t>25 July 2024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1415F">
        <w:rPr>
          <w:rFonts w:cs="Arial"/>
          <w:bCs/>
        </w:rPr>
        <w:t>Clinical Governance</w:t>
      </w:r>
      <w:r w:rsidR="00050D76" w:rsidRPr="00050D76">
        <w:rPr>
          <w:rFonts w:cs="Arial"/>
          <w:bCs/>
        </w:rPr>
        <w:t xml:space="preserve"> Committee </w:t>
      </w:r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D1022D" w:rsidRDefault="0003098A" w:rsidP="00D1022D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D1415F">
        <w:rPr>
          <w:rStyle w:val="Heading3Char"/>
          <w:b/>
        </w:rPr>
        <w:t>Morag Brown</w:t>
      </w:r>
      <w:r w:rsidR="00D1022D">
        <w:rPr>
          <w:rStyle w:val="Heading3Char"/>
          <w:b/>
        </w:rPr>
        <w:t>, Non-Executive Director (Chair)</w:t>
      </w:r>
    </w:p>
    <w:p w:rsidR="00D1022D" w:rsidRDefault="00961989" w:rsidP="00D1022D">
      <w:pPr>
        <w:pStyle w:val="Heading3"/>
        <w:ind w:left="4536"/>
        <w:rPr>
          <w:rStyle w:val="Heading3Char"/>
          <w:b/>
        </w:rPr>
      </w:pPr>
      <w:r>
        <w:rPr>
          <w:rStyle w:val="Heading3Char"/>
          <w:b/>
        </w:rPr>
        <w:t xml:space="preserve">Mark MacGregor, Medical Director </w:t>
      </w:r>
    </w:p>
    <w:p w:rsidR="0003098A" w:rsidRDefault="00961989" w:rsidP="00D1022D">
      <w:pPr>
        <w:pStyle w:val="Heading3"/>
        <w:ind w:left="4536"/>
      </w:pPr>
      <w:r>
        <w:rPr>
          <w:rStyle w:val="Heading3Char"/>
          <w:b/>
        </w:rPr>
        <w:t>A</w:t>
      </w:r>
      <w:r w:rsidRPr="00D1415F">
        <w:t>nne Marie Cavanagh, Director of Nursing</w:t>
      </w:r>
    </w:p>
    <w:p w:rsidR="00D1022D" w:rsidRPr="00D1022D" w:rsidRDefault="00D1022D" w:rsidP="00D1022D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61989">
        <w:rPr>
          <w:rStyle w:val="Heading3Char"/>
          <w:b/>
        </w:rPr>
        <w:t>Nicki Hamer, Head of Corporate Governance and Board Secretary</w:t>
      </w:r>
    </w:p>
    <w:p w:rsidR="00B77902" w:rsidRDefault="00B77902" w:rsidP="00B77902"/>
    <w:p w:rsidR="00961989" w:rsidRPr="00B77902" w:rsidRDefault="00961989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694868">
        <w:rPr>
          <w:lang w:eastAsia="en-GB"/>
        </w:rPr>
        <w:t>NHS Golden Jubilee</w:t>
      </w:r>
      <w:r w:rsidRPr="009807B4">
        <w:rPr>
          <w:lang w:eastAsia="en-GB"/>
        </w:rPr>
        <w:t xml:space="preserve"> Board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116EFD">
        <w:rPr>
          <w:rFonts w:ascii="Arial" w:hAnsi="Arial" w:cs="Arial"/>
          <w:color w:val="000000"/>
          <w:sz w:val="24"/>
          <w:szCs w:val="24"/>
        </w:rPr>
        <w:t>all C</w:t>
      </w:r>
      <w:r w:rsidRPr="00E91820">
        <w:rPr>
          <w:rFonts w:ascii="Arial" w:hAnsi="Arial" w:cs="Arial"/>
          <w:color w:val="000000"/>
          <w:sz w:val="24"/>
          <w:szCs w:val="24"/>
        </w:rPr>
        <w:t xml:space="preserve">orporate </w:t>
      </w:r>
      <w:r w:rsidR="00116EFD">
        <w:rPr>
          <w:rFonts w:ascii="Arial" w:hAnsi="Arial" w:cs="Arial"/>
          <w:color w:val="000000"/>
          <w:sz w:val="24"/>
          <w:szCs w:val="24"/>
        </w:rPr>
        <w:t>O</w:t>
      </w:r>
      <w:r w:rsidRPr="00E91820">
        <w:rPr>
          <w:rFonts w:ascii="Arial" w:hAnsi="Arial" w:cs="Arial"/>
          <w:color w:val="000000"/>
          <w:sz w:val="24"/>
          <w:szCs w:val="24"/>
        </w:rPr>
        <w:t>bjectives</w:t>
      </w:r>
    </w:p>
    <w:p w:rsidR="00430C09" w:rsidRDefault="00430C09" w:rsidP="009807B4">
      <w:pPr>
        <w:spacing w:line="276" w:lineRule="auto"/>
      </w:pPr>
    </w:p>
    <w:p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D1415F" w:rsidP="003D757C">
      <w:pPr>
        <w:ind w:left="709" w:right="183"/>
        <w:rPr>
          <w:rFonts w:cs="Arial"/>
          <w:bCs/>
        </w:rPr>
      </w:pPr>
      <w:r>
        <w:rPr>
          <w:rFonts w:cs="Arial"/>
          <w:bCs/>
        </w:rPr>
        <w:t xml:space="preserve">Clinical Governance </w:t>
      </w:r>
      <w:r w:rsidR="00050D76">
        <w:rPr>
          <w:rFonts w:cs="Arial"/>
          <w:bCs/>
        </w:rPr>
        <w:t xml:space="preserve">Committee was held on </w:t>
      </w:r>
      <w:r w:rsidR="00000C0F">
        <w:rPr>
          <w:rFonts w:cs="Arial"/>
          <w:bCs/>
        </w:rPr>
        <w:t>16 J</w:t>
      </w:r>
      <w:r w:rsidR="0006530B">
        <w:rPr>
          <w:rFonts w:cs="Arial"/>
          <w:bCs/>
        </w:rPr>
        <w:t>uly</w:t>
      </w:r>
      <w:r w:rsidR="00262D6A">
        <w:rPr>
          <w:rFonts w:cs="Arial"/>
          <w:bCs/>
        </w:rPr>
        <w:t xml:space="preserve"> </w:t>
      </w:r>
      <w:r w:rsidR="00E92930">
        <w:rPr>
          <w:rFonts w:cs="Arial"/>
          <w:bCs/>
        </w:rPr>
        <w:t>2024</w:t>
      </w:r>
      <w:r w:rsidR="00116EFD">
        <w:rPr>
          <w:rFonts w:cs="Arial"/>
          <w:bCs/>
        </w:rPr>
        <w:t xml:space="preserve"> and</w:t>
      </w:r>
      <w:r w:rsidR="00050D76">
        <w:rPr>
          <w:rFonts w:cs="Arial"/>
          <w:bCs/>
        </w:rPr>
        <w:t xml:space="preserve">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F84DD9">
        <w:tc>
          <w:tcPr>
            <w:tcW w:w="1251" w:type="dxa"/>
            <w:gridSpan w:val="2"/>
          </w:tcPr>
          <w:p w:rsidR="00050D76" w:rsidRPr="00C30F3E" w:rsidRDefault="00733D1F" w:rsidP="00C1128C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Safe</w:t>
            </w:r>
          </w:p>
        </w:tc>
        <w:tc>
          <w:tcPr>
            <w:tcW w:w="7929" w:type="dxa"/>
          </w:tcPr>
          <w:p w:rsidR="00466281" w:rsidRDefault="0018377D" w:rsidP="00516D9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62FD2">
              <w:rPr>
                <w:rFonts w:ascii="Arial" w:hAnsi="Arial" w:cs="Arial"/>
                <w:sz w:val="24"/>
                <w:szCs w:val="24"/>
              </w:rPr>
              <w:t>The Committee noted the issues highlighted under the</w:t>
            </w:r>
            <w:r w:rsidR="00A93BD8" w:rsidRPr="00162FD2">
              <w:rPr>
                <w:rFonts w:ascii="Arial" w:hAnsi="Arial" w:cs="Arial"/>
                <w:sz w:val="24"/>
                <w:szCs w:val="24"/>
              </w:rPr>
              <w:t xml:space="preserve"> SAER </w:t>
            </w:r>
            <w:r w:rsidRPr="00162FD2">
              <w:rPr>
                <w:rFonts w:ascii="Arial" w:hAnsi="Arial" w:cs="Arial"/>
                <w:sz w:val="24"/>
                <w:szCs w:val="24"/>
              </w:rPr>
              <w:t xml:space="preserve">report, the sustained progress and the further work required on cleansing the list.  </w:t>
            </w:r>
          </w:p>
          <w:p w:rsidR="00162FD2" w:rsidRPr="00162FD2" w:rsidRDefault="00162FD2" w:rsidP="00162FD2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21CC2" w:rsidRPr="0018377D" w:rsidRDefault="00F360BE" w:rsidP="001837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 w:rsidR="0018377D">
              <w:rPr>
                <w:rFonts w:ascii="Arial" w:hAnsi="Arial" w:cs="Arial"/>
                <w:sz w:val="24"/>
                <w:szCs w:val="24"/>
              </w:rPr>
              <w:t>approved the Strategic Risk Register noting the balloon pumps es</w:t>
            </w:r>
            <w:bookmarkStart w:id="0" w:name="_GoBack"/>
            <w:bookmarkEnd w:id="0"/>
            <w:r w:rsidR="0018377D">
              <w:rPr>
                <w:rFonts w:ascii="Arial" w:hAnsi="Arial" w:cs="Arial"/>
                <w:sz w:val="24"/>
                <w:szCs w:val="24"/>
              </w:rPr>
              <w:t>calation.  Though there was no immediate risk to patients, some mitigating actions were being put in place including the risk of any potential cost pressures.</w:t>
            </w:r>
          </w:p>
        </w:tc>
      </w:tr>
      <w:tr w:rsidR="00733D1F" w:rsidRPr="00973522" w:rsidTr="008856AC">
        <w:tc>
          <w:tcPr>
            <w:tcW w:w="1251" w:type="dxa"/>
            <w:gridSpan w:val="2"/>
          </w:tcPr>
          <w:p w:rsidR="00733D1F" w:rsidRDefault="00733D1F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Effective</w:t>
            </w:r>
          </w:p>
        </w:tc>
        <w:tc>
          <w:tcPr>
            <w:tcW w:w="7929" w:type="dxa"/>
            <w:shd w:val="clear" w:color="auto" w:fill="auto"/>
          </w:tcPr>
          <w:p w:rsidR="008856AC" w:rsidRDefault="00B00FF3" w:rsidP="008856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56A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16EFD" w:rsidRPr="008856AC">
              <w:rPr>
                <w:rFonts w:ascii="Arial" w:hAnsi="Arial" w:cs="Arial"/>
                <w:sz w:val="24"/>
                <w:szCs w:val="24"/>
              </w:rPr>
              <w:t xml:space="preserve">Committee approved the </w:t>
            </w:r>
            <w:r w:rsidR="00B40F04" w:rsidRPr="008856AC">
              <w:rPr>
                <w:rFonts w:ascii="Arial" w:hAnsi="Arial" w:cs="Arial"/>
                <w:sz w:val="24"/>
                <w:szCs w:val="24"/>
              </w:rPr>
              <w:t xml:space="preserve">HAIRT </w:t>
            </w:r>
            <w:r w:rsidR="0018377D">
              <w:rPr>
                <w:rFonts w:ascii="Arial" w:hAnsi="Arial" w:cs="Arial"/>
                <w:sz w:val="24"/>
                <w:szCs w:val="24"/>
              </w:rPr>
              <w:t>U</w:t>
            </w:r>
            <w:r w:rsidR="00B40F04" w:rsidRPr="008856AC">
              <w:rPr>
                <w:rFonts w:ascii="Arial" w:hAnsi="Arial" w:cs="Arial"/>
                <w:sz w:val="24"/>
                <w:szCs w:val="24"/>
              </w:rPr>
              <w:t>pdate.</w:t>
            </w:r>
          </w:p>
          <w:p w:rsidR="00466281" w:rsidRDefault="00466281" w:rsidP="0046628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8856AC" w:rsidRDefault="006572F1" w:rsidP="008856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Committee discussed the Blueprint for Good Governance Improvement Plan actions, noting that this would be discussed again in November.</w:t>
            </w:r>
          </w:p>
          <w:p w:rsidR="006572F1" w:rsidRPr="006572F1" w:rsidRDefault="006572F1" w:rsidP="006572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572F1" w:rsidRPr="008856AC" w:rsidRDefault="006572F1" w:rsidP="008856A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noted the Prevention and Control of Infection Committee Annual Update, the </w:t>
            </w:r>
            <w:r w:rsidR="00244F6F">
              <w:rPr>
                <w:rFonts w:ascii="Arial" w:hAnsi="Arial" w:cs="Arial"/>
                <w:sz w:val="24"/>
                <w:szCs w:val="24"/>
              </w:rPr>
              <w:t>national and local HAI surveillance targets were noted and the focus</w:t>
            </w:r>
            <w:r>
              <w:rPr>
                <w:rFonts w:ascii="Arial" w:hAnsi="Arial" w:cs="Arial"/>
                <w:sz w:val="24"/>
                <w:szCs w:val="24"/>
              </w:rPr>
              <w:t xml:space="preserve"> remained on continuous improvement</w:t>
            </w:r>
            <w:r w:rsidR="00244F6F">
              <w:rPr>
                <w:rFonts w:ascii="Arial" w:hAnsi="Arial" w:cs="Arial"/>
                <w:sz w:val="24"/>
                <w:szCs w:val="24"/>
              </w:rPr>
              <w:t xml:space="preserve"> for 2024/25.</w:t>
            </w:r>
          </w:p>
          <w:p w:rsidR="008856AC" w:rsidRPr="006829F0" w:rsidRDefault="008856AC" w:rsidP="008856AC">
            <w:pPr>
              <w:pStyle w:val="ListParagraph"/>
              <w:ind w:left="360"/>
              <w:rPr>
                <w:rFonts w:cs="Arial"/>
                <w:color w:val="FF0000"/>
                <w:szCs w:val="24"/>
              </w:rPr>
            </w:pPr>
          </w:p>
        </w:tc>
      </w:tr>
      <w:tr w:rsidR="0097177E" w:rsidRPr="00C4455B" w:rsidTr="00AF47A3">
        <w:trPr>
          <w:trHeight w:val="1087"/>
        </w:trPr>
        <w:tc>
          <w:tcPr>
            <w:tcW w:w="1251" w:type="dxa"/>
            <w:gridSpan w:val="2"/>
          </w:tcPr>
          <w:p w:rsidR="0097177E" w:rsidRDefault="0097177E" w:rsidP="00C45F03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Person Centred</w:t>
            </w:r>
          </w:p>
        </w:tc>
        <w:tc>
          <w:tcPr>
            <w:tcW w:w="7929" w:type="dxa"/>
          </w:tcPr>
          <w:p w:rsidR="004404AE" w:rsidRDefault="005F7CD2" w:rsidP="004404AE">
            <w:pPr>
              <w:pStyle w:val="ListParagraph"/>
              <w:numPr>
                <w:ilvl w:val="0"/>
                <w:numId w:val="8"/>
              </w:numPr>
              <w:ind w:left="3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Committee </w:t>
            </w:r>
            <w:r w:rsidR="006572F1">
              <w:rPr>
                <w:rFonts w:ascii="Arial" w:hAnsi="Arial" w:cs="Arial"/>
                <w:sz w:val="24"/>
                <w:szCs w:val="24"/>
              </w:rPr>
              <w:t>approve</w:t>
            </w:r>
            <w:r>
              <w:rPr>
                <w:rFonts w:ascii="Arial" w:hAnsi="Arial" w:cs="Arial"/>
                <w:sz w:val="24"/>
                <w:szCs w:val="24"/>
              </w:rPr>
              <w:t xml:space="preserve">d the </w:t>
            </w:r>
            <w:r w:rsidR="006572F1">
              <w:rPr>
                <w:rFonts w:ascii="Arial" w:hAnsi="Arial" w:cs="Arial"/>
                <w:sz w:val="24"/>
                <w:szCs w:val="24"/>
              </w:rPr>
              <w:t xml:space="preserve">Whistleblowing </w:t>
            </w:r>
            <w:r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 w:rsidR="006572F1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eport 202</w:t>
            </w:r>
            <w:r w:rsidR="006572F1">
              <w:rPr>
                <w:rFonts w:ascii="Arial" w:hAnsi="Arial" w:cs="Arial"/>
                <w:sz w:val="24"/>
                <w:szCs w:val="24"/>
              </w:rPr>
              <w:t>3/24 noting the continuous focus on building trust and maintaining the contribution of the confidential contacts.</w:t>
            </w:r>
          </w:p>
          <w:p w:rsidR="004404AE" w:rsidRPr="004404AE" w:rsidRDefault="004404AE" w:rsidP="004404AE">
            <w:pPr>
              <w:ind w:left="11"/>
              <w:rPr>
                <w:rFonts w:cs="Arial"/>
                <w:szCs w:val="24"/>
              </w:rPr>
            </w:pPr>
          </w:p>
          <w:p w:rsidR="006572F1" w:rsidRDefault="004404AE" w:rsidP="004404AE">
            <w:pPr>
              <w:pStyle w:val="ListParagraph"/>
              <w:numPr>
                <w:ilvl w:val="0"/>
                <w:numId w:val="8"/>
              </w:numPr>
              <w:ind w:left="3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572F1">
              <w:rPr>
                <w:rFonts w:ascii="Arial" w:hAnsi="Arial" w:cs="Arial"/>
                <w:sz w:val="24"/>
                <w:szCs w:val="24"/>
              </w:rPr>
              <w:t>Committee approved the Annual Feedback Report 2023/24.</w:t>
            </w:r>
          </w:p>
          <w:p w:rsidR="006572F1" w:rsidRPr="006572F1" w:rsidRDefault="006572F1" w:rsidP="006572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572F1" w:rsidRDefault="006572F1" w:rsidP="004404AE">
            <w:pPr>
              <w:pStyle w:val="ListParagraph"/>
              <w:numPr>
                <w:ilvl w:val="0"/>
                <w:numId w:val="8"/>
              </w:numPr>
              <w:ind w:left="3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Committee approved the Duty of Candour Annual Report noting that some learning was still to be implemented around process changes.</w:t>
            </w:r>
          </w:p>
          <w:p w:rsidR="006572F1" w:rsidRPr="006572F1" w:rsidRDefault="006572F1" w:rsidP="006572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572F1" w:rsidRDefault="006572F1" w:rsidP="006572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2191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Committee welcomed the </w:t>
            </w:r>
            <w:r w:rsidRPr="00F70380">
              <w:rPr>
                <w:rFonts w:ascii="Arial" w:hAnsi="Arial" w:cs="Arial"/>
                <w:sz w:val="24"/>
                <w:szCs w:val="24"/>
              </w:rPr>
              <w:t>P</w:t>
            </w:r>
            <w:r w:rsidRPr="00821919">
              <w:rPr>
                <w:rFonts w:ascii="Arial" w:hAnsi="Arial" w:cs="Arial"/>
                <w:sz w:val="24"/>
                <w:szCs w:val="24"/>
              </w:rPr>
              <w:t xml:space="preserve">atient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21919">
              <w:rPr>
                <w:rFonts w:ascii="Arial" w:hAnsi="Arial" w:cs="Arial"/>
                <w:sz w:val="24"/>
                <w:szCs w:val="24"/>
              </w:rPr>
              <w:t xml:space="preserve">tory. This was a positive patient experience with the patient receiving </w:t>
            </w:r>
            <w:r>
              <w:rPr>
                <w:rFonts w:ascii="Arial" w:hAnsi="Arial" w:cs="Arial"/>
                <w:sz w:val="24"/>
                <w:szCs w:val="24"/>
              </w:rPr>
              <w:t xml:space="preserve">a hip replacement.  The Committee wanted to pass on their thanks to the Orthopaedic team for the work they continue to </w:t>
            </w:r>
            <w:r w:rsidR="00A4610C">
              <w:rPr>
                <w:rFonts w:ascii="Arial" w:hAnsi="Arial" w:cs="Arial"/>
                <w:sz w:val="24"/>
                <w:szCs w:val="24"/>
              </w:rPr>
              <w:t>do for NHS GJ patients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572F1" w:rsidRPr="006572F1" w:rsidRDefault="006572F1" w:rsidP="006572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6572F1" w:rsidRPr="006572F1" w:rsidRDefault="006572F1" w:rsidP="006572F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4404AE" w:rsidRPr="006572F1" w:rsidRDefault="006572F1" w:rsidP="006572F1">
            <w:pPr>
              <w:rPr>
                <w:rFonts w:cs="Arial"/>
                <w:szCs w:val="24"/>
              </w:rPr>
            </w:pPr>
            <w:r w:rsidRPr="006572F1">
              <w:rPr>
                <w:rFonts w:cs="Arial"/>
                <w:szCs w:val="24"/>
              </w:rPr>
              <w:t>The Committee</w:t>
            </w:r>
            <w:r w:rsidR="004404AE" w:rsidRPr="006572F1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were thoughtful of the </w:t>
            </w:r>
            <w:r w:rsidR="00244F6F">
              <w:rPr>
                <w:rFonts w:cs="Arial"/>
                <w:szCs w:val="24"/>
              </w:rPr>
              <w:t xml:space="preserve">workload </w:t>
            </w:r>
            <w:r w:rsidR="00566EE1">
              <w:rPr>
                <w:rFonts w:cs="Arial"/>
                <w:szCs w:val="24"/>
              </w:rPr>
              <w:t xml:space="preserve">for </w:t>
            </w:r>
            <w:r>
              <w:rPr>
                <w:rFonts w:cs="Arial"/>
                <w:szCs w:val="24"/>
              </w:rPr>
              <w:t>clinical colleagues across the governance arenas i.e. SAERs, audit, complaints</w:t>
            </w:r>
            <w:r w:rsidR="00217C9B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and wanted to ensure they were supported to complete these pieces of work.</w:t>
            </w:r>
          </w:p>
          <w:p w:rsidR="004404AE" w:rsidRPr="004404AE" w:rsidRDefault="004404AE" w:rsidP="004404AE">
            <w:pPr>
              <w:rPr>
                <w:rFonts w:cs="Arial"/>
                <w:szCs w:val="24"/>
              </w:rPr>
            </w:pPr>
          </w:p>
        </w:tc>
      </w:tr>
    </w:tbl>
    <w:p w:rsidR="00156B76" w:rsidRDefault="00156B76" w:rsidP="00050D76"/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8E1DD5">
        <w:rPr>
          <w:rFonts w:hAnsi="Arial" w:cs="Arial"/>
          <w:lang w:val="en-US"/>
        </w:rPr>
        <w:t xml:space="preserve">Clinical Governance Committee </w:t>
      </w:r>
      <w:r w:rsidR="00E7372F">
        <w:rPr>
          <w:rFonts w:hAnsi="Arial" w:cs="Arial"/>
          <w:lang w:val="en-US"/>
        </w:rPr>
        <w:t xml:space="preserve">meeting is scheduled for </w:t>
      </w:r>
      <w:r w:rsidR="004404AE">
        <w:rPr>
          <w:rFonts w:hAnsi="Arial" w:cs="Arial"/>
          <w:lang w:val="en-US"/>
        </w:rPr>
        <w:t>Thursday 5 September</w:t>
      </w:r>
      <w:r w:rsidR="00262D6A">
        <w:rPr>
          <w:rFonts w:hAnsi="Arial" w:cs="Arial"/>
          <w:lang w:val="en-US"/>
        </w:rPr>
        <w:t xml:space="preserve"> </w:t>
      </w:r>
      <w:r w:rsidR="00B00FF3">
        <w:rPr>
          <w:rFonts w:hAnsi="Arial" w:cs="Arial"/>
          <w:lang w:val="en-US"/>
        </w:rPr>
        <w:t>2024</w:t>
      </w:r>
      <w:r w:rsidR="00793A83">
        <w:rPr>
          <w:rFonts w:hAnsi="Arial" w:cs="Arial"/>
          <w:lang w:val="en-US"/>
        </w:rPr>
        <w:t>.</w:t>
      </w:r>
    </w:p>
    <w:p w:rsidR="004404AE" w:rsidRDefault="004404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4404AE" w:rsidRDefault="004404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3D757C">
      <w:pPr>
        <w:pStyle w:val="Heading2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3D757C" w:rsidRDefault="003D757C" w:rsidP="007E133D">
      <w:pPr>
        <w:ind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733D1F">
        <w:rPr>
          <w:rFonts w:cs="Arial"/>
        </w:rPr>
        <w:t xml:space="preserve">Clinical Governance </w:t>
      </w:r>
      <w:r w:rsidR="007E133D">
        <w:rPr>
          <w:rFonts w:cs="Arial"/>
        </w:rPr>
        <w:t>Committee Update.</w:t>
      </w:r>
    </w:p>
    <w:p w:rsidR="005738FA" w:rsidRDefault="005738FA" w:rsidP="007E133D">
      <w:pPr>
        <w:ind w:right="183"/>
        <w:rPr>
          <w:rFonts w:cs="Arial"/>
        </w:rPr>
      </w:pPr>
    </w:p>
    <w:p w:rsidR="00AF47A3" w:rsidRDefault="00AF47A3" w:rsidP="007E133D">
      <w:pPr>
        <w:ind w:right="183"/>
        <w:rPr>
          <w:rFonts w:cs="Arial"/>
        </w:rPr>
      </w:pPr>
    </w:p>
    <w:p w:rsidR="00AF47A3" w:rsidRDefault="00AF47A3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733D1F" w:rsidP="007E133D">
      <w:pPr>
        <w:ind w:left="-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 xml:space="preserve">Morag Brown </w:t>
      </w:r>
    </w:p>
    <w:p w:rsidR="007E133D" w:rsidRDefault="007E133D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733D1F">
        <w:rPr>
          <w:rFonts w:cs="Arial"/>
          <w:b/>
          <w:bCs/>
        </w:rPr>
        <w:t xml:space="preserve">Clinical Governance </w:t>
      </w:r>
      <w:r>
        <w:rPr>
          <w:rFonts w:cs="Arial"/>
          <w:b/>
          <w:bCs/>
        </w:rPr>
        <w:t>Committee</w:t>
      </w:r>
    </w:p>
    <w:p w:rsidR="007E133D" w:rsidRPr="005F1768" w:rsidRDefault="00262D6A" w:rsidP="005F1768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May </w:t>
      </w:r>
      <w:r w:rsidR="00931E82">
        <w:rPr>
          <w:rFonts w:cs="Arial"/>
          <w:b/>
          <w:bCs/>
        </w:rPr>
        <w:t>2024</w:t>
      </w:r>
    </w:p>
    <w:sectPr w:rsidR="007E133D" w:rsidRPr="005F1768" w:rsidSect="00B00FF3">
      <w:headerReference w:type="default" r:id="rId8"/>
      <w:footerReference w:type="default" r:id="rId9"/>
      <w:pgSz w:w="11906" w:h="16838"/>
      <w:pgMar w:top="828" w:right="851" w:bottom="851" w:left="992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B1" w:rsidRDefault="003F0AB1">
      <w:r>
        <w:separator/>
      </w:r>
    </w:p>
  </w:endnote>
  <w:endnote w:type="continuationSeparator" w:id="0">
    <w:p w:rsidR="003F0AB1" w:rsidRDefault="003F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04246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04246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B1" w:rsidRDefault="003F0AB1">
      <w:r>
        <w:separator/>
      </w:r>
    </w:p>
  </w:footnote>
  <w:footnote w:type="continuationSeparator" w:id="0">
    <w:p w:rsidR="003F0AB1" w:rsidRDefault="003F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694868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Public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 w:rsidR="000F0454">
      <w:rPr>
        <w:rFonts w:cs="Arial"/>
        <w:b/>
        <w:color w:val="2E74B5" w:themeColor="accent1" w:themeShade="BF"/>
        <w:sz w:val="20"/>
      </w:rPr>
      <w:t>4</w:t>
    </w:r>
    <w:r w:rsidR="00050D76">
      <w:rPr>
        <w:rFonts w:cs="Arial"/>
        <w:b/>
        <w:color w:val="2E74B5" w:themeColor="accent1" w:themeShade="BF"/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969DE"/>
    <w:multiLevelType w:val="hybridMultilevel"/>
    <w:tmpl w:val="5402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B1704"/>
    <w:multiLevelType w:val="hybridMultilevel"/>
    <w:tmpl w:val="C9567F6A"/>
    <w:lvl w:ilvl="0" w:tplc="8B60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E7D84"/>
    <w:multiLevelType w:val="hybridMultilevel"/>
    <w:tmpl w:val="09AC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644C3"/>
    <w:multiLevelType w:val="hybridMultilevel"/>
    <w:tmpl w:val="BE14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28"/>
  </w:num>
  <w:num w:numId="5">
    <w:abstractNumId w:val="13"/>
  </w:num>
  <w:num w:numId="6">
    <w:abstractNumId w:val="10"/>
  </w:num>
  <w:num w:numId="7">
    <w:abstractNumId w:val="20"/>
  </w:num>
  <w:num w:numId="8">
    <w:abstractNumId w:val="9"/>
  </w:num>
  <w:num w:numId="9">
    <w:abstractNumId w:val="25"/>
  </w:num>
  <w:num w:numId="10">
    <w:abstractNumId w:val="5"/>
  </w:num>
  <w:num w:numId="11">
    <w:abstractNumId w:val="26"/>
  </w:num>
  <w:num w:numId="12">
    <w:abstractNumId w:val="4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23"/>
  </w:num>
  <w:num w:numId="18">
    <w:abstractNumId w:val="22"/>
  </w:num>
  <w:num w:numId="19">
    <w:abstractNumId w:val="8"/>
  </w:num>
  <w:num w:numId="20">
    <w:abstractNumId w:val="21"/>
  </w:num>
  <w:num w:numId="21">
    <w:abstractNumId w:val="3"/>
  </w:num>
  <w:num w:numId="22">
    <w:abstractNumId w:val="16"/>
  </w:num>
  <w:num w:numId="23">
    <w:abstractNumId w:val="2"/>
  </w:num>
  <w:num w:numId="24">
    <w:abstractNumId w:val="24"/>
  </w:num>
  <w:num w:numId="25">
    <w:abstractNumId w:val="15"/>
  </w:num>
  <w:num w:numId="26">
    <w:abstractNumId w:val="6"/>
  </w:num>
  <w:num w:numId="27">
    <w:abstractNumId w:val="19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0C0F"/>
    <w:rsid w:val="000052E6"/>
    <w:rsid w:val="0003098A"/>
    <w:rsid w:val="0004246B"/>
    <w:rsid w:val="00047714"/>
    <w:rsid w:val="00050D76"/>
    <w:rsid w:val="0006530B"/>
    <w:rsid w:val="00072A23"/>
    <w:rsid w:val="00075289"/>
    <w:rsid w:val="00091974"/>
    <w:rsid w:val="000945DB"/>
    <w:rsid w:val="000A2C62"/>
    <w:rsid w:val="000C1A96"/>
    <w:rsid w:val="000F0454"/>
    <w:rsid w:val="000F44C6"/>
    <w:rsid w:val="000F7706"/>
    <w:rsid w:val="00100233"/>
    <w:rsid w:val="00111469"/>
    <w:rsid w:val="00115D50"/>
    <w:rsid w:val="00116EFD"/>
    <w:rsid w:val="00125A9E"/>
    <w:rsid w:val="00140DB3"/>
    <w:rsid w:val="00156B76"/>
    <w:rsid w:val="00162FD2"/>
    <w:rsid w:val="0018377D"/>
    <w:rsid w:val="00192A22"/>
    <w:rsid w:val="001D250F"/>
    <w:rsid w:val="001F1F8D"/>
    <w:rsid w:val="001F7C44"/>
    <w:rsid w:val="00217C9B"/>
    <w:rsid w:val="00221CC2"/>
    <w:rsid w:val="002236A4"/>
    <w:rsid w:val="0023473B"/>
    <w:rsid w:val="00244F6F"/>
    <w:rsid w:val="00245140"/>
    <w:rsid w:val="002459C1"/>
    <w:rsid w:val="00262D6A"/>
    <w:rsid w:val="002858CD"/>
    <w:rsid w:val="00287DCE"/>
    <w:rsid w:val="002A0B5F"/>
    <w:rsid w:val="0030362F"/>
    <w:rsid w:val="0030733C"/>
    <w:rsid w:val="003175D5"/>
    <w:rsid w:val="0033790B"/>
    <w:rsid w:val="00340810"/>
    <w:rsid w:val="00346269"/>
    <w:rsid w:val="00346655"/>
    <w:rsid w:val="00377F9B"/>
    <w:rsid w:val="003B54F5"/>
    <w:rsid w:val="003B7BD0"/>
    <w:rsid w:val="003D757C"/>
    <w:rsid w:val="003E0691"/>
    <w:rsid w:val="003F0AB1"/>
    <w:rsid w:val="003F1696"/>
    <w:rsid w:val="003F5742"/>
    <w:rsid w:val="003F7F61"/>
    <w:rsid w:val="00430C09"/>
    <w:rsid w:val="004404AE"/>
    <w:rsid w:val="00446219"/>
    <w:rsid w:val="00466281"/>
    <w:rsid w:val="00493CEF"/>
    <w:rsid w:val="00495B36"/>
    <w:rsid w:val="004C24DE"/>
    <w:rsid w:val="004C29B3"/>
    <w:rsid w:val="004C564E"/>
    <w:rsid w:val="004E7A32"/>
    <w:rsid w:val="004F25C0"/>
    <w:rsid w:val="00500825"/>
    <w:rsid w:val="00504C16"/>
    <w:rsid w:val="005540A1"/>
    <w:rsid w:val="00563B5B"/>
    <w:rsid w:val="00566EE1"/>
    <w:rsid w:val="005738FA"/>
    <w:rsid w:val="00591C18"/>
    <w:rsid w:val="005A2E47"/>
    <w:rsid w:val="005B1021"/>
    <w:rsid w:val="005B31BE"/>
    <w:rsid w:val="005B5ED3"/>
    <w:rsid w:val="005C0495"/>
    <w:rsid w:val="005D7A85"/>
    <w:rsid w:val="005E6C98"/>
    <w:rsid w:val="005F1768"/>
    <w:rsid w:val="005F7CD2"/>
    <w:rsid w:val="00603CAF"/>
    <w:rsid w:val="00610728"/>
    <w:rsid w:val="006173A9"/>
    <w:rsid w:val="006572F1"/>
    <w:rsid w:val="00674B5E"/>
    <w:rsid w:val="00677133"/>
    <w:rsid w:val="006829F0"/>
    <w:rsid w:val="00686465"/>
    <w:rsid w:val="00694868"/>
    <w:rsid w:val="006D1343"/>
    <w:rsid w:val="007015C0"/>
    <w:rsid w:val="00706ABE"/>
    <w:rsid w:val="00724B6A"/>
    <w:rsid w:val="00732C86"/>
    <w:rsid w:val="00733D1F"/>
    <w:rsid w:val="0075080D"/>
    <w:rsid w:val="00755EB8"/>
    <w:rsid w:val="00767BCA"/>
    <w:rsid w:val="00767C5F"/>
    <w:rsid w:val="00793A83"/>
    <w:rsid w:val="007B75D3"/>
    <w:rsid w:val="007E133D"/>
    <w:rsid w:val="007F031D"/>
    <w:rsid w:val="007F32CF"/>
    <w:rsid w:val="00811E7D"/>
    <w:rsid w:val="00816E22"/>
    <w:rsid w:val="00836178"/>
    <w:rsid w:val="008856AC"/>
    <w:rsid w:val="00891956"/>
    <w:rsid w:val="008A0019"/>
    <w:rsid w:val="008A527A"/>
    <w:rsid w:val="008C3814"/>
    <w:rsid w:val="008C7F7E"/>
    <w:rsid w:val="008E1DD5"/>
    <w:rsid w:val="00927C6C"/>
    <w:rsid w:val="00930CED"/>
    <w:rsid w:val="00931E82"/>
    <w:rsid w:val="00934D7A"/>
    <w:rsid w:val="00937A80"/>
    <w:rsid w:val="0095106C"/>
    <w:rsid w:val="00955505"/>
    <w:rsid w:val="00961989"/>
    <w:rsid w:val="0097177E"/>
    <w:rsid w:val="009807B4"/>
    <w:rsid w:val="0098581E"/>
    <w:rsid w:val="00987280"/>
    <w:rsid w:val="009A503C"/>
    <w:rsid w:val="009C5992"/>
    <w:rsid w:val="009F3570"/>
    <w:rsid w:val="009F4BF0"/>
    <w:rsid w:val="009F74AE"/>
    <w:rsid w:val="00A02830"/>
    <w:rsid w:val="00A029A1"/>
    <w:rsid w:val="00A13988"/>
    <w:rsid w:val="00A2680C"/>
    <w:rsid w:val="00A27D8F"/>
    <w:rsid w:val="00A41666"/>
    <w:rsid w:val="00A43898"/>
    <w:rsid w:val="00A4610C"/>
    <w:rsid w:val="00A62B58"/>
    <w:rsid w:val="00A84C97"/>
    <w:rsid w:val="00A93BD8"/>
    <w:rsid w:val="00AA77F7"/>
    <w:rsid w:val="00AE522B"/>
    <w:rsid w:val="00AF0530"/>
    <w:rsid w:val="00AF2D41"/>
    <w:rsid w:val="00AF356A"/>
    <w:rsid w:val="00AF47A3"/>
    <w:rsid w:val="00B0075A"/>
    <w:rsid w:val="00B00FF3"/>
    <w:rsid w:val="00B178D4"/>
    <w:rsid w:val="00B404A2"/>
    <w:rsid w:val="00B40F04"/>
    <w:rsid w:val="00B53C07"/>
    <w:rsid w:val="00B546C8"/>
    <w:rsid w:val="00B562FA"/>
    <w:rsid w:val="00B6178B"/>
    <w:rsid w:val="00B72382"/>
    <w:rsid w:val="00B7445F"/>
    <w:rsid w:val="00B77902"/>
    <w:rsid w:val="00B851FC"/>
    <w:rsid w:val="00B8749F"/>
    <w:rsid w:val="00BB1692"/>
    <w:rsid w:val="00BB31B9"/>
    <w:rsid w:val="00BD5F51"/>
    <w:rsid w:val="00BE793D"/>
    <w:rsid w:val="00BF3AF0"/>
    <w:rsid w:val="00C1128C"/>
    <w:rsid w:val="00C133F3"/>
    <w:rsid w:val="00C408D4"/>
    <w:rsid w:val="00C4455B"/>
    <w:rsid w:val="00C45F03"/>
    <w:rsid w:val="00C5371C"/>
    <w:rsid w:val="00C84CF1"/>
    <w:rsid w:val="00C87B62"/>
    <w:rsid w:val="00C94BF7"/>
    <w:rsid w:val="00CB0D87"/>
    <w:rsid w:val="00CB5C26"/>
    <w:rsid w:val="00CC77B3"/>
    <w:rsid w:val="00CD420D"/>
    <w:rsid w:val="00CE6872"/>
    <w:rsid w:val="00CF3A82"/>
    <w:rsid w:val="00D1022D"/>
    <w:rsid w:val="00D1108D"/>
    <w:rsid w:val="00D1415F"/>
    <w:rsid w:val="00D372DD"/>
    <w:rsid w:val="00D40B26"/>
    <w:rsid w:val="00D73876"/>
    <w:rsid w:val="00DB46A0"/>
    <w:rsid w:val="00DB781A"/>
    <w:rsid w:val="00DC5886"/>
    <w:rsid w:val="00DC7A0F"/>
    <w:rsid w:val="00DD2D3D"/>
    <w:rsid w:val="00DD4EAE"/>
    <w:rsid w:val="00DD6252"/>
    <w:rsid w:val="00DE00C6"/>
    <w:rsid w:val="00DF1BE0"/>
    <w:rsid w:val="00E41943"/>
    <w:rsid w:val="00E4590E"/>
    <w:rsid w:val="00E61120"/>
    <w:rsid w:val="00E71CD2"/>
    <w:rsid w:val="00E7372F"/>
    <w:rsid w:val="00E906A9"/>
    <w:rsid w:val="00E92930"/>
    <w:rsid w:val="00E979D1"/>
    <w:rsid w:val="00EB5480"/>
    <w:rsid w:val="00EC596E"/>
    <w:rsid w:val="00ED2CF9"/>
    <w:rsid w:val="00EE2992"/>
    <w:rsid w:val="00EE712B"/>
    <w:rsid w:val="00F05FA1"/>
    <w:rsid w:val="00F109DE"/>
    <w:rsid w:val="00F3337D"/>
    <w:rsid w:val="00F360BE"/>
    <w:rsid w:val="00F42A7C"/>
    <w:rsid w:val="00F57E40"/>
    <w:rsid w:val="00F66B09"/>
    <w:rsid w:val="00F90519"/>
    <w:rsid w:val="00F9163B"/>
    <w:rsid w:val="00F95D11"/>
    <w:rsid w:val="00FA1EBE"/>
    <w:rsid w:val="00FA2C11"/>
    <w:rsid w:val="00FA7B9C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5D84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5</cp:revision>
  <cp:lastPrinted>2024-07-22T13:21:00Z</cp:lastPrinted>
  <dcterms:created xsi:type="dcterms:W3CDTF">2024-07-19T15:57:00Z</dcterms:created>
  <dcterms:modified xsi:type="dcterms:W3CDTF">2024-07-22T13:22:00Z</dcterms:modified>
</cp:coreProperties>
</file>