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868B1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67F0497E" wp14:editId="084047A9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2032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5E010C75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14:paraId="6947CCBA" w14:textId="77777777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AD3B8D">
        <w:rPr>
          <w:rStyle w:val="Heading3Char"/>
          <w:b/>
        </w:rPr>
        <w:t>1</w:t>
      </w:r>
      <w:r w:rsidR="00C81C30">
        <w:rPr>
          <w:rStyle w:val="Heading3Char"/>
          <w:b/>
        </w:rPr>
        <w:t>2 March</w:t>
      </w:r>
      <w:r w:rsidR="00FE7C8E">
        <w:rPr>
          <w:rStyle w:val="Heading3Char"/>
          <w:b/>
        </w:rPr>
        <w:t xml:space="preserve"> 202</w:t>
      </w:r>
      <w:r w:rsidR="00C81C30">
        <w:rPr>
          <w:rStyle w:val="Heading3Char"/>
          <w:b/>
        </w:rPr>
        <w:t>4</w:t>
      </w:r>
    </w:p>
    <w:p w14:paraId="0285EED0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312CF">
        <w:rPr>
          <w:rFonts w:cs="Arial"/>
          <w:bCs/>
        </w:rPr>
        <w:t>Finance and Performance</w:t>
      </w:r>
      <w:r w:rsidR="00050D76" w:rsidRPr="00050D76">
        <w:rPr>
          <w:rFonts w:cs="Arial"/>
          <w:bCs/>
        </w:rPr>
        <w:t xml:space="preserve"> </w:t>
      </w:r>
      <w:r w:rsidR="002E7A32">
        <w:rPr>
          <w:rFonts w:cs="Arial"/>
          <w:bCs/>
        </w:rPr>
        <w:t xml:space="preserve">Committee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672762F9" w14:textId="77777777"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C3506D">
        <w:rPr>
          <w:rStyle w:val="Heading3Char"/>
          <w:b/>
        </w:rPr>
        <w:t xml:space="preserve">Michael Breen, Finance Director </w:t>
      </w:r>
      <w:r w:rsidR="00022EE5">
        <w:rPr>
          <w:rStyle w:val="Heading3Char"/>
          <w:b/>
        </w:rPr>
        <w:t xml:space="preserve"> </w:t>
      </w:r>
    </w:p>
    <w:p w14:paraId="6D0CDA40" w14:textId="77777777" w:rsidR="0003098A" w:rsidRPr="00F3337D" w:rsidRDefault="00B312CF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Stephen McAllister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14:paraId="211DBA65" w14:textId="77777777" w:rsidR="00430C09" w:rsidRDefault="00430C09" w:rsidP="00C81C3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107B3E">
        <w:rPr>
          <w:rStyle w:val="Heading3Char"/>
          <w:b/>
        </w:rPr>
        <w:t>Nicki Hamer, Head of Corporate Governance and Board Secretary</w:t>
      </w:r>
      <w:r w:rsidR="00C3506D">
        <w:rPr>
          <w:rStyle w:val="Heading3Char"/>
          <w:b/>
        </w:rPr>
        <w:t xml:space="preserve"> </w:t>
      </w:r>
    </w:p>
    <w:p w14:paraId="0C8472F6" w14:textId="77777777" w:rsidR="00B77902" w:rsidRDefault="00B77902" w:rsidP="00B77902"/>
    <w:p w14:paraId="503AF8AB" w14:textId="77777777" w:rsidR="00C81C30" w:rsidRPr="00B77902" w:rsidRDefault="00C81C30" w:rsidP="00B77902"/>
    <w:p w14:paraId="0162A5E5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4082F9A3" w14:textId="77777777" w:rsidR="003D757C" w:rsidRPr="003D757C" w:rsidRDefault="003D757C" w:rsidP="003D757C">
      <w:pPr>
        <w:ind w:left="709"/>
      </w:pPr>
    </w:p>
    <w:p w14:paraId="7BAFCBF0" w14:textId="77777777"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</w:p>
    <w:p w14:paraId="222FA6CF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191F06FA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65B6C00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0C4B2B46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14:paraId="3AC7C5CA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1CFBBA6A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002B3ACB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157B3FC3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3449D04B" w14:textId="77777777" w:rsidR="00430C09" w:rsidRDefault="00430C09" w:rsidP="009807B4">
      <w:pPr>
        <w:spacing w:line="276" w:lineRule="auto"/>
      </w:pPr>
    </w:p>
    <w:p w14:paraId="0EC894CA" w14:textId="77777777"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4000B045" w14:textId="77777777"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14:paraId="75772B51" w14:textId="77777777" w:rsidR="00050D76" w:rsidRDefault="00B312CF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Finance and Performance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FE7C8E">
        <w:rPr>
          <w:rFonts w:cs="Arial"/>
          <w:bCs/>
        </w:rPr>
        <w:t>(</w:t>
      </w:r>
      <w:r>
        <w:rPr>
          <w:rFonts w:cs="Arial"/>
          <w:bCs/>
        </w:rPr>
        <w:t>FPC</w:t>
      </w:r>
      <w:r w:rsidR="00050D76">
        <w:rPr>
          <w:rFonts w:cs="Arial"/>
          <w:bCs/>
        </w:rPr>
        <w:t xml:space="preserve">) was held on </w:t>
      </w:r>
      <w:r w:rsidR="00AD3B8D">
        <w:rPr>
          <w:rFonts w:cs="Arial"/>
          <w:bCs/>
        </w:rPr>
        <w:t>1</w:t>
      </w:r>
      <w:r w:rsidR="00C81C30">
        <w:rPr>
          <w:rFonts w:cs="Arial"/>
          <w:bCs/>
        </w:rPr>
        <w:t>2 March</w:t>
      </w:r>
      <w:r w:rsidR="005814A6">
        <w:rPr>
          <w:rFonts w:cs="Arial"/>
          <w:bCs/>
        </w:rPr>
        <w:t xml:space="preserve"> </w:t>
      </w:r>
      <w:r w:rsidR="00DE04A0">
        <w:rPr>
          <w:rFonts w:cs="Arial"/>
          <w:bCs/>
        </w:rPr>
        <w:t>202</w:t>
      </w:r>
      <w:r w:rsidR="00C81C30">
        <w:rPr>
          <w:rFonts w:cs="Arial"/>
          <w:bCs/>
        </w:rPr>
        <w:t>4</w:t>
      </w:r>
      <w:r w:rsidR="00050D76">
        <w:rPr>
          <w:rFonts w:cs="Arial"/>
          <w:bCs/>
        </w:rPr>
        <w:t xml:space="preserve">, the </w:t>
      </w:r>
      <w:proofErr w:type="gramStart"/>
      <w:r w:rsidR="00050D76">
        <w:rPr>
          <w:rFonts w:cs="Arial"/>
          <w:bCs/>
        </w:rPr>
        <w:t>following</w:t>
      </w:r>
      <w:proofErr w:type="gramEnd"/>
      <w:r w:rsidR="00050D76">
        <w:rPr>
          <w:rFonts w:cs="Arial"/>
          <w:bCs/>
        </w:rPr>
        <w:t xml:space="preserve"> key points were noted at the meeting.  </w:t>
      </w:r>
    </w:p>
    <w:p w14:paraId="77C5C3F9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4D71BE3B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78FC29E7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7CE08C42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14:paraId="5F6E7B88" w14:textId="77777777" w:rsidTr="00022EE5">
        <w:tc>
          <w:tcPr>
            <w:tcW w:w="1251" w:type="dxa"/>
            <w:gridSpan w:val="2"/>
          </w:tcPr>
          <w:p w14:paraId="1F9BB9D3" w14:textId="77777777"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14:paraId="343485B5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14:paraId="5DFA311E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623B26DC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24EB365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7044EBA0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F105356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5059C79C" w14:textId="77777777"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14:paraId="1F4B7C72" w14:textId="77777777" w:rsidR="00050D76" w:rsidRDefault="00050D76" w:rsidP="00011140">
            <w:pPr>
              <w:rPr>
                <w:rFonts w:cs="Arial"/>
                <w:szCs w:val="24"/>
              </w:rPr>
            </w:pPr>
          </w:p>
          <w:p w14:paraId="2DF1F3E9" w14:textId="75494D61" w:rsidR="00B312CF" w:rsidRP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reflected on the operational performance noting the continuing challenges </w:t>
            </w:r>
            <w:r w:rsidR="00C81C30">
              <w:rPr>
                <w:rFonts w:eastAsiaTheme="minorHAnsi" w:cs="Arial"/>
                <w:spacing w:val="0"/>
                <w:szCs w:val="24"/>
                <w:lang w:val="en-US"/>
              </w:rPr>
              <w:t xml:space="preserve">around Endoscopy under performance and the impact on </w:t>
            </w:r>
            <w:r w:rsidR="005733F4">
              <w:rPr>
                <w:rFonts w:eastAsiaTheme="minorHAnsi" w:cs="Arial"/>
                <w:spacing w:val="0"/>
                <w:szCs w:val="24"/>
                <w:lang w:val="en-US"/>
              </w:rPr>
              <w:t xml:space="preserve">general surgery in relation to </w:t>
            </w:r>
            <w:bookmarkStart w:id="0" w:name="_GoBack"/>
            <w:bookmarkEnd w:id="0"/>
            <w:r w:rsidR="00C81C30">
              <w:rPr>
                <w:rFonts w:eastAsiaTheme="minorHAnsi" w:cs="Arial"/>
                <w:spacing w:val="0"/>
                <w:szCs w:val="24"/>
                <w:lang w:val="en-US"/>
              </w:rPr>
              <w:t>Phase 2</w:t>
            </w:r>
            <w:r w:rsidR="00756413">
              <w:rPr>
                <w:rFonts w:eastAsiaTheme="minorHAnsi" w:cs="Arial"/>
                <w:spacing w:val="0"/>
                <w:szCs w:val="24"/>
                <w:lang w:val="en-US"/>
              </w:rPr>
              <w:t xml:space="preserve">.  The </w:t>
            </w:r>
            <w:r w:rsidR="00C81C30">
              <w:rPr>
                <w:rFonts w:eastAsiaTheme="minorHAnsi" w:cs="Arial"/>
                <w:spacing w:val="0"/>
                <w:szCs w:val="24"/>
                <w:lang w:val="en-US"/>
              </w:rPr>
              <w:t>Vanguard Unit has been secured for the first quarter to assist with delays.  The Committee noted the TAVI issue continued as well as the wider impact on national services.</w:t>
            </w:r>
          </w:p>
          <w:p w14:paraId="36270AF6" w14:textId="77777777" w:rsidR="00B312CF" w:rsidRPr="00B312CF" w:rsidRDefault="00B312CF" w:rsidP="00B312CF">
            <w:pPr>
              <w:spacing w:line="259" w:lineRule="auto"/>
              <w:ind w:left="709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12DC46A1" w14:textId="77777777" w:rsidR="00756413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Committe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e noted the</w:t>
            </w:r>
            <w:r w:rsidR="00C81C30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 xml:space="preserve">forecast to year end is still being assessed as a break even </w:t>
            </w:r>
            <w:r w:rsidR="00FC4710">
              <w:rPr>
                <w:rFonts w:eastAsiaTheme="minorHAnsi" w:cs="Arial"/>
                <w:spacing w:val="0"/>
                <w:szCs w:val="24"/>
                <w:lang w:val="en-US"/>
              </w:rPr>
              <w:t xml:space="preserve">position and the ongoing work to progress the efficiency </w:t>
            </w:r>
            <w:r w:rsidR="00FC4710">
              <w:rPr>
                <w:rFonts w:eastAsiaTheme="minorHAnsi" w:cs="Arial"/>
                <w:spacing w:val="0"/>
                <w:szCs w:val="24"/>
                <w:lang w:val="en-US"/>
              </w:rPr>
              <w:lastRenderedPageBreak/>
              <w:t>savings.  The Committee approved in principle the draft Financial Three Year Plan for onward submission to the Board for final approval.</w:t>
            </w:r>
          </w:p>
          <w:p w14:paraId="278E3800" w14:textId="77777777" w:rsidR="00C81C30" w:rsidRDefault="00C81C30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1607239B" w14:textId="77777777"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Committee received an update on the G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olden Jubilee Research Institute and </w:t>
            </w:r>
            <w:r w:rsidR="00FC4710">
              <w:rPr>
                <w:rFonts w:eastAsiaTheme="minorHAnsi" w:cs="Arial"/>
                <w:spacing w:val="0"/>
                <w:szCs w:val="24"/>
                <w:lang w:val="en-US"/>
              </w:rPr>
              <w:t>noted the projects were still on target.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</w:p>
          <w:p w14:paraId="2AEDAF5A" w14:textId="77777777"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7B6CD274" w14:textId="77777777"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was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pleased to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receive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the Phase 2 update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as it neared completion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. H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owever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, the Committee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 not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ed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 the ongoin</w:t>
            </w:r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 xml:space="preserve">g issue with water 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testing and likely impacts on the operational availability dates.</w:t>
            </w:r>
          </w:p>
          <w:p w14:paraId="18D2A647" w14:textId="77777777" w:rsidR="008B2B52" w:rsidRDefault="008B2B52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6441A844" w14:textId="77777777" w:rsidR="008B2B52" w:rsidRDefault="008B2B52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received an update on </w:t>
            </w:r>
            <w:r w:rsidR="00FC4710">
              <w:rPr>
                <w:rFonts w:eastAsiaTheme="minorHAnsi" w:cs="Arial"/>
                <w:spacing w:val="0"/>
                <w:szCs w:val="24"/>
                <w:lang w:val="en-US"/>
              </w:rPr>
              <w:t>the Quarter 3 Annual Delivery Plan review and the draft three year Delivery Plan.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</w:p>
          <w:p w14:paraId="45E11491" w14:textId="77777777" w:rsidR="00DB4877" w:rsidRDefault="00DB487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66DECCAD" w14:textId="77777777" w:rsidR="00FC4710" w:rsidRDefault="00B312CF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mmittee approved the </w:t>
            </w:r>
            <w:r w:rsidR="00FC4710">
              <w:rPr>
                <w:rFonts w:eastAsiaTheme="minorHAnsi" w:cs="Arial"/>
                <w:spacing w:val="0"/>
                <w:szCs w:val="24"/>
                <w:lang w:val="en-US"/>
              </w:rPr>
              <w:t>Strategic Risk Register.</w:t>
            </w:r>
          </w:p>
          <w:p w14:paraId="0C5EE610" w14:textId="77777777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2FACA5CA" w14:textId="77777777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 the Annual Work Plan for 2024/2025.</w:t>
            </w:r>
          </w:p>
          <w:p w14:paraId="0D611625" w14:textId="77777777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609B4229" w14:textId="77777777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 the Terms of Reference for 2024/2025.</w:t>
            </w:r>
          </w:p>
          <w:p w14:paraId="3F460BFE" w14:textId="77777777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7D46D4BB" w14:textId="77777777" w:rsidR="00B312CF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 the four commitments contained within the Blueprint for Good Governance Improvement Plan for 2024/2025</w:t>
            </w:r>
            <w:r w:rsidR="00B312CF" w:rsidRPr="00B312CF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14:paraId="215BF263" w14:textId="77777777" w:rsidR="00B312CF" w:rsidRPr="00480CBB" w:rsidRDefault="00B312CF" w:rsidP="00FC4710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2C85F9C2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2ACB49CA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53DA9AB4" w14:textId="77777777"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B312CF">
        <w:rPr>
          <w:rFonts w:hAnsi="Arial" w:cs="Arial"/>
          <w:lang w:val="en-US"/>
        </w:rPr>
        <w:t xml:space="preserve">Tuesday </w:t>
      </w:r>
      <w:r w:rsidR="00DB4877">
        <w:rPr>
          <w:rFonts w:hAnsi="Arial" w:cs="Arial"/>
          <w:lang w:val="en-US"/>
        </w:rPr>
        <w:t>1</w:t>
      </w:r>
      <w:r w:rsidR="00B422D3">
        <w:rPr>
          <w:rFonts w:hAnsi="Arial" w:cs="Arial"/>
          <w:lang w:val="en-US"/>
        </w:rPr>
        <w:t>4</w:t>
      </w:r>
      <w:r w:rsidR="00DB4877">
        <w:rPr>
          <w:rFonts w:hAnsi="Arial" w:cs="Arial"/>
          <w:lang w:val="en-US"/>
        </w:rPr>
        <w:t xml:space="preserve"> Ma</w:t>
      </w:r>
      <w:r w:rsidR="00B422D3">
        <w:rPr>
          <w:rFonts w:hAnsi="Arial" w:cs="Arial"/>
          <w:lang w:val="en-US"/>
        </w:rPr>
        <w:t>y</w:t>
      </w:r>
      <w:r w:rsidR="00022EE5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2024</w:t>
      </w:r>
      <w:r>
        <w:rPr>
          <w:rFonts w:hAnsi="Arial" w:cs="Arial"/>
          <w:lang w:val="en-US"/>
        </w:rPr>
        <w:t>.</w:t>
      </w:r>
    </w:p>
    <w:p w14:paraId="046DE0CF" w14:textId="77777777"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6560A84" w14:textId="77777777"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2DDE2EF7" w14:textId="77777777"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3FBC785F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3C62A8A8" w14:textId="77777777"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E864E4">
        <w:rPr>
          <w:rFonts w:cs="Arial"/>
        </w:rPr>
        <w:t>Finance and Performance</w:t>
      </w:r>
      <w:r w:rsidR="007E133D">
        <w:rPr>
          <w:rFonts w:cs="Arial"/>
        </w:rPr>
        <w:t xml:space="preserve"> Update.</w:t>
      </w:r>
    </w:p>
    <w:p w14:paraId="2FED0E32" w14:textId="77777777" w:rsidR="003D757C" w:rsidRDefault="003D757C" w:rsidP="007E133D">
      <w:pPr>
        <w:ind w:right="183"/>
        <w:rPr>
          <w:rFonts w:cs="Arial"/>
        </w:rPr>
      </w:pPr>
    </w:p>
    <w:p w14:paraId="344673D9" w14:textId="77777777" w:rsidR="003D757C" w:rsidRDefault="003D757C" w:rsidP="007E133D">
      <w:pPr>
        <w:ind w:right="183"/>
        <w:rPr>
          <w:rFonts w:cs="Arial"/>
        </w:rPr>
      </w:pPr>
    </w:p>
    <w:p w14:paraId="0DD723F3" w14:textId="77777777" w:rsidR="003D757C" w:rsidRDefault="003D757C" w:rsidP="007E133D">
      <w:pPr>
        <w:ind w:right="183"/>
        <w:rPr>
          <w:rFonts w:cs="Arial"/>
        </w:rPr>
      </w:pPr>
    </w:p>
    <w:p w14:paraId="118AEC22" w14:textId="77777777" w:rsidR="003D757C" w:rsidRDefault="003D757C" w:rsidP="007E133D">
      <w:pPr>
        <w:ind w:right="183"/>
        <w:rPr>
          <w:rFonts w:cs="Arial"/>
        </w:rPr>
      </w:pPr>
    </w:p>
    <w:p w14:paraId="19919970" w14:textId="77777777" w:rsidR="007E133D" w:rsidRDefault="00AD3B8D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Stephen McAllister</w:t>
      </w:r>
    </w:p>
    <w:p w14:paraId="01B8234D" w14:textId="77777777"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AD3B8D">
        <w:rPr>
          <w:rFonts w:cs="Arial"/>
          <w:b/>
          <w:bCs/>
        </w:rPr>
        <w:t>Finance and Performance Committee</w:t>
      </w:r>
    </w:p>
    <w:p w14:paraId="102EEAA3" w14:textId="77777777" w:rsidR="007E133D" w:rsidRDefault="00B422D3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March 2024.</w:t>
      </w:r>
    </w:p>
    <w:p w14:paraId="72EC2264" w14:textId="77777777" w:rsidR="007E133D" w:rsidRPr="00050D76" w:rsidRDefault="007E133D" w:rsidP="00050D76"/>
    <w:sectPr w:rsidR="007E133D" w:rsidRPr="00050D76" w:rsidSect="00995D9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716FD" w14:textId="77777777" w:rsidR="00995D91" w:rsidRDefault="00995D91">
      <w:r>
        <w:separator/>
      </w:r>
    </w:p>
  </w:endnote>
  <w:endnote w:type="continuationSeparator" w:id="0">
    <w:p w14:paraId="21BEF4A0" w14:textId="77777777" w:rsidR="00995D91" w:rsidRDefault="0099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6780D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6688EE6" w14:textId="699EF7B1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5733F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5733F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73521" w14:textId="77777777" w:rsidR="00995D91" w:rsidRDefault="00995D91">
      <w:r>
        <w:separator/>
      </w:r>
    </w:p>
  </w:footnote>
  <w:footnote w:type="continuationSeparator" w:id="0">
    <w:p w14:paraId="70A0215B" w14:textId="77777777" w:rsidR="00995D91" w:rsidRDefault="0099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80CF" w14:textId="2A38092D" w:rsidR="000369E6" w:rsidRDefault="000369E6">
    <w:pPr>
      <w:pStyle w:val="Header"/>
    </w:pPr>
    <w:r>
      <w:tab/>
    </w:r>
    <w:r>
      <w:tab/>
    </w:r>
    <w:r w:rsidR="005733F4">
      <w:t xml:space="preserve">Board Public </w:t>
    </w:r>
    <w:r>
      <w:t>Item 6.3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22EE5"/>
    <w:rsid w:val="0003098A"/>
    <w:rsid w:val="000369E6"/>
    <w:rsid w:val="000451B7"/>
    <w:rsid w:val="00047714"/>
    <w:rsid w:val="00050D76"/>
    <w:rsid w:val="0006550E"/>
    <w:rsid w:val="00072A23"/>
    <w:rsid w:val="00076EF2"/>
    <w:rsid w:val="00085465"/>
    <w:rsid w:val="00091974"/>
    <w:rsid w:val="000945DB"/>
    <w:rsid w:val="000C561F"/>
    <w:rsid w:val="000E2BDE"/>
    <w:rsid w:val="000F7706"/>
    <w:rsid w:val="00102D33"/>
    <w:rsid w:val="00107B3E"/>
    <w:rsid w:val="00125A9E"/>
    <w:rsid w:val="00132AF3"/>
    <w:rsid w:val="00140DB3"/>
    <w:rsid w:val="00155A30"/>
    <w:rsid w:val="001D05E4"/>
    <w:rsid w:val="001D0FFB"/>
    <w:rsid w:val="001D11B6"/>
    <w:rsid w:val="001E7464"/>
    <w:rsid w:val="0023473B"/>
    <w:rsid w:val="00262DD5"/>
    <w:rsid w:val="002B72F8"/>
    <w:rsid w:val="002E7A32"/>
    <w:rsid w:val="002F4B67"/>
    <w:rsid w:val="00301BBF"/>
    <w:rsid w:val="0033790B"/>
    <w:rsid w:val="00346269"/>
    <w:rsid w:val="003473AE"/>
    <w:rsid w:val="00372380"/>
    <w:rsid w:val="003751DE"/>
    <w:rsid w:val="003D757C"/>
    <w:rsid w:val="003F7F61"/>
    <w:rsid w:val="00430C09"/>
    <w:rsid w:val="00446219"/>
    <w:rsid w:val="00466A7E"/>
    <w:rsid w:val="00480CBB"/>
    <w:rsid w:val="00482C25"/>
    <w:rsid w:val="00495B36"/>
    <w:rsid w:val="004C24DE"/>
    <w:rsid w:val="004C4472"/>
    <w:rsid w:val="0052127A"/>
    <w:rsid w:val="00523880"/>
    <w:rsid w:val="005537D8"/>
    <w:rsid w:val="00563DB7"/>
    <w:rsid w:val="005733F4"/>
    <w:rsid w:val="005814A6"/>
    <w:rsid w:val="00591C18"/>
    <w:rsid w:val="005A04F7"/>
    <w:rsid w:val="005A2580"/>
    <w:rsid w:val="005A5BBA"/>
    <w:rsid w:val="005C727E"/>
    <w:rsid w:val="005F4D65"/>
    <w:rsid w:val="005F78F7"/>
    <w:rsid w:val="00610728"/>
    <w:rsid w:val="006173A9"/>
    <w:rsid w:val="0064075B"/>
    <w:rsid w:val="00666AAB"/>
    <w:rsid w:val="00681C8C"/>
    <w:rsid w:val="00682DC0"/>
    <w:rsid w:val="006C1535"/>
    <w:rsid w:val="006C6D4B"/>
    <w:rsid w:val="006D1343"/>
    <w:rsid w:val="00736213"/>
    <w:rsid w:val="00745E01"/>
    <w:rsid w:val="00756413"/>
    <w:rsid w:val="00785B8C"/>
    <w:rsid w:val="00785DD1"/>
    <w:rsid w:val="007865D9"/>
    <w:rsid w:val="007C3634"/>
    <w:rsid w:val="007E133D"/>
    <w:rsid w:val="007F32CF"/>
    <w:rsid w:val="00816E22"/>
    <w:rsid w:val="008763F0"/>
    <w:rsid w:val="008B2B52"/>
    <w:rsid w:val="008D20C7"/>
    <w:rsid w:val="008F1E59"/>
    <w:rsid w:val="00927C6C"/>
    <w:rsid w:val="009615FE"/>
    <w:rsid w:val="009807B4"/>
    <w:rsid w:val="0098106F"/>
    <w:rsid w:val="00982384"/>
    <w:rsid w:val="00984AC2"/>
    <w:rsid w:val="00995D91"/>
    <w:rsid w:val="00996603"/>
    <w:rsid w:val="009B4A0A"/>
    <w:rsid w:val="009D4C83"/>
    <w:rsid w:val="009E630D"/>
    <w:rsid w:val="00A24ED0"/>
    <w:rsid w:val="00A2680C"/>
    <w:rsid w:val="00A314F6"/>
    <w:rsid w:val="00A32685"/>
    <w:rsid w:val="00A43898"/>
    <w:rsid w:val="00A62B58"/>
    <w:rsid w:val="00A72814"/>
    <w:rsid w:val="00A84C97"/>
    <w:rsid w:val="00A95257"/>
    <w:rsid w:val="00A95ECB"/>
    <w:rsid w:val="00AA77F7"/>
    <w:rsid w:val="00AD01F4"/>
    <w:rsid w:val="00AD3B8D"/>
    <w:rsid w:val="00AE522B"/>
    <w:rsid w:val="00AF0530"/>
    <w:rsid w:val="00AF356A"/>
    <w:rsid w:val="00B008DF"/>
    <w:rsid w:val="00B06E59"/>
    <w:rsid w:val="00B11D0E"/>
    <w:rsid w:val="00B159C0"/>
    <w:rsid w:val="00B178D4"/>
    <w:rsid w:val="00B312CF"/>
    <w:rsid w:val="00B422D3"/>
    <w:rsid w:val="00B546C8"/>
    <w:rsid w:val="00B562FA"/>
    <w:rsid w:val="00B57607"/>
    <w:rsid w:val="00B57C23"/>
    <w:rsid w:val="00B7445F"/>
    <w:rsid w:val="00B77902"/>
    <w:rsid w:val="00B816CD"/>
    <w:rsid w:val="00B851FC"/>
    <w:rsid w:val="00BC6EC6"/>
    <w:rsid w:val="00BD7C57"/>
    <w:rsid w:val="00BE01E8"/>
    <w:rsid w:val="00BF3AF0"/>
    <w:rsid w:val="00BF6FFA"/>
    <w:rsid w:val="00C3506D"/>
    <w:rsid w:val="00C81C30"/>
    <w:rsid w:val="00C87B62"/>
    <w:rsid w:val="00C94BF7"/>
    <w:rsid w:val="00CB6644"/>
    <w:rsid w:val="00CE0398"/>
    <w:rsid w:val="00D11444"/>
    <w:rsid w:val="00D55622"/>
    <w:rsid w:val="00D75DFF"/>
    <w:rsid w:val="00DA0BFA"/>
    <w:rsid w:val="00DA3DD2"/>
    <w:rsid w:val="00DB4877"/>
    <w:rsid w:val="00DD2D3D"/>
    <w:rsid w:val="00DD6252"/>
    <w:rsid w:val="00DE04A0"/>
    <w:rsid w:val="00DF1BE0"/>
    <w:rsid w:val="00DF2ADD"/>
    <w:rsid w:val="00E067D1"/>
    <w:rsid w:val="00E16549"/>
    <w:rsid w:val="00E555A5"/>
    <w:rsid w:val="00E657F3"/>
    <w:rsid w:val="00E71CD2"/>
    <w:rsid w:val="00E82894"/>
    <w:rsid w:val="00E84B9D"/>
    <w:rsid w:val="00E864E4"/>
    <w:rsid w:val="00EA13D7"/>
    <w:rsid w:val="00EB2B54"/>
    <w:rsid w:val="00ED4F12"/>
    <w:rsid w:val="00EE008B"/>
    <w:rsid w:val="00EF7713"/>
    <w:rsid w:val="00F04DF8"/>
    <w:rsid w:val="00F1405E"/>
    <w:rsid w:val="00F3337D"/>
    <w:rsid w:val="00F91990"/>
    <w:rsid w:val="00FB0DBB"/>
    <w:rsid w:val="00FB0DF4"/>
    <w:rsid w:val="00FB3B8C"/>
    <w:rsid w:val="00FB5D47"/>
    <w:rsid w:val="00FC4710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ABBE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  <w:style w:type="paragraph" w:styleId="Revision">
    <w:name w:val="Revision"/>
    <w:hidden/>
    <w:uiPriority w:val="99"/>
    <w:semiHidden/>
    <w:rsid w:val="00B11D0E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D936-DA43-4C8B-9010-DD063F48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2023-05-12T08:13:00Z</cp:lastPrinted>
  <dcterms:created xsi:type="dcterms:W3CDTF">2024-03-21T09:21:00Z</dcterms:created>
  <dcterms:modified xsi:type="dcterms:W3CDTF">2024-03-21T18:12:00Z</dcterms:modified>
</cp:coreProperties>
</file>