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1F621D">
        <w:rPr>
          <w:rStyle w:val="Heading3Char"/>
          <w:b/>
        </w:rPr>
        <w:t xml:space="preserve">NHS Golden Jubilee Board </w:t>
      </w:r>
      <w:r w:rsidR="008C236A">
        <w:rPr>
          <w:rStyle w:val="Heading3Char"/>
          <w:b/>
        </w:rPr>
        <w:t xml:space="preserve">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892BF5">
        <w:rPr>
          <w:rStyle w:val="Heading3Char"/>
          <w:b/>
        </w:rPr>
        <w:t>14</w:t>
      </w:r>
      <w:r w:rsidR="001F621D">
        <w:rPr>
          <w:rStyle w:val="Heading3Char"/>
          <w:b/>
        </w:rPr>
        <w:t xml:space="preserve"> December</w:t>
      </w:r>
      <w:r w:rsidR="000E7C8F" w:rsidRPr="000E7C8F">
        <w:rPr>
          <w:rStyle w:val="Heading3Char"/>
          <w:b/>
        </w:rPr>
        <w:t xml:space="preserve"> 2023</w:t>
      </w:r>
    </w:p>
    <w:p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263165">
        <w:rPr>
          <w:rStyle w:val="Heading3Char"/>
          <w:b/>
        </w:rPr>
        <w:t xml:space="preserve">2022-23 Procurement Annual Report </w:t>
      </w:r>
    </w:p>
    <w:p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0E7C8F">
        <w:rPr>
          <w:rStyle w:val="Heading3Char"/>
          <w:b/>
        </w:rPr>
        <w:t>Michael Breen, Director of Finance</w:t>
      </w:r>
    </w:p>
    <w:p w:rsidR="00430C09" w:rsidRDefault="00430C09" w:rsidP="00833AF5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14742">
        <w:rPr>
          <w:rStyle w:val="Heading3Char"/>
          <w:b/>
        </w:rPr>
        <w:t>Iain Skene, Head of Procurement</w:t>
      </w:r>
    </w:p>
    <w:p w:rsidR="00833AF5" w:rsidRPr="00833AF5" w:rsidRDefault="00833AF5" w:rsidP="00833AF5">
      <w:pPr>
        <w:rPr>
          <w:rFonts w:eastAsiaTheme="majorEastAsia"/>
        </w:rPr>
      </w:pPr>
    </w:p>
    <w:p w:rsidR="00B77902" w:rsidRPr="00B77902" w:rsidRDefault="00B77902" w:rsidP="0023416D"/>
    <w:p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  <w:bookmarkStart w:id="0" w:name="_GoBack"/>
      <w:bookmarkEnd w:id="0"/>
    </w:p>
    <w:p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>is presented</w:t>
      </w:r>
      <w:r w:rsidR="001F621D">
        <w:rPr>
          <w:lang w:eastAsia="en-GB"/>
        </w:rPr>
        <w:t xml:space="preserve"> to the Board</w:t>
      </w:r>
      <w:r w:rsidR="00446219" w:rsidRPr="009807B4">
        <w:rPr>
          <w:lang w:eastAsia="en-GB"/>
        </w:rPr>
        <w:t xml:space="preserve"> for: </w:t>
      </w:r>
    </w:p>
    <w:p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:rsidR="00CC5F74" w:rsidRPr="00CC5F74" w:rsidRDefault="00CC5F74" w:rsidP="0023416D">
      <w:pPr>
        <w:rPr>
          <w:lang w:eastAsia="en-GB"/>
        </w:rPr>
      </w:pPr>
    </w:p>
    <w:p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:rsidR="005F6E03" w:rsidRDefault="005F6E03" w:rsidP="0023416D">
      <w:pPr>
        <w:pStyle w:val="ListParagraph"/>
        <w:ind w:left="1134"/>
      </w:pPr>
    </w:p>
    <w:p w:rsidR="0023416D" w:rsidRDefault="0023416D" w:rsidP="0023416D">
      <w:pPr>
        <w:pStyle w:val="ListParagraph"/>
        <w:ind w:left="1134"/>
      </w:pPr>
    </w:p>
    <w:p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:rsidR="0003098A" w:rsidRDefault="0003098A" w:rsidP="0023416D">
      <w:pPr>
        <w:pStyle w:val="Heading3"/>
        <w:spacing w:before="0"/>
      </w:pPr>
    </w:p>
    <w:p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D46EF5" w:rsidRPr="00D46EF5" w:rsidRDefault="00D46EF5" w:rsidP="00D46EF5"/>
    <w:p w:rsidR="00263165" w:rsidRDefault="00263165" w:rsidP="001F5107">
      <w:pPr>
        <w:pStyle w:val="StyleBodyText11ptBlack"/>
        <w:tabs>
          <w:tab w:val="right" w:pos="8759"/>
        </w:tabs>
        <w:spacing w:line="240" w:lineRule="auto"/>
        <w:ind w:left="686" w:right="-142"/>
        <w:rPr>
          <w:rStyle w:val="StyleBodyText11ptBlackChar"/>
          <w:sz w:val="24"/>
          <w:szCs w:val="24"/>
        </w:rPr>
      </w:pPr>
      <w:r>
        <w:rPr>
          <w:rStyle w:val="StyleBodyText11ptBlackChar"/>
          <w:sz w:val="24"/>
          <w:szCs w:val="24"/>
        </w:rPr>
        <w:t xml:space="preserve">The 2022-23 Procurement Annual Report is attached as Appendix </w:t>
      </w:r>
      <w:r w:rsidR="008A22DF">
        <w:rPr>
          <w:rStyle w:val="StyleBodyText11ptBlackChar"/>
          <w:sz w:val="24"/>
          <w:szCs w:val="24"/>
        </w:rPr>
        <w:t>1 and provides information on</w:t>
      </w:r>
      <w:r>
        <w:rPr>
          <w:rStyle w:val="StyleBodyText11ptBlackChar"/>
          <w:sz w:val="24"/>
          <w:szCs w:val="24"/>
        </w:rPr>
        <w:t xml:space="preserve"> procurement activities and data for the period 1 April 2022 to 31 March 2023. This Annual Report </w:t>
      </w:r>
      <w:r w:rsidR="00414742">
        <w:rPr>
          <w:rStyle w:val="StyleBodyText11ptBlackChar"/>
          <w:sz w:val="24"/>
          <w:szCs w:val="24"/>
        </w:rPr>
        <w:t>once approved r</w:t>
      </w:r>
      <w:r>
        <w:rPr>
          <w:rStyle w:val="StyleBodyText11ptBlackChar"/>
          <w:sz w:val="24"/>
          <w:szCs w:val="24"/>
        </w:rPr>
        <w:t>equires to be published on the NHS Golden Jubilee website</w:t>
      </w:r>
      <w:r w:rsidR="006677B9">
        <w:rPr>
          <w:rStyle w:val="StyleBodyText11ptBlackChar"/>
          <w:sz w:val="24"/>
          <w:szCs w:val="24"/>
        </w:rPr>
        <w:t xml:space="preserve"> and a notification sent to the Scottish Government confirming this has been done</w:t>
      </w:r>
      <w:r>
        <w:rPr>
          <w:rStyle w:val="StyleBodyText11ptBlackChar"/>
          <w:sz w:val="24"/>
          <w:szCs w:val="24"/>
        </w:rPr>
        <w:t xml:space="preserve">. </w:t>
      </w:r>
    </w:p>
    <w:p w:rsidR="00263165" w:rsidRDefault="00263165" w:rsidP="001F5107">
      <w:pPr>
        <w:ind w:left="709" w:right="-142"/>
        <w:rPr>
          <w:rFonts w:cs="Arial"/>
          <w:color w:val="000000"/>
          <w:szCs w:val="24"/>
        </w:rPr>
      </w:pPr>
    </w:p>
    <w:p w:rsidR="00CE5689" w:rsidRDefault="00C87B62" w:rsidP="001F5107">
      <w:pPr>
        <w:pStyle w:val="Heading2"/>
        <w:spacing w:before="0"/>
        <w:ind w:left="686" w:right="-142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:rsidR="00D46EF5" w:rsidRPr="00D46EF5" w:rsidRDefault="00D46EF5" w:rsidP="001F5107">
      <w:pPr>
        <w:ind w:right="-142"/>
      </w:pPr>
    </w:p>
    <w:p w:rsidR="00263165" w:rsidRDefault="00263165" w:rsidP="001F5107">
      <w:pPr>
        <w:pStyle w:val="StyleBodyText11ptBlack"/>
        <w:tabs>
          <w:tab w:val="right" w:pos="8759"/>
        </w:tabs>
        <w:spacing w:line="240" w:lineRule="auto"/>
        <w:ind w:left="686" w:right="-142"/>
        <w:rPr>
          <w:rStyle w:val="StyleBodyText11ptBlackChar"/>
          <w:sz w:val="24"/>
          <w:szCs w:val="24"/>
        </w:rPr>
      </w:pPr>
      <w:r>
        <w:rPr>
          <w:rStyle w:val="StyleBodyText11ptBlackChar"/>
          <w:sz w:val="24"/>
          <w:szCs w:val="24"/>
        </w:rPr>
        <w:t>In line with the Procurement Reform (Scotland) Act 2014 NHS Golden Jubilee is required to publish an annual Procurement Report detailing information on all regulated procurement activity</w:t>
      </w:r>
      <w:r>
        <w:rPr>
          <w:color w:val="000000"/>
          <w:szCs w:val="24"/>
        </w:rPr>
        <w:t xml:space="preserve"> </w:t>
      </w:r>
      <w:r>
        <w:rPr>
          <w:rStyle w:val="StyleBodyText11ptBlackChar"/>
          <w:sz w:val="24"/>
          <w:szCs w:val="24"/>
        </w:rPr>
        <w:t>In addition to reporting previous activity, the report also includes information on regulated procurements that are planned for the next two-year period (2023/24 and 2024/25).</w:t>
      </w:r>
    </w:p>
    <w:p w:rsidR="00263165" w:rsidRDefault="00263165" w:rsidP="0023416D">
      <w:pPr>
        <w:ind w:left="709"/>
        <w:rPr>
          <w:rFonts w:cs="Arial"/>
          <w:color w:val="000000"/>
          <w:szCs w:val="24"/>
        </w:rPr>
      </w:pPr>
    </w:p>
    <w:p w:rsidR="00414742" w:rsidRDefault="00414742" w:rsidP="0023416D">
      <w:pPr>
        <w:ind w:left="709"/>
        <w:rPr>
          <w:rFonts w:cs="Arial"/>
          <w:color w:val="000000"/>
          <w:szCs w:val="24"/>
        </w:rPr>
      </w:pPr>
    </w:p>
    <w:p w:rsidR="00414742" w:rsidRDefault="00414742" w:rsidP="0023416D">
      <w:pPr>
        <w:ind w:left="709"/>
        <w:rPr>
          <w:rFonts w:cs="Arial"/>
          <w:color w:val="000000"/>
          <w:szCs w:val="24"/>
        </w:rPr>
      </w:pPr>
    </w:p>
    <w:p w:rsidR="00F3337D" w:rsidRDefault="00C87B62" w:rsidP="0023416D">
      <w:pPr>
        <w:pStyle w:val="Heading2"/>
        <w:spacing w:before="0"/>
      </w:pPr>
      <w:r>
        <w:lastRenderedPageBreak/>
        <w:t>2</w:t>
      </w:r>
      <w:r w:rsidR="00BF3AF0">
        <w:t>.3</w:t>
      </w:r>
      <w:r w:rsidR="00BF3AF0">
        <w:tab/>
      </w:r>
      <w:r w:rsidR="00F3337D">
        <w:t>Assessment</w:t>
      </w:r>
    </w:p>
    <w:p w:rsidR="00263165" w:rsidRDefault="00263165" w:rsidP="00263165"/>
    <w:p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:rsidR="00AC28FE" w:rsidRPr="00AC28FE" w:rsidRDefault="00AC28FE" w:rsidP="00AC28FE"/>
    <w:p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:rsidR="00AA77F7" w:rsidRDefault="00263165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 workforce considerations require to be noted.</w:t>
      </w:r>
    </w:p>
    <w:p w:rsidR="00F3337D" w:rsidRPr="00AA77F7" w:rsidRDefault="00F3337D" w:rsidP="0023416D">
      <w:pPr>
        <w:rPr>
          <w:rFonts w:cs="Arial"/>
          <w:color w:val="000000"/>
          <w:szCs w:val="24"/>
        </w:rPr>
      </w:pPr>
    </w:p>
    <w:p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:rsidR="00F3337D" w:rsidRDefault="00263165" w:rsidP="00263165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Procurement Annual Report includes some financial analysis of </w:t>
      </w:r>
      <w:r>
        <w:t>Regulated Procurements during Financial Year 2022/23</w:t>
      </w:r>
    </w:p>
    <w:p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:rsidR="00F3337D" w:rsidRPr="00BF3AF0" w:rsidRDefault="00F3337D" w:rsidP="0023416D">
      <w:pPr>
        <w:rPr>
          <w:rFonts w:cs="Arial"/>
          <w:color w:val="000000"/>
          <w:szCs w:val="24"/>
        </w:rPr>
      </w:pPr>
    </w:p>
    <w:p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:rsidR="00446219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:rsidR="00D46EF5" w:rsidRPr="00D46EF5" w:rsidRDefault="00D46EF5" w:rsidP="00D46EF5"/>
    <w:p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</w:t>
      </w:r>
      <w:r w:rsidR="00414742">
        <w:rPr>
          <w:rFonts w:cs="Arial"/>
          <w:color w:val="000000"/>
          <w:szCs w:val="24"/>
        </w:rPr>
        <w:t>considered the draft 2022-23 Procurement Report and provided feedback on the report at their meeting in October 2023.</w:t>
      </w:r>
    </w:p>
    <w:p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:rsidR="00D46EF5" w:rsidRPr="00D46EF5" w:rsidRDefault="00D46EF5" w:rsidP="00D46EF5"/>
    <w:p w:rsidR="00446219" w:rsidRPr="00BF3AF0" w:rsidRDefault="00414742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A final draft </w:t>
      </w:r>
      <w:r>
        <w:rPr>
          <w:rFonts w:cs="Arial"/>
          <w:color w:val="000000"/>
          <w:szCs w:val="24"/>
        </w:rPr>
        <w:t>2022-23 Procurement Report has been prepared for this meeting.</w:t>
      </w:r>
    </w:p>
    <w:p w:rsidR="00430C09" w:rsidRPr="00DB4216" w:rsidRDefault="00430C09" w:rsidP="0023416D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:rsidR="00F81D47" w:rsidRPr="00F81D47" w:rsidRDefault="00F81D47" w:rsidP="0023416D">
      <w:pPr>
        <w:pStyle w:val="ListParagraph"/>
        <w:ind w:left="525"/>
      </w:pPr>
    </w:p>
    <w:p w:rsidR="00FB6AC9" w:rsidRPr="001F5107" w:rsidRDefault="00736F9F" w:rsidP="001F5107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C14D4B">
        <w:rPr>
          <w:rFonts w:cs="Arial"/>
        </w:rPr>
        <w:t>Finance and Performance Committee</w:t>
      </w:r>
      <w:r w:rsidRPr="00401E1B">
        <w:rPr>
          <w:rFonts w:cs="Arial"/>
          <w:b w:val="0"/>
        </w:rPr>
        <w:t xml:space="preserve"> </w:t>
      </w:r>
      <w:r w:rsidR="00401E1B">
        <w:rPr>
          <w:rFonts w:cs="Arial"/>
          <w:b w:val="0"/>
        </w:rPr>
        <w:t xml:space="preserve">are asked </w:t>
      </w:r>
      <w:r w:rsidR="001F5107">
        <w:rPr>
          <w:b w:val="0"/>
          <w:lang w:eastAsia="en-GB"/>
        </w:rPr>
        <w:t>a</w:t>
      </w:r>
      <w:r w:rsidR="002238EF" w:rsidRPr="001F5107">
        <w:rPr>
          <w:b w:val="0"/>
          <w:lang w:eastAsia="en-GB"/>
        </w:rPr>
        <w:t xml:space="preserve">pprove the </w:t>
      </w:r>
      <w:r w:rsidR="00414742" w:rsidRPr="001F5107">
        <w:rPr>
          <w:b w:val="0"/>
          <w:lang w:eastAsia="en-GB"/>
        </w:rPr>
        <w:t xml:space="preserve">2022-23 Procurement Annual Report </w:t>
      </w:r>
    </w:p>
    <w:p w:rsidR="00736F9F" w:rsidRP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414742">
        <w:rPr>
          <w:rFonts w:ascii="Arial" w:hAnsi="Arial" w:cs="Arial"/>
          <w:color w:val="000000"/>
          <w:sz w:val="24"/>
          <w:szCs w:val="24"/>
        </w:rPr>
        <w:t>2022-23 Procurement Annual Report</w:t>
      </w:r>
    </w:p>
    <w:p w:rsidR="00C87B62" w:rsidRPr="00F73E71" w:rsidRDefault="00C87B62" w:rsidP="008F6840">
      <w:pPr>
        <w:pStyle w:val="ListParagraph"/>
        <w:ind w:left="1134"/>
        <w:rPr>
          <w:rFonts w:ascii="Arial" w:hAnsi="Arial" w:cs="Arial"/>
          <w:color w:val="000000"/>
          <w:sz w:val="24"/>
          <w:szCs w:val="24"/>
        </w:rPr>
      </w:pPr>
    </w:p>
    <w:p w:rsidR="00F73E71" w:rsidRPr="00F73E71" w:rsidRDefault="00F73E71" w:rsidP="0023416D">
      <w:pPr>
        <w:ind w:left="709"/>
        <w:rPr>
          <w:rFonts w:cs="Arial"/>
          <w:color w:val="000000"/>
          <w:szCs w:val="24"/>
        </w:rPr>
      </w:pPr>
    </w:p>
    <w:p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07" w:rsidRDefault="00D22607">
      <w:r>
        <w:separator/>
      </w:r>
    </w:p>
  </w:endnote>
  <w:endnote w:type="continuationSeparator" w:id="0">
    <w:p w:rsidR="00D22607" w:rsidRDefault="00D2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1784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1784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07" w:rsidRDefault="00D22607">
      <w:r>
        <w:separator/>
      </w:r>
    </w:p>
  </w:footnote>
  <w:footnote w:type="continuationSeparator" w:id="0">
    <w:p w:rsidR="00D22607" w:rsidRDefault="00D2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8F" w:rsidRPr="001F5107" w:rsidRDefault="00217845" w:rsidP="000E7C8F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323E4F" w:themeColor="text2" w:themeShade="BF"/>
        <w:sz w:val="20"/>
      </w:rPr>
    </w:pPr>
    <w:r>
      <w:rPr>
        <w:rFonts w:cs="Arial"/>
        <w:b/>
        <w:color w:val="323E4F" w:themeColor="text2" w:themeShade="BF"/>
        <w:sz w:val="20"/>
      </w:rPr>
      <w:t>Paper 6.5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3943"/>
    <w:rsid w:val="00076929"/>
    <w:rsid w:val="00091974"/>
    <w:rsid w:val="000945DB"/>
    <w:rsid w:val="000E7C8F"/>
    <w:rsid w:val="000F7706"/>
    <w:rsid w:val="001117D0"/>
    <w:rsid w:val="00114288"/>
    <w:rsid w:val="00125A9E"/>
    <w:rsid w:val="00140DB3"/>
    <w:rsid w:val="001926B2"/>
    <w:rsid w:val="001A4406"/>
    <w:rsid w:val="001C28B3"/>
    <w:rsid w:val="001D1809"/>
    <w:rsid w:val="001E2FE6"/>
    <w:rsid w:val="001F27DB"/>
    <w:rsid w:val="001F5107"/>
    <w:rsid w:val="001F621D"/>
    <w:rsid w:val="002143A5"/>
    <w:rsid w:val="00217845"/>
    <w:rsid w:val="00220C80"/>
    <w:rsid w:val="002238EF"/>
    <w:rsid w:val="0023416D"/>
    <w:rsid w:val="0023473B"/>
    <w:rsid w:val="00235714"/>
    <w:rsid w:val="00246B07"/>
    <w:rsid w:val="00263165"/>
    <w:rsid w:val="002B00C7"/>
    <w:rsid w:val="002D3C8C"/>
    <w:rsid w:val="0033790B"/>
    <w:rsid w:val="003F7F61"/>
    <w:rsid w:val="00401E1B"/>
    <w:rsid w:val="004126E2"/>
    <w:rsid w:val="00414742"/>
    <w:rsid w:val="00427B3D"/>
    <w:rsid w:val="00430C09"/>
    <w:rsid w:val="00446219"/>
    <w:rsid w:val="00495B36"/>
    <w:rsid w:val="004A3A5F"/>
    <w:rsid w:val="004A7AF2"/>
    <w:rsid w:val="004C24DE"/>
    <w:rsid w:val="00546124"/>
    <w:rsid w:val="00591C18"/>
    <w:rsid w:val="005D509D"/>
    <w:rsid w:val="005F6E03"/>
    <w:rsid w:val="00610728"/>
    <w:rsid w:val="006173A9"/>
    <w:rsid w:val="006677B9"/>
    <w:rsid w:val="006878C7"/>
    <w:rsid w:val="006B6463"/>
    <w:rsid w:val="006C5D29"/>
    <w:rsid w:val="006D1343"/>
    <w:rsid w:val="00712124"/>
    <w:rsid w:val="00736F9F"/>
    <w:rsid w:val="007C5D53"/>
    <w:rsid w:val="007F32CF"/>
    <w:rsid w:val="00816E22"/>
    <w:rsid w:val="00833AF5"/>
    <w:rsid w:val="00892BF5"/>
    <w:rsid w:val="008A22DF"/>
    <w:rsid w:val="008C236A"/>
    <w:rsid w:val="008F6840"/>
    <w:rsid w:val="00927C6C"/>
    <w:rsid w:val="009549B5"/>
    <w:rsid w:val="009807B4"/>
    <w:rsid w:val="00993B31"/>
    <w:rsid w:val="009F33DC"/>
    <w:rsid w:val="00A2680C"/>
    <w:rsid w:val="00A62B58"/>
    <w:rsid w:val="00A82672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14D4B"/>
    <w:rsid w:val="00C754FD"/>
    <w:rsid w:val="00C87B62"/>
    <w:rsid w:val="00C94BF7"/>
    <w:rsid w:val="00CC5F74"/>
    <w:rsid w:val="00CE5689"/>
    <w:rsid w:val="00D22607"/>
    <w:rsid w:val="00D4385E"/>
    <w:rsid w:val="00D46EF5"/>
    <w:rsid w:val="00DC1E3B"/>
    <w:rsid w:val="00DD2D3D"/>
    <w:rsid w:val="00DD6252"/>
    <w:rsid w:val="00DF1BE0"/>
    <w:rsid w:val="00DF31BC"/>
    <w:rsid w:val="00E00FD3"/>
    <w:rsid w:val="00E3614B"/>
    <w:rsid w:val="00E377BA"/>
    <w:rsid w:val="00E71CD2"/>
    <w:rsid w:val="00EB777F"/>
    <w:rsid w:val="00F30F4C"/>
    <w:rsid w:val="00F3337D"/>
    <w:rsid w:val="00F73E71"/>
    <w:rsid w:val="00F81D47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D0E9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StyleBodyText11ptBlackChar">
    <w:name w:val="Style Body Text + 11 pt Black Char"/>
    <w:basedOn w:val="DefaultParagraphFont"/>
    <w:link w:val="StyleBodyText11ptBlack"/>
    <w:locked/>
    <w:rsid w:val="00263165"/>
    <w:rPr>
      <w:spacing w:val="-3"/>
      <w:kern w:val="16"/>
      <w:sz w:val="22"/>
      <w:szCs w:val="18"/>
    </w:rPr>
  </w:style>
  <w:style w:type="paragraph" w:customStyle="1" w:styleId="StyleBodyText11ptBlack">
    <w:name w:val="Style Body Text + 11 pt Black"/>
    <w:basedOn w:val="BodyText"/>
    <w:link w:val="StyleBodyText11ptBlackChar"/>
    <w:rsid w:val="00263165"/>
    <w:pPr>
      <w:suppressAutoHyphens/>
      <w:spacing w:before="60" w:after="160" w:line="236" w:lineRule="exact"/>
    </w:pPr>
    <w:rPr>
      <w:rFonts w:eastAsiaTheme="minorHAnsi" w:cs="Arial"/>
      <w:kern w:val="16"/>
      <w:sz w:val="22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2631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3165"/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59F3D-77A3-46C5-AB9D-5CE3B1F9637C}">
  <ds:schemaRefs>
    <ds:schemaRef ds:uri="http://schemas.microsoft.com/office/2006/metadata/properties"/>
    <ds:schemaRef ds:uri="http://schemas.microsoft.com/office/infopath/2007/PartnerControls"/>
    <ds:schemaRef ds:uri="00bb3a5e-402d-49f1-8819-0c5909c4f47c"/>
  </ds:schemaRefs>
</ds:datastoreItem>
</file>

<file path=customXml/itemProps4.xml><?xml version="1.0" encoding="utf-8"?>
<ds:datastoreItem xmlns:ds="http://schemas.openxmlformats.org/officeDocument/2006/customXml" ds:itemID="{71D32A28-C89F-4298-8442-1556DF78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Simpson (NHS GOLDEN JUBILEE)</cp:lastModifiedBy>
  <cp:revision>8</cp:revision>
  <cp:lastPrinted>2019-10-07T12:25:00Z</cp:lastPrinted>
  <dcterms:created xsi:type="dcterms:W3CDTF">2023-11-07T09:04:00Z</dcterms:created>
  <dcterms:modified xsi:type="dcterms:W3CDTF">2023-11-30T16:37:00Z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