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F580C" w14:textId="37877620" w:rsidR="00363EDA" w:rsidRPr="00363EDA" w:rsidRDefault="00405DEC" w:rsidP="00363EDA">
      <w:pPr>
        <w:keepNext/>
        <w:keepLines/>
        <w:spacing w:before="240" w:line="276" w:lineRule="auto"/>
        <w:ind w:right="-286"/>
        <w:outlineLvl w:val="0"/>
        <w:rPr>
          <w:rFonts w:ascii="Arial" w:hAnsi="Arial"/>
          <w:b/>
          <w:color w:val="002060"/>
          <w:spacing w:val="-3"/>
          <w:sz w:val="52"/>
          <w:szCs w:val="32"/>
          <w:lang w:eastAsia="en-US"/>
        </w:rPr>
      </w:pPr>
      <w:r>
        <w:rPr>
          <w:rFonts w:ascii="Arial" w:hAnsi="Arial"/>
          <w:b/>
          <w:color w:val="002060"/>
          <w:spacing w:val="-3"/>
          <w:sz w:val="52"/>
          <w:szCs w:val="32"/>
          <w:lang w:eastAsia="en-US"/>
        </w:rPr>
        <w:t xml:space="preserve"> </w:t>
      </w:r>
      <w:r w:rsidR="00363EDA" w:rsidRPr="00363EDA">
        <w:rPr>
          <w:rFonts w:ascii="Arial" w:hAnsi="Arial"/>
          <w:b/>
          <w:color w:val="002060"/>
          <w:spacing w:val="-3"/>
          <w:sz w:val="52"/>
          <w:szCs w:val="32"/>
          <w:lang w:eastAsia="en-US"/>
        </w:rPr>
        <w:t>NHS Golden Jubilee</w:t>
      </w:r>
      <w:r w:rsidR="00363EDA" w:rsidRPr="00363EDA">
        <w:rPr>
          <w:rFonts w:ascii="Arial" w:hAnsi="Arial"/>
          <w:b/>
          <w:color w:val="002060"/>
          <w:spacing w:val="-3"/>
          <w:sz w:val="52"/>
          <w:szCs w:val="32"/>
          <w:lang w:eastAsia="en-US"/>
        </w:rPr>
        <w:tab/>
      </w:r>
      <w:r w:rsidR="00363EDA" w:rsidRPr="00363EDA">
        <w:rPr>
          <w:rFonts w:ascii="Arial" w:hAnsi="Arial"/>
          <w:b/>
          <w:color w:val="002060"/>
          <w:spacing w:val="-3"/>
          <w:sz w:val="52"/>
          <w:szCs w:val="32"/>
          <w:lang w:eastAsia="en-US"/>
        </w:rPr>
        <w:tab/>
      </w:r>
      <w:r w:rsidR="00363EDA" w:rsidRPr="00363EDA">
        <w:rPr>
          <w:rFonts w:ascii="Arial" w:hAnsi="Arial"/>
          <w:b/>
          <w:color w:val="002060"/>
          <w:spacing w:val="-3"/>
          <w:sz w:val="52"/>
          <w:szCs w:val="32"/>
          <w:lang w:eastAsia="en-US"/>
        </w:rPr>
        <w:tab/>
      </w:r>
      <w:r w:rsidR="00363EDA" w:rsidRPr="00363EDA">
        <w:rPr>
          <w:rFonts w:ascii="Arial" w:hAnsi="Arial"/>
          <w:b/>
          <w:color w:val="002060"/>
          <w:spacing w:val="-3"/>
          <w:sz w:val="52"/>
          <w:szCs w:val="32"/>
          <w:lang w:eastAsia="en-US"/>
        </w:rPr>
        <w:tab/>
      </w:r>
      <w:r w:rsidR="00363EDA" w:rsidRPr="00363EDA">
        <w:rPr>
          <w:rFonts w:ascii="Arial" w:hAnsi="Arial"/>
          <w:b/>
          <w:color w:val="002060"/>
          <w:spacing w:val="-3"/>
          <w:sz w:val="52"/>
          <w:szCs w:val="32"/>
          <w:lang w:eastAsia="en-US"/>
        </w:rPr>
        <w:tab/>
      </w:r>
      <w:r w:rsidR="00363EDA" w:rsidRPr="00363EDA">
        <w:rPr>
          <w:rFonts w:ascii="Arial" w:hAnsi="Arial"/>
          <w:b/>
          <w:noProof/>
          <w:color w:val="2E74B5"/>
          <w:spacing w:val="-3"/>
          <w:sz w:val="52"/>
          <w:szCs w:val="32"/>
        </w:rPr>
        <w:t xml:space="preserve"> </w:t>
      </w:r>
      <w:r w:rsidR="00363EDA" w:rsidRPr="00363EDA">
        <w:rPr>
          <w:rFonts w:ascii="Arial" w:hAnsi="Arial"/>
          <w:b/>
          <w:noProof/>
          <w:color w:val="2E74B5"/>
          <w:spacing w:val="-3"/>
          <w:sz w:val="52"/>
          <w:szCs w:val="32"/>
        </w:rPr>
        <w:drawing>
          <wp:inline distT="0" distB="0" distL="0" distR="0" wp14:anchorId="444803C1" wp14:editId="19C4EEA3">
            <wp:extent cx="1152525"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901938E" w14:textId="77777777" w:rsidR="00363EDA" w:rsidRPr="00363EDA" w:rsidRDefault="00363EDA" w:rsidP="00363EDA">
      <w:pPr>
        <w:keepNext/>
        <w:keepLines/>
        <w:spacing w:before="40"/>
        <w:outlineLvl w:val="1"/>
        <w:rPr>
          <w:rFonts w:ascii="Arial" w:hAnsi="Arial"/>
          <w:b/>
          <w:color w:val="000000"/>
          <w:spacing w:val="-3"/>
          <w:sz w:val="28"/>
          <w:szCs w:val="26"/>
          <w:highlight w:val="lightGray"/>
          <w:lang w:eastAsia="en-US"/>
        </w:rPr>
      </w:pPr>
    </w:p>
    <w:p w14:paraId="521599FE" w14:textId="49215C55" w:rsidR="002340DE" w:rsidRPr="002340DE" w:rsidRDefault="002340DE" w:rsidP="002340DE">
      <w:pPr>
        <w:keepNext/>
        <w:spacing w:before="240" w:after="60"/>
        <w:ind w:left="4536" w:hanging="4536"/>
        <w:outlineLvl w:val="2"/>
        <w:rPr>
          <w:rFonts w:ascii="Arial" w:hAnsi="Arial" w:cs="Arial"/>
          <w:bCs/>
          <w:lang w:eastAsia="en-US"/>
        </w:rPr>
      </w:pPr>
      <w:r w:rsidRPr="002340DE">
        <w:rPr>
          <w:rFonts w:ascii="Arial" w:hAnsi="Arial" w:cs="Arial"/>
          <w:b/>
          <w:lang w:eastAsia="en-US"/>
        </w:rPr>
        <w:t>Meeting:</w:t>
      </w:r>
      <w:r w:rsidRPr="002340DE">
        <w:rPr>
          <w:rFonts w:ascii="Arial" w:hAnsi="Arial" w:cs="Arial"/>
          <w:b/>
          <w:lang w:eastAsia="en-US"/>
        </w:rPr>
        <w:tab/>
      </w:r>
      <w:r w:rsidR="007544FE">
        <w:rPr>
          <w:rFonts w:ascii="Arial" w:hAnsi="Arial" w:cs="Arial"/>
          <w:b/>
          <w:lang w:eastAsia="en-US"/>
        </w:rPr>
        <w:t>NHS Golden Jubilee Board</w:t>
      </w:r>
    </w:p>
    <w:p w14:paraId="21C18B7A" w14:textId="6767D01C" w:rsidR="002340DE" w:rsidRPr="002340DE" w:rsidRDefault="002340DE" w:rsidP="002340DE">
      <w:pPr>
        <w:keepNext/>
        <w:spacing w:before="240" w:after="60"/>
        <w:ind w:left="4536" w:hanging="4536"/>
        <w:outlineLvl w:val="2"/>
        <w:rPr>
          <w:rFonts w:ascii="Arial" w:hAnsi="Arial" w:cs="Arial"/>
          <w:b/>
          <w:lang w:eastAsia="en-US"/>
        </w:rPr>
      </w:pPr>
      <w:r w:rsidRPr="002340DE">
        <w:rPr>
          <w:rFonts w:ascii="Arial" w:hAnsi="Arial" w:cs="Arial"/>
          <w:b/>
          <w:lang w:eastAsia="en-US"/>
        </w:rPr>
        <w:t>Meeting date:</w:t>
      </w:r>
      <w:r w:rsidRPr="002340DE">
        <w:rPr>
          <w:rFonts w:ascii="Arial" w:hAnsi="Arial" w:cs="Arial"/>
          <w:b/>
          <w:lang w:eastAsia="en-US"/>
        </w:rPr>
        <w:tab/>
      </w:r>
      <w:r w:rsidR="007544FE">
        <w:rPr>
          <w:rFonts w:ascii="Arial" w:hAnsi="Arial" w:cs="Arial"/>
          <w:b/>
          <w:lang w:eastAsia="en-US"/>
        </w:rPr>
        <w:t>28</w:t>
      </w:r>
      <w:r w:rsidR="00D12B08">
        <w:rPr>
          <w:rFonts w:ascii="Arial" w:hAnsi="Arial" w:cs="Arial"/>
          <w:b/>
          <w:lang w:eastAsia="en-US"/>
        </w:rPr>
        <w:t xml:space="preserve"> September </w:t>
      </w:r>
      <w:r w:rsidRPr="002340DE">
        <w:rPr>
          <w:rFonts w:ascii="Arial" w:hAnsi="Arial" w:cs="Arial"/>
          <w:b/>
          <w:lang w:eastAsia="en-US"/>
        </w:rPr>
        <w:t>2023</w:t>
      </w:r>
    </w:p>
    <w:p w14:paraId="191097DF" w14:textId="608F0749" w:rsidR="002340DE" w:rsidRPr="002340DE" w:rsidRDefault="002340DE" w:rsidP="002340DE">
      <w:pPr>
        <w:keepNext/>
        <w:spacing w:before="240" w:after="60"/>
        <w:ind w:left="4536" w:hanging="4536"/>
        <w:outlineLvl w:val="2"/>
        <w:rPr>
          <w:rFonts w:ascii="Arial" w:hAnsi="Arial" w:cs="Arial"/>
          <w:bCs/>
          <w:lang w:eastAsia="en-US"/>
        </w:rPr>
      </w:pPr>
      <w:r w:rsidRPr="002340DE">
        <w:rPr>
          <w:rFonts w:ascii="Arial" w:hAnsi="Arial" w:cs="Arial"/>
          <w:b/>
          <w:lang w:eastAsia="en-US"/>
        </w:rPr>
        <w:t>Title:</w:t>
      </w:r>
      <w:r w:rsidRPr="002340DE">
        <w:rPr>
          <w:rFonts w:ascii="Arial" w:hAnsi="Arial" w:cs="Arial"/>
          <w:b/>
          <w:lang w:eastAsia="en-US"/>
        </w:rPr>
        <w:tab/>
      </w:r>
      <w:r w:rsidR="007544FE">
        <w:rPr>
          <w:rFonts w:ascii="Arial" w:hAnsi="Arial" w:cs="Arial"/>
          <w:b/>
          <w:lang w:eastAsia="en-US"/>
        </w:rPr>
        <w:t xml:space="preserve">Clinical Governance </w:t>
      </w:r>
      <w:bookmarkStart w:id="0" w:name="_GoBack"/>
      <w:bookmarkEnd w:id="0"/>
      <w:r w:rsidR="00D12B08">
        <w:rPr>
          <w:rFonts w:ascii="Arial" w:hAnsi="Arial" w:cs="Arial"/>
          <w:b/>
          <w:lang w:eastAsia="en-US"/>
        </w:rPr>
        <w:t>Annual Learning Summary</w:t>
      </w:r>
    </w:p>
    <w:p w14:paraId="2C9F039B" w14:textId="77777777" w:rsidR="002340DE" w:rsidRPr="002340DE" w:rsidRDefault="002340DE" w:rsidP="002340DE">
      <w:pPr>
        <w:keepNext/>
        <w:spacing w:before="240" w:after="60"/>
        <w:ind w:left="4536" w:hanging="4536"/>
        <w:outlineLvl w:val="2"/>
        <w:rPr>
          <w:rFonts w:ascii="Arial" w:hAnsi="Arial" w:cs="Arial"/>
          <w:b/>
          <w:lang w:eastAsia="en-US"/>
        </w:rPr>
      </w:pPr>
      <w:r w:rsidRPr="002340DE">
        <w:rPr>
          <w:rFonts w:ascii="Arial" w:hAnsi="Arial" w:cs="Arial"/>
          <w:b/>
          <w:lang w:eastAsia="en-US"/>
        </w:rPr>
        <w:t xml:space="preserve">Responsible Executive/Non-Executive: </w:t>
      </w:r>
      <w:r w:rsidRPr="002340DE">
        <w:rPr>
          <w:rFonts w:ascii="Arial" w:hAnsi="Arial" w:cs="Arial"/>
          <w:b/>
          <w:lang w:eastAsia="en-US"/>
        </w:rPr>
        <w:tab/>
        <w:t xml:space="preserve">Mark MacGregor, Executive Medical Director </w:t>
      </w:r>
    </w:p>
    <w:p w14:paraId="6B5A109F" w14:textId="77777777" w:rsidR="002340DE" w:rsidRPr="002340DE" w:rsidRDefault="002340DE" w:rsidP="002340DE">
      <w:pPr>
        <w:keepNext/>
        <w:spacing w:before="240" w:after="60"/>
        <w:ind w:left="4536" w:hanging="4536"/>
        <w:outlineLvl w:val="2"/>
        <w:rPr>
          <w:rFonts w:ascii="Arial" w:hAnsi="Arial" w:cs="Arial"/>
          <w:b/>
          <w:lang w:eastAsia="en-US"/>
        </w:rPr>
      </w:pPr>
      <w:r w:rsidRPr="002340DE">
        <w:rPr>
          <w:rFonts w:ascii="Arial" w:hAnsi="Arial" w:cs="Arial"/>
          <w:b/>
          <w:lang w:eastAsia="en-US"/>
        </w:rPr>
        <w:t>Report Author:</w:t>
      </w:r>
      <w:r w:rsidRPr="002340DE">
        <w:rPr>
          <w:rFonts w:ascii="Arial" w:hAnsi="Arial" w:cs="Arial"/>
          <w:b/>
          <w:lang w:eastAsia="en-US"/>
        </w:rPr>
        <w:tab/>
        <w:t xml:space="preserve">Katie Bryant, Head of Clinical Risk and Governance </w:t>
      </w:r>
    </w:p>
    <w:p w14:paraId="793C9041" w14:textId="77777777" w:rsidR="002340DE" w:rsidRPr="002340DE" w:rsidRDefault="002340DE" w:rsidP="002340DE">
      <w:pPr>
        <w:rPr>
          <w:lang w:eastAsia="en-US"/>
        </w:rPr>
      </w:pPr>
    </w:p>
    <w:p w14:paraId="2970DBA4" w14:textId="5E33E662" w:rsidR="002340DE" w:rsidRPr="009B572B" w:rsidRDefault="002340DE" w:rsidP="009B572B">
      <w:pPr>
        <w:keepNext/>
        <w:outlineLvl w:val="1"/>
        <w:rPr>
          <w:rFonts w:ascii="Arial" w:hAnsi="Arial" w:cs="Arial"/>
          <w:b/>
          <w:bCs/>
          <w:color w:val="000000"/>
          <w:lang w:eastAsia="en-US"/>
        </w:rPr>
      </w:pPr>
      <w:r w:rsidRPr="002340DE">
        <w:rPr>
          <w:rFonts w:ascii="Arial" w:hAnsi="Arial" w:cs="Arial"/>
          <w:b/>
          <w:bCs/>
          <w:color w:val="000000"/>
          <w:lang w:eastAsia="en-US"/>
        </w:rPr>
        <w:t>1</w:t>
      </w:r>
      <w:r w:rsidRPr="002340DE">
        <w:rPr>
          <w:rFonts w:ascii="Arial" w:hAnsi="Arial" w:cs="Arial"/>
          <w:b/>
          <w:bCs/>
          <w:color w:val="000000"/>
          <w:lang w:eastAsia="en-US"/>
        </w:rPr>
        <w:tab/>
        <w:t>Purpose</w:t>
      </w:r>
    </w:p>
    <w:p w14:paraId="69A6E1F7" w14:textId="77777777" w:rsidR="002340DE" w:rsidRPr="002340DE" w:rsidRDefault="002340DE" w:rsidP="002340DE">
      <w:pPr>
        <w:keepNext/>
        <w:spacing w:before="240" w:after="60"/>
        <w:ind w:left="720"/>
        <w:outlineLvl w:val="2"/>
        <w:rPr>
          <w:rFonts w:ascii="Arial" w:hAnsi="Arial" w:cs="Arial"/>
          <w:b/>
          <w:bCs/>
        </w:rPr>
      </w:pPr>
      <w:r w:rsidRPr="002340DE">
        <w:rPr>
          <w:rFonts w:ascii="Arial" w:hAnsi="Arial" w:cs="Arial"/>
          <w:b/>
          <w:bCs/>
        </w:rPr>
        <w:t xml:space="preserve">This is presented to the group for: </w:t>
      </w:r>
    </w:p>
    <w:p w14:paraId="4237B432" w14:textId="77777777" w:rsidR="002340DE" w:rsidRPr="002340DE" w:rsidRDefault="002340DE" w:rsidP="002340DE">
      <w:pPr>
        <w:keepNext/>
        <w:keepLines/>
        <w:numPr>
          <w:ilvl w:val="0"/>
          <w:numId w:val="19"/>
        </w:numPr>
        <w:spacing w:before="40"/>
        <w:ind w:left="1080"/>
        <w:outlineLvl w:val="2"/>
        <w:rPr>
          <w:rFonts w:ascii="Arial" w:hAnsi="Arial" w:cs="Arial"/>
          <w:bCs/>
        </w:rPr>
      </w:pPr>
      <w:r w:rsidRPr="002340DE">
        <w:rPr>
          <w:rFonts w:ascii="Arial" w:hAnsi="Arial" w:cs="Arial"/>
          <w:bCs/>
        </w:rPr>
        <w:t>Awareness</w:t>
      </w:r>
    </w:p>
    <w:p w14:paraId="6E08B87B" w14:textId="77777777" w:rsidR="002340DE" w:rsidRPr="002340DE" w:rsidRDefault="002340DE" w:rsidP="002340DE">
      <w:pPr>
        <w:autoSpaceDE w:val="0"/>
        <w:autoSpaceDN w:val="0"/>
        <w:adjustRightInd w:val="0"/>
        <w:spacing w:before="40" w:after="40"/>
        <w:ind w:left="720"/>
        <w:rPr>
          <w:rFonts w:ascii="Arial" w:hAnsi="Arial" w:cs="Arial"/>
          <w:color w:val="000000"/>
        </w:rPr>
      </w:pPr>
    </w:p>
    <w:p w14:paraId="5F9A2A1D" w14:textId="77777777" w:rsidR="002340DE" w:rsidRPr="002340DE" w:rsidRDefault="002340DE" w:rsidP="002340DE">
      <w:pPr>
        <w:keepNext/>
        <w:spacing w:before="240" w:after="60"/>
        <w:ind w:left="720"/>
        <w:outlineLvl w:val="2"/>
        <w:rPr>
          <w:rFonts w:ascii="Arial" w:hAnsi="Arial" w:cs="Arial"/>
          <w:b/>
          <w:bCs/>
        </w:rPr>
      </w:pPr>
      <w:r w:rsidRPr="002340DE">
        <w:rPr>
          <w:rFonts w:ascii="Arial" w:hAnsi="Arial" w:cs="Arial"/>
          <w:b/>
          <w:bCs/>
        </w:rPr>
        <w:t>This report relates to a:</w:t>
      </w:r>
    </w:p>
    <w:p w14:paraId="384E75E0" w14:textId="77777777" w:rsidR="002340DE" w:rsidRPr="002340DE" w:rsidRDefault="002340DE" w:rsidP="002340DE">
      <w:pPr>
        <w:numPr>
          <w:ilvl w:val="0"/>
          <w:numId w:val="17"/>
        </w:numPr>
        <w:autoSpaceDE w:val="0"/>
        <w:autoSpaceDN w:val="0"/>
        <w:adjustRightInd w:val="0"/>
        <w:spacing w:before="40" w:after="40"/>
        <w:ind w:left="1080"/>
        <w:rPr>
          <w:rFonts w:ascii="Arial" w:eastAsia="Calibri" w:hAnsi="Arial" w:cs="Arial"/>
          <w:color w:val="000000"/>
        </w:rPr>
      </w:pPr>
      <w:r w:rsidRPr="002340DE">
        <w:rPr>
          <w:rFonts w:ascii="Arial" w:eastAsia="Calibri" w:hAnsi="Arial" w:cs="Arial"/>
          <w:color w:val="000000"/>
        </w:rPr>
        <w:t>Government policy/directive</w:t>
      </w:r>
    </w:p>
    <w:p w14:paraId="350CD5F6" w14:textId="77777777" w:rsidR="002340DE" w:rsidRPr="002340DE" w:rsidRDefault="002340DE" w:rsidP="002340DE">
      <w:pPr>
        <w:autoSpaceDE w:val="0"/>
        <w:autoSpaceDN w:val="0"/>
        <w:adjustRightInd w:val="0"/>
        <w:spacing w:before="40" w:after="40"/>
        <w:ind w:left="720"/>
        <w:rPr>
          <w:rFonts w:ascii="Arial" w:hAnsi="Arial" w:cs="Arial"/>
          <w:color w:val="000000"/>
        </w:rPr>
      </w:pPr>
    </w:p>
    <w:p w14:paraId="48791210" w14:textId="77777777" w:rsidR="002340DE" w:rsidRPr="002340DE" w:rsidRDefault="002340DE" w:rsidP="002340DE">
      <w:pPr>
        <w:keepNext/>
        <w:spacing w:before="240" w:after="60"/>
        <w:ind w:left="720"/>
        <w:outlineLvl w:val="2"/>
        <w:rPr>
          <w:rFonts w:ascii="Arial" w:hAnsi="Arial" w:cs="Arial"/>
          <w:b/>
          <w:bCs/>
        </w:rPr>
      </w:pPr>
      <w:r w:rsidRPr="002340DE">
        <w:rPr>
          <w:rFonts w:ascii="Arial" w:hAnsi="Arial" w:cs="Arial"/>
          <w:b/>
          <w:bCs/>
        </w:rPr>
        <w:t xml:space="preserve">This aligns to the following </w:t>
      </w:r>
      <w:proofErr w:type="spellStart"/>
      <w:r w:rsidRPr="002340DE">
        <w:rPr>
          <w:rFonts w:ascii="Arial" w:hAnsi="Arial" w:cs="Arial"/>
          <w:b/>
          <w:bCs/>
        </w:rPr>
        <w:t>NHSScotland</w:t>
      </w:r>
      <w:proofErr w:type="spellEnd"/>
      <w:r w:rsidRPr="002340DE">
        <w:rPr>
          <w:rFonts w:ascii="Arial" w:hAnsi="Arial" w:cs="Arial"/>
          <w:b/>
          <w:bCs/>
        </w:rPr>
        <w:t xml:space="preserve"> quality ambition(s):</w:t>
      </w:r>
    </w:p>
    <w:p w14:paraId="67B6C587" w14:textId="77777777" w:rsidR="002340DE" w:rsidRPr="002340DE" w:rsidRDefault="002340DE" w:rsidP="002340DE">
      <w:pPr>
        <w:numPr>
          <w:ilvl w:val="0"/>
          <w:numId w:val="18"/>
        </w:numPr>
        <w:autoSpaceDE w:val="0"/>
        <w:autoSpaceDN w:val="0"/>
        <w:adjustRightInd w:val="0"/>
        <w:spacing w:before="40" w:after="40"/>
        <w:ind w:left="1080"/>
        <w:rPr>
          <w:rFonts w:ascii="Arial" w:eastAsia="Calibri" w:hAnsi="Arial" w:cs="Arial"/>
          <w:color w:val="000000"/>
        </w:rPr>
      </w:pPr>
      <w:r w:rsidRPr="002340DE">
        <w:rPr>
          <w:rFonts w:ascii="Arial" w:eastAsia="Calibri" w:hAnsi="Arial" w:cs="Arial"/>
          <w:color w:val="000000"/>
        </w:rPr>
        <w:t>Safe</w:t>
      </w:r>
    </w:p>
    <w:p w14:paraId="69C4C473" w14:textId="77777777" w:rsidR="002340DE" w:rsidRPr="002340DE" w:rsidRDefault="002340DE" w:rsidP="002340DE">
      <w:pPr>
        <w:numPr>
          <w:ilvl w:val="0"/>
          <w:numId w:val="18"/>
        </w:numPr>
        <w:autoSpaceDE w:val="0"/>
        <w:autoSpaceDN w:val="0"/>
        <w:adjustRightInd w:val="0"/>
        <w:spacing w:before="40" w:after="40"/>
        <w:ind w:left="1080"/>
        <w:rPr>
          <w:rFonts w:ascii="Arial" w:eastAsia="Calibri" w:hAnsi="Arial" w:cs="Arial"/>
          <w:color w:val="000000"/>
        </w:rPr>
      </w:pPr>
      <w:r w:rsidRPr="002340DE">
        <w:rPr>
          <w:rFonts w:ascii="Arial" w:eastAsia="Calibri" w:hAnsi="Arial" w:cs="Arial"/>
          <w:color w:val="000000"/>
        </w:rPr>
        <w:t>Effective</w:t>
      </w:r>
    </w:p>
    <w:p w14:paraId="3CB16C02" w14:textId="77777777" w:rsidR="002340DE" w:rsidRPr="002340DE" w:rsidRDefault="002340DE" w:rsidP="002340DE">
      <w:pPr>
        <w:numPr>
          <w:ilvl w:val="0"/>
          <w:numId w:val="18"/>
        </w:numPr>
        <w:autoSpaceDE w:val="0"/>
        <w:autoSpaceDN w:val="0"/>
        <w:adjustRightInd w:val="0"/>
        <w:spacing w:before="40" w:after="40"/>
        <w:ind w:left="1080"/>
        <w:rPr>
          <w:rFonts w:ascii="Arial" w:eastAsia="Calibri" w:hAnsi="Arial" w:cs="Arial"/>
          <w:color w:val="000000"/>
        </w:rPr>
      </w:pPr>
      <w:r w:rsidRPr="002340DE">
        <w:rPr>
          <w:rFonts w:ascii="Arial" w:eastAsia="Calibri" w:hAnsi="Arial" w:cs="Arial"/>
          <w:color w:val="000000"/>
        </w:rPr>
        <w:t>Person Centred</w:t>
      </w:r>
    </w:p>
    <w:p w14:paraId="7D8968B5" w14:textId="77777777" w:rsidR="002340DE" w:rsidRPr="002340DE" w:rsidRDefault="002340DE" w:rsidP="002340DE">
      <w:pPr>
        <w:autoSpaceDE w:val="0"/>
        <w:autoSpaceDN w:val="0"/>
        <w:adjustRightInd w:val="0"/>
        <w:spacing w:before="40" w:after="40"/>
        <w:ind w:left="720"/>
        <w:rPr>
          <w:rFonts w:ascii="Arial" w:hAnsi="Arial" w:cs="Arial"/>
          <w:color w:val="000000"/>
          <w:highlight w:val="lightGray"/>
          <w:lang w:eastAsia="en-US"/>
        </w:rPr>
      </w:pPr>
    </w:p>
    <w:p w14:paraId="1B82DBBF" w14:textId="77777777" w:rsidR="002340DE" w:rsidRPr="002340DE" w:rsidRDefault="002340DE" w:rsidP="002340DE">
      <w:pPr>
        <w:autoSpaceDE w:val="0"/>
        <w:autoSpaceDN w:val="0"/>
        <w:adjustRightInd w:val="0"/>
        <w:spacing w:before="40" w:after="40"/>
        <w:ind w:left="720"/>
        <w:rPr>
          <w:rFonts w:ascii="Arial" w:hAnsi="Arial" w:cs="Arial"/>
          <w:b/>
          <w:color w:val="000000"/>
          <w:lang w:eastAsia="en-US"/>
        </w:rPr>
      </w:pPr>
      <w:r w:rsidRPr="002340DE">
        <w:rPr>
          <w:rFonts w:ascii="Arial" w:hAnsi="Arial" w:cs="Arial"/>
          <w:b/>
          <w:color w:val="000000"/>
          <w:lang w:eastAsia="en-US"/>
        </w:rPr>
        <w:t>This aligns to the following NHSGJ Corporate Objectives:</w:t>
      </w:r>
    </w:p>
    <w:p w14:paraId="36D2210F" w14:textId="4D1D4A1D" w:rsidR="002340DE" w:rsidRPr="009B572B" w:rsidRDefault="002340DE" w:rsidP="009B572B">
      <w:pPr>
        <w:numPr>
          <w:ilvl w:val="0"/>
          <w:numId w:val="24"/>
        </w:numPr>
        <w:rPr>
          <w:rFonts w:ascii="Arial" w:hAnsi="Arial" w:cs="Arial"/>
          <w:spacing w:val="-3"/>
          <w:lang w:eastAsia="en-US"/>
        </w:rPr>
      </w:pPr>
      <w:r w:rsidRPr="002340DE">
        <w:rPr>
          <w:rFonts w:ascii="Arial" w:hAnsi="Arial" w:cs="Arial"/>
          <w:spacing w:val="-3"/>
          <w:lang w:eastAsia="en-US"/>
        </w:rPr>
        <w:t>High Performing Organisation – Establishing the conditions for success to enable excellent outcomes and experience for patients and staff</w:t>
      </w:r>
    </w:p>
    <w:p w14:paraId="364B1A56" w14:textId="77777777" w:rsidR="002340DE" w:rsidRPr="002340DE" w:rsidRDefault="002340DE" w:rsidP="002340DE">
      <w:pPr>
        <w:keepNext/>
        <w:ind w:left="686" w:hanging="686"/>
        <w:outlineLvl w:val="1"/>
        <w:rPr>
          <w:rFonts w:ascii="Arial" w:hAnsi="Arial" w:cs="Arial"/>
          <w:b/>
          <w:bCs/>
          <w:color w:val="000000"/>
          <w:lang w:eastAsia="en-US"/>
        </w:rPr>
      </w:pPr>
    </w:p>
    <w:p w14:paraId="7A3E1F91" w14:textId="77777777" w:rsidR="002340DE" w:rsidRPr="002340DE" w:rsidRDefault="002340DE" w:rsidP="002340DE">
      <w:pPr>
        <w:keepNext/>
        <w:ind w:left="686" w:hanging="686"/>
        <w:outlineLvl w:val="1"/>
        <w:rPr>
          <w:rFonts w:ascii="Arial" w:hAnsi="Arial" w:cs="Arial"/>
          <w:b/>
          <w:bCs/>
          <w:color w:val="000000"/>
          <w:lang w:eastAsia="en-US"/>
        </w:rPr>
      </w:pPr>
      <w:r w:rsidRPr="002340DE">
        <w:rPr>
          <w:rFonts w:ascii="Arial" w:hAnsi="Arial" w:cs="Arial"/>
          <w:b/>
          <w:bCs/>
          <w:color w:val="000000"/>
          <w:lang w:eastAsia="en-US"/>
        </w:rPr>
        <w:t>2</w:t>
      </w:r>
      <w:r w:rsidRPr="002340DE">
        <w:rPr>
          <w:rFonts w:ascii="Arial" w:hAnsi="Arial" w:cs="Arial"/>
          <w:b/>
          <w:bCs/>
          <w:color w:val="000000"/>
          <w:lang w:eastAsia="en-US"/>
        </w:rPr>
        <w:tab/>
        <w:t>Report summary</w:t>
      </w:r>
      <w:r w:rsidRPr="002340DE">
        <w:rPr>
          <w:rFonts w:ascii="Arial" w:hAnsi="Arial" w:cs="Arial"/>
          <w:b/>
          <w:bCs/>
          <w:color w:val="000000"/>
          <w:lang w:eastAsia="en-US"/>
        </w:rPr>
        <w:tab/>
      </w:r>
    </w:p>
    <w:p w14:paraId="3C4E0512" w14:textId="77777777" w:rsidR="002340DE" w:rsidRPr="002340DE" w:rsidRDefault="002340DE" w:rsidP="002340DE">
      <w:pPr>
        <w:keepNext/>
        <w:ind w:left="686" w:hanging="686"/>
        <w:outlineLvl w:val="1"/>
        <w:rPr>
          <w:rFonts w:ascii="Arial" w:hAnsi="Arial" w:cs="Arial"/>
          <w:b/>
          <w:bCs/>
          <w:color w:val="000000"/>
          <w:lang w:eastAsia="en-US"/>
        </w:rPr>
      </w:pPr>
    </w:p>
    <w:p w14:paraId="18256613" w14:textId="77777777" w:rsidR="002340DE" w:rsidRPr="00D12B08" w:rsidRDefault="002340DE" w:rsidP="002340DE">
      <w:pPr>
        <w:keepNext/>
        <w:ind w:left="686" w:hanging="686"/>
        <w:outlineLvl w:val="1"/>
        <w:rPr>
          <w:rFonts w:ascii="Arial" w:hAnsi="Arial" w:cs="Arial"/>
          <w:b/>
          <w:bCs/>
          <w:lang w:eastAsia="en-US"/>
        </w:rPr>
      </w:pPr>
      <w:r w:rsidRPr="002340DE">
        <w:rPr>
          <w:rFonts w:ascii="Arial" w:hAnsi="Arial" w:cs="Arial"/>
          <w:b/>
          <w:bCs/>
          <w:color w:val="000000"/>
          <w:lang w:eastAsia="en-US"/>
        </w:rPr>
        <w:t>2.1</w:t>
      </w:r>
      <w:r w:rsidRPr="002340DE">
        <w:rPr>
          <w:rFonts w:ascii="Arial" w:hAnsi="Arial" w:cs="Arial"/>
          <w:b/>
          <w:bCs/>
          <w:color w:val="000000"/>
          <w:lang w:eastAsia="en-US"/>
        </w:rPr>
        <w:tab/>
      </w:r>
      <w:r w:rsidRPr="00D12B08">
        <w:rPr>
          <w:rFonts w:ascii="Arial" w:hAnsi="Arial" w:cs="Arial"/>
          <w:b/>
          <w:bCs/>
          <w:lang w:eastAsia="en-US"/>
        </w:rPr>
        <w:t>Situation</w:t>
      </w:r>
    </w:p>
    <w:p w14:paraId="5B7086E3" w14:textId="0595A9DB" w:rsidR="00D12B08" w:rsidRPr="00D12B08" w:rsidRDefault="00D12B08" w:rsidP="00D12B08">
      <w:pPr>
        <w:ind w:left="686"/>
        <w:rPr>
          <w:rFonts w:ascii="Arial" w:hAnsi="Arial"/>
          <w:spacing w:val="-3"/>
          <w:szCs w:val="20"/>
          <w:lang w:eastAsia="en-US"/>
        </w:rPr>
      </w:pPr>
      <w:r w:rsidRPr="00D12B08">
        <w:rPr>
          <w:rFonts w:ascii="Arial" w:hAnsi="Arial"/>
          <w:spacing w:val="-3"/>
          <w:szCs w:val="20"/>
          <w:lang w:eastAsia="en-US"/>
        </w:rPr>
        <w:t>This paper presents the annual update on themes and trends from adverse events, feedback and associated learning.</w:t>
      </w:r>
    </w:p>
    <w:p w14:paraId="69627659" w14:textId="77777777" w:rsidR="002340DE" w:rsidRPr="002340DE" w:rsidRDefault="002340DE" w:rsidP="002340DE">
      <w:pPr>
        <w:spacing w:before="40" w:after="40"/>
        <w:ind w:left="686"/>
        <w:rPr>
          <w:rFonts w:ascii="Arial" w:hAnsi="Arial" w:cs="Arial"/>
          <w:color w:val="000000"/>
          <w:lang w:eastAsia="en-US"/>
        </w:rPr>
      </w:pPr>
    </w:p>
    <w:p w14:paraId="01632E18" w14:textId="77777777" w:rsidR="002340DE" w:rsidRPr="002340DE" w:rsidRDefault="002340DE" w:rsidP="002340DE">
      <w:pPr>
        <w:keepNext/>
        <w:ind w:left="686" w:hanging="686"/>
        <w:outlineLvl w:val="1"/>
        <w:rPr>
          <w:rFonts w:ascii="Arial" w:hAnsi="Arial" w:cs="Arial"/>
          <w:b/>
          <w:bCs/>
          <w:color w:val="000000"/>
          <w:lang w:eastAsia="en-US"/>
        </w:rPr>
      </w:pPr>
      <w:r w:rsidRPr="002340DE">
        <w:rPr>
          <w:rFonts w:ascii="Arial" w:hAnsi="Arial" w:cs="Arial"/>
          <w:b/>
          <w:bCs/>
          <w:color w:val="000000"/>
          <w:lang w:eastAsia="en-US"/>
        </w:rPr>
        <w:t>2.2</w:t>
      </w:r>
      <w:r w:rsidRPr="002340DE">
        <w:rPr>
          <w:rFonts w:ascii="Arial" w:hAnsi="Arial" w:cs="Arial"/>
          <w:b/>
          <w:bCs/>
          <w:color w:val="000000"/>
          <w:lang w:eastAsia="en-US"/>
        </w:rPr>
        <w:tab/>
        <w:t>Background</w:t>
      </w:r>
    </w:p>
    <w:p w14:paraId="6D31762E" w14:textId="77777777" w:rsidR="00D12B08" w:rsidRPr="00D12B08" w:rsidRDefault="00D12B08" w:rsidP="00D12B08">
      <w:pPr>
        <w:ind w:left="686"/>
        <w:rPr>
          <w:rFonts w:ascii="Arial" w:hAnsi="Arial" w:cs="Arial"/>
        </w:rPr>
      </w:pPr>
      <w:r w:rsidRPr="00D12B08">
        <w:rPr>
          <w:rFonts w:ascii="Arial" w:hAnsi="Arial" w:cs="Arial"/>
        </w:rPr>
        <w:t xml:space="preserve">Annual Learning Report looking across the organisation at adverse events and complaints to support identification of trends/ themes for learning and considering this in the context of our improvement work.  </w:t>
      </w:r>
    </w:p>
    <w:p w14:paraId="1D8FADC9" w14:textId="77777777" w:rsidR="00D12B08" w:rsidRPr="00D12B08" w:rsidRDefault="00D12B08" w:rsidP="00D12B08">
      <w:pPr>
        <w:rPr>
          <w:rFonts w:ascii="Arial" w:hAnsi="Arial" w:cs="Arial"/>
        </w:rPr>
      </w:pPr>
    </w:p>
    <w:p w14:paraId="2C0AC13A" w14:textId="33A3934E" w:rsidR="00D12B08" w:rsidRPr="00D12B08" w:rsidRDefault="00D12B08" w:rsidP="00D12B08">
      <w:pPr>
        <w:ind w:left="686"/>
        <w:rPr>
          <w:rFonts w:ascii="Arial" w:hAnsi="Arial"/>
          <w:spacing w:val="-3"/>
          <w:szCs w:val="20"/>
          <w:lang w:eastAsia="en-US"/>
        </w:rPr>
      </w:pPr>
      <w:r w:rsidRPr="00D12B08">
        <w:rPr>
          <w:rFonts w:ascii="Arial" w:hAnsi="Arial" w:cs="Arial"/>
        </w:rPr>
        <w:lastRenderedPageBreak/>
        <w:t xml:space="preserve">This paper presents the sixth annual </w:t>
      </w:r>
      <w:proofErr w:type="gramStart"/>
      <w:r w:rsidRPr="00D12B08">
        <w:rPr>
          <w:rFonts w:ascii="Arial" w:hAnsi="Arial" w:cs="Arial"/>
        </w:rPr>
        <w:t>report</w:t>
      </w:r>
      <w:proofErr w:type="gramEnd"/>
      <w:r w:rsidRPr="00D12B08">
        <w:rPr>
          <w:rFonts w:ascii="Arial" w:hAnsi="Arial" w:cs="Arial"/>
        </w:rPr>
        <w:t xml:space="preserve"> as there was no report during 2021-2022 due to significant staffing challenges within the Clinical Governance Team.</w:t>
      </w:r>
    </w:p>
    <w:p w14:paraId="21C4C41A" w14:textId="77777777" w:rsidR="002340DE" w:rsidRPr="002340DE" w:rsidRDefault="002340DE" w:rsidP="002340DE">
      <w:pPr>
        <w:spacing w:before="40" w:after="40"/>
        <w:rPr>
          <w:rFonts w:ascii="Arial" w:hAnsi="Arial" w:cs="Arial"/>
          <w:color w:val="000000"/>
          <w:lang w:eastAsia="en-US"/>
        </w:rPr>
      </w:pPr>
    </w:p>
    <w:p w14:paraId="14A3E31A" w14:textId="77777777" w:rsidR="002340DE" w:rsidRPr="00D12B08" w:rsidRDefault="002340DE" w:rsidP="002340DE">
      <w:pPr>
        <w:keepNext/>
        <w:outlineLvl w:val="1"/>
        <w:rPr>
          <w:rFonts w:ascii="Arial" w:hAnsi="Arial" w:cs="Arial"/>
          <w:b/>
          <w:bCs/>
          <w:lang w:eastAsia="en-US"/>
        </w:rPr>
      </w:pPr>
      <w:r w:rsidRPr="002340DE">
        <w:rPr>
          <w:rFonts w:ascii="Arial" w:hAnsi="Arial" w:cs="Arial"/>
          <w:b/>
          <w:bCs/>
          <w:color w:val="000000"/>
          <w:lang w:eastAsia="en-US"/>
        </w:rPr>
        <w:t>2.3</w:t>
      </w:r>
      <w:r w:rsidRPr="002340DE">
        <w:rPr>
          <w:rFonts w:ascii="Arial" w:hAnsi="Arial" w:cs="Arial"/>
          <w:b/>
          <w:bCs/>
          <w:color w:val="000000"/>
          <w:lang w:eastAsia="en-US"/>
        </w:rPr>
        <w:tab/>
      </w:r>
      <w:r w:rsidRPr="00D12B08">
        <w:rPr>
          <w:rFonts w:ascii="Arial" w:hAnsi="Arial" w:cs="Arial"/>
          <w:b/>
          <w:bCs/>
          <w:lang w:eastAsia="en-US"/>
        </w:rPr>
        <w:t>Assessment</w:t>
      </w:r>
    </w:p>
    <w:p w14:paraId="127DA7E3" w14:textId="77777777" w:rsidR="00D12B08" w:rsidRPr="00D12B08" w:rsidRDefault="00D12B08" w:rsidP="00D12B08">
      <w:pPr>
        <w:ind w:left="720"/>
        <w:rPr>
          <w:rFonts w:ascii="Arial" w:hAnsi="Arial"/>
          <w:spacing w:val="-3"/>
          <w:szCs w:val="20"/>
          <w:lang w:eastAsia="en-US"/>
        </w:rPr>
      </w:pPr>
      <w:r w:rsidRPr="00D12B08">
        <w:rPr>
          <w:rFonts w:ascii="Arial" w:hAnsi="Arial" w:cs="Arial"/>
          <w:spacing w:val="-3"/>
        </w:rPr>
        <w:t>Appendix 1 provides a detailed Annual Learning Summary report on adverse events, significant adverse events, feedback and learning.</w:t>
      </w:r>
    </w:p>
    <w:p w14:paraId="7A391DCE" w14:textId="77777777" w:rsidR="002340DE" w:rsidRPr="002340DE" w:rsidRDefault="002340DE" w:rsidP="002340DE">
      <w:pPr>
        <w:keepNext/>
        <w:spacing w:before="240" w:after="60"/>
        <w:outlineLvl w:val="2"/>
        <w:rPr>
          <w:rFonts w:ascii="Arial" w:hAnsi="Arial" w:cs="Arial"/>
          <w:b/>
          <w:bCs/>
          <w:lang w:eastAsia="en-US"/>
        </w:rPr>
      </w:pPr>
      <w:r w:rsidRPr="002340DE">
        <w:rPr>
          <w:rFonts w:ascii="Arial" w:hAnsi="Arial" w:cs="Arial"/>
          <w:b/>
          <w:bCs/>
          <w:lang w:eastAsia="en-US"/>
        </w:rPr>
        <w:t>2.3.1</w:t>
      </w:r>
      <w:r w:rsidRPr="002340DE">
        <w:rPr>
          <w:rFonts w:ascii="Arial" w:hAnsi="Arial" w:cs="Arial"/>
          <w:b/>
          <w:bCs/>
          <w:lang w:eastAsia="en-US"/>
        </w:rPr>
        <w:tab/>
        <w:t>Quality/Patient Care</w:t>
      </w:r>
    </w:p>
    <w:p w14:paraId="7C39584D" w14:textId="77777777" w:rsidR="002340DE" w:rsidRPr="002340DE" w:rsidRDefault="002340DE" w:rsidP="002340DE">
      <w:pPr>
        <w:spacing w:before="40" w:after="40"/>
        <w:ind w:left="720"/>
        <w:rPr>
          <w:rFonts w:ascii="Arial" w:hAnsi="Arial" w:cs="Arial"/>
          <w:color w:val="000000"/>
          <w:lang w:eastAsia="en-US"/>
        </w:rPr>
      </w:pPr>
      <w:r w:rsidRPr="002340DE">
        <w:rPr>
          <w:rFonts w:ascii="Arial" w:hAnsi="Arial" w:cs="Arial"/>
          <w:color w:val="000000"/>
          <w:lang w:eastAsia="en-US"/>
        </w:rPr>
        <w:t>Work has commenced to implement the feedback given by stakeholders to ensure our process is able to deliver a high quality of patient care and experience throughout the SAER process.</w:t>
      </w:r>
    </w:p>
    <w:p w14:paraId="3EFD748A" w14:textId="77777777" w:rsidR="002340DE" w:rsidRPr="002340DE" w:rsidRDefault="002340DE" w:rsidP="002340DE">
      <w:pPr>
        <w:keepNext/>
        <w:spacing w:before="240" w:after="60"/>
        <w:outlineLvl w:val="2"/>
        <w:rPr>
          <w:rFonts w:ascii="Arial" w:hAnsi="Arial" w:cs="Arial"/>
          <w:b/>
          <w:bCs/>
          <w:lang w:eastAsia="en-US"/>
        </w:rPr>
      </w:pPr>
      <w:r w:rsidRPr="002340DE">
        <w:rPr>
          <w:rFonts w:ascii="Arial" w:hAnsi="Arial" w:cs="Arial"/>
          <w:b/>
          <w:bCs/>
          <w:lang w:eastAsia="en-US"/>
        </w:rPr>
        <w:t>2.3.2</w:t>
      </w:r>
      <w:r w:rsidRPr="002340DE">
        <w:rPr>
          <w:rFonts w:ascii="Arial" w:hAnsi="Arial" w:cs="Arial"/>
          <w:b/>
          <w:bCs/>
          <w:lang w:eastAsia="en-US"/>
        </w:rPr>
        <w:tab/>
        <w:t>Workforce</w:t>
      </w:r>
    </w:p>
    <w:p w14:paraId="1C6CA1A2" w14:textId="56624454" w:rsidR="002340DE" w:rsidRPr="002340DE" w:rsidRDefault="002340DE" w:rsidP="002340DE">
      <w:pPr>
        <w:spacing w:before="40" w:after="40"/>
        <w:ind w:left="720"/>
        <w:rPr>
          <w:rFonts w:ascii="Arial" w:hAnsi="Arial" w:cs="Arial"/>
          <w:color w:val="000000"/>
          <w:lang w:eastAsia="en-US"/>
        </w:rPr>
      </w:pPr>
      <w:r w:rsidRPr="002340DE">
        <w:rPr>
          <w:rFonts w:ascii="Arial" w:hAnsi="Arial" w:cs="Arial"/>
          <w:color w:val="000000"/>
          <w:lang w:eastAsia="en-US"/>
        </w:rPr>
        <w:t xml:space="preserve">The </w:t>
      </w:r>
      <w:r w:rsidR="00D12B08">
        <w:rPr>
          <w:rFonts w:ascii="Arial" w:hAnsi="Arial" w:cs="Arial"/>
          <w:color w:val="000000"/>
          <w:lang w:eastAsia="en-US"/>
        </w:rPr>
        <w:t xml:space="preserve">management of significant adverse events and feedback </w:t>
      </w:r>
      <w:r w:rsidRPr="002340DE">
        <w:rPr>
          <w:rFonts w:ascii="Arial" w:hAnsi="Arial" w:cs="Arial"/>
          <w:color w:val="000000"/>
          <w:lang w:eastAsia="en-US"/>
        </w:rPr>
        <w:t>undoubtedly presents challenges in various forms to the workforce both from a psychological and capacity perspective.  The organisation is reinforcing support mechanisms for those involved whilst ensuring that learning is the focus of the outcome of the reviews.</w:t>
      </w:r>
    </w:p>
    <w:p w14:paraId="0E8192FB" w14:textId="77777777" w:rsidR="002340DE" w:rsidRPr="002340DE" w:rsidRDefault="002340DE" w:rsidP="002340DE">
      <w:pPr>
        <w:keepNext/>
        <w:spacing w:before="240" w:after="60"/>
        <w:outlineLvl w:val="2"/>
        <w:rPr>
          <w:rFonts w:ascii="Arial" w:hAnsi="Arial" w:cs="Arial"/>
          <w:b/>
          <w:bCs/>
          <w:lang w:eastAsia="en-US"/>
        </w:rPr>
      </w:pPr>
      <w:r w:rsidRPr="002340DE">
        <w:rPr>
          <w:rFonts w:ascii="Arial" w:hAnsi="Arial" w:cs="Arial"/>
          <w:b/>
          <w:bCs/>
          <w:lang w:eastAsia="en-US"/>
        </w:rPr>
        <w:t>2.3.3</w:t>
      </w:r>
      <w:r w:rsidRPr="002340DE">
        <w:rPr>
          <w:rFonts w:ascii="Arial" w:hAnsi="Arial" w:cs="Arial"/>
          <w:b/>
          <w:bCs/>
          <w:lang w:eastAsia="en-US"/>
        </w:rPr>
        <w:tab/>
        <w:t>Financial</w:t>
      </w:r>
    </w:p>
    <w:p w14:paraId="1BF05378" w14:textId="77777777" w:rsidR="002340DE" w:rsidRPr="002340DE" w:rsidRDefault="002340DE" w:rsidP="002340DE">
      <w:pPr>
        <w:spacing w:before="40" w:after="40"/>
        <w:ind w:left="720"/>
        <w:rPr>
          <w:rFonts w:ascii="Arial" w:hAnsi="Arial" w:cs="Arial"/>
          <w:color w:val="000000"/>
          <w:lang w:eastAsia="en-US"/>
        </w:rPr>
      </w:pPr>
      <w:r w:rsidRPr="002340DE">
        <w:rPr>
          <w:rFonts w:ascii="Arial" w:hAnsi="Arial" w:cs="Arial"/>
          <w:color w:val="000000"/>
          <w:lang w:eastAsia="en-US"/>
        </w:rPr>
        <w:t xml:space="preserve">There is a potential for financial impact to the organisation in relation to claims </w:t>
      </w:r>
      <w:proofErr w:type="gramStart"/>
      <w:r w:rsidRPr="002340DE">
        <w:rPr>
          <w:rFonts w:ascii="Arial" w:hAnsi="Arial" w:cs="Arial"/>
          <w:color w:val="000000"/>
          <w:lang w:eastAsia="en-US"/>
        </w:rPr>
        <w:t>as a result</w:t>
      </w:r>
      <w:proofErr w:type="gramEnd"/>
      <w:r w:rsidRPr="002340DE">
        <w:rPr>
          <w:rFonts w:ascii="Arial" w:hAnsi="Arial" w:cs="Arial"/>
          <w:color w:val="000000"/>
          <w:lang w:eastAsia="en-US"/>
        </w:rPr>
        <w:t xml:space="preserve"> of adverse events.</w:t>
      </w:r>
    </w:p>
    <w:p w14:paraId="6DBEE37B" w14:textId="77777777" w:rsidR="002340DE" w:rsidRPr="002340DE" w:rsidRDefault="002340DE" w:rsidP="002340DE">
      <w:pPr>
        <w:keepNext/>
        <w:spacing w:before="240" w:after="60"/>
        <w:outlineLvl w:val="2"/>
        <w:rPr>
          <w:rFonts w:ascii="Arial" w:hAnsi="Arial" w:cs="Arial"/>
          <w:b/>
          <w:bCs/>
          <w:lang w:eastAsia="en-US"/>
        </w:rPr>
      </w:pPr>
      <w:r w:rsidRPr="002340DE">
        <w:rPr>
          <w:rFonts w:ascii="Arial" w:hAnsi="Arial" w:cs="Arial"/>
          <w:b/>
          <w:bCs/>
          <w:lang w:eastAsia="en-US"/>
        </w:rPr>
        <w:t>2.3.4</w:t>
      </w:r>
      <w:r w:rsidRPr="002340DE">
        <w:rPr>
          <w:rFonts w:ascii="Arial" w:hAnsi="Arial" w:cs="Arial"/>
          <w:b/>
          <w:bCs/>
          <w:lang w:eastAsia="en-US"/>
        </w:rPr>
        <w:tab/>
        <w:t>Risk Assessment/Management</w:t>
      </w:r>
    </w:p>
    <w:p w14:paraId="4F29CB10" w14:textId="0BF69D4E" w:rsidR="002340DE" w:rsidRPr="002340DE" w:rsidRDefault="002340DE" w:rsidP="002340DE">
      <w:pPr>
        <w:spacing w:before="40" w:after="40"/>
        <w:ind w:left="709"/>
        <w:rPr>
          <w:rFonts w:ascii="Arial" w:hAnsi="Arial" w:cs="Arial"/>
          <w:color w:val="000000"/>
          <w:lang w:eastAsia="en-US"/>
        </w:rPr>
      </w:pPr>
      <w:r w:rsidRPr="002340DE">
        <w:rPr>
          <w:rFonts w:ascii="Arial" w:hAnsi="Arial" w:cs="Arial"/>
          <w:color w:val="000000"/>
          <w:lang w:eastAsia="en-US"/>
        </w:rPr>
        <w:t xml:space="preserve">Significant adverse event reviews </w:t>
      </w:r>
      <w:r w:rsidR="00D12B08">
        <w:rPr>
          <w:rFonts w:ascii="Arial" w:hAnsi="Arial" w:cs="Arial"/>
          <w:color w:val="000000"/>
          <w:lang w:eastAsia="en-US"/>
        </w:rPr>
        <w:t xml:space="preserve">and feedback </w:t>
      </w:r>
      <w:r w:rsidRPr="002340DE">
        <w:rPr>
          <w:rFonts w:ascii="Arial" w:hAnsi="Arial" w:cs="Arial"/>
          <w:color w:val="000000"/>
          <w:lang w:eastAsia="en-US"/>
        </w:rPr>
        <w:t xml:space="preserve">are managed on a </w:t>
      </w:r>
      <w:proofErr w:type="gramStart"/>
      <w:r w:rsidRPr="002340DE">
        <w:rPr>
          <w:rFonts w:ascii="Arial" w:hAnsi="Arial" w:cs="Arial"/>
          <w:color w:val="000000"/>
          <w:lang w:eastAsia="en-US"/>
        </w:rPr>
        <w:t>case by case</w:t>
      </w:r>
      <w:proofErr w:type="gramEnd"/>
      <w:r w:rsidRPr="002340DE">
        <w:rPr>
          <w:rFonts w:ascii="Arial" w:hAnsi="Arial" w:cs="Arial"/>
          <w:color w:val="000000"/>
          <w:lang w:eastAsia="en-US"/>
        </w:rPr>
        <w:t xml:space="preserve"> basis and risk assessment is supported where required, this is further embedded within action plans if appropriate.</w:t>
      </w:r>
    </w:p>
    <w:p w14:paraId="115FF583" w14:textId="77777777" w:rsidR="002340DE" w:rsidRPr="002340DE" w:rsidRDefault="002340DE" w:rsidP="002340DE">
      <w:pPr>
        <w:keepNext/>
        <w:spacing w:before="240" w:after="60"/>
        <w:ind w:left="709" w:hanging="709"/>
        <w:outlineLvl w:val="2"/>
        <w:rPr>
          <w:rFonts w:ascii="Arial" w:hAnsi="Arial" w:cs="Arial"/>
          <w:b/>
          <w:bCs/>
          <w:lang w:eastAsia="en-US"/>
        </w:rPr>
      </w:pPr>
      <w:r w:rsidRPr="002340DE">
        <w:rPr>
          <w:rFonts w:ascii="Arial" w:hAnsi="Arial" w:cs="Arial"/>
          <w:b/>
          <w:bCs/>
          <w:lang w:eastAsia="en-US"/>
        </w:rPr>
        <w:t>2.3.5</w:t>
      </w:r>
      <w:r w:rsidRPr="002340DE">
        <w:rPr>
          <w:rFonts w:ascii="Arial" w:hAnsi="Arial" w:cs="Arial"/>
          <w:b/>
          <w:bCs/>
          <w:lang w:eastAsia="en-US"/>
        </w:rPr>
        <w:tab/>
        <w:t>Equality and Diversity, including health inequalities</w:t>
      </w:r>
      <w:r w:rsidRPr="002340DE">
        <w:rPr>
          <w:rFonts w:ascii="Arial" w:hAnsi="Arial" w:cs="Arial"/>
          <w:b/>
          <w:bCs/>
          <w:color w:val="000000"/>
          <w:highlight w:val="lightGray"/>
          <w:lang w:eastAsia="en-US"/>
        </w:rPr>
        <w:br/>
      </w:r>
      <w:proofErr w:type="gramStart"/>
      <w:r w:rsidRPr="002340DE">
        <w:rPr>
          <w:rFonts w:ascii="Arial" w:hAnsi="Arial" w:cs="Arial"/>
          <w:bCs/>
          <w:color w:val="000000"/>
          <w:lang w:eastAsia="en-US"/>
        </w:rPr>
        <w:t>An</w:t>
      </w:r>
      <w:proofErr w:type="gramEnd"/>
      <w:r w:rsidRPr="002340DE">
        <w:rPr>
          <w:rFonts w:ascii="Arial" w:hAnsi="Arial" w:cs="Arial"/>
          <w:bCs/>
          <w:color w:val="000000"/>
          <w:lang w:eastAsia="en-US"/>
        </w:rPr>
        <w:t xml:space="preserve"> impact assessment has not been completed as this paper provides a report following an analysis of data.</w:t>
      </w:r>
      <w:r w:rsidRPr="002340DE">
        <w:rPr>
          <w:rFonts w:ascii="Arial" w:hAnsi="Arial" w:cs="Arial"/>
          <w:b/>
          <w:bCs/>
          <w:color w:val="000000"/>
          <w:lang w:eastAsia="en-US"/>
        </w:rPr>
        <w:t xml:space="preserve"> </w:t>
      </w:r>
    </w:p>
    <w:p w14:paraId="295A6E1F" w14:textId="77777777" w:rsidR="002340DE" w:rsidRPr="002340DE" w:rsidRDefault="002340DE" w:rsidP="002340DE">
      <w:pPr>
        <w:keepNext/>
        <w:spacing w:before="240" w:after="60"/>
        <w:outlineLvl w:val="2"/>
        <w:rPr>
          <w:rFonts w:ascii="Arial" w:hAnsi="Arial" w:cs="Arial"/>
          <w:b/>
          <w:bCs/>
          <w:lang w:eastAsia="en-US"/>
        </w:rPr>
      </w:pPr>
      <w:r w:rsidRPr="002340DE">
        <w:rPr>
          <w:rFonts w:ascii="Arial" w:hAnsi="Arial" w:cs="Arial"/>
          <w:b/>
          <w:bCs/>
          <w:lang w:eastAsia="en-US"/>
        </w:rPr>
        <w:t>2.3.6</w:t>
      </w:r>
      <w:r w:rsidRPr="002340DE">
        <w:rPr>
          <w:rFonts w:ascii="Arial" w:hAnsi="Arial" w:cs="Arial"/>
          <w:b/>
          <w:bCs/>
          <w:lang w:eastAsia="en-US"/>
        </w:rPr>
        <w:tab/>
        <w:t>Other impacts</w:t>
      </w:r>
    </w:p>
    <w:p w14:paraId="0D3F5256" w14:textId="77777777" w:rsidR="002340DE" w:rsidRPr="002340DE" w:rsidRDefault="002340DE" w:rsidP="002340DE">
      <w:pPr>
        <w:spacing w:before="40" w:after="40"/>
        <w:ind w:left="709"/>
        <w:rPr>
          <w:rFonts w:ascii="Arial" w:hAnsi="Arial" w:cs="Arial"/>
          <w:color w:val="000000"/>
          <w:lang w:eastAsia="en-US"/>
        </w:rPr>
      </w:pPr>
      <w:r w:rsidRPr="002340DE">
        <w:rPr>
          <w:rFonts w:ascii="Arial" w:hAnsi="Arial" w:cs="Arial"/>
          <w:color w:val="000000"/>
          <w:lang w:eastAsia="en-US"/>
        </w:rPr>
        <w:t>Potential for reputational impact due to the nature and content of the report.</w:t>
      </w:r>
    </w:p>
    <w:p w14:paraId="51467420" w14:textId="77777777" w:rsidR="002340DE" w:rsidRPr="002340DE" w:rsidRDefault="002340DE" w:rsidP="002340DE">
      <w:pPr>
        <w:spacing w:before="40" w:after="40"/>
        <w:ind w:left="709"/>
        <w:rPr>
          <w:rFonts w:ascii="Arial" w:hAnsi="Arial" w:cs="Arial"/>
          <w:color w:val="000000"/>
          <w:lang w:eastAsia="en-US"/>
        </w:rPr>
      </w:pPr>
    </w:p>
    <w:p w14:paraId="336D3190" w14:textId="6503CAA0" w:rsidR="002340DE" w:rsidRPr="00B52AF1" w:rsidRDefault="002340DE" w:rsidP="00B52AF1">
      <w:pPr>
        <w:keepNext/>
        <w:keepLines/>
        <w:numPr>
          <w:ilvl w:val="2"/>
          <w:numId w:val="20"/>
        </w:numPr>
        <w:spacing w:before="40"/>
        <w:outlineLvl w:val="2"/>
        <w:rPr>
          <w:rFonts w:ascii="Arial" w:hAnsi="Arial" w:cs="Arial"/>
          <w:b/>
          <w:bCs/>
          <w:lang w:eastAsia="en-US"/>
        </w:rPr>
      </w:pPr>
      <w:r w:rsidRPr="002340DE">
        <w:rPr>
          <w:rFonts w:ascii="Arial" w:hAnsi="Arial" w:cs="Arial"/>
          <w:b/>
          <w:bCs/>
          <w:lang w:eastAsia="en-US"/>
        </w:rPr>
        <w:t>Communication, involvement, engagement and consultation</w:t>
      </w:r>
    </w:p>
    <w:p w14:paraId="7F132FFC" w14:textId="77777777" w:rsidR="002340DE" w:rsidRPr="002340DE" w:rsidRDefault="002340DE" w:rsidP="002340DE">
      <w:pPr>
        <w:spacing w:before="40" w:after="40"/>
        <w:ind w:left="720"/>
        <w:rPr>
          <w:rFonts w:ascii="Arial" w:hAnsi="Arial" w:cs="Arial"/>
          <w:color w:val="000000"/>
          <w:lang w:eastAsia="en-US"/>
        </w:rPr>
      </w:pPr>
      <w:r w:rsidRPr="002340DE">
        <w:rPr>
          <w:rFonts w:ascii="Arial" w:hAnsi="Arial" w:cs="Arial"/>
          <w:color w:val="000000"/>
          <w:lang w:eastAsia="en-US"/>
        </w:rPr>
        <w:t>The Board has carried out its duties to involve and engage external stakeholders where appropriate:</w:t>
      </w:r>
    </w:p>
    <w:p w14:paraId="1E24CC1D" w14:textId="77777777" w:rsidR="002340DE" w:rsidRPr="002340DE" w:rsidRDefault="002340DE" w:rsidP="002340DE">
      <w:pPr>
        <w:ind w:left="720"/>
        <w:rPr>
          <w:rFonts w:ascii="Arial" w:eastAsia="Calibri" w:hAnsi="Arial" w:cs="Arial"/>
          <w:color w:val="000000"/>
        </w:rPr>
      </w:pPr>
    </w:p>
    <w:p w14:paraId="7A528CBA" w14:textId="7293430F" w:rsidR="00D12B08" w:rsidRDefault="00D12B08" w:rsidP="002340DE">
      <w:pPr>
        <w:numPr>
          <w:ilvl w:val="0"/>
          <w:numId w:val="23"/>
        </w:numPr>
        <w:spacing w:before="40" w:after="40"/>
        <w:rPr>
          <w:rFonts w:ascii="Arial" w:eastAsia="Calibri" w:hAnsi="Arial" w:cs="Arial"/>
          <w:color w:val="000000"/>
        </w:rPr>
      </w:pPr>
      <w:r>
        <w:rPr>
          <w:rFonts w:ascii="Arial" w:eastAsia="Calibri" w:hAnsi="Arial" w:cs="Arial"/>
          <w:color w:val="000000"/>
        </w:rPr>
        <w:t>Clinical Governance Risk Management Group – Extra Ordinary Meeting 04 September 2023</w:t>
      </w:r>
    </w:p>
    <w:p w14:paraId="4EDD5A73" w14:textId="77777777" w:rsidR="002340DE" w:rsidRPr="002340DE" w:rsidRDefault="002340DE" w:rsidP="002340DE">
      <w:pPr>
        <w:spacing w:before="40" w:after="40"/>
        <w:rPr>
          <w:rFonts w:ascii="Arial" w:hAnsi="Arial" w:cs="Arial"/>
          <w:highlight w:val="lightGray"/>
          <w:lang w:eastAsia="en-US"/>
        </w:rPr>
      </w:pPr>
    </w:p>
    <w:p w14:paraId="67938ADF" w14:textId="23A526CC" w:rsidR="002340DE" w:rsidRPr="00B52AF1" w:rsidRDefault="002340DE" w:rsidP="002340DE">
      <w:pPr>
        <w:keepNext/>
        <w:keepLines/>
        <w:numPr>
          <w:ilvl w:val="2"/>
          <w:numId w:val="20"/>
        </w:numPr>
        <w:spacing w:before="40"/>
        <w:outlineLvl w:val="2"/>
        <w:rPr>
          <w:rFonts w:ascii="Arial" w:hAnsi="Arial" w:cs="Arial"/>
          <w:b/>
          <w:bCs/>
          <w:lang w:eastAsia="en-US"/>
        </w:rPr>
      </w:pPr>
      <w:r w:rsidRPr="002340DE">
        <w:rPr>
          <w:rFonts w:ascii="Arial" w:hAnsi="Arial" w:cs="Arial"/>
          <w:b/>
          <w:bCs/>
          <w:lang w:eastAsia="en-US"/>
        </w:rPr>
        <w:t>Route to the Meeting</w:t>
      </w:r>
    </w:p>
    <w:p w14:paraId="22437A2F" w14:textId="37DAE418" w:rsidR="002340DE" w:rsidRPr="002340DE" w:rsidRDefault="002340DE" w:rsidP="002340DE">
      <w:pPr>
        <w:spacing w:before="40" w:after="40"/>
        <w:ind w:left="720"/>
        <w:rPr>
          <w:rFonts w:ascii="Arial" w:hAnsi="Arial" w:cs="Arial"/>
          <w:lang w:eastAsia="en-US"/>
        </w:rPr>
      </w:pPr>
      <w:r w:rsidRPr="002340DE">
        <w:rPr>
          <w:rFonts w:ascii="Arial" w:hAnsi="Arial" w:cs="Arial"/>
          <w:lang w:eastAsia="en-US"/>
        </w:rPr>
        <w:t>This has been previously considered by the following group as par</w:t>
      </w:r>
      <w:r w:rsidR="00D12B08">
        <w:rPr>
          <w:rFonts w:ascii="Arial" w:hAnsi="Arial" w:cs="Arial"/>
          <w:lang w:eastAsia="en-US"/>
        </w:rPr>
        <w:t xml:space="preserve">t of its development. The group has </w:t>
      </w:r>
      <w:proofErr w:type="gramStart"/>
      <w:r w:rsidR="00D12B08">
        <w:rPr>
          <w:rFonts w:ascii="Arial" w:hAnsi="Arial" w:cs="Arial"/>
          <w:lang w:eastAsia="en-US"/>
        </w:rPr>
        <w:t>either supported the content and</w:t>
      </w:r>
      <w:proofErr w:type="gramEnd"/>
      <w:r w:rsidR="00D12B08">
        <w:rPr>
          <w:rFonts w:ascii="Arial" w:hAnsi="Arial" w:cs="Arial"/>
          <w:lang w:eastAsia="en-US"/>
        </w:rPr>
        <w:t xml:space="preserve"> given appropriate </w:t>
      </w:r>
      <w:r w:rsidRPr="002340DE">
        <w:rPr>
          <w:rFonts w:ascii="Arial" w:hAnsi="Arial" w:cs="Arial"/>
          <w:lang w:eastAsia="en-US"/>
        </w:rPr>
        <w:t xml:space="preserve">feedback </w:t>
      </w:r>
      <w:r w:rsidR="00D12B08">
        <w:rPr>
          <w:rFonts w:ascii="Arial" w:hAnsi="Arial" w:cs="Arial"/>
          <w:lang w:eastAsia="en-US"/>
        </w:rPr>
        <w:t xml:space="preserve">and this </w:t>
      </w:r>
      <w:r w:rsidRPr="002340DE">
        <w:rPr>
          <w:rFonts w:ascii="Arial" w:hAnsi="Arial" w:cs="Arial"/>
          <w:lang w:eastAsia="en-US"/>
        </w:rPr>
        <w:t>has informed the development of the content presented in this report.</w:t>
      </w:r>
    </w:p>
    <w:p w14:paraId="11B32981" w14:textId="77777777" w:rsidR="002340DE" w:rsidRPr="002340DE" w:rsidRDefault="002340DE" w:rsidP="002340DE">
      <w:pPr>
        <w:spacing w:before="40" w:after="40"/>
        <w:ind w:left="394"/>
        <w:rPr>
          <w:rFonts w:ascii="Arial" w:eastAsia="Calibri" w:hAnsi="Arial" w:cs="Arial"/>
          <w:color w:val="000000"/>
        </w:rPr>
      </w:pPr>
    </w:p>
    <w:p w14:paraId="5A0A057D" w14:textId="77777777" w:rsidR="00D12B08" w:rsidRDefault="00D12B08" w:rsidP="00D12B08">
      <w:pPr>
        <w:numPr>
          <w:ilvl w:val="0"/>
          <w:numId w:val="23"/>
        </w:numPr>
        <w:spacing w:before="40" w:after="40"/>
        <w:rPr>
          <w:rFonts w:ascii="Arial" w:eastAsia="Calibri" w:hAnsi="Arial" w:cs="Arial"/>
          <w:color w:val="000000"/>
        </w:rPr>
      </w:pPr>
      <w:r>
        <w:rPr>
          <w:rFonts w:ascii="Arial" w:eastAsia="Calibri" w:hAnsi="Arial" w:cs="Arial"/>
          <w:color w:val="000000"/>
        </w:rPr>
        <w:t>Clinical Governance Risk Management Group – Extra Ordinary Meeting 04 September 2023</w:t>
      </w:r>
    </w:p>
    <w:p w14:paraId="1E1609E1" w14:textId="77777777" w:rsidR="002340DE" w:rsidRPr="002340DE" w:rsidRDefault="002340DE" w:rsidP="002340DE">
      <w:pPr>
        <w:keepNext/>
        <w:spacing w:before="240" w:after="60"/>
        <w:outlineLvl w:val="2"/>
        <w:rPr>
          <w:rFonts w:ascii="Arial" w:hAnsi="Arial" w:cs="Arial"/>
          <w:b/>
          <w:bCs/>
          <w:lang w:eastAsia="en-US"/>
        </w:rPr>
      </w:pPr>
      <w:r w:rsidRPr="002340DE">
        <w:rPr>
          <w:rFonts w:ascii="Arial" w:hAnsi="Arial" w:cs="Arial"/>
          <w:b/>
          <w:bCs/>
          <w:lang w:eastAsia="en-US"/>
        </w:rPr>
        <w:t>2.4</w:t>
      </w:r>
      <w:r w:rsidRPr="002340DE">
        <w:rPr>
          <w:rFonts w:ascii="Arial" w:hAnsi="Arial" w:cs="Arial"/>
          <w:b/>
          <w:bCs/>
          <w:lang w:eastAsia="en-US"/>
        </w:rPr>
        <w:tab/>
        <w:t>Recommendation</w:t>
      </w:r>
    </w:p>
    <w:p w14:paraId="4E85B2C3" w14:textId="77777777" w:rsidR="002340DE" w:rsidRPr="002340DE" w:rsidRDefault="002340DE" w:rsidP="002340DE">
      <w:pPr>
        <w:rPr>
          <w:rFonts w:ascii="Arial" w:hAnsi="Arial" w:cs="Arial"/>
          <w:lang w:eastAsia="en-US"/>
        </w:rPr>
      </w:pPr>
    </w:p>
    <w:p w14:paraId="7A27BB41" w14:textId="11CE1D1B" w:rsidR="002340DE" w:rsidRDefault="002340DE" w:rsidP="002340DE">
      <w:pPr>
        <w:numPr>
          <w:ilvl w:val="0"/>
          <w:numId w:val="16"/>
        </w:numPr>
        <w:spacing w:before="40" w:after="40"/>
        <w:ind w:hanging="252"/>
        <w:rPr>
          <w:rFonts w:ascii="Arial" w:hAnsi="Arial" w:cs="Arial"/>
          <w:color w:val="000000"/>
          <w:lang w:eastAsia="en-US"/>
        </w:rPr>
      </w:pPr>
      <w:r w:rsidRPr="002340DE">
        <w:rPr>
          <w:rFonts w:ascii="Arial" w:hAnsi="Arial" w:cs="Arial"/>
          <w:b/>
          <w:color w:val="000000"/>
          <w:lang w:eastAsia="en-US"/>
        </w:rPr>
        <w:t xml:space="preserve">Awareness </w:t>
      </w:r>
      <w:r w:rsidRPr="002340DE">
        <w:rPr>
          <w:rFonts w:ascii="Arial" w:hAnsi="Arial" w:cs="Arial"/>
          <w:color w:val="000000"/>
          <w:lang w:eastAsia="en-US"/>
        </w:rPr>
        <w:t>– For Members’ information only.</w:t>
      </w:r>
    </w:p>
    <w:p w14:paraId="2B3F42BE" w14:textId="77777777" w:rsidR="00B52AF1" w:rsidRPr="002340DE" w:rsidRDefault="00B52AF1" w:rsidP="00B52AF1">
      <w:pPr>
        <w:spacing w:before="40" w:after="40"/>
        <w:rPr>
          <w:rFonts w:ascii="Arial" w:hAnsi="Arial" w:cs="Arial"/>
          <w:color w:val="000000"/>
          <w:lang w:eastAsia="en-US"/>
        </w:rPr>
      </w:pPr>
    </w:p>
    <w:p w14:paraId="61479357" w14:textId="77777777" w:rsidR="002340DE" w:rsidRPr="002340DE" w:rsidRDefault="002340DE" w:rsidP="002340DE">
      <w:pPr>
        <w:keepNext/>
        <w:spacing w:before="240" w:after="60"/>
        <w:outlineLvl w:val="2"/>
        <w:rPr>
          <w:rFonts w:ascii="Arial" w:hAnsi="Arial" w:cs="Arial"/>
          <w:b/>
          <w:bCs/>
          <w:lang w:eastAsia="en-US"/>
        </w:rPr>
      </w:pPr>
      <w:r w:rsidRPr="002340DE">
        <w:rPr>
          <w:rFonts w:ascii="Arial" w:hAnsi="Arial" w:cs="Arial"/>
          <w:b/>
          <w:bCs/>
          <w:lang w:eastAsia="en-US"/>
        </w:rPr>
        <w:t>3</w:t>
      </w:r>
      <w:r w:rsidRPr="002340DE">
        <w:rPr>
          <w:rFonts w:ascii="Arial" w:hAnsi="Arial" w:cs="Arial"/>
          <w:b/>
          <w:bCs/>
          <w:lang w:eastAsia="en-US"/>
        </w:rPr>
        <w:tab/>
        <w:t>List of appendices</w:t>
      </w:r>
    </w:p>
    <w:p w14:paraId="11EC4BA5" w14:textId="77777777" w:rsidR="002340DE" w:rsidRPr="002340DE" w:rsidRDefault="002340DE" w:rsidP="002340DE">
      <w:pPr>
        <w:spacing w:before="40" w:after="40"/>
        <w:rPr>
          <w:rFonts w:ascii="Arial" w:hAnsi="Arial" w:cs="Arial"/>
          <w:color w:val="000000"/>
          <w:lang w:eastAsia="en-US"/>
        </w:rPr>
      </w:pPr>
    </w:p>
    <w:p w14:paraId="311EC705" w14:textId="77777777" w:rsidR="002340DE" w:rsidRPr="002340DE" w:rsidRDefault="002340DE" w:rsidP="002340DE">
      <w:pPr>
        <w:spacing w:before="40" w:after="40"/>
        <w:ind w:firstLine="525"/>
        <w:rPr>
          <w:rFonts w:ascii="Arial" w:hAnsi="Arial" w:cs="Arial"/>
          <w:color w:val="000000"/>
          <w:lang w:eastAsia="en-US"/>
        </w:rPr>
      </w:pPr>
      <w:r w:rsidRPr="002340DE">
        <w:rPr>
          <w:rFonts w:ascii="Arial" w:hAnsi="Arial" w:cs="Arial"/>
          <w:color w:val="000000"/>
          <w:lang w:eastAsia="en-US"/>
        </w:rPr>
        <w:t>The following appendices are included with this report:</w:t>
      </w:r>
    </w:p>
    <w:p w14:paraId="04C5C8A3" w14:textId="77777777" w:rsidR="002340DE" w:rsidRPr="002340DE" w:rsidRDefault="002340DE" w:rsidP="002340DE">
      <w:pPr>
        <w:spacing w:before="40" w:after="40"/>
        <w:ind w:left="1253"/>
        <w:rPr>
          <w:rFonts w:ascii="Arial" w:eastAsia="Calibri" w:hAnsi="Arial" w:cs="Arial"/>
        </w:rPr>
      </w:pPr>
    </w:p>
    <w:p w14:paraId="2472F6AB" w14:textId="11C5DE5D" w:rsidR="002340DE" w:rsidRPr="00D12B08" w:rsidRDefault="002340DE" w:rsidP="00D12B08">
      <w:pPr>
        <w:numPr>
          <w:ilvl w:val="0"/>
          <w:numId w:val="21"/>
        </w:numPr>
        <w:spacing w:before="40" w:after="40"/>
        <w:ind w:left="993" w:hanging="284"/>
        <w:rPr>
          <w:rFonts w:ascii="Arial" w:eastAsia="Calibri" w:hAnsi="Arial" w:cs="Arial"/>
        </w:rPr>
      </w:pPr>
      <w:r w:rsidRPr="002340DE">
        <w:rPr>
          <w:rFonts w:ascii="Arial" w:eastAsia="Calibri" w:hAnsi="Arial" w:cs="Arial"/>
        </w:rPr>
        <w:t xml:space="preserve">Appendix No 1, </w:t>
      </w:r>
      <w:r w:rsidR="00D12B08">
        <w:rPr>
          <w:rFonts w:ascii="Arial" w:eastAsia="Calibri" w:hAnsi="Arial" w:cs="Arial"/>
        </w:rPr>
        <w:t>Annual Learning Summary</w:t>
      </w:r>
      <w:r w:rsidRPr="00D12B08">
        <w:rPr>
          <w:rFonts w:ascii="Arial" w:eastAsia="Calibri" w:hAnsi="Arial" w:cs="Arial"/>
        </w:rPr>
        <w:t xml:space="preserve"> </w:t>
      </w:r>
    </w:p>
    <w:p w14:paraId="5638C7E2" w14:textId="5DF2B586" w:rsidR="00363EDA" w:rsidRPr="002340DE" w:rsidRDefault="00363EDA" w:rsidP="00D12B08">
      <w:pPr>
        <w:keepNext/>
        <w:keepLines/>
        <w:spacing w:before="40" w:line="276" w:lineRule="auto"/>
        <w:outlineLvl w:val="1"/>
        <w:rPr>
          <w:rFonts w:ascii="Arial" w:hAnsi="Arial" w:cs="Arial"/>
          <w:color w:val="FF0000"/>
          <w:spacing w:val="-3"/>
          <w:highlight w:val="lightGray"/>
        </w:rPr>
      </w:pPr>
    </w:p>
    <w:p w14:paraId="1384FD86" w14:textId="77777777" w:rsidR="00D12B08" w:rsidRDefault="00D12B08">
      <w:pPr>
        <w:spacing w:after="200" w:line="276" w:lineRule="auto"/>
        <w:rPr>
          <w:rFonts w:ascii="Arial" w:hAnsi="Arial" w:cs="Arial"/>
          <w:b/>
        </w:rPr>
      </w:pPr>
      <w:r>
        <w:rPr>
          <w:rFonts w:ascii="Arial" w:hAnsi="Arial" w:cs="Arial"/>
          <w:b/>
        </w:rPr>
        <w:br w:type="page"/>
      </w:r>
    </w:p>
    <w:p w14:paraId="3A741F87" w14:textId="6EF04B48" w:rsidR="001B0E26" w:rsidRDefault="001B0E26" w:rsidP="001B0E26">
      <w:pPr>
        <w:tabs>
          <w:tab w:val="left" w:pos="5609"/>
        </w:tabs>
        <w:jc w:val="right"/>
        <w:rPr>
          <w:rFonts w:ascii="Arial" w:hAnsi="Arial" w:cs="Arial"/>
          <w:b/>
        </w:rPr>
      </w:pPr>
      <w:r w:rsidRPr="009C2496">
        <w:rPr>
          <w:rFonts w:ascii="Arial" w:hAnsi="Arial" w:cs="Arial"/>
          <w:b/>
          <w:bCs/>
          <w:noProof/>
          <w:sz w:val="22"/>
          <w:szCs w:val="22"/>
        </w:rPr>
        <w:drawing>
          <wp:inline distT="0" distB="0" distL="0" distR="0" wp14:anchorId="4203A153" wp14:editId="28E802D4">
            <wp:extent cx="1032738" cy="714375"/>
            <wp:effectExtent l="0" t="0" r="0" b="0"/>
            <wp:docPr id="5" name="Picture 5" descr="GJ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7615" cy="717749"/>
                    </a:xfrm>
                    <a:prstGeom prst="rect">
                      <a:avLst/>
                    </a:prstGeom>
                    <a:noFill/>
                    <a:ln>
                      <a:noFill/>
                    </a:ln>
                  </pic:spPr>
                </pic:pic>
              </a:graphicData>
            </a:graphic>
          </wp:inline>
        </w:drawing>
      </w:r>
    </w:p>
    <w:p w14:paraId="2CB0181A" w14:textId="4F1C1B51" w:rsidR="001B0E26" w:rsidRPr="004410BC" w:rsidRDefault="00C747EC" w:rsidP="00C747EC">
      <w:pPr>
        <w:jc w:val="center"/>
        <w:rPr>
          <w:rFonts w:ascii="Arial" w:hAnsi="Arial" w:cs="Arial"/>
          <w:b/>
          <w:bCs/>
        </w:rPr>
      </w:pPr>
      <w:r>
        <w:rPr>
          <w:rFonts w:ascii="Arial" w:hAnsi="Arial" w:cs="Arial"/>
          <w:b/>
        </w:rPr>
        <w:t>ANNUAL LEARNING SUMMARY</w:t>
      </w:r>
    </w:p>
    <w:p w14:paraId="5C71C82F" w14:textId="5BA05CE9" w:rsidR="001B0E26" w:rsidRDefault="001B0E26" w:rsidP="001B0E26">
      <w:pPr>
        <w:rPr>
          <w:color w:val="FF0000"/>
          <w:sz w:val="22"/>
          <w:szCs w:val="22"/>
        </w:rPr>
      </w:pPr>
    </w:p>
    <w:p w14:paraId="141989EB" w14:textId="30358D3F" w:rsidR="001B0E26" w:rsidRPr="00687317" w:rsidRDefault="001B0E26" w:rsidP="001B0E26">
      <w:pPr>
        <w:numPr>
          <w:ilvl w:val="0"/>
          <w:numId w:val="1"/>
        </w:numPr>
        <w:rPr>
          <w:rFonts w:ascii="Arial" w:hAnsi="Arial" w:cs="Arial"/>
          <w:b/>
        </w:rPr>
      </w:pPr>
      <w:r w:rsidRPr="00687317">
        <w:rPr>
          <w:rFonts w:ascii="Arial" w:hAnsi="Arial" w:cs="Arial"/>
          <w:b/>
        </w:rPr>
        <w:t>Introduction</w:t>
      </w:r>
    </w:p>
    <w:p w14:paraId="32CCC3DB" w14:textId="77777777" w:rsidR="001B0E26" w:rsidRPr="004410BC" w:rsidRDefault="001B0E26" w:rsidP="001B0E26">
      <w:pPr>
        <w:rPr>
          <w:rFonts w:ascii="Arial" w:hAnsi="Arial" w:cs="Arial"/>
          <w:b/>
          <w:u w:val="single"/>
        </w:rPr>
      </w:pPr>
    </w:p>
    <w:p w14:paraId="748266F9" w14:textId="77777777" w:rsidR="001B0E26" w:rsidRDefault="001B0E26" w:rsidP="001B0E26">
      <w:pPr>
        <w:rPr>
          <w:rFonts w:ascii="Arial" w:hAnsi="Arial" w:cs="Arial"/>
        </w:rPr>
      </w:pPr>
      <w:r w:rsidRPr="005D3096">
        <w:rPr>
          <w:rFonts w:ascii="Arial" w:hAnsi="Arial" w:cs="Arial"/>
        </w:rPr>
        <w:t xml:space="preserve">In </w:t>
      </w:r>
      <w:proofErr w:type="gramStart"/>
      <w:r w:rsidRPr="005D3096">
        <w:rPr>
          <w:rFonts w:ascii="Arial" w:hAnsi="Arial" w:cs="Arial"/>
        </w:rPr>
        <w:t>2016</w:t>
      </w:r>
      <w:proofErr w:type="gramEnd"/>
      <w:r w:rsidRPr="005D3096">
        <w:rPr>
          <w:rFonts w:ascii="Arial" w:hAnsi="Arial" w:cs="Arial"/>
        </w:rPr>
        <w:t xml:space="preserve"> it was agreed to develop an Annual Learning Report looking across the organisation at adverse events and complaints to support identification of trends/ themes for learning and considering this in the context of our improvement work.  </w:t>
      </w:r>
    </w:p>
    <w:p w14:paraId="49B5440F" w14:textId="77777777" w:rsidR="001B0E26" w:rsidRPr="005D3096" w:rsidRDefault="001B0E26" w:rsidP="001B0E26">
      <w:pPr>
        <w:rPr>
          <w:rFonts w:ascii="Arial" w:hAnsi="Arial" w:cs="Arial"/>
        </w:rPr>
      </w:pPr>
    </w:p>
    <w:p w14:paraId="255AEECA" w14:textId="77777777" w:rsidR="00C747EC" w:rsidRDefault="00D97A4E" w:rsidP="00FF20BF">
      <w:pPr>
        <w:rPr>
          <w:rFonts w:ascii="Arial" w:hAnsi="Arial" w:cs="Arial"/>
        </w:rPr>
      </w:pPr>
      <w:r>
        <w:rPr>
          <w:rFonts w:ascii="Arial" w:hAnsi="Arial" w:cs="Arial"/>
        </w:rPr>
        <w:t>This paper presents the sixth</w:t>
      </w:r>
      <w:r w:rsidR="001B0E26" w:rsidRPr="005D3096">
        <w:rPr>
          <w:rFonts w:ascii="Arial" w:hAnsi="Arial" w:cs="Arial"/>
        </w:rPr>
        <w:t xml:space="preserve"> annual </w:t>
      </w:r>
      <w:proofErr w:type="gramStart"/>
      <w:r w:rsidR="001B0E26" w:rsidRPr="005D3096">
        <w:rPr>
          <w:rFonts w:ascii="Arial" w:hAnsi="Arial" w:cs="Arial"/>
        </w:rPr>
        <w:t>report</w:t>
      </w:r>
      <w:proofErr w:type="gramEnd"/>
      <w:r>
        <w:rPr>
          <w:rFonts w:ascii="Arial" w:hAnsi="Arial" w:cs="Arial"/>
        </w:rPr>
        <w:t xml:space="preserve"> as there was no report during 2021-2022</w:t>
      </w:r>
      <w:r w:rsidR="00C747EC">
        <w:rPr>
          <w:rFonts w:ascii="Arial" w:hAnsi="Arial" w:cs="Arial"/>
        </w:rPr>
        <w:t xml:space="preserve"> due to significant staffing challenges within the Clinical Governance Team</w:t>
      </w:r>
      <w:r w:rsidR="001B0E26" w:rsidRPr="005D3096">
        <w:rPr>
          <w:rFonts w:ascii="Arial" w:hAnsi="Arial" w:cs="Arial"/>
        </w:rPr>
        <w:t xml:space="preserve">. </w:t>
      </w:r>
      <w:r w:rsidR="00C747EC">
        <w:rPr>
          <w:rFonts w:ascii="Arial" w:hAnsi="Arial" w:cs="Arial"/>
        </w:rPr>
        <w:t xml:space="preserve"> </w:t>
      </w:r>
    </w:p>
    <w:p w14:paraId="6771C904" w14:textId="77777777" w:rsidR="00C747EC" w:rsidRDefault="00C747EC" w:rsidP="00FF20BF">
      <w:pPr>
        <w:rPr>
          <w:rFonts w:ascii="Arial" w:hAnsi="Arial" w:cs="Arial"/>
        </w:rPr>
      </w:pPr>
    </w:p>
    <w:p w14:paraId="5723E4EB" w14:textId="2C878E7B" w:rsidR="001B0E26" w:rsidRDefault="001B0E26" w:rsidP="00FF20BF">
      <w:r w:rsidRPr="005D3096">
        <w:rPr>
          <w:rFonts w:ascii="Arial" w:hAnsi="Arial" w:cs="Arial"/>
        </w:rPr>
        <w:t xml:space="preserve">An overview of adverse events reported within the year is given with exploration of the top </w:t>
      </w:r>
      <w:proofErr w:type="gramStart"/>
      <w:r w:rsidR="0031477F">
        <w:rPr>
          <w:rFonts w:ascii="Arial" w:hAnsi="Arial" w:cs="Arial"/>
        </w:rPr>
        <w:t>3</w:t>
      </w:r>
      <w:proofErr w:type="gramEnd"/>
      <w:r w:rsidRPr="005D3096">
        <w:rPr>
          <w:rFonts w:ascii="Arial" w:hAnsi="Arial" w:cs="Arial"/>
        </w:rPr>
        <w:t xml:space="preserve"> categories. The Significant Adverse Events are considered in a separate section followed by formal complaints. Links to improvement work are made throughout the report.</w:t>
      </w:r>
    </w:p>
    <w:p w14:paraId="17A9558C" w14:textId="77777777" w:rsidR="00FF20BF" w:rsidRDefault="00FF20BF" w:rsidP="006A1A05">
      <w:pPr>
        <w:pStyle w:val="Subtitle"/>
        <w:jc w:val="both"/>
        <w:rPr>
          <w:color w:val="auto"/>
          <w:u w:val="single"/>
        </w:rPr>
      </w:pPr>
    </w:p>
    <w:p w14:paraId="1711EDAE" w14:textId="06F8F3B0" w:rsidR="001B0E26" w:rsidRPr="00687317" w:rsidRDefault="001B0E26" w:rsidP="001B0E26">
      <w:pPr>
        <w:pStyle w:val="Subtitle"/>
        <w:numPr>
          <w:ilvl w:val="0"/>
          <w:numId w:val="1"/>
        </w:numPr>
        <w:jc w:val="both"/>
        <w:rPr>
          <w:color w:val="auto"/>
        </w:rPr>
      </w:pPr>
      <w:r w:rsidRPr="00687317">
        <w:rPr>
          <w:color w:val="auto"/>
        </w:rPr>
        <w:t xml:space="preserve">Adverse Events </w:t>
      </w:r>
    </w:p>
    <w:p w14:paraId="25D7EBAD" w14:textId="77777777" w:rsidR="001B0E26" w:rsidRPr="00C17EEB" w:rsidRDefault="001B0E26" w:rsidP="001B0E26">
      <w:pPr>
        <w:pStyle w:val="Subtitle"/>
        <w:jc w:val="both"/>
        <w:rPr>
          <w:b w:val="0"/>
          <w:color w:val="auto"/>
        </w:rPr>
      </w:pPr>
    </w:p>
    <w:p w14:paraId="67791FEA" w14:textId="77777777" w:rsidR="001B0E26" w:rsidRPr="00C17EEB" w:rsidRDefault="001B0E26" w:rsidP="001B0E26">
      <w:pPr>
        <w:pStyle w:val="Subtitle"/>
        <w:jc w:val="both"/>
        <w:rPr>
          <w:color w:val="auto"/>
        </w:rPr>
      </w:pPr>
      <w:r w:rsidRPr="00C17EEB">
        <w:rPr>
          <w:color w:val="auto"/>
        </w:rPr>
        <w:t xml:space="preserve">2.1 Overview </w:t>
      </w:r>
    </w:p>
    <w:p w14:paraId="2CCA4C92" w14:textId="7C5377B9" w:rsidR="001B0E26" w:rsidRPr="00C17EEB" w:rsidRDefault="00C747EC" w:rsidP="001B0E26">
      <w:pPr>
        <w:pStyle w:val="Subtitle"/>
        <w:jc w:val="both"/>
        <w:rPr>
          <w:b w:val="0"/>
          <w:color w:val="auto"/>
        </w:rPr>
      </w:pPr>
      <w:r>
        <w:rPr>
          <w:b w:val="0"/>
          <w:color w:val="auto"/>
        </w:rPr>
        <w:t>Chart 1 below</w:t>
      </w:r>
      <w:r w:rsidR="001B0E26" w:rsidRPr="00C17EEB">
        <w:rPr>
          <w:b w:val="0"/>
          <w:color w:val="auto"/>
        </w:rPr>
        <w:t xml:space="preserve"> show</w:t>
      </w:r>
      <w:r>
        <w:rPr>
          <w:b w:val="0"/>
          <w:color w:val="auto"/>
        </w:rPr>
        <w:t>s</w:t>
      </w:r>
      <w:r w:rsidR="00E54832">
        <w:rPr>
          <w:b w:val="0"/>
          <w:color w:val="auto"/>
        </w:rPr>
        <w:t xml:space="preserve"> </w:t>
      </w:r>
      <w:r w:rsidR="001B0E26" w:rsidRPr="00C17EEB">
        <w:rPr>
          <w:b w:val="0"/>
          <w:color w:val="auto"/>
        </w:rPr>
        <w:t xml:space="preserve">the number of adverse events reported per month as a count and against activity figures, data is shown over the last four years for comparison:  </w:t>
      </w:r>
    </w:p>
    <w:p w14:paraId="67E83A7A" w14:textId="77777777" w:rsidR="001B0E26" w:rsidRPr="00473D1A" w:rsidRDefault="001B0E26" w:rsidP="001B0E26">
      <w:pPr>
        <w:pStyle w:val="Subtitle"/>
        <w:jc w:val="both"/>
        <w:rPr>
          <w:b w:val="0"/>
          <w:color w:val="FFC000"/>
        </w:rPr>
      </w:pPr>
    </w:p>
    <w:p w14:paraId="5318586C" w14:textId="0A53CB33" w:rsidR="001B0E26" w:rsidRPr="00C17EEB" w:rsidRDefault="001B0E26" w:rsidP="001B0E26">
      <w:pPr>
        <w:pStyle w:val="Subtitle"/>
        <w:rPr>
          <w:rFonts w:ascii="Arial Narrow" w:hAnsi="Arial Narrow"/>
          <w:color w:val="auto"/>
          <w:sz w:val="22"/>
          <w:szCs w:val="22"/>
        </w:rPr>
      </w:pPr>
      <w:r w:rsidRPr="00C17EEB">
        <w:rPr>
          <w:rFonts w:ascii="Arial Narrow" w:hAnsi="Arial Narrow"/>
          <w:color w:val="auto"/>
          <w:sz w:val="22"/>
          <w:szCs w:val="22"/>
        </w:rPr>
        <w:t xml:space="preserve">Chart </w:t>
      </w:r>
      <w:r w:rsidR="00C747EC">
        <w:rPr>
          <w:rFonts w:ascii="Arial Narrow" w:hAnsi="Arial Narrow"/>
          <w:color w:val="auto"/>
          <w:sz w:val="22"/>
          <w:szCs w:val="22"/>
        </w:rPr>
        <w:t>1</w:t>
      </w:r>
      <w:r w:rsidRPr="00C17EEB">
        <w:rPr>
          <w:rFonts w:ascii="Arial Narrow" w:hAnsi="Arial Narrow"/>
          <w:color w:val="auto"/>
          <w:sz w:val="22"/>
          <w:szCs w:val="22"/>
        </w:rPr>
        <w:t xml:space="preserve"> – SPC Chart of Adverse Events by Month </w:t>
      </w:r>
    </w:p>
    <w:p w14:paraId="68051BF8" w14:textId="7B7DADF9" w:rsidR="001B0E26" w:rsidRPr="00C17EEB" w:rsidRDefault="001B0E26" w:rsidP="001B0E26">
      <w:pPr>
        <w:pStyle w:val="Subtitle"/>
        <w:rPr>
          <w:rFonts w:ascii="Arial Narrow" w:hAnsi="Arial Narrow"/>
          <w:color w:val="auto"/>
          <w:sz w:val="22"/>
          <w:szCs w:val="22"/>
        </w:rPr>
      </w:pPr>
      <w:r w:rsidRPr="00C17EEB">
        <w:rPr>
          <w:rFonts w:ascii="Arial Narrow" w:hAnsi="Arial Narrow"/>
          <w:color w:val="auto"/>
          <w:sz w:val="22"/>
          <w:szCs w:val="22"/>
        </w:rPr>
        <w:t xml:space="preserve">  (</w:t>
      </w:r>
      <w:r w:rsidR="00C17EEB" w:rsidRPr="00C17EEB">
        <w:rPr>
          <w:rFonts w:ascii="Arial Narrow" w:hAnsi="Arial Narrow"/>
          <w:color w:val="auto"/>
          <w:sz w:val="22"/>
          <w:szCs w:val="22"/>
        </w:rPr>
        <w:t>01/12/2018</w:t>
      </w:r>
      <w:r w:rsidRPr="00C17EEB">
        <w:rPr>
          <w:rFonts w:ascii="Arial Narrow" w:hAnsi="Arial Narrow"/>
          <w:color w:val="auto"/>
          <w:sz w:val="22"/>
          <w:szCs w:val="22"/>
        </w:rPr>
        <w:t xml:space="preserve"> – 31/03/2</w:t>
      </w:r>
      <w:r w:rsidR="00C17EEB" w:rsidRPr="00C17EEB">
        <w:rPr>
          <w:rFonts w:ascii="Arial Narrow" w:hAnsi="Arial Narrow"/>
          <w:color w:val="auto"/>
          <w:sz w:val="22"/>
          <w:szCs w:val="22"/>
        </w:rPr>
        <w:t>3</w:t>
      </w:r>
      <w:r w:rsidRPr="00C17EEB">
        <w:rPr>
          <w:rFonts w:ascii="Arial Narrow" w:hAnsi="Arial Narrow"/>
          <w:color w:val="auto"/>
          <w:sz w:val="22"/>
          <w:szCs w:val="22"/>
        </w:rPr>
        <w:t>)</w:t>
      </w:r>
    </w:p>
    <w:p w14:paraId="270EF926" w14:textId="42BF0A79" w:rsidR="001B0E26" w:rsidRPr="00473D1A" w:rsidRDefault="00FC3925" w:rsidP="001B0E26">
      <w:pPr>
        <w:pStyle w:val="Subtitle"/>
        <w:spacing w:after="240"/>
        <w:rPr>
          <w:rFonts w:ascii="Arial Narrow" w:hAnsi="Arial Narrow"/>
          <w:color w:val="FFC000"/>
          <w:sz w:val="22"/>
          <w:szCs w:val="22"/>
        </w:rPr>
      </w:pPr>
      <w:r>
        <w:rPr>
          <w:noProof/>
          <w:lang w:eastAsia="en-GB"/>
        </w:rPr>
        <w:pict w14:anchorId="50D1B494">
          <v:oval id="_x0000_s1034" style="position:absolute;left:0;text-align:left;margin-left:181.75pt;margin-top:167.6pt;width:49.15pt;height:32.45pt;z-index:251661824" filled="f" strokecolor="red"/>
        </w:pict>
      </w:r>
      <w:r w:rsidR="00C17EEB">
        <w:rPr>
          <w:noProof/>
          <w:lang w:eastAsia="en-GB"/>
        </w:rPr>
        <w:drawing>
          <wp:inline distT="0" distB="0" distL="0" distR="0" wp14:anchorId="4B63D670" wp14:editId="615D54AF">
            <wp:extent cx="4852134" cy="35471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5181" cy="3564013"/>
                    </a:xfrm>
                    <a:prstGeom prst="rect">
                      <a:avLst/>
                    </a:prstGeom>
                  </pic:spPr>
                </pic:pic>
              </a:graphicData>
            </a:graphic>
          </wp:inline>
        </w:drawing>
      </w:r>
    </w:p>
    <w:p w14:paraId="3A3D25A8" w14:textId="292E3BC3" w:rsidR="00405DEC" w:rsidRDefault="001B0E26" w:rsidP="001B0E26">
      <w:pPr>
        <w:pStyle w:val="Subtitle"/>
        <w:jc w:val="left"/>
        <w:rPr>
          <w:b w:val="0"/>
          <w:color w:val="auto"/>
        </w:rPr>
      </w:pPr>
      <w:r w:rsidRPr="005A2A44">
        <w:rPr>
          <w:b w:val="0"/>
          <w:color w:val="auto"/>
        </w:rPr>
        <w:t xml:space="preserve">During </w:t>
      </w:r>
      <w:proofErr w:type="gramStart"/>
      <w:r w:rsidRPr="005A2A44">
        <w:rPr>
          <w:b w:val="0"/>
          <w:color w:val="auto"/>
        </w:rPr>
        <w:t>202</w:t>
      </w:r>
      <w:r w:rsidR="00C17EEB" w:rsidRPr="005A2A44">
        <w:rPr>
          <w:b w:val="0"/>
          <w:color w:val="auto"/>
        </w:rPr>
        <w:t>2-2023</w:t>
      </w:r>
      <w:proofErr w:type="gramEnd"/>
      <w:r w:rsidRPr="005A2A44">
        <w:rPr>
          <w:b w:val="0"/>
          <w:color w:val="auto"/>
        </w:rPr>
        <w:t xml:space="preserve"> there was an average of </w:t>
      </w:r>
      <w:r w:rsidR="00FA1221" w:rsidRPr="005A2A44">
        <w:rPr>
          <w:b w:val="0"/>
          <w:color w:val="auto"/>
        </w:rPr>
        <w:t>112</w:t>
      </w:r>
      <w:r w:rsidRPr="005A2A44">
        <w:rPr>
          <w:b w:val="0"/>
          <w:color w:val="auto"/>
        </w:rPr>
        <w:t xml:space="preserve"> events per month, which is a </w:t>
      </w:r>
      <w:r w:rsidR="00FA1221" w:rsidRPr="005A2A44">
        <w:rPr>
          <w:b w:val="0"/>
          <w:color w:val="auto"/>
        </w:rPr>
        <w:t>decrease</w:t>
      </w:r>
      <w:r w:rsidRPr="005A2A44">
        <w:rPr>
          <w:b w:val="0"/>
          <w:color w:val="auto"/>
        </w:rPr>
        <w:t xml:space="preserve"> on the previous </w:t>
      </w:r>
      <w:r w:rsidR="00E65862" w:rsidRPr="005A2A44">
        <w:rPr>
          <w:b w:val="0"/>
          <w:color w:val="auto"/>
        </w:rPr>
        <w:t>year’s</w:t>
      </w:r>
      <w:r w:rsidRPr="005A2A44">
        <w:rPr>
          <w:b w:val="0"/>
          <w:color w:val="auto"/>
        </w:rPr>
        <w:t xml:space="preserve"> average of </w:t>
      </w:r>
      <w:r w:rsidR="00FA1221" w:rsidRPr="005A2A44">
        <w:rPr>
          <w:b w:val="0"/>
          <w:color w:val="auto"/>
        </w:rPr>
        <w:t xml:space="preserve">115. This reporting period has seen the </w:t>
      </w:r>
      <w:proofErr w:type="gramStart"/>
      <w:r w:rsidR="00FA1221" w:rsidRPr="005A2A44">
        <w:rPr>
          <w:b w:val="0"/>
          <w:color w:val="auto"/>
        </w:rPr>
        <w:t>incident reporting</w:t>
      </w:r>
      <w:proofErr w:type="gramEnd"/>
      <w:r w:rsidR="00FA1221" w:rsidRPr="005A2A44">
        <w:rPr>
          <w:b w:val="0"/>
          <w:color w:val="auto"/>
        </w:rPr>
        <w:t xml:space="preserve"> rate settle to almost pre-pandemic rates. </w:t>
      </w:r>
      <w:r w:rsidR="004B4B38">
        <w:rPr>
          <w:b w:val="0"/>
          <w:color w:val="auto"/>
        </w:rPr>
        <w:t xml:space="preserve">It should be noted that the new median is slightly higher </w:t>
      </w:r>
      <w:proofErr w:type="gramStart"/>
      <w:r w:rsidR="004B4B38">
        <w:rPr>
          <w:b w:val="0"/>
          <w:color w:val="auto"/>
        </w:rPr>
        <w:t>however</w:t>
      </w:r>
      <w:proofErr w:type="gramEnd"/>
      <w:r w:rsidR="004B4B38">
        <w:rPr>
          <w:b w:val="0"/>
          <w:color w:val="auto"/>
        </w:rPr>
        <w:t xml:space="preserve"> this could be related to the increased activity across the organisation as we continue to grow and expand.  </w:t>
      </w:r>
      <w:r w:rsidRPr="005A2A44">
        <w:rPr>
          <w:b w:val="0"/>
          <w:color w:val="auto"/>
        </w:rPr>
        <w:t>There were two months where incident reporting fell out</w:t>
      </w:r>
      <w:r w:rsidR="00EF1165" w:rsidRPr="005A2A44">
        <w:rPr>
          <w:b w:val="0"/>
          <w:color w:val="auto"/>
        </w:rPr>
        <w:t xml:space="preserve"> </w:t>
      </w:r>
      <w:r w:rsidRPr="005A2A44">
        <w:rPr>
          <w:b w:val="0"/>
          <w:color w:val="auto"/>
        </w:rPr>
        <w:t xml:space="preserve">with </w:t>
      </w:r>
      <w:r w:rsidR="00FA1221" w:rsidRPr="005A2A44">
        <w:rPr>
          <w:b w:val="0"/>
          <w:color w:val="auto"/>
        </w:rPr>
        <w:t xml:space="preserve">the third </w:t>
      </w:r>
      <w:r w:rsidRPr="005A2A44">
        <w:rPr>
          <w:b w:val="0"/>
          <w:color w:val="auto"/>
        </w:rPr>
        <w:t xml:space="preserve">upper control limit – </w:t>
      </w:r>
      <w:r w:rsidR="00FA1221" w:rsidRPr="005A2A44">
        <w:rPr>
          <w:b w:val="0"/>
          <w:color w:val="auto"/>
        </w:rPr>
        <w:t>August 2022</w:t>
      </w:r>
      <w:r w:rsidRPr="005A2A44">
        <w:rPr>
          <w:b w:val="0"/>
          <w:color w:val="auto"/>
        </w:rPr>
        <w:t xml:space="preserve"> (n=133) and </w:t>
      </w:r>
      <w:r w:rsidR="00FA1221" w:rsidRPr="005A2A44">
        <w:rPr>
          <w:b w:val="0"/>
          <w:color w:val="auto"/>
        </w:rPr>
        <w:t>February 2023</w:t>
      </w:r>
      <w:r w:rsidRPr="005A2A44">
        <w:rPr>
          <w:b w:val="0"/>
          <w:color w:val="auto"/>
        </w:rPr>
        <w:t xml:space="preserve"> (n=</w:t>
      </w:r>
      <w:r w:rsidRPr="00D97A4E">
        <w:rPr>
          <w:b w:val="0"/>
          <w:color w:val="auto"/>
        </w:rPr>
        <w:t>1</w:t>
      </w:r>
      <w:r w:rsidR="00FA1221" w:rsidRPr="00D97A4E">
        <w:rPr>
          <w:b w:val="0"/>
          <w:color w:val="auto"/>
        </w:rPr>
        <w:t>32</w:t>
      </w:r>
      <w:r w:rsidR="005A2A44" w:rsidRPr="00D97A4E">
        <w:rPr>
          <w:b w:val="0"/>
          <w:color w:val="auto"/>
        </w:rPr>
        <w:t>).</w:t>
      </w:r>
      <w:r w:rsidR="00626344">
        <w:rPr>
          <w:b w:val="0"/>
          <w:color w:val="auto"/>
        </w:rPr>
        <w:t xml:space="preserve"> </w:t>
      </w:r>
      <w:r w:rsidR="005A2A44" w:rsidRPr="00D97A4E">
        <w:rPr>
          <w:b w:val="0"/>
          <w:color w:val="auto"/>
        </w:rPr>
        <w:t>It can be seen that August appears to have a consistently high</w:t>
      </w:r>
      <w:r w:rsidR="00405DEC">
        <w:rPr>
          <w:b w:val="0"/>
          <w:color w:val="auto"/>
        </w:rPr>
        <w:t>er level of incident reporting.</w:t>
      </w:r>
    </w:p>
    <w:p w14:paraId="17CDA552" w14:textId="77777777" w:rsidR="00405DEC" w:rsidRDefault="00405DEC" w:rsidP="001B0E26">
      <w:pPr>
        <w:pStyle w:val="Subtitle"/>
        <w:jc w:val="left"/>
        <w:rPr>
          <w:b w:val="0"/>
          <w:color w:val="auto"/>
        </w:rPr>
      </w:pPr>
    </w:p>
    <w:p w14:paraId="0478EA8B" w14:textId="56DA8282" w:rsidR="001B0E26" w:rsidRPr="00D97A4E" w:rsidRDefault="001B0E26" w:rsidP="001B0E26">
      <w:pPr>
        <w:pStyle w:val="Subtitle"/>
        <w:jc w:val="left"/>
        <w:rPr>
          <w:b w:val="0"/>
          <w:color w:val="auto"/>
        </w:rPr>
      </w:pPr>
      <w:r w:rsidRPr="00D97A4E">
        <w:rPr>
          <w:b w:val="0"/>
          <w:color w:val="auto"/>
        </w:rPr>
        <w:t>The charts below show a comparison of events reported during</w:t>
      </w:r>
      <w:r w:rsidR="005A2A44" w:rsidRPr="00D97A4E">
        <w:rPr>
          <w:b w:val="0"/>
          <w:color w:val="auto"/>
        </w:rPr>
        <w:t xml:space="preserve"> August </w:t>
      </w:r>
      <w:r w:rsidRPr="00D97A4E">
        <w:rPr>
          <w:b w:val="0"/>
          <w:color w:val="auto"/>
        </w:rPr>
        <w:t xml:space="preserve">for the </w:t>
      </w:r>
      <w:r w:rsidR="00EF1165" w:rsidRPr="00D97A4E">
        <w:rPr>
          <w:b w:val="0"/>
          <w:color w:val="auto"/>
        </w:rPr>
        <w:t>preceding</w:t>
      </w:r>
      <w:r w:rsidRPr="00D97A4E">
        <w:rPr>
          <w:b w:val="0"/>
          <w:color w:val="auto"/>
        </w:rPr>
        <w:t xml:space="preserve"> </w:t>
      </w:r>
      <w:r w:rsidR="005A2A44" w:rsidRPr="00D97A4E">
        <w:rPr>
          <w:b w:val="0"/>
          <w:color w:val="auto"/>
        </w:rPr>
        <w:t>four</w:t>
      </w:r>
      <w:r w:rsidRPr="00D97A4E">
        <w:rPr>
          <w:b w:val="0"/>
          <w:color w:val="auto"/>
        </w:rPr>
        <w:t xml:space="preserve"> years</w:t>
      </w:r>
      <w:r w:rsidR="00EF1165" w:rsidRPr="00D97A4E">
        <w:rPr>
          <w:b w:val="0"/>
          <w:color w:val="auto"/>
        </w:rPr>
        <w:t xml:space="preserve"> in an attempt to illustrate whether specific areas had contributed to the </w:t>
      </w:r>
      <w:r w:rsidR="005A2A44" w:rsidRPr="00D97A4E">
        <w:rPr>
          <w:b w:val="0"/>
          <w:color w:val="auto"/>
        </w:rPr>
        <w:t>August 2022</w:t>
      </w:r>
      <w:r w:rsidR="00EF1165" w:rsidRPr="00D97A4E">
        <w:rPr>
          <w:b w:val="0"/>
          <w:color w:val="auto"/>
        </w:rPr>
        <w:t xml:space="preserve"> bre</w:t>
      </w:r>
      <w:r w:rsidR="005A2A44" w:rsidRPr="00D97A4E">
        <w:rPr>
          <w:b w:val="0"/>
          <w:color w:val="auto"/>
        </w:rPr>
        <w:t>a</w:t>
      </w:r>
      <w:r w:rsidR="00EF1165" w:rsidRPr="00D97A4E">
        <w:rPr>
          <w:b w:val="0"/>
          <w:color w:val="auto"/>
        </w:rPr>
        <w:t>ch of upper control limit 3</w:t>
      </w:r>
      <w:r w:rsidR="005A2A44" w:rsidRPr="00D97A4E">
        <w:rPr>
          <w:b w:val="0"/>
          <w:color w:val="auto"/>
        </w:rPr>
        <w:t>.</w:t>
      </w:r>
      <w:r w:rsidR="00C63D5A" w:rsidRPr="00D97A4E">
        <w:rPr>
          <w:b w:val="0"/>
          <w:color w:val="auto"/>
        </w:rPr>
        <w:t xml:space="preserve"> To illustrate </w:t>
      </w:r>
      <w:r w:rsidR="003815ED" w:rsidRPr="00D97A4E">
        <w:rPr>
          <w:b w:val="0"/>
          <w:color w:val="auto"/>
        </w:rPr>
        <w:t>this,</w:t>
      </w:r>
      <w:r w:rsidR="00C63D5A" w:rsidRPr="00D97A4E">
        <w:rPr>
          <w:b w:val="0"/>
          <w:color w:val="auto"/>
        </w:rPr>
        <w:t xml:space="preserve"> </w:t>
      </w:r>
      <w:r w:rsidR="00EF1165" w:rsidRPr="00D97A4E">
        <w:rPr>
          <w:b w:val="0"/>
          <w:color w:val="auto"/>
        </w:rPr>
        <w:t>we have created comparative Pareto charts below</w:t>
      </w:r>
      <w:r w:rsidR="00E65862" w:rsidRPr="00D97A4E">
        <w:rPr>
          <w:b w:val="0"/>
          <w:color w:val="auto"/>
        </w:rPr>
        <w:t>.</w:t>
      </w:r>
    </w:p>
    <w:p w14:paraId="7609DD23" w14:textId="77777777" w:rsidR="00E65862" w:rsidRPr="00D97A4E" w:rsidRDefault="00E65862" w:rsidP="001B0E26">
      <w:pPr>
        <w:pStyle w:val="Subtitle"/>
        <w:jc w:val="left"/>
        <w:rPr>
          <w:b w:val="0"/>
          <w:color w:val="auto"/>
        </w:rPr>
      </w:pPr>
    </w:p>
    <w:p w14:paraId="2DCA91C4" w14:textId="587221CA" w:rsidR="001B0E26" w:rsidRPr="00473D1A" w:rsidRDefault="005A2A44" w:rsidP="00B95205">
      <w:pPr>
        <w:spacing w:after="240"/>
        <w:rPr>
          <w:color w:val="FFC000"/>
        </w:rPr>
      </w:pPr>
      <w:r>
        <w:rPr>
          <w:noProof/>
          <w:color w:val="FFC000"/>
        </w:rPr>
        <w:drawing>
          <wp:inline distT="0" distB="0" distL="0" distR="0" wp14:anchorId="0E48CD5D" wp14:editId="7F3DE0BE">
            <wp:extent cx="3103880" cy="20478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2486" cy="2093080"/>
                    </a:xfrm>
                    <a:prstGeom prst="rect">
                      <a:avLst/>
                    </a:prstGeom>
                    <a:noFill/>
                  </pic:spPr>
                </pic:pic>
              </a:graphicData>
            </a:graphic>
          </wp:inline>
        </w:drawing>
      </w:r>
      <w:r w:rsidR="009709F7" w:rsidRPr="00473D1A">
        <w:rPr>
          <w:color w:val="FFC000"/>
        </w:rPr>
        <w:t xml:space="preserve">   </w:t>
      </w:r>
      <w:r w:rsidR="00CE3B35">
        <w:rPr>
          <w:noProof/>
          <w:color w:val="FFC000"/>
        </w:rPr>
        <w:drawing>
          <wp:inline distT="0" distB="0" distL="0" distR="0" wp14:anchorId="4F816899" wp14:editId="1151C780">
            <wp:extent cx="3087667" cy="20465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035" cy="2083230"/>
                    </a:xfrm>
                    <a:prstGeom prst="rect">
                      <a:avLst/>
                    </a:prstGeom>
                    <a:noFill/>
                  </pic:spPr>
                </pic:pic>
              </a:graphicData>
            </a:graphic>
          </wp:inline>
        </w:drawing>
      </w:r>
    </w:p>
    <w:p w14:paraId="32280A8D" w14:textId="246A6E9D" w:rsidR="001B0E26" w:rsidRPr="00473D1A" w:rsidRDefault="00CE3B35" w:rsidP="00CE3B35">
      <w:pPr>
        <w:pStyle w:val="Subtitle"/>
        <w:jc w:val="left"/>
        <w:rPr>
          <w:rFonts w:ascii="Arial Narrow" w:hAnsi="Arial Narrow"/>
          <w:color w:val="FFC000"/>
          <w:sz w:val="22"/>
          <w:szCs w:val="22"/>
        </w:rPr>
      </w:pPr>
      <w:r>
        <w:rPr>
          <w:rFonts w:ascii="Arial Narrow" w:hAnsi="Arial Narrow"/>
          <w:noProof/>
          <w:color w:val="FFC000"/>
          <w:sz w:val="22"/>
          <w:szCs w:val="22"/>
          <w:lang w:eastAsia="en-GB"/>
        </w:rPr>
        <w:drawing>
          <wp:inline distT="0" distB="0" distL="0" distR="0" wp14:anchorId="58ED4173" wp14:editId="2CA46D04">
            <wp:extent cx="3103952" cy="20573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7734" cy="2079718"/>
                    </a:xfrm>
                    <a:prstGeom prst="rect">
                      <a:avLst/>
                    </a:prstGeom>
                    <a:noFill/>
                  </pic:spPr>
                </pic:pic>
              </a:graphicData>
            </a:graphic>
          </wp:inline>
        </w:drawing>
      </w:r>
      <w:r w:rsidR="00B95205">
        <w:rPr>
          <w:rFonts w:ascii="Arial Narrow" w:hAnsi="Arial Narrow"/>
          <w:color w:val="FFC000"/>
          <w:sz w:val="22"/>
          <w:szCs w:val="22"/>
        </w:rPr>
        <w:t xml:space="preserve">   </w:t>
      </w:r>
      <w:r w:rsidR="00B95205">
        <w:rPr>
          <w:rFonts w:ascii="Arial Narrow" w:hAnsi="Arial Narrow"/>
          <w:noProof/>
          <w:color w:val="FFC000"/>
          <w:sz w:val="22"/>
          <w:szCs w:val="22"/>
          <w:lang w:eastAsia="en-GB"/>
        </w:rPr>
        <w:drawing>
          <wp:inline distT="0" distB="0" distL="0" distR="0" wp14:anchorId="3B5FD20A" wp14:editId="0B52D6C8">
            <wp:extent cx="3103698" cy="20571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1636" cy="2082303"/>
                    </a:xfrm>
                    <a:prstGeom prst="rect">
                      <a:avLst/>
                    </a:prstGeom>
                    <a:noFill/>
                  </pic:spPr>
                </pic:pic>
              </a:graphicData>
            </a:graphic>
          </wp:inline>
        </w:drawing>
      </w:r>
    </w:p>
    <w:p w14:paraId="4529A05C" w14:textId="0B952E2D" w:rsidR="001B0E26" w:rsidRPr="00473D1A" w:rsidRDefault="001B0E26" w:rsidP="001B0E26">
      <w:pPr>
        <w:pStyle w:val="Subtitle"/>
        <w:rPr>
          <w:rFonts w:ascii="Arial Narrow" w:hAnsi="Arial Narrow"/>
          <w:color w:val="FFC000"/>
          <w:sz w:val="12"/>
          <w:szCs w:val="12"/>
        </w:rPr>
      </w:pPr>
    </w:p>
    <w:p w14:paraId="75193C33" w14:textId="5D6C086C" w:rsidR="00E65862" w:rsidRPr="00D97A4E" w:rsidRDefault="00EF1165" w:rsidP="00E65862">
      <w:pPr>
        <w:pStyle w:val="Subtitle"/>
        <w:jc w:val="left"/>
        <w:rPr>
          <w:b w:val="0"/>
          <w:color w:val="auto"/>
        </w:rPr>
      </w:pPr>
      <w:r w:rsidRPr="00D97A4E">
        <w:rPr>
          <w:b w:val="0"/>
          <w:color w:val="auto"/>
        </w:rPr>
        <w:t>The above P</w:t>
      </w:r>
      <w:r w:rsidR="00E65862" w:rsidRPr="00D97A4E">
        <w:rPr>
          <w:b w:val="0"/>
          <w:color w:val="auto"/>
        </w:rPr>
        <w:t>areto charts demonstrated</w:t>
      </w:r>
      <w:r w:rsidR="00F7056C" w:rsidRPr="00D97A4E">
        <w:rPr>
          <w:b w:val="0"/>
          <w:color w:val="auto"/>
        </w:rPr>
        <w:t xml:space="preserve"> that Diagnostics has been the significant contributing factor to the overall total of 149 events reported for </w:t>
      </w:r>
      <w:r w:rsidR="00D97A4E" w:rsidRPr="00D97A4E">
        <w:rPr>
          <w:b w:val="0"/>
          <w:color w:val="auto"/>
        </w:rPr>
        <w:t>August 2022</w:t>
      </w:r>
      <w:r w:rsidR="00F7056C" w:rsidRPr="00D97A4E">
        <w:rPr>
          <w:b w:val="0"/>
          <w:color w:val="auto"/>
        </w:rPr>
        <w:t xml:space="preserve"> and the reason for the bre</w:t>
      </w:r>
      <w:r w:rsidR="00D97A4E" w:rsidRPr="00D97A4E">
        <w:rPr>
          <w:b w:val="0"/>
          <w:color w:val="auto"/>
        </w:rPr>
        <w:t>a</w:t>
      </w:r>
      <w:r w:rsidR="00F7056C" w:rsidRPr="00D97A4E">
        <w:rPr>
          <w:b w:val="0"/>
          <w:color w:val="auto"/>
        </w:rPr>
        <w:t>ch</w:t>
      </w:r>
      <w:r w:rsidR="00D97A4E" w:rsidRPr="00D97A4E">
        <w:rPr>
          <w:b w:val="0"/>
          <w:color w:val="auto"/>
        </w:rPr>
        <w:t>, which is a similar picture to the previous Annual Learning Summary</w:t>
      </w:r>
      <w:r w:rsidR="00F7056C" w:rsidRPr="00D97A4E">
        <w:rPr>
          <w:b w:val="0"/>
          <w:color w:val="auto"/>
        </w:rPr>
        <w:t>.</w:t>
      </w:r>
      <w:r w:rsidR="00626344">
        <w:rPr>
          <w:b w:val="0"/>
          <w:color w:val="auto"/>
        </w:rPr>
        <w:t xml:space="preserve">  Further analysi</w:t>
      </w:r>
      <w:r w:rsidR="004B4B38">
        <w:rPr>
          <w:b w:val="0"/>
          <w:color w:val="auto"/>
        </w:rPr>
        <w:t>s can be found in section 2.2.1, however it should be noted that August is the month where the new cohort of junior medical staff take up post and, historically there have been some teething issues with this staff group ‘learning the ropes’.  This is something that could be considered as part of the programme for induction into clinical services for the new junior doctors.</w:t>
      </w:r>
    </w:p>
    <w:p w14:paraId="10EF5366" w14:textId="485F3AFA" w:rsidR="00F7056C" w:rsidRPr="00473D1A" w:rsidRDefault="00F7056C" w:rsidP="00E65862">
      <w:pPr>
        <w:pStyle w:val="Subtitle"/>
        <w:jc w:val="left"/>
        <w:rPr>
          <w:b w:val="0"/>
          <w:color w:val="FFC000"/>
        </w:rPr>
      </w:pPr>
    </w:p>
    <w:p w14:paraId="3D64457A" w14:textId="77777777" w:rsidR="001B0E26" w:rsidRPr="00D97A4E" w:rsidRDefault="001B0E26" w:rsidP="001B0E26">
      <w:pPr>
        <w:pStyle w:val="Subtitle"/>
        <w:jc w:val="left"/>
        <w:rPr>
          <w:b w:val="0"/>
          <w:color w:val="auto"/>
        </w:rPr>
      </w:pPr>
    </w:p>
    <w:p w14:paraId="216EFFA9" w14:textId="42D2CBFD" w:rsidR="00C658AA" w:rsidRDefault="001B0E26" w:rsidP="001B0E26">
      <w:pPr>
        <w:pStyle w:val="Subtitle"/>
        <w:jc w:val="left"/>
        <w:rPr>
          <w:b w:val="0"/>
          <w:color w:val="auto"/>
        </w:rPr>
      </w:pPr>
      <w:r w:rsidRPr="00D97A4E">
        <w:rPr>
          <w:b w:val="0"/>
          <w:color w:val="auto"/>
        </w:rPr>
        <w:t xml:space="preserve">The following tables show the top </w:t>
      </w:r>
      <w:proofErr w:type="gramStart"/>
      <w:r w:rsidRPr="00D97A4E">
        <w:rPr>
          <w:b w:val="0"/>
          <w:color w:val="auto"/>
        </w:rPr>
        <w:t>5</w:t>
      </w:r>
      <w:proofErr w:type="gramEnd"/>
      <w:r w:rsidRPr="00D97A4E">
        <w:rPr>
          <w:b w:val="0"/>
          <w:color w:val="auto"/>
        </w:rPr>
        <w:t xml:space="preserve"> categories and also identify the top 5 locations where these incidents occurred</w:t>
      </w:r>
      <w:r w:rsidR="000A7872" w:rsidRPr="00D97A4E">
        <w:rPr>
          <w:b w:val="0"/>
          <w:color w:val="auto"/>
        </w:rPr>
        <w:t>.</w:t>
      </w:r>
    </w:p>
    <w:p w14:paraId="317F2E15" w14:textId="148C060E" w:rsidR="004B4B38" w:rsidRDefault="004B4B38">
      <w:pPr>
        <w:spacing w:after="200" w:line="276" w:lineRule="auto"/>
        <w:rPr>
          <w:rFonts w:ascii="Arial" w:hAnsi="Arial" w:cs="Arial"/>
          <w:bCs/>
          <w:lang w:eastAsia="en-US"/>
        </w:rPr>
      </w:pPr>
      <w:r>
        <w:rPr>
          <w:b/>
        </w:rPr>
        <w:br w:type="page"/>
      </w:r>
    </w:p>
    <w:p w14:paraId="74C981C6" w14:textId="1AE89438" w:rsidR="001B0E26" w:rsidRDefault="001B0E26" w:rsidP="00C658AA">
      <w:pPr>
        <w:pStyle w:val="Subtitle"/>
        <w:rPr>
          <w:rFonts w:ascii="Arial Narrow" w:hAnsi="Arial Narrow"/>
          <w:color w:val="auto"/>
          <w:sz w:val="22"/>
          <w:szCs w:val="22"/>
        </w:rPr>
      </w:pPr>
      <w:r w:rsidRPr="00D97A4E">
        <w:rPr>
          <w:rFonts w:ascii="Arial Narrow" w:hAnsi="Arial Narrow"/>
          <w:color w:val="auto"/>
          <w:sz w:val="22"/>
          <w:szCs w:val="22"/>
        </w:rPr>
        <w:t xml:space="preserve">Chart </w:t>
      </w:r>
      <w:r w:rsidR="007E7E4B">
        <w:rPr>
          <w:rFonts w:ascii="Arial Narrow" w:hAnsi="Arial Narrow"/>
          <w:color w:val="auto"/>
          <w:sz w:val="22"/>
          <w:szCs w:val="22"/>
        </w:rPr>
        <w:t>2</w:t>
      </w:r>
      <w:r w:rsidRPr="00D97A4E">
        <w:rPr>
          <w:rFonts w:ascii="Arial Narrow" w:hAnsi="Arial Narrow"/>
          <w:color w:val="auto"/>
          <w:sz w:val="22"/>
          <w:szCs w:val="22"/>
        </w:rPr>
        <w:t xml:space="preserve"> – GJNH Top 5 Adverse Events</w:t>
      </w:r>
    </w:p>
    <w:p w14:paraId="65767706" w14:textId="2AA52413" w:rsidR="00F842AA" w:rsidRPr="00CA2651" w:rsidRDefault="00F842AA" w:rsidP="00475151">
      <w:pPr>
        <w:pStyle w:val="Subtitle"/>
        <w:spacing w:after="240"/>
        <w:rPr>
          <w:rFonts w:ascii="Arial Narrow" w:hAnsi="Arial Narrow"/>
          <w:color w:val="auto"/>
          <w:sz w:val="22"/>
          <w:szCs w:val="22"/>
        </w:rPr>
      </w:pPr>
      <w:r w:rsidRPr="00CA2651">
        <w:rPr>
          <w:noProof/>
          <w:color w:val="auto"/>
          <w:lang w:eastAsia="en-GB"/>
        </w:rPr>
        <w:drawing>
          <wp:inline distT="0" distB="0" distL="0" distR="0" wp14:anchorId="1C65AA7F" wp14:editId="21099708">
            <wp:extent cx="4209940" cy="204095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AE67FF" w14:textId="252BFC54" w:rsidR="001B0E26" w:rsidRPr="00CA2651" w:rsidRDefault="001B0E26" w:rsidP="001B0E26">
      <w:pPr>
        <w:pStyle w:val="Subtitle"/>
        <w:jc w:val="left"/>
        <w:rPr>
          <w:b w:val="0"/>
          <w:color w:val="auto"/>
        </w:rPr>
      </w:pPr>
      <w:r w:rsidRPr="00CA2651">
        <w:rPr>
          <w:b w:val="0"/>
          <w:color w:val="auto"/>
        </w:rPr>
        <w:t xml:space="preserve">The top 5 categories this year </w:t>
      </w:r>
      <w:r w:rsidR="002E144F">
        <w:rPr>
          <w:b w:val="0"/>
          <w:color w:val="auto"/>
        </w:rPr>
        <w:t>demonstrate</w:t>
      </w:r>
      <w:r w:rsidRPr="00CA2651">
        <w:rPr>
          <w:b w:val="0"/>
          <w:color w:val="auto"/>
        </w:rPr>
        <w:t xml:space="preserve"> a </w:t>
      </w:r>
      <w:r w:rsidR="00F842AA" w:rsidRPr="00CA2651">
        <w:rPr>
          <w:b w:val="0"/>
          <w:color w:val="auto"/>
        </w:rPr>
        <w:t>slight change</w:t>
      </w:r>
      <w:r w:rsidRPr="00CA2651">
        <w:rPr>
          <w:b w:val="0"/>
          <w:color w:val="auto"/>
        </w:rPr>
        <w:t xml:space="preserve"> compared to th</w:t>
      </w:r>
      <w:r w:rsidR="00F842AA" w:rsidRPr="00CA2651">
        <w:rPr>
          <w:b w:val="0"/>
          <w:color w:val="auto"/>
        </w:rPr>
        <w:t>e previous report’s</w:t>
      </w:r>
      <w:r w:rsidRPr="00CA2651">
        <w:rPr>
          <w:b w:val="0"/>
          <w:color w:val="auto"/>
        </w:rPr>
        <w:t xml:space="preserve"> data with ‘</w:t>
      </w:r>
      <w:r w:rsidR="00F842AA" w:rsidRPr="00CA2651">
        <w:rPr>
          <w:b w:val="0"/>
          <w:color w:val="auto"/>
        </w:rPr>
        <w:t>Communication’ being replaced by ‘Therapeutic Processes/Procedures’; this can be attributed to the return to a more regular level of patient flow following the COVID-19 pandemic</w:t>
      </w:r>
      <w:r w:rsidRPr="00CA2651">
        <w:rPr>
          <w:b w:val="0"/>
          <w:color w:val="auto"/>
        </w:rPr>
        <w:t xml:space="preserve">. The top </w:t>
      </w:r>
      <w:proofErr w:type="gramStart"/>
      <w:r w:rsidR="00F842AA" w:rsidRPr="00CA2651">
        <w:rPr>
          <w:b w:val="0"/>
          <w:color w:val="auto"/>
        </w:rPr>
        <w:t>3</w:t>
      </w:r>
      <w:proofErr w:type="gramEnd"/>
      <w:r w:rsidRPr="00CA2651">
        <w:rPr>
          <w:b w:val="0"/>
          <w:color w:val="auto"/>
        </w:rPr>
        <w:t xml:space="preserve"> categories are analysed in furth</w:t>
      </w:r>
      <w:r w:rsidR="00F842AA" w:rsidRPr="00CA2651">
        <w:rPr>
          <w:b w:val="0"/>
          <w:color w:val="auto"/>
        </w:rPr>
        <w:t>er detail later in the report.</w:t>
      </w:r>
    </w:p>
    <w:p w14:paraId="38D873E9" w14:textId="77777777" w:rsidR="001B0E26" w:rsidRPr="00CA2651" w:rsidRDefault="001B0E26" w:rsidP="001B0E26">
      <w:pPr>
        <w:pStyle w:val="Subtitle"/>
        <w:jc w:val="left"/>
        <w:rPr>
          <w:b w:val="0"/>
          <w:color w:val="auto"/>
        </w:rPr>
      </w:pPr>
    </w:p>
    <w:p w14:paraId="62E3760D" w14:textId="2043440D" w:rsidR="001B0E26" w:rsidRPr="00CA2651" w:rsidRDefault="001B0E26" w:rsidP="001B0E26">
      <w:pPr>
        <w:pStyle w:val="Subtitle"/>
        <w:jc w:val="left"/>
        <w:rPr>
          <w:b w:val="0"/>
          <w:color w:val="auto"/>
        </w:rPr>
      </w:pPr>
      <w:r w:rsidRPr="00CA2651">
        <w:rPr>
          <w:b w:val="0"/>
          <w:color w:val="auto"/>
        </w:rPr>
        <w:t xml:space="preserve">The chart below shows the trend of events rate in the top </w:t>
      </w:r>
      <w:proofErr w:type="gramStart"/>
      <w:r w:rsidRPr="00CA2651">
        <w:rPr>
          <w:b w:val="0"/>
          <w:color w:val="auto"/>
        </w:rPr>
        <w:t>5</w:t>
      </w:r>
      <w:proofErr w:type="gramEnd"/>
      <w:r w:rsidRPr="00CA2651">
        <w:rPr>
          <w:b w:val="0"/>
          <w:color w:val="auto"/>
        </w:rPr>
        <w:t xml:space="preserve"> locations where they occur:  </w:t>
      </w:r>
    </w:p>
    <w:p w14:paraId="4F96728D" w14:textId="77777777" w:rsidR="00E82878" w:rsidRPr="00CA2651" w:rsidRDefault="00E82878" w:rsidP="001B0E26">
      <w:pPr>
        <w:pStyle w:val="Subtitle"/>
        <w:jc w:val="left"/>
        <w:rPr>
          <w:b w:val="0"/>
          <w:color w:val="auto"/>
        </w:rPr>
      </w:pPr>
    </w:p>
    <w:p w14:paraId="4B34CAB5" w14:textId="1A540033" w:rsidR="001B0E26" w:rsidRPr="00CA2651" w:rsidRDefault="001B0E26" w:rsidP="001B0E26">
      <w:pPr>
        <w:pStyle w:val="Subtitle"/>
        <w:rPr>
          <w:rFonts w:ascii="Arial Narrow" w:hAnsi="Arial Narrow"/>
          <w:color w:val="auto"/>
          <w:sz w:val="22"/>
          <w:szCs w:val="22"/>
        </w:rPr>
      </w:pPr>
      <w:r w:rsidRPr="00CA2651">
        <w:rPr>
          <w:rFonts w:ascii="Arial Narrow" w:hAnsi="Arial Narrow"/>
          <w:color w:val="auto"/>
          <w:sz w:val="22"/>
          <w:szCs w:val="22"/>
        </w:rPr>
        <w:t xml:space="preserve">Chart </w:t>
      </w:r>
      <w:r w:rsidR="007E7E4B">
        <w:rPr>
          <w:rFonts w:ascii="Arial Narrow" w:hAnsi="Arial Narrow"/>
          <w:color w:val="auto"/>
          <w:sz w:val="22"/>
          <w:szCs w:val="22"/>
        </w:rPr>
        <w:t>3</w:t>
      </w:r>
      <w:r w:rsidRPr="00CA2651">
        <w:rPr>
          <w:rFonts w:ascii="Arial Narrow" w:hAnsi="Arial Narrow"/>
          <w:color w:val="auto"/>
          <w:sz w:val="22"/>
          <w:szCs w:val="22"/>
        </w:rPr>
        <w:t xml:space="preserve"> – GJNH Top 5 Locations of Events</w:t>
      </w:r>
    </w:p>
    <w:p w14:paraId="2AC027AA" w14:textId="6DA00CD8" w:rsidR="00F842AA" w:rsidRPr="00CA2651" w:rsidRDefault="00F842AA" w:rsidP="00D369AA">
      <w:pPr>
        <w:pStyle w:val="Subtitle"/>
        <w:spacing w:after="240"/>
        <w:rPr>
          <w:rFonts w:ascii="Arial Narrow" w:hAnsi="Arial Narrow"/>
          <w:color w:val="auto"/>
          <w:sz w:val="22"/>
          <w:szCs w:val="22"/>
        </w:rPr>
      </w:pPr>
      <w:r w:rsidRPr="00CA2651">
        <w:rPr>
          <w:noProof/>
          <w:color w:val="auto"/>
          <w:lang w:eastAsia="en-GB"/>
        </w:rPr>
        <w:drawing>
          <wp:inline distT="0" distB="0" distL="0" distR="0" wp14:anchorId="3019A086" wp14:editId="086A9552">
            <wp:extent cx="4173858" cy="2164836"/>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077766" w14:textId="56874760" w:rsidR="001B0E26" w:rsidRPr="00CA2651" w:rsidRDefault="001B0E26" w:rsidP="001B0E26">
      <w:pPr>
        <w:pStyle w:val="Subtitle"/>
        <w:jc w:val="left"/>
        <w:rPr>
          <w:b w:val="0"/>
          <w:color w:val="auto"/>
        </w:rPr>
      </w:pPr>
      <w:r w:rsidRPr="00CA2651">
        <w:rPr>
          <w:b w:val="0"/>
          <w:color w:val="auto"/>
        </w:rPr>
        <w:t>The top 5 locations are similar to the previous</w:t>
      </w:r>
      <w:r w:rsidR="00F842AA" w:rsidRPr="00CA2651">
        <w:rPr>
          <w:b w:val="0"/>
          <w:color w:val="auto"/>
        </w:rPr>
        <w:t xml:space="preserve"> year with the exception of Labs and 4 East Orthopaedic; the latter is a new location since the pandemic and the labs issues have seen a significant increase in the number of issues related to pathology sampl</w:t>
      </w:r>
      <w:r w:rsidR="00CA2651" w:rsidRPr="00CA2651">
        <w:rPr>
          <w:b w:val="0"/>
          <w:color w:val="auto"/>
        </w:rPr>
        <w:t xml:space="preserve">es with incomplete information. </w:t>
      </w:r>
      <w:r w:rsidRPr="00CA2651">
        <w:rPr>
          <w:b w:val="0"/>
          <w:color w:val="auto"/>
        </w:rPr>
        <w:t xml:space="preserve">All other areas in the top </w:t>
      </w:r>
      <w:proofErr w:type="gramStart"/>
      <w:r w:rsidRPr="00CA2651">
        <w:rPr>
          <w:b w:val="0"/>
          <w:color w:val="auto"/>
        </w:rPr>
        <w:t>5</w:t>
      </w:r>
      <w:proofErr w:type="gramEnd"/>
      <w:r w:rsidRPr="00CA2651">
        <w:rPr>
          <w:b w:val="0"/>
          <w:color w:val="auto"/>
        </w:rPr>
        <w:t xml:space="preserve"> locations have seen a degree of stability in incident reporting numbers compared to </w:t>
      </w:r>
      <w:r w:rsidR="00CA2651" w:rsidRPr="00CA2651">
        <w:rPr>
          <w:b w:val="0"/>
          <w:color w:val="auto"/>
        </w:rPr>
        <w:t>the previous report; ICU2 and ward 3 East have both reduced slightly.</w:t>
      </w:r>
    </w:p>
    <w:p w14:paraId="6C7C678F" w14:textId="77777777" w:rsidR="001B0E26" w:rsidRPr="00473D1A" w:rsidRDefault="001B0E26" w:rsidP="001B0E26">
      <w:pPr>
        <w:pStyle w:val="Subtitle"/>
        <w:jc w:val="left"/>
        <w:rPr>
          <w:b w:val="0"/>
          <w:color w:val="FFC000"/>
        </w:rPr>
      </w:pPr>
    </w:p>
    <w:p w14:paraId="7B9DBB2D" w14:textId="77179878" w:rsidR="001B0E26" w:rsidRDefault="001B0E26" w:rsidP="001B0E26">
      <w:pPr>
        <w:pStyle w:val="Subtitle"/>
        <w:jc w:val="left"/>
        <w:rPr>
          <w:b w:val="0"/>
          <w:color w:val="auto"/>
        </w:rPr>
      </w:pPr>
      <w:r w:rsidRPr="00D86072">
        <w:rPr>
          <w:b w:val="0"/>
          <w:color w:val="auto"/>
        </w:rPr>
        <w:t xml:space="preserve">On review of the events reported during </w:t>
      </w:r>
      <w:proofErr w:type="gramStart"/>
      <w:r w:rsidRPr="00D86072">
        <w:rPr>
          <w:b w:val="0"/>
          <w:color w:val="auto"/>
        </w:rPr>
        <w:t>202</w:t>
      </w:r>
      <w:r w:rsidR="00CA2651" w:rsidRPr="00D86072">
        <w:rPr>
          <w:b w:val="0"/>
          <w:color w:val="auto"/>
        </w:rPr>
        <w:t>2/2023</w:t>
      </w:r>
      <w:proofErr w:type="gramEnd"/>
      <w:r w:rsidRPr="00D86072">
        <w:rPr>
          <w:b w:val="0"/>
          <w:color w:val="auto"/>
        </w:rPr>
        <w:t xml:space="preserve"> the top 5 services are shown in the </w:t>
      </w:r>
      <w:r w:rsidR="000A7872" w:rsidRPr="00D86072">
        <w:rPr>
          <w:b w:val="0"/>
          <w:color w:val="auto"/>
        </w:rPr>
        <w:t>following chart.</w:t>
      </w:r>
    </w:p>
    <w:p w14:paraId="5F412050" w14:textId="60818C7B" w:rsidR="00626344" w:rsidRDefault="00626344" w:rsidP="001B0E26">
      <w:pPr>
        <w:pStyle w:val="Subtitle"/>
        <w:jc w:val="left"/>
        <w:rPr>
          <w:b w:val="0"/>
          <w:color w:val="auto"/>
        </w:rPr>
      </w:pPr>
    </w:p>
    <w:p w14:paraId="64F72858" w14:textId="78D393C1" w:rsidR="00626344" w:rsidRDefault="00626344" w:rsidP="001B0E26">
      <w:pPr>
        <w:pStyle w:val="Subtitle"/>
        <w:jc w:val="left"/>
        <w:rPr>
          <w:b w:val="0"/>
          <w:color w:val="auto"/>
        </w:rPr>
      </w:pPr>
    </w:p>
    <w:p w14:paraId="67D84082" w14:textId="6E2F9C8E" w:rsidR="00626344" w:rsidRDefault="00626344" w:rsidP="001B0E26">
      <w:pPr>
        <w:pStyle w:val="Subtitle"/>
        <w:jc w:val="left"/>
        <w:rPr>
          <w:b w:val="0"/>
          <w:color w:val="auto"/>
        </w:rPr>
      </w:pPr>
    </w:p>
    <w:p w14:paraId="3395F1EB" w14:textId="1A6E8171" w:rsidR="00626344" w:rsidRDefault="00626344" w:rsidP="001B0E26">
      <w:pPr>
        <w:pStyle w:val="Subtitle"/>
        <w:jc w:val="left"/>
        <w:rPr>
          <w:b w:val="0"/>
          <w:color w:val="auto"/>
        </w:rPr>
      </w:pPr>
    </w:p>
    <w:p w14:paraId="1C6880F4" w14:textId="7027CD41" w:rsidR="00626344" w:rsidRDefault="00626344" w:rsidP="001B0E26">
      <w:pPr>
        <w:pStyle w:val="Subtitle"/>
        <w:jc w:val="left"/>
        <w:rPr>
          <w:b w:val="0"/>
          <w:color w:val="auto"/>
        </w:rPr>
      </w:pPr>
    </w:p>
    <w:p w14:paraId="51526F5D" w14:textId="7139EEA0" w:rsidR="00626344" w:rsidRDefault="00626344" w:rsidP="001B0E26">
      <w:pPr>
        <w:pStyle w:val="Subtitle"/>
        <w:jc w:val="left"/>
        <w:rPr>
          <w:b w:val="0"/>
          <w:color w:val="auto"/>
        </w:rPr>
      </w:pPr>
    </w:p>
    <w:p w14:paraId="56845966" w14:textId="77777777" w:rsidR="00626344" w:rsidRPr="00D86072" w:rsidRDefault="00626344" w:rsidP="001B0E26">
      <w:pPr>
        <w:pStyle w:val="Subtitle"/>
        <w:jc w:val="left"/>
        <w:rPr>
          <w:b w:val="0"/>
          <w:color w:val="auto"/>
        </w:rPr>
      </w:pPr>
    </w:p>
    <w:p w14:paraId="40E0C072" w14:textId="77777777" w:rsidR="00223905" w:rsidRDefault="00223905" w:rsidP="001B0E26">
      <w:pPr>
        <w:pStyle w:val="Subtitle"/>
        <w:rPr>
          <w:rFonts w:ascii="Arial Narrow" w:hAnsi="Arial Narrow"/>
          <w:color w:val="auto"/>
          <w:sz w:val="22"/>
          <w:szCs w:val="22"/>
        </w:rPr>
      </w:pPr>
    </w:p>
    <w:p w14:paraId="7DDD3642" w14:textId="650B5CCE" w:rsidR="00D86072" w:rsidRPr="00D86072" w:rsidRDefault="001B0E26" w:rsidP="001B0E26">
      <w:pPr>
        <w:pStyle w:val="Subtitle"/>
        <w:rPr>
          <w:rFonts w:ascii="Arial Narrow" w:hAnsi="Arial Narrow"/>
          <w:color w:val="auto"/>
          <w:sz w:val="22"/>
          <w:szCs w:val="22"/>
        </w:rPr>
      </w:pPr>
      <w:r w:rsidRPr="00D86072">
        <w:rPr>
          <w:rFonts w:ascii="Arial Narrow" w:hAnsi="Arial Narrow"/>
          <w:color w:val="auto"/>
          <w:sz w:val="22"/>
          <w:szCs w:val="22"/>
        </w:rPr>
        <w:t xml:space="preserve">Chart </w:t>
      </w:r>
      <w:r w:rsidR="007E7E4B">
        <w:rPr>
          <w:rFonts w:ascii="Arial Narrow" w:hAnsi="Arial Narrow"/>
          <w:color w:val="auto"/>
          <w:sz w:val="22"/>
          <w:szCs w:val="22"/>
        </w:rPr>
        <w:t>4</w:t>
      </w:r>
      <w:r w:rsidRPr="00D86072">
        <w:rPr>
          <w:rFonts w:ascii="Arial Narrow" w:hAnsi="Arial Narrow"/>
          <w:color w:val="auto"/>
          <w:sz w:val="22"/>
          <w:szCs w:val="22"/>
        </w:rPr>
        <w:t xml:space="preserve"> – GJNH Top 5 Services</w:t>
      </w:r>
    </w:p>
    <w:p w14:paraId="2A09FDE6" w14:textId="1CF1CBBC" w:rsidR="00D86072" w:rsidRDefault="00D86072" w:rsidP="00C64B2D">
      <w:pPr>
        <w:pStyle w:val="Subtitle"/>
        <w:spacing w:after="240"/>
        <w:rPr>
          <w:rFonts w:ascii="Arial Narrow" w:hAnsi="Arial Narrow"/>
          <w:color w:val="FFC000"/>
          <w:sz w:val="22"/>
          <w:szCs w:val="22"/>
        </w:rPr>
      </w:pPr>
      <w:r>
        <w:rPr>
          <w:noProof/>
          <w:lang w:eastAsia="en-GB"/>
        </w:rPr>
        <w:drawing>
          <wp:inline distT="0" distB="0" distL="0" distR="0" wp14:anchorId="5436DFF3" wp14:editId="672268D1">
            <wp:extent cx="3746133" cy="241021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E3A900" w14:textId="436081BF" w:rsidR="001B0E26" w:rsidRPr="00C64B2D" w:rsidRDefault="005F394E" w:rsidP="001B0E26">
      <w:pPr>
        <w:pStyle w:val="Subtitle"/>
        <w:jc w:val="left"/>
        <w:rPr>
          <w:b w:val="0"/>
          <w:color w:val="auto"/>
        </w:rPr>
      </w:pPr>
      <w:r w:rsidRPr="00687317">
        <w:rPr>
          <w:b w:val="0"/>
          <w:color w:val="000000" w:themeColor="text1"/>
        </w:rPr>
        <w:t xml:space="preserve">There has been a 70% increase </w:t>
      </w:r>
      <w:proofErr w:type="gramStart"/>
      <w:r w:rsidRPr="00687317">
        <w:rPr>
          <w:b w:val="0"/>
          <w:color w:val="000000" w:themeColor="text1"/>
        </w:rPr>
        <w:t xml:space="preserve">in Orthopaedic adverse events and on further review this could be related to an increase in patient flow </w:t>
      </w:r>
      <w:r w:rsidR="00687317" w:rsidRPr="00687317">
        <w:rPr>
          <w:b w:val="0"/>
          <w:color w:val="000000" w:themeColor="text1"/>
        </w:rPr>
        <w:t>through the department (11,825 occupied bed days in 2021/2022 compared to 12,764 occupied bed days in 2022/2023)</w:t>
      </w:r>
      <w:proofErr w:type="gramEnd"/>
      <w:r w:rsidRPr="00687317">
        <w:rPr>
          <w:b w:val="0"/>
          <w:color w:val="000000" w:themeColor="text1"/>
        </w:rPr>
        <w:t xml:space="preserve"> and the perceived increase in frailty in patients within the service.</w:t>
      </w:r>
      <w:r w:rsidR="00687317">
        <w:rPr>
          <w:b w:val="0"/>
          <w:color w:val="00B050"/>
        </w:rPr>
        <w:t xml:space="preserve"> </w:t>
      </w:r>
      <w:proofErr w:type="gramStart"/>
      <w:r w:rsidRPr="00C64B2D">
        <w:rPr>
          <w:b w:val="0"/>
          <w:color w:val="auto"/>
        </w:rPr>
        <w:t xml:space="preserve">There has also been a 55% increase in adverse events related to Interventional Cardiology; again this could be related to an increase in patient flow through the department </w:t>
      </w:r>
      <w:r w:rsidR="00C64B2D" w:rsidRPr="00C64B2D">
        <w:rPr>
          <w:b w:val="0"/>
          <w:color w:val="auto"/>
        </w:rPr>
        <w:t>(6</w:t>
      </w:r>
      <w:r w:rsidR="004B4B38">
        <w:rPr>
          <w:b w:val="0"/>
          <w:color w:val="auto"/>
        </w:rPr>
        <w:t>,</w:t>
      </w:r>
      <w:r w:rsidR="00C64B2D" w:rsidRPr="00C64B2D">
        <w:rPr>
          <w:b w:val="0"/>
          <w:color w:val="auto"/>
        </w:rPr>
        <w:t>370 occupied bed days in 2021/2022 compared to 7</w:t>
      </w:r>
      <w:r w:rsidR="004B4B38">
        <w:rPr>
          <w:b w:val="0"/>
          <w:color w:val="auto"/>
        </w:rPr>
        <w:t>,</w:t>
      </w:r>
      <w:r w:rsidR="00C64B2D" w:rsidRPr="00C64B2D">
        <w:rPr>
          <w:b w:val="0"/>
          <w:color w:val="auto"/>
        </w:rPr>
        <w:t xml:space="preserve">033 occupied bed days in 2022/2023) </w:t>
      </w:r>
      <w:r w:rsidRPr="00C64B2D">
        <w:rPr>
          <w:b w:val="0"/>
          <w:color w:val="auto"/>
        </w:rPr>
        <w:t>and the continued promotion of reporting within the service; particularly related to mortality and morbidity via the Structured Review process.</w:t>
      </w:r>
      <w:proofErr w:type="gramEnd"/>
    </w:p>
    <w:p w14:paraId="65D719BF" w14:textId="77777777" w:rsidR="001B0E26" w:rsidRPr="00473D1A" w:rsidRDefault="001B0E26" w:rsidP="001B0E26">
      <w:pPr>
        <w:pStyle w:val="Subtitle"/>
        <w:jc w:val="left"/>
        <w:rPr>
          <w:b w:val="0"/>
          <w:color w:val="FFC000"/>
        </w:rPr>
      </w:pPr>
    </w:p>
    <w:p w14:paraId="0803AFCC" w14:textId="685E5387" w:rsidR="001B0E26" w:rsidRPr="00475151" w:rsidRDefault="001B0E26" w:rsidP="001B0E26">
      <w:pPr>
        <w:pStyle w:val="Subtitle"/>
        <w:jc w:val="left"/>
        <w:rPr>
          <w:b w:val="0"/>
          <w:color w:val="auto"/>
        </w:rPr>
      </w:pPr>
      <w:r w:rsidRPr="00475151">
        <w:rPr>
          <w:b w:val="0"/>
          <w:color w:val="auto"/>
        </w:rPr>
        <w:t>On review</w:t>
      </w:r>
      <w:r w:rsidR="004B4B38">
        <w:rPr>
          <w:b w:val="0"/>
          <w:color w:val="auto"/>
        </w:rPr>
        <w:t>,</w:t>
      </w:r>
      <w:r w:rsidRPr="00475151">
        <w:rPr>
          <w:b w:val="0"/>
          <w:color w:val="auto"/>
        </w:rPr>
        <w:t xml:space="preserve"> an event is assessed and given a severity grading score. The figure below shows </w:t>
      </w:r>
      <w:r w:rsidR="00A53FA1" w:rsidRPr="00475151">
        <w:rPr>
          <w:b w:val="0"/>
          <w:color w:val="auto"/>
        </w:rPr>
        <w:t xml:space="preserve">a comparison over the previous four years of </w:t>
      </w:r>
      <w:r w:rsidRPr="00475151">
        <w:rPr>
          <w:b w:val="0"/>
          <w:color w:val="auto"/>
        </w:rPr>
        <w:t>incidents by severity, as we would expect, the majority of events sit within the lower end of severity, the higher severity events are considered in more detail later in the report. It can be seen that only 1.5% of all events reported have been graded either major/extreme a</w:t>
      </w:r>
      <w:r w:rsidR="00475151" w:rsidRPr="00475151">
        <w:rPr>
          <w:b w:val="0"/>
          <w:color w:val="auto"/>
        </w:rPr>
        <w:t xml:space="preserve">nd there has been a slight increase in the number of ‘major’ events </w:t>
      </w:r>
      <w:r w:rsidR="006942B5" w:rsidRPr="00475151">
        <w:rPr>
          <w:b w:val="0"/>
          <w:color w:val="auto"/>
        </w:rPr>
        <w:t xml:space="preserve">compared to last year.  </w:t>
      </w:r>
      <w:r w:rsidRPr="00475151">
        <w:rPr>
          <w:b w:val="0"/>
          <w:color w:val="auto"/>
        </w:rPr>
        <w:t>(The dataset contains incidents that have not yet been graded [n=</w:t>
      </w:r>
      <w:r w:rsidR="00475151" w:rsidRPr="00475151">
        <w:rPr>
          <w:b w:val="0"/>
          <w:color w:val="auto"/>
        </w:rPr>
        <w:t>73</w:t>
      </w:r>
      <w:r w:rsidRPr="00475151">
        <w:rPr>
          <w:b w:val="0"/>
          <w:color w:val="auto"/>
        </w:rPr>
        <w:t>], for the purposes of the figure below these have been excluded.)</w:t>
      </w:r>
    </w:p>
    <w:p w14:paraId="107BDECF" w14:textId="2E667FD6" w:rsidR="001B0E26" w:rsidRDefault="001B0E26" w:rsidP="001B0E26">
      <w:pPr>
        <w:pStyle w:val="Subtitle"/>
        <w:jc w:val="left"/>
        <w:rPr>
          <w:rFonts w:ascii="Arial Narrow" w:hAnsi="Arial Narrow"/>
          <w:color w:val="FFC000"/>
          <w:sz w:val="22"/>
          <w:szCs w:val="22"/>
        </w:rPr>
      </w:pPr>
    </w:p>
    <w:p w14:paraId="7B1F596D" w14:textId="45A00F5D" w:rsidR="001B0E26" w:rsidRDefault="001B0E26" w:rsidP="001B0E26">
      <w:pPr>
        <w:pStyle w:val="Subtitle"/>
        <w:rPr>
          <w:rFonts w:ascii="Arial Narrow" w:hAnsi="Arial Narrow"/>
          <w:color w:val="auto"/>
          <w:sz w:val="22"/>
          <w:szCs w:val="22"/>
        </w:rPr>
      </w:pPr>
      <w:r w:rsidRPr="00475151">
        <w:rPr>
          <w:rFonts w:ascii="Arial Narrow" w:hAnsi="Arial Narrow"/>
          <w:color w:val="auto"/>
          <w:sz w:val="22"/>
          <w:szCs w:val="22"/>
        </w:rPr>
        <w:t>Chart</w:t>
      </w:r>
      <w:r w:rsidR="007E7E4B">
        <w:rPr>
          <w:rFonts w:ascii="Arial Narrow" w:hAnsi="Arial Narrow"/>
          <w:color w:val="auto"/>
          <w:sz w:val="22"/>
          <w:szCs w:val="22"/>
        </w:rPr>
        <w:t xml:space="preserve"> 5</w:t>
      </w:r>
      <w:r w:rsidR="00475151">
        <w:rPr>
          <w:rFonts w:ascii="Arial Narrow" w:hAnsi="Arial Narrow"/>
          <w:color w:val="auto"/>
          <w:sz w:val="22"/>
          <w:szCs w:val="22"/>
        </w:rPr>
        <w:t xml:space="preserve"> – GJNH Events by Severity</w:t>
      </w:r>
    </w:p>
    <w:p w14:paraId="06B1A0C6" w14:textId="3F619311" w:rsidR="00475151" w:rsidRPr="00475151" w:rsidRDefault="00475151" w:rsidP="001B0E26">
      <w:pPr>
        <w:pStyle w:val="Subtitle"/>
        <w:rPr>
          <w:rFonts w:ascii="Arial Narrow" w:hAnsi="Arial Narrow"/>
          <w:color w:val="auto"/>
          <w:sz w:val="22"/>
          <w:szCs w:val="22"/>
        </w:rPr>
      </w:pPr>
      <w:r>
        <w:rPr>
          <w:rFonts w:ascii="Arial Narrow" w:hAnsi="Arial Narrow"/>
          <w:color w:val="auto"/>
          <w:sz w:val="22"/>
          <w:szCs w:val="22"/>
        </w:rPr>
        <w:t>(01/04/2019 to 31/03/2023)</w:t>
      </w:r>
    </w:p>
    <w:p w14:paraId="1039108C" w14:textId="0EECDF23" w:rsidR="00EB5ADC" w:rsidRPr="00626344" w:rsidRDefault="00475151" w:rsidP="00626344">
      <w:pPr>
        <w:pStyle w:val="Subtitle"/>
        <w:spacing w:after="240"/>
        <w:rPr>
          <w:rFonts w:ascii="Arial Narrow" w:hAnsi="Arial Narrow"/>
          <w:color w:val="FFC000"/>
          <w:sz w:val="22"/>
          <w:szCs w:val="22"/>
        </w:rPr>
      </w:pPr>
      <w:r>
        <w:rPr>
          <w:noProof/>
          <w:lang w:eastAsia="en-GB"/>
        </w:rPr>
        <w:drawing>
          <wp:inline distT="0" distB="0" distL="0" distR="0" wp14:anchorId="2CCAE17B" wp14:editId="35F4BBD2">
            <wp:extent cx="4450466" cy="2419109"/>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B304CD" w14:textId="011F6889" w:rsidR="00EB5ADC" w:rsidRDefault="00EB5ADC" w:rsidP="001B0E26">
      <w:pPr>
        <w:pStyle w:val="Subtitle"/>
        <w:jc w:val="left"/>
        <w:rPr>
          <w:color w:val="auto"/>
        </w:rPr>
      </w:pPr>
    </w:p>
    <w:p w14:paraId="2CF9F443" w14:textId="0C1C7EED" w:rsidR="00385C92" w:rsidRDefault="00385C92" w:rsidP="001B0E26">
      <w:pPr>
        <w:pStyle w:val="Subtitle"/>
        <w:jc w:val="left"/>
        <w:rPr>
          <w:color w:val="auto"/>
        </w:rPr>
      </w:pPr>
    </w:p>
    <w:p w14:paraId="3C3E075A" w14:textId="77777777" w:rsidR="00385C92" w:rsidRDefault="00385C92" w:rsidP="001B0E26">
      <w:pPr>
        <w:pStyle w:val="Subtitle"/>
        <w:jc w:val="left"/>
        <w:rPr>
          <w:color w:val="auto"/>
        </w:rPr>
      </w:pPr>
    </w:p>
    <w:p w14:paraId="7D7A4EDB" w14:textId="783C8B25" w:rsidR="001B0E26" w:rsidRPr="008E3BF4" w:rsidRDefault="001B0E26" w:rsidP="001B0E26">
      <w:pPr>
        <w:pStyle w:val="Subtitle"/>
        <w:jc w:val="left"/>
        <w:rPr>
          <w:color w:val="auto"/>
        </w:rPr>
      </w:pPr>
      <w:r w:rsidRPr="008E3BF4">
        <w:rPr>
          <w:color w:val="auto"/>
        </w:rPr>
        <w:t>2.2 Top 3 Adverse Event Categories</w:t>
      </w:r>
    </w:p>
    <w:p w14:paraId="583030FA" w14:textId="77777777" w:rsidR="001B0E26" w:rsidRPr="008E3BF4" w:rsidRDefault="001B0E26" w:rsidP="001B0E26">
      <w:pPr>
        <w:pStyle w:val="Subtitle"/>
        <w:jc w:val="left"/>
        <w:rPr>
          <w:b w:val="0"/>
          <w:color w:val="auto"/>
        </w:rPr>
      </w:pPr>
    </w:p>
    <w:p w14:paraId="4BD3C5C1" w14:textId="6A0D1898" w:rsidR="001B0E26" w:rsidRPr="008E3BF4" w:rsidRDefault="001B0E26" w:rsidP="001B0E26">
      <w:pPr>
        <w:pStyle w:val="Subtitle"/>
        <w:jc w:val="left"/>
        <w:rPr>
          <w:b w:val="0"/>
          <w:color w:val="auto"/>
        </w:rPr>
      </w:pPr>
      <w:r w:rsidRPr="008E3BF4">
        <w:rPr>
          <w:b w:val="0"/>
          <w:color w:val="auto"/>
        </w:rPr>
        <w:t>The following section discusses briefly the top tr</w:t>
      </w:r>
      <w:r w:rsidR="008E3BF4" w:rsidRPr="008E3BF4">
        <w:rPr>
          <w:b w:val="0"/>
          <w:color w:val="auto"/>
        </w:rPr>
        <w:t>e</w:t>
      </w:r>
      <w:r w:rsidR="00B80FE6">
        <w:rPr>
          <w:b w:val="0"/>
          <w:color w:val="auto"/>
        </w:rPr>
        <w:t>nding categories over the year.</w:t>
      </w:r>
      <w:r w:rsidR="008E3BF4" w:rsidRPr="008E3BF4">
        <w:rPr>
          <w:b w:val="0"/>
          <w:color w:val="auto"/>
        </w:rPr>
        <w:t xml:space="preserve"> The top </w:t>
      </w:r>
      <w:proofErr w:type="gramStart"/>
      <w:r w:rsidR="008E3BF4" w:rsidRPr="008E3BF4">
        <w:rPr>
          <w:b w:val="0"/>
          <w:color w:val="auto"/>
        </w:rPr>
        <w:t>3</w:t>
      </w:r>
      <w:proofErr w:type="gramEnd"/>
      <w:r w:rsidR="008E3BF4" w:rsidRPr="008E3BF4">
        <w:rPr>
          <w:b w:val="0"/>
          <w:color w:val="auto"/>
        </w:rPr>
        <w:t xml:space="preserve"> categories remain the same as the previous report and all have seen a slight increase in overall number of events reported.</w:t>
      </w:r>
    </w:p>
    <w:p w14:paraId="16565C46" w14:textId="77777777" w:rsidR="001B0E26" w:rsidRPr="00473D1A" w:rsidRDefault="001B0E26" w:rsidP="001B0E26">
      <w:pPr>
        <w:pStyle w:val="Subtitle"/>
        <w:jc w:val="left"/>
        <w:rPr>
          <w:b w:val="0"/>
          <w:color w:val="FFC000"/>
          <w:u w:val="single"/>
        </w:rPr>
      </w:pPr>
    </w:p>
    <w:p w14:paraId="576454B0" w14:textId="1ECE2792" w:rsidR="001B0E26" w:rsidRPr="003A5528" w:rsidRDefault="001B0E26" w:rsidP="001B0E26">
      <w:pPr>
        <w:pStyle w:val="Subtitle"/>
        <w:jc w:val="left"/>
        <w:rPr>
          <w:b w:val="0"/>
          <w:color w:val="auto"/>
        </w:rPr>
      </w:pPr>
      <w:r w:rsidRPr="003A5528">
        <w:rPr>
          <w:b w:val="0"/>
          <w:color w:val="auto"/>
        </w:rPr>
        <w:t>2.2.1 Diagnostic Processes/Procedures (n=1</w:t>
      </w:r>
      <w:r w:rsidR="005A72A4" w:rsidRPr="003A5528">
        <w:rPr>
          <w:b w:val="0"/>
          <w:color w:val="auto"/>
        </w:rPr>
        <w:t>59</w:t>
      </w:r>
      <w:r w:rsidRPr="003A5528">
        <w:rPr>
          <w:b w:val="0"/>
          <w:color w:val="auto"/>
        </w:rPr>
        <w:t>)</w:t>
      </w:r>
    </w:p>
    <w:p w14:paraId="1A50E2CB" w14:textId="77777777" w:rsidR="00F21FEF" w:rsidRPr="005A72A4" w:rsidRDefault="00F21FEF" w:rsidP="001B0E26">
      <w:pPr>
        <w:pStyle w:val="Subtitle"/>
        <w:jc w:val="left"/>
        <w:rPr>
          <w:b w:val="0"/>
          <w:color w:val="auto"/>
          <w:u w:val="single"/>
        </w:rPr>
      </w:pPr>
    </w:p>
    <w:p w14:paraId="6877C486" w14:textId="745E49E5" w:rsidR="00687317" w:rsidRDefault="001B0E26" w:rsidP="00132931">
      <w:pPr>
        <w:pStyle w:val="Subtitle"/>
        <w:jc w:val="left"/>
        <w:rPr>
          <w:rFonts w:ascii="Arial Narrow" w:hAnsi="Arial Narrow"/>
          <w:color w:val="auto"/>
          <w:sz w:val="22"/>
          <w:szCs w:val="22"/>
        </w:rPr>
      </w:pPr>
      <w:r w:rsidRPr="00E61BB6">
        <w:rPr>
          <w:b w:val="0"/>
          <w:color w:val="auto"/>
        </w:rPr>
        <w:t>The top category of events reported during 202</w:t>
      </w:r>
      <w:r w:rsidR="005A72A4" w:rsidRPr="00E61BB6">
        <w:rPr>
          <w:b w:val="0"/>
          <w:color w:val="auto"/>
        </w:rPr>
        <w:t>2</w:t>
      </w:r>
      <w:r w:rsidRPr="00E61BB6">
        <w:rPr>
          <w:b w:val="0"/>
          <w:color w:val="auto"/>
        </w:rPr>
        <w:t>/202</w:t>
      </w:r>
      <w:r w:rsidR="005A72A4" w:rsidRPr="00E61BB6">
        <w:rPr>
          <w:b w:val="0"/>
          <w:color w:val="auto"/>
        </w:rPr>
        <w:t>3</w:t>
      </w:r>
      <w:r w:rsidRPr="00E61BB6">
        <w:rPr>
          <w:b w:val="0"/>
          <w:color w:val="auto"/>
        </w:rPr>
        <w:t xml:space="preserve"> was Diagnostic Processes/Procedures.  The </w:t>
      </w:r>
      <w:r w:rsidR="00F21FEF" w:rsidRPr="00E61BB6">
        <w:rPr>
          <w:b w:val="0"/>
          <w:color w:val="auto"/>
        </w:rPr>
        <w:t xml:space="preserve">following </w:t>
      </w:r>
      <w:r w:rsidRPr="00E61BB6">
        <w:rPr>
          <w:b w:val="0"/>
          <w:color w:val="auto"/>
        </w:rPr>
        <w:t>chart shows these events by sub</w:t>
      </w:r>
      <w:r w:rsidR="00E61BB6" w:rsidRPr="00E61BB6">
        <w:rPr>
          <w:b w:val="0"/>
          <w:color w:val="auto"/>
        </w:rPr>
        <w:t>category and this demonstrates 8</w:t>
      </w:r>
      <w:r w:rsidRPr="00E61BB6">
        <w:rPr>
          <w:b w:val="0"/>
          <w:color w:val="auto"/>
        </w:rPr>
        <w:t xml:space="preserve">7% are related to </w:t>
      </w:r>
      <w:r w:rsidR="00E61BB6" w:rsidRPr="00E61BB6">
        <w:rPr>
          <w:b w:val="0"/>
          <w:color w:val="auto"/>
        </w:rPr>
        <w:t>Laboratory Investigations/Interpretations</w:t>
      </w:r>
      <w:r w:rsidR="00F137A3" w:rsidRPr="00132931">
        <w:rPr>
          <w:b w:val="0"/>
          <w:color w:val="auto"/>
        </w:rPr>
        <w:t>.</w:t>
      </w:r>
      <w:r w:rsidR="00A87569" w:rsidRPr="00132931">
        <w:rPr>
          <w:b w:val="0"/>
          <w:color w:val="auto"/>
        </w:rPr>
        <w:t xml:space="preserve"> </w:t>
      </w:r>
      <w:r w:rsidR="004B4B38" w:rsidRPr="00132931">
        <w:rPr>
          <w:b w:val="0"/>
          <w:color w:val="auto"/>
        </w:rPr>
        <w:t xml:space="preserve">In previous reports, the main </w:t>
      </w:r>
      <w:r w:rsidR="00132931" w:rsidRPr="00132931">
        <w:rPr>
          <w:b w:val="0"/>
          <w:color w:val="auto"/>
        </w:rPr>
        <w:t xml:space="preserve">subcategory related to Radiology events; on </w:t>
      </w:r>
      <w:proofErr w:type="gramStart"/>
      <w:r w:rsidR="00132931" w:rsidRPr="00132931">
        <w:rPr>
          <w:b w:val="0"/>
          <w:color w:val="auto"/>
        </w:rPr>
        <w:t>review</w:t>
      </w:r>
      <w:proofErr w:type="gramEnd"/>
      <w:r w:rsidR="00132931" w:rsidRPr="00132931">
        <w:rPr>
          <w:b w:val="0"/>
          <w:color w:val="auto"/>
        </w:rPr>
        <w:t xml:space="preserve"> this has reduced by 38% compared to the previous Annual Learning Summary.  Further investigation has highlighted that this reduction is not related to a resolution of the core issue (electronic system focussed) however this has been realised through concerted efforts by the Radiology team to ensure robust contingencies are in place to counteract the issues experienced due to the system constraints</w:t>
      </w:r>
    </w:p>
    <w:p w14:paraId="4AB2DD40" w14:textId="77777777" w:rsidR="00687317" w:rsidRDefault="00687317" w:rsidP="00F21FEF">
      <w:pPr>
        <w:pStyle w:val="Subtitle"/>
        <w:rPr>
          <w:rFonts w:ascii="Arial Narrow" w:hAnsi="Arial Narrow"/>
          <w:color w:val="auto"/>
          <w:sz w:val="22"/>
          <w:szCs w:val="22"/>
        </w:rPr>
      </w:pPr>
    </w:p>
    <w:p w14:paraId="31C3431E" w14:textId="58FF06C0" w:rsidR="00F21FEF" w:rsidRPr="00E61BB6" w:rsidRDefault="00F21FEF" w:rsidP="00F21FEF">
      <w:pPr>
        <w:pStyle w:val="Subtitle"/>
        <w:rPr>
          <w:rFonts w:ascii="Arial Narrow" w:hAnsi="Arial Narrow"/>
          <w:color w:val="auto"/>
          <w:sz w:val="22"/>
          <w:szCs w:val="22"/>
        </w:rPr>
      </w:pPr>
      <w:r w:rsidRPr="00E61BB6">
        <w:rPr>
          <w:rFonts w:ascii="Arial Narrow" w:hAnsi="Arial Narrow"/>
          <w:color w:val="auto"/>
          <w:sz w:val="22"/>
          <w:szCs w:val="22"/>
        </w:rPr>
        <w:t xml:space="preserve">Chart </w:t>
      </w:r>
      <w:r w:rsidR="007E7E4B">
        <w:rPr>
          <w:rFonts w:ascii="Arial Narrow" w:hAnsi="Arial Narrow"/>
          <w:color w:val="auto"/>
          <w:sz w:val="22"/>
          <w:szCs w:val="22"/>
        </w:rPr>
        <w:t>6</w:t>
      </w:r>
      <w:r w:rsidRPr="00E61BB6">
        <w:rPr>
          <w:rFonts w:ascii="Arial Narrow" w:hAnsi="Arial Narrow"/>
          <w:color w:val="auto"/>
          <w:sz w:val="22"/>
          <w:szCs w:val="22"/>
        </w:rPr>
        <w:t xml:space="preserve"> – GJNH Diagnostic Processes/Procedure Events by Subcategory</w:t>
      </w:r>
    </w:p>
    <w:p w14:paraId="69807FF5" w14:textId="120A4910" w:rsidR="00E61BB6" w:rsidRPr="00473D1A" w:rsidRDefault="00E61BB6" w:rsidP="00A9477F">
      <w:pPr>
        <w:pStyle w:val="Subtitle"/>
        <w:spacing w:after="240"/>
        <w:rPr>
          <w:rFonts w:ascii="Arial Narrow" w:hAnsi="Arial Narrow"/>
          <w:color w:val="FFC000"/>
          <w:sz w:val="22"/>
          <w:szCs w:val="22"/>
        </w:rPr>
      </w:pPr>
      <w:r>
        <w:rPr>
          <w:noProof/>
          <w:lang w:eastAsia="en-GB"/>
        </w:rPr>
        <w:drawing>
          <wp:inline distT="0" distB="0" distL="0" distR="0" wp14:anchorId="2FA1A808" wp14:editId="74C1C795">
            <wp:extent cx="4838218" cy="245364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01E822F" w14:textId="72F0128C" w:rsidR="00910E09" w:rsidRDefault="001B0E26" w:rsidP="001B0E26">
      <w:pPr>
        <w:pStyle w:val="Subtitle"/>
        <w:jc w:val="left"/>
        <w:rPr>
          <w:b w:val="0"/>
          <w:color w:val="auto"/>
        </w:rPr>
      </w:pPr>
      <w:r w:rsidRPr="00C64B2D">
        <w:rPr>
          <w:b w:val="0"/>
          <w:color w:val="auto"/>
        </w:rPr>
        <w:t>On further review of the</w:t>
      </w:r>
      <w:r w:rsidR="00F21FEF" w:rsidRPr="00C64B2D">
        <w:rPr>
          <w:b w:val="0"/>
          <w:color w:val="auto"/>
        </w:rPr>
        <w:t xml:space="preserve"> </w:t>
      </w:r>
      <w:r w:rsidR="00C64B2D" w:rsidRPr="00C64B2D">
        <w:rPr>
          <w:b w:val="0"/>
          <w:color w:val="auto"/>
        </w:rPr>
        <w:t xml:space="preserve">Laboratory Investigations/Interpretations </w:t>
      </w:r>
      <w:proofErr w:type="gramStart"/>
      <w:r w:rsidR="00C64B2D" w:rsidRPr="00C64B2D">
        <w:rPr>
          <w:b w:val="0"/>
          <w:color w:val="auto"/>
        </w:rPr>
        <w:t>e</w:t>
      </w:r>
      <w:r w:rsidRPr="00C64B2D">
        <w:rPr>
          <w:b w:val="0"/>
          <w:color w:val="auto"/>
        </w:rPr>
        <w:t>vents</w:t>
      </w:r>
      <w:proofErr w:type="gramEnd"/>
      <w:r w:rsidRPr="00C64B2D">
        <w:rPr>
          <w:b w:val="0"/>
          <w:color w:val="auto"/>
        </w:rPr>
        <w:t xml:space="preserve"> there </w:t>
      </w:r>
      <w:r w:rsidR="00C64B2D" w:rsidRPr="00C64B2D">
        <w:rPr>
          <w:b w:val="0"/>
          <w:color w:val="auto"/>
        </w:rPr>
        <w:t xml:space="preserve">is an </w:t>
      </w:r>
      <w:r w:rsidR="00E32BDD" w:rsidRPr="00C64B2D">
        <w:rPr>
          <w:b w:val="0"/>
          <w:color w:val="auto"/>
        </w:rPr>
        <w:t>overriding</w:t>
      </w:r>
      <w:r w:rsidR="00C64B2D" w:rsidRPr="00C64B2D">
        <w:rPr>
          <w:b w:val="0"/>
          <w:color w:val="auto"/>
        </w:rPr>
        <w:t xml:space="preserve"> theme </w:t>
      </w:r>
      <w:r w:rsidRPr="00C64B2D">
        <w:rPr>
          <w:b w:val="0"/>
          <w:color w:val="auto"/>
        </w:rPr>
        <w:t>within this category</w:t>
      </w:r>
      <w:r w:rsidR="00C64B2D" w:rsidRPr="00C64B2D">
        <w:rPr>
          <w:b w:val="0"/>
          <w:color w:val="auto"/>
        </w:rPr>
        <w:t xml:space="preserve"> in relation to pathology samples</w:t>
      </w:r>
      <w:r w:rsidR="00B80FE6">
        <w:rPr>
          <w:b w:val="0"/>
          <w:color w:val="auto"/>
        </w:rPr>
        <w:t>.</w:t>
      </w:r>
      <w:r w:rsidR="00C64B2D">
        <w:rPr>
          <w:b w:val="0"/>
          <w:color w:val="auto"/>
        </w:rPr>
        <w:t xml:space="preserve"> During the year </w:t>
      </w:r>
      <w:r w:rsidR="00910E09">
        <w:rPr>
          <w:b w:val="0"/>
          <w:color w:val="auto"/>
        </w:rPr>
        <w:t xml:space="preserve">there were a number of services expanded within </w:t>
      </w:r>
      <w:r w:rsidR="00625997">
        <w:rPr>
          <w:b w:val="0"/>
          <w:color w:val="auto"/>
        </w:rPr>
        <w:t xml:space="preserve">National Elective Services </w:t>
      </w:r>
      <w:proofErr w:type="gramStart"/>
      <w:r w:rsidR="00625997">
        <w:rPr>
          <w:b w:val="0"/>
          <w:color w:val="auto"/>
        </w:rPr>
        <w:t>division</w:t>
      </w:r>
      <w:r w:rsidR="00910E09">
        <w:rPr>
          <w:b w:val="0"/>
          <w:color w:val="auto"/>
        </w:rPr>
        <w:t xml:space="preserve"> which</w:t>
      </w:r>
      <w:proofErr w:type="gramEnd"/>
      <w:r w:rsidR="00910E09">
        <w:rPr>
          <w:b w:val="0"/>
          <w:color w:val="auto"/>
        </w:rPr>
        <w:t xml:space="preserve"> had an impact on the number of pathology samples</w:t>
      </w:r>
      <w:r w:rsidRPr="00C64B2D">
        <w:rPr>
          <w:b w:val="0"/>
          <w:color w:val="auto"/>
        </w:rPr>
        <w:t>.</w:t>
      </w:r>
      <w:r w:rsidR="00910E09">
        <w:rPr>
          <w:b w:val="0"/>
          <w:color w:val="auto"/>
        </w:rPr>
        <w:t xml:space="preserve"> There is a </w:t>
      </w:r>
      <w:r w:rsidR="00625997">
        <w:rPr>
          <w:b w:val="0"/>
          <w:color w:val="auto"/>
        </w:rPr>
        <w:t xml:space="preserve">currently a </w:t>
      </w:r>
      <w:r w:rsidR="00910E09">
        <w:rPr>
          <w:b w:val="0"/>
          <w:color w:val="auto"/>
        </w:rPr>
        <w:t xml:space="preserve">Service Level Agreement (SLA) with NHS Greater Glasgow and Clyde for processing NHSGJ pathology samples as we do </w:t>
      </w:r>
      <w:r w:rsidR="00B80FE6">
        <w:rPr>
          <w:b w:val="0"/>
          <w:color w:val="auto"/>
        </w:rPr>
        <w:t xml:space="preserve">not do this locally. </w:t>
      </w:r>
      <w:r w:rsidR="00910E09">
        <w:rPr>
          <w:b w:val="0"/>
          <w:color w:val="auto"/>
        </w:rPr>
        <w:t>The increase in pathology samples t</w:t>
      </w:r>
      <w:r w:rsidR="00B80FE6">
        <w:rPr>
          <w:b w:val="0"/>
          <w:color w:val="auto"/>
        </w:rPr>
        <w:t>riggered a review of the cause.</w:t>
      </w:r>
      <w:r w:rsidR="00910E09">
        <w:rPr>
          <w:b w:val="0"/>
          <w:color w:val="auto"/>
        </w:rPr>
        <w:t xml:space="preserve"> The Laboratory team had not been advised that services were expanding and this would generate additional samples, nor that these samples should be processed at the appropriate NHS board for the patient.</w:t>
      </w:r>
    </w:p>
    <w:p w14:paraId="75E432A4" w14:textId="77777777" w:rsidR="00910E09" w:rsidRDefault="00910E09" w:rsidP="001B0E26">
      <w:pPr>
        <w:pStyle w:val="Subtitle"/>
        <w:jc w:val="left"/>
        <w:rPr>
          <w:b w:val="0"/>
          <w:color w:val="auto"/>
        </w:rPr>
      </w:pPr>
    </w:p>
    <w:p w14:paraId="5EEFBF0F" w14:textId="5E687A36" w:rsidR="00910E09" w:rsidRDefault="00910E09" w:rsidP="001B0E26">
      <w:pPr>
        <w:pStyle w:val="Subtitle"/>
        <w:jc w:val="left"/>
        <w:rPr>
          <w:b w:val="0"/>
          <w:color w:val="auto"/>
        </w:rPr>
      </w:pPr>
      <w:r>
        <w:rPr>
          <w:b w:val="0"/>
          <w:color w:val="auto"/>
        </w:rPr>
        <w:t>The Laboratory Quality Manager linked in with the appropriate Service Managers to ascertain what the process for pathology samples for these patients should be and put in place some additional proce</w:t>
      </w:r>
      <w:r w:rsidR="00984309">
        <w:rPr>
          <w:b w:val="0"/>
          <w:color w:val="auto"/>
        </w:rPr>
        <w:t>sses for lab staff.</w:t>
      </w:r>
      <w:r w:rsidR="00625997">
        <w:rPr>
          <w:b w:val="0"/>
          <w:color w:val="auto"/>
        </w:rPr>
        <w:t xml:space="preserve"> A flowchart was created for </w:t>
      </w:r>
      <w:r w:rsidR="00E32BDD">
        <w:rPr>
          <w:b w:val="0"/>
          <w:color w:val="auto"/>
        </w:rPr>
        <w:t xml:space="preserve">lab staff to follow for allocating samples to the appropriate labs offsite, the Quality Manager spoke to the theatre teams regarding filling in the request forms appropriately, a new NHSGJ pathology sample form was created </w:t>
      </w:r>
      <w:proofErr w:type="gramStart"/>
      <w:r w:rsidR="00E32BDD">
        <w:rPr>
          <w:b w:val="0"/>
          <w:color w:val="auto"/>
        </w:rPr>
        <w:t>to clearly identify</w:t>
      </w:r>
      <w:proofErr w:type="gramEnd"/>
      <w:r w:rsidR="00E32BDD">
        <w:rPr>
          <w:b w:val="0"/>
          <w:color w:val="auto"/>
        </w:rPr>
        <w:t xml:space="preserve"> samples going t</w:t>
      </w:r>
      <w:r w:rsidR="00984309">
        <w:rPr>
          <w:b w:val="0"/>
          <w:color w:val="auto"/>
        </w:rPr>
        <w:t xml:space="preserve">o other labs as NHSGJ samples. </w:t>
      </w:r>
      <w:r w:rsidR="00E32BDD">
        <w:rPr>
          <w:b w:val="0"/>
          <w:color w:val="auto"/>
        </w:rPr>
        <w:t xml:space="preserve">The process continues to be monitored and any issues are </w:t>
      </w:r>
      <w:r w:rsidR="00984309">
        <w:rPr>
          <w:b w:val="0"/>
          <w:color w:val="auto"/>
        </w:rPr>
        <w:t xml:space="preserve">being addressed as they arise. </w:t>
      </w:r>
      <w:r w:rsidR="00E32BDD">
        <w:rPr>
          <w:b w:val="0"/>
          <w:color w:val="auto"/>
        </w:rPr>
        <w:t>To date, the accurate completion of pathology request forms from theatres continues to be an issue and work is ongoing to address this with the theatre teams and lab staff.</w:t>
      </w:r>
    </w:p>
    <w:p w14:paraId="3BB76FF5" w14:textId="77777777" w:rsidR="00910E09" w:rsidRDefault="00910E09" w:rsidP="001B0E26">
      <w:pPr>
        <w:pStyle w:val="Subtitle"/>
        <w:jc w:val="left"/>
        <w:rPr>
          <w:b w:val="0"/>
          <w:color w:val="auto"/>
        </w:rPr>
      </w:pPr>
    </w:p>
    <w:p w14:paraId="1ABAC589" w14:textId="460977A9" w:rsidR="00B80FE6" w:rsidRDefault="00B80FE6" w:rsidP="001B0E26">
      <w:pPr>
        <w:pStyle w:val="Subtitle"/>
        <w:jc w:val="left"/>
        <w:rPr>
          <w:b w:val="0"/>
          <w:color w:val="auto"/>
          <w:u w:val="single"/>
        </w:rPr>
      </w:pPr>
    </w:p>
    <w:p w14:paraId="7545A850" w14:textId="13756BF1" w:rsidR="001B0E26" w:rsidRPr="00687317" w:rsidRDefault="001B0E26" w:rsidP="001B0E26">
      <w:pPr>
        <w:pStyle w:val="Subtitle"/>
        <w:jc w:val="left"/>
        <w:rPr>
          <w:b w:val="0"/>
          <w:color w:val="auto"/>
        </w:rPr>
      </w:pPr>
      <w:r w:rsidRPr="00687317">
        <w:rPr>
          <w:b w:val="0"/>
          <w:color w:val="auto"/>
        </w:rPr>
        <w:t>2.2.2 Patient Accidents/Falls (n=1</w:t>
      </w:r>
      <w:r w:rsidR="007403EC" w:rsidRPr="00687317">
        <w:rPr>
          <w:b w:val="0"/>
          <w:color w:val="auto"/>
        </w:rPr>
        <w:t>38</w:t>
      </w:r>
      <w:r w:rsidRPr="00687317">
        <w:rPr>
          <w:b w:val="0"/>
          <w:color w:val="auto"/>
        </w:rPr>
        <w:t>)</w:t>
      </w:r>
    </w:p>
    <w:p w14:paraId="0C56FA54" w14:textId="65109117" w:rsidR="001B0E26" w:rsidRDefault="001B0E26" w:rsidP="001B0E26">
      <w:pPr>
        <w:pStyle w:val="Subtitle"/>
        <w:jc w:val="left"/>
        <w:rPr>
          <w:b w:val="0"/>
          <w:color w:val="FFC000"/>
        </w:rPr>
      </w:pPr>
    </w:p>
    <w:p w14:paraId="232818DE" w14:textId="3F87A3FE" w:rsidR="00DD6DFF" w:rsidRPr="00DD6DFF" w:rsidRDefault="00DD6DFF" w:rsidP="00DD6DFF">
      <w:pPr>
        <w:pStyle w:val="Subtitle"/>
        <w:jc w:val="left"/>
        <w:rPr>
          <w:b w:val="0"/>
          <w:color w:val="auto"/>
        </w:rPr>
      </w:pPr>
      <w:r w:rsidRPr="00DD6DFF">
        <w:rPr>
          <w:b w:val="0"/>
          <w:color w:val="auto"/>
        </w:rPr>
        <w:t>The number of patient accidents/falls incidents has increased by 23 events compared</w:t>
      </w:r>
      <w:r w:rsidR="00B80FE6">
        <w:rPr>
          <w:b w:val="0"/>
          <w:color w:val="auto"/>
        </w:rPr>
        <w:t xml:space="preserve"> to the previous year (n=115). </w:t>
      </w:r>
      <w:r w:rsidRPr="00DD6DFF">
        <w:rPr>
          <w:b w:val="0"/>
          <w:color w:val="auto"/>
        </w:rPr>
        <w:t xml:space="preserve">This category includes accidents such as sharps injuries as well as falls, however falls account for 95% of the events within this category.  </w:t>
      </w:r>
    </w:p>
    <w:p w14:paraId="544EC1F5" w14:textId="77777777" w:rsidR="00DD6DFF" w:rsidRPr="00DD6DFF" w:rsidRDefault="00DD6DFF" w:rsidP="00DD6DFF">
      <w:pPr>
        <w:pStyle w:val="Subtitle"/>
        <w:jc w:val="left"/>
        <w:rPr>
          <w:b w:val="0"/>
          <w:color w:val="auto"/>
        </w:rPr>
      </w:pPr>
    </w:p>
    <w:p w14:paraId="6C73AE84" w14:textId="77777777" w:rsidR="00DD6DFF" w:rsidRPr="00DD6DFF" w:rsidRDefault="00DD6DFF" w:rsidP="00DD6DFF">
      <w:pPr>
        <w:pStyle w:val="Subtitle"/>
        <w:jc w:val="left"/>
        <w:rPr>
          <w:b w:val="0"/>
          <w:color w:val="auto"/>
        </w:rPr>
      </w:pPr>
      <w:r w:rsidRPr="00DD6DFF">
        <w:rPr>
          <w:b w:val="0"/>
          <w:color w:val="auto"/>
        </w:rPr>
        <w:t>The charts below detail the patient falls by month and per 1000 occupied bed days.</w:t>
      </w:r>
    </w:p>
    <w:p w14:paraId="2CFAE7FA" w14:textId="77777777" w:rsidR="00DD6DFF" w:rsidRPr="00DD6DFF" w:rsidRDefault="00DD6DFF" w:rsidP="00DD6DFF">
      <w:pPr>
        <w:pStyle w:val="Subtitle"/>
        <w:rPr>
          <w:rFonts w:ascii="Arial Narrow" w:hAnsi="Arial Narrow"/>
          <w:color w:val="auto"/>
          <w:sz w:val="22"/>
          <w:szCs w:val="22"/>
        </w:rPr>
      </w:pPr>
    </w:p>
    <w:p w14:paraId="3C9DA856" w14:textId="77777777" w:rsidR="00687317" w:rsidRDefault="00687317" w:rsidP="00DD6DFF">
      <w:pPr>
        <w:pStyle w:val="Subtitle"/>
        <w:rPr>
          <w:rFonts w:ascii="Arial Narrow" w:hAnsi="Arial Narrow"/>
          <w:color w:val="auto"/>
          <w:sz w:val="22"/>
          <w:szCs w:val="22"/>
        </w:rPr>
      </w:pPr>
    </w:p>
    <w:p w14:paraId="1B39FD71" w14:textId="77777777" w:rsidR="00687317" w:rsidRDefault="00687317" w:rsidP="00DD6DFF">
      <w:pPr>
        <w:pStyle w:val="Subtitle"/>
        <w:rPr>
          <w:rFonts w:ascii="Arial Narrow" w:hAnsi="Arial Narrow"/>
          <w:color w:val="auto"/>
          <w:sz w:val="22"/>
          <w:szCs w:val="22"/>
        </w:rPr>
      </w:pPr>
    </w:p>
    <w:p w14:paraId="30A23C8F" w14:textId="074FCB61" w:rsidR="00DD6DFF" w:rsidRPr="00DD6DFF" w:rsidRDefault="007E7E4B" w:rsidP="00DD6DFF">
      <w:pPr>
        <w:pStyle w:val="Subtitle"/>
        <w:rPr>
          <w:rFonts w:ascii="Arial Narrow" w:hAnsi="Arial Narrow"/>
          <w:color w:val="auto"/>
          <w:sz w:val="22"/>
          <w:szCs w:val="22"/>
        </w:rPr>
      </w:pPr>
      <w:r>
        <w:rPr>
          <w:rFonts w:ascii="Arial Narrow" w:hAnsi="Arial Narrow"/>
          <w:color w:val="auto"/>
          <w:sz w:val="22"/>
          <w:szCs w:val="22"/>
        </w:rPr>
        <w:t>Chart 7</w:t>
      </w:r>
      <w:r w:rsidR="00DD6DFF" w:rsidRPr="00DD6DFF">
        <w:rPr>
          <w:rFonts w:ascii="Arial Narrow" w:hAnsi="Arial Narrow"/>
          <w:color w:val="auto"/>
          <w:sz w:val="22"/>
          <w:szCs w:val="22"/>
        </w:rPr>
        <w:t xml:space="preserve"> – GJNH Patient Falls by Month</w:t>
      </w:r>
    </w:p>
    <w:p w14:paraId="479B12AC" w14:textId="77777777" w:rsidR="00DD6DFF" w:rsidRPr="00DD6DFF" w:rsidRDefault="00DD6DFF" w:rsidP="001B0E26">
      <w:pPr>
        <w:pStyle w:val="Subtitle"/>
        <w:jc w:val="left"/>
        <w:rPr>
          <w:b w:val="0"/>
          <w:color w:val="FFC000"/>
        </w:rPr>
      </w:pPr>
    </w:p>
    <w:p w14:paraId="6AF6C449" w14:textId="3C160D93" w:rsidR="00DD6DFF" w:rsidRPr="00DD6DFF" w:rsidRDefault="00DD6DFF" w:rsidP="00DD6DFF">
      <w:pPr>
        <w:jc w:val="center"/>
        <w:rPr>
          <w:rFonts w:ascii="Arial" w:hAnsi="Arial" w:cs="Arial"/>
        </w:rPr>
      </w:pPr>
      <w:r w:rsidRPr="00DD6DFF">
        <w:rPr>
          <w:rFonts w:eastAsiaTheme="minorHAnsi" w:cstheme="minorBidi"/>
          <w:noProof/>
          <w:color w:val="E36C0A" w:themeColor="accent6" w:themeShade="BF"/>
          <w:sz w:val="16"/>
          <w:szCs w:val="16"/>
        </w:rPr>
        <w:drawing>
          <wp:inline distT="0" distB="0" distL="0" distR="0" wp14:anchorId="35139E83" wp14:editId="7963A2C0">
            <wp:extent cx="5244465" cy="3543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54370" cy="3617555"/>
                    </a:xfrm>
                    <a:prstGeom prst="rect">
                      <a:avLst/>
                    </a:prstGeom>
                    <a:noFill/>
                  </pic:spPr>
                </pic:pic>
              </a:graphicData>
            </a:graphic>
          </wp:inline>
        </w:drawing>
      </w:r>
    </w:p>
    <w:p w14:paraId="75278A5E" w14:textId="132331DC" w:rsidR="00DD6DFF" w:rsidRDefault="00DD6DFF" w:rsidP="00DD6DFF">
      <w:pPr>
        <w:rPr>
          <w:rFonts w:ascii="Arial" w:hAnsi="Arial" w:cs="Arial"/>
        </w:rPr>
      </w:pPr>
    </w:p>
    <w:p w14:paraId="4554315F" w14:textId="7DAECE03" w:rsidR="004F2A4E" w:rsidRPr="00DD6DFF" w:rsidRDefault="004F2A4E" w:rsidP="004F2A4E">
      <w:pPr>
        <w:pStyle w:val="Subtitle"/>
        <w:rPr>
          <w:rFonts w:ascii="Arial Narrow" w:hAnsi="Arial Narrow"/>
          <w:color w:val="auto"/>
          <w:sz w:val="22"/>
          <w:szCs w:val="22"/>
        </w:rPr>
      </w:pPr>
      <w:r>
        <w:rPr>
          <w:rFonts w:ascii="Arial Narrow" w:hAnsi="Arial Narrow"/>
          <w:color w:val="auto"/>
          <w:sz w:val="22"/>
          <w:szCs w:val="22"/>
        </w:rPr>
        <w:t>Chart 8</w:t>
      </w:r>
      <w:r w:rsidRPr="00DD6DFF">
        <w:rPr>
          <w:rFonts w:ascii="Arial Narrow" w:hAnsi="Arial Narrow"/>
          <w:color w:val="auto"/>
          <w:sz w:val="22"/>
          <w:szCs w:val="22"/>
        </w:rPr>
        <w:t xml:space="preserve"> – </w:t>
      </w:r>
      <w:r>
        <w:rPr>
          <w:rFonts w:ascii="Arial Narrow" w:hAnsi="Arial Narrow"/>
          <w:color w:val="auto"/>
          <w:sz w:val="22"/>
          <w:szCs w:val="22"/>
        </w:rPr>
        <w:t>Inpatient Falls per 1,000 OBD</w:t>
      </w:r>
    </w:p>
    <w:p w14:paraId="07FB0DFC" w14:textId="77777777" w:rsidR="004F2A4E" w:rsidRDefault="004F2A4E" w:rsidP="00DD6DFF">
      <w:pPr>
        <w:rPr>
          <w:rFonts w:ascii="Arial" w:hAnsi="Arial" w:cs="Arial"/>
        </w:rPr>
      </w:pPr>
    </w:p>
    <w:p w14:paraId="62066F56" w14:textId="3F84A749" w:rsidR="00DD6DFF" w:rsidRDefault="00DD6DFF" w:rsidP="00DD6DFF">
      <w:pPr>
        <w:spacing w:after="240"/>
        <w:jc w:val="center"/>
        <w:rPr>
          <w:rFonts w:ascii="Arial" w:hAnsi="Arial" w:cs="Arial"/>
        </w:rPr>
      </w:pPr>
      <w:r w:rsidRPr="00DD6DFF">
        <w:rPr>
          <w:rFonts w:eastAsiaTheme="minorHAnsi" w:cstheme="minorBidi"/>
          <w:noProof/>
          <w:color w:val="E36C0A" w:themeColor="accent6" w:themeShade="BF"/>
          <w:sz w:val="18"/>
          <w:szCs w:val="18"/>
        </w:rPr>
        <w:drawing>
          <wp:inline distT="0" distB="0" distL="0" distR="0" wp14:anchorId="5F1263E6" wp14:editId="78B727F9">
            <wp:extent cx="3153976" cy="2562447"/>
            <wp:effectExtent l="19050" t="1905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5107" cy="2587739"/>
                    </a:xfrm>
                    <a:prstGeom prst="rect">
                      <a:avLst/>
                    </a:prstGeom>
                    <a:noFill/>
                    <a:ln>
                      <a:solidFill>
                        <a:schemeClr val="bg1">
                          <a:lumMod val="85000"/>
                        </a:schemeClr>
                      </a:solidFill>
                    </a:ln>
                  </pic:spPr>
                </pic:pic>
              </a:graphicData>
            </a:graphic>
          </wp:inline>
        </w:drawing>
      </w:r>
    </w:p>
    <w:p w14:paraId="17D50F5F" w14:textId="1A44F381" w:rsidR="00DD6DFF" w:rsidRPr="00DD6DFF" w:rsidRDefault="00DD6DFF" w:rsidP="00DD6DFF">
      <w:pPr>
        <w:rPr>
          <w:rFonts w:ascii="Arial" w:hAnsi="Arial" w:cs="Arial"/>
        </w:rPr>
      </w:pPr>
      <w:r w:rsidRPr="00DD6DFF">
        <w:rPr>
          <w:rFonts w:ascii="Arial" w:hAnsi="Arial" w:cs="Arial"/>
        </w:rPr>
        <w:t xml:space="preserve">As seen in Chart </w:t>
      </w:r>
      <w:r w:rsidR="00C7412C">
        <w:rPr>
          <w:rFonts w:ascii="Arial" w:hAnsi="Arial" w:cs="Arial"/>
        </w:rPr>
        <w:t>7</w:t>
      </w:r>
      <w:r w:rsidRPr="00DD6DFF">
        <w:rPr>
          <w:rFonts w:ascii="Arial" w:hAnsi="Arial" w:cs="Arial"/>
        </w:rPr>
        <w:t xml:space="preserve"> there has been a significant increase in the patien</w:t>
      </w:r>
      <w:r w:rsidR="00B80FE6">
        <w:rPr>
          <w:rFonts w:ascii="Arial" w:hAnsi="Arial" w:cs="Arial"/>
        </w:rPr>
        <w:t>t falls events across the site.</w:t>
      </w:r>
      <w:r w:rsidRPr="00DD6DFF">
        <w:rPr>
          <w:rFonts w:ascii="Arial" w:hAnsi="Arial" w:cs="Arial"/>
        </w:rPr>
        <w:t xml:space="preserve"> In the past year, 11 of the 12 po</w:t>
      </w:r>
      <w:r w:rsidR="00B80FE6">
        <w:rPr>
          <w:rFonts w:ascii="Arial" w:hAnsi="Arial" w:cs="Arial"/>
        </w:rPr>
        <w:t xml:space="preserve">ints have been above the mean. </w:t>
      </w:r>
      <w:r w:rsidRPr="00DD6DFF">
        <w:rPr>
          <w:rFonts w:ascii="Arial" w:hAnsi="Arial" w:cs="Arial"/>
        </w:rPr>
        <w:t>The average number of falls per month (2022/</w:t>
      </w:r>
      <w:r w:rsidR="00906B34">
        <w:rPr>
          <w:rFonts w:ascii="Arial" w:hAnsi="Arial" w:cs="Arial"/>
        </w:rPr>
        <w:t>20</w:t>
      </w:r>
      <w:r w:rsidRPr="00DD6DFF">
        <w:rPr>
          <w:rFonts w:ascii="Arial" w:hAnsi="Arial" w:cs="Arial"/>
        </w:rPr>
        <w:t xml:space="preserve">23) has risen to 11, which is three more than the average of the previous year. </w:t>
      </w:r>
    </w:p>
    <w:p w14:paraId="70C67523" w14:textId="77777777" w:rsidR="00DD6DFF" w:rsidRDefault="00DD6DFF" w:rsidP="00DD6DFF">
      <w:pPr>
        <w:rPr>
          <w:rFonts w:ascii="Arial" w:hAnsi="Arial" w:cs="Arial"/>
        </w:rPr>
      </w:pPr>
    </w:p>
    <w:p w14:paraId="63BB63E2" w14:textId="36223ECE" w:rsidR="00DD6DFF" w:rsidRDefault="00DD6DFF" w:rsidP="00DD6DFF">
      <w:pPr>
        <w:rPr>
          <w:rFonts w:ascii="Arial" w:hAnsi="Arial" w:cs="Arial"/>
        </w:rPr>
      </w:pPr>
      <w:r w:rsidRPr="00DD6DFF">
        <w:rPr>
          <w:rFonts w:ascii="Arial" w:hAnsi="Arial" w:cs="Arial"/>
        </w:rPr>
        <w:t xml:space="preserve">The trend in location of this category of events shows that </w:t>
      </w:r>
      <w:proofErr w:type="gramStart"/>
      <w:r w:rsidRPr="00DD6DFF">
        <w:rPr>
          <w:rFonts w:ascii="Arial" w:hAnsi="Arial" w:cs="Arial"/>
        </w:rPr>
        <w:t>3</w:t>
      </w:r>
      <w:proofErr w:type="gramEnd"/>
      <w:r w:rsidRPr="00DD6DFF">
        <w:rPr>
          <w:rFonts w:ascii="Arial" w:hAnsi="Arial" w:cs="Arial"/>
        </w:rPr>
        <w:t xml:space="preserve"> East (n=34), 4 East Orthopaedics (n=27), Orthopaedic Enhanced Recovery Ward (n=22) and 3 West (n=16) are the areas with the highest number of falls/accidents. </w:t>
      </w:r>
    </w:p>
    <w:p w14:paraId="5AD02619" w14:textId="7E526EEF" w:rsidR="004F2A4E" w:rsidRDefault="004F2A4E" w:rsidP="00DD6DFF">
      <w:pPr>
        <w:rPr>
          <w:rFonts w:ascii="Arial" w:hAnsi="Arial" w:cs="Arial"/>
        </w:rPr>
      </w:pPr>
    </w:p>
    <w:p w14:paraId="5805DA8C" w14:textId="5226DF31" w:rsidR="004F2A4E" w:rsidRPr="00DD6DFF" w:rsidRDefault="004F2A4E" w:rsidP="004F2A4E">
      <w:pPr>
        <w:pStyle w:val="Subtitle"/>
        <w:rPr>
          <w:rFonts w:ascii="Arial Narrow" w:hAnsi="Arial Narrow"/>
          <w:color w:val="auto"/>
          <w:sz w:val="22"/>
          <w:szCs w:val="22"/>
        </w:rPr>
      </w:pPr>
      <w:r>
        <w:rPr>
          <w:rFonts w:ascii="Arial Narrow" w:hAnsi="Arial Narrow"/>
          <w:color w:val="auto"/>
          <w:sz w:val="22"/>
          <w:szCs w:val="22"/>
        </w:rPr>
        <w:t>Chart 9</w:t>
      </w:r>
      <w:r w:rsidRPr="00DD6DFF">
        <w:rPr>
          <w:rFonts w:ascii="Arial Narrow" w:hAnsi="Arial Narrow"/>
          <w:color w:val="auto"/>
          <w:sz w:val="22"/>
          <w:szCs w:val="22"/>
        </w:rPr>
        <w:t xml:space="preserve"> – </w:t>
      </w:r>
      <w:r>
        <w:rPr>
          <w:rFonts w:ascii="Arial Narrow" w:hAnsi="Arial Narrow"/>
          <w:color w:val="auto"/>
          <w:sz w:val="22"/>
          <w:szCs w:val="22"/>
        </w:rPr>
        <w:t>Falls/Accidents</w:t>
      </w:r>
    </w:p>
    <w:p w14:paraId="3B76CF92" w14:textId="77777777" w:rsidR="004F2A4E" w:rsidRPr="00DD6DFF" w:rsidRDefault="004F2A4E" w:rsidP="00DD6DFF">
      <w:pPr>
        <w:rPr>
          <w:rFonts w:ascii="Arial" w:hAnsi="Arial" w:cs="Arial"/>
        </w:rPr>
      </w:pPr>
    </w:p>
    <w:p w14:paraId="26F3D408" w14:textId="77777777" w:rsidR="00DD6DFF" w:rsidRPr="00DD6DFF" w:rsidRDefault="00DD6DFF" w:rsidP="005C25A7">
      <w:pPr>
        <w:jc w:val="center"/>
        <w:rPr>
          <w:rFonts w:ascii="Arial" w:hAnsi="Arial" w:cs="Arial"/>
        </w:rPr>
      </w:pPr>
      <w:r w:rsidRPr="00DD6DFF">
        <w:rPr>
          <w:rFonts w:ascii="Arial" w:hAnsi="Arial" w:cs="Arial"/>
          <w:noProof/>
        </w:rPr>
        <w:drawing>
          <wp:inline distT="0" distB="0" distL="0" distR="0" wp14:anchorId="1B1537D5" wp14:editId="76C0A019">
            <wp:extent cx="3590925" cy="28098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2009" cy="2818548"/>
                    </a:xfrm>
                    <a:prstGeom prst="rect">
                      <a:avLst/>
                    </a:prstGeom>
                    <a:noFill/>
                  </pic:spPr>
                </pic:pic>
              </a:graphicData>
            </a:graphic>
          </wp:inline>
        </w:drawing>
      </w:r>
    </w:p>
    <w:p w14:paraId="41071821" w14:textId="77777777" w:rsidR="005C25A7" w:rsidRDefault="005C25A7" w:rsidP="00DD6DFF">
      <w:pPr>
        <w:rPr>
          <w:rFonts w:ascii="Arial" w:hAnsi="Arial" w:cs="Arial"/>
        </w:rPr>
      </w:pPr>
    </w:p>
    <w:p w14:paraId="062B3EA2" w14:textId="1D8E00E1" w:rsidR="005C25A7" w:rsidRPr="008638CB" w:rsidRDefault="00CC597C" w:rsidP="00DD6DFF">
      <w:pPr>
        <w:rPr>
          <w:rFonts w:ascii="Arial" w:hAnsi="Arial" w:cs="Arial"/>
        </w:rPr>
      </w:pPr>
      <w:r>
        <w:rPr>
          <w:rFonts w:ascii="Arial" w:hAnsi="Arial" w:cs="Arial"/>
        </w:rPr>
        <w:t xml:space="preserve">There was a total number of </w:t>
      </w:r>
      <w:proofErr w:type="gramStart"/>
      <w:r>
        <w:rPr>
          <w:rFonts w:ascii="Arial" w:hAnsi="Arial" w:cs="Arial"/>
        </w:rPr>
        <w:t>7</w:t>
      </w:r>
      <w:proofErr w:type="gramEnd"/>
      <w:r>
        <w:rPr>
          <w:rFonts w:ascii="Arial" w:hAnsi="Arial" w:cs="Arial"/>
        </w:rPr>
        <w:t xml:space="preserve"> falls with harm in which 2 of these progressed through the Significant Adverse Event Review process</w:t>
      </w:r>
      <w:r w:rsidR="007D1595">
        <w:rPr>
          <w:rFonts w:ascii="Arial" w:hAnsi="Arial" w:cs="Arial"/>
        </w:rPr>
        <w:t>; this is the same number of falls progressing to SAER compared to 2021/2022</w:t>
      </w:r>
      <w:r>
        <w:rPr>
          <w:rFonts w:ascii="Arial" w:hAnsi="Arial" w:cs="Arial"/>
        </w:rPr>
        <w:t>.</w:t>
      </w:r>
      <w:r w:rsidR="00653B1B">
        <w:rPr>
          <w:rFonts w:ascii="Arial" w:hAnsi="Arial" w:cs="Arial"/>
        </w:rPr>
        <w:t xml:space="preserve"> </w:t>
      </w:r>
      <w:r w:rsidR="007D1595">
        <w:rPr>
          <w:rFonts w:ascii="Arial" w:hAnsi="Arial" w:cs="Arial"/>
        </w:rPr>
        <w:t>One</w:t>
      </w:r>
      <w:r w:rsidR="00653B1B">
        <w:rPr>
          <w:rFonts w:ascii="Arial" w:hAnsi="Arial" w:cs="Arial"/>
        </w:rPr>
        <w:t xml:space="preserve"> of the Significant Adverse Event Reviews has now completed and the other one </w:t>
      </w:r>
      <w:r w:rsidR="00B80FE6">
        <w:rPr>
          <w:rFonts w:ascii="Arial" w:hAnsi="Arial" w:cs="Arial"/>
        </w:rPr>
        <w:t>is in its final approval stage.</w:t>
      </w:r>
      <w:r>
        <w:rPr>
          <w:rFonts w:ascii="Arial" w:hAnsi="Arial" w:cs="Arial"/>
        </w:rPr>
        <w:t xml:space="preserve"> </w:t>
      </w:r>
      <w:proofErr w:type="gramStart"/>
      <w:r>
        <w:rPr>
          <w:rFonts w:ascii="Arial" w:hAnsi="Arial" w:cs="Arial"/>
        </w:rPr>
        <w:t>5</w:t>
      </w:r>
      <w:proofErr w:type="gramEnd"/>
      <w:r>
        <w:rPr>
          <w:rFonts w:ascii="Arial" w:hAnsi="Arial" w:cs="Arial"/>
        </w:rPr>
        <w:t xml:space="preserve"> of these falls were </w:t>
      </w:r>
      <w:r w:rsidR="000765BD">
        <w:rPr>
          <w:rFonts w:ascii="Arial" w:hAnsi="Arial" w:cs="Arial"/>
        </w:rPr>
        <w:t xml:space="preserve">reviewed using the </w:t>
      </w:r>
      <w:r>
        <w:rPr>
          <w:rFonts w:ascii="Arial" w:hAnsi="Arial" w:cs="Arial"/>
        </w:rPr>
        <w:t>Ini</w:t>
      </w:r>
      <w:r w:rsidR="000765BD">
        <w:rPr>
          <w:rFonts w:ascii="Arial" w:hAnsi="Arial" w:cs="Arial"/>
        </w:rPr>
        <w:t>tial Assessment Tool</w:t>
      </w:r>
      <w:r w:rsidR="00653B1B">
        <w:rPr>
          <w:rFonts w:ascii="Arial" w:hAnsi="Arial" w:cs="Arial"/>
        </w:rPr>
        <w:t xml:space="preserve">, these have been presented to the </w:t>
      </w:r>
      <w:r w:rsidR="000765BD">
        <w:rPr>
          <w:rFonts w:ascii="Arial" w:hAnsi="Arial" w:cs="Arial"/>
        </w:rPr>
        <w:t>s</w:t>
      </w:r>
      <w:r w:rsidR="00653B1B">
        <w:rPr>
          <w:rFonts w:ascii="Arial" w:hAnsi="Arial" w:cs="Arial"/>
        </w:rPr>
        <w:t>ervices</w:t>
      </w:r>
      <w:r w:rsidR="000765BD">
        <w:rPr>
          <w:rFonts w:ascii="Arial" w:hAnsi="Arial" w:cs="Arial"/>
        </w:rPr>
        <w:t xml:space="preserve"> related</w:t>
      </w:r>
      <w:r w:rsidR="00653B1B">
        <w:rPr>
          <w:rFonts w:ascii="Arial" w:hAnsi="Arial" w:cs="Arial"/>
        </w:rPr>
        <w:t xml:space="preserve"> </w:t>
      </w:r>
      <w:r w:rsidR="00E54832">
        <w:rPr>
          <w:rFonts w:ascii="Arial" w:hAnsi="Arial" w:cs="Arial"/>
        </w:rPr>
        <w:t xml:space="preserve">at the </w:t>
      </w:r>
      <w:r w:rsidR="00653B1B">
        <w:rPr>
          <w:rFonts w:ascii="Arial" w:hAnsi="Arial" w:cs="Arial"/>
        </w:rPr>
        <w:t>Clinical Governance meetings and learning has been implemented.</w:t>
      </w:r>
    </w:p>
    <w:p w14:paraId="795B5F55" w14:textId="77777777" w:rsidR="005C25A7" w:rsidRDefault="005C25A7" w:rsidP="00DD6DFF">
      <w:pPr>
        <w:rPr>
          <w:rFonts w:ascii="Arial" w:hAnsi="Arial" w:cs="Arial"/>
        </w:rPr>
      </w:pPr>
    </w:p>
    <w:p w14:paraId="731A0534" w14:textId="6AA0CADE" w:rsidR="00DD6DFF" w:rsidRPr="00DD6DFF" w:rsidRDefault="00D35FED" w:rsidP="00DD6DFF">
      <w:pPr>
        <w:rPr>
          <w:rFonts w:ascii="Arial" w:hAnsi="Arial" w:cs="Arial"/>
        </w:rPr>
      </w:pPr>
      <w:r>
        <w:rPr>
          <w:rFonts w:ascii="Arial" w:hAnsi="Arial" w:cs="Arial"/>
        </w:rPr>
        <w:t>The</w:t>
      </w:r>
      <w:r w:rsidR="00132931">
        <w:rPr>
          <w:rFonts w:ascii="Arial" w:hAnsi="Arial" w:cs="Arial"/>
        </w:rPr>
        <w:t xml:space="preserve"> Falls Minimisation Group (FMG) took the decision to re-brand following a session with Healthcare Improvement Scotland; the focus for this group is more around how to mobilise patients safely </w:t>
      </w:r>
      <w:r w:rsidR="006866BF">
        <w:rPr>
          <w:rFonts w:ascii="Arial" w:hAnsi="Arial" w:cs="Arial"/>
        </w:rPr>
        <w:t xml:space="preserve">taking a more positive approach.  The </w:t>
      </w:r>
      <w:r>
        <w:rPr>
          <w:rFonts w:ascii="Arial" w:hAnsi="Arial" w:cs="Arial"/>
        </w:rPr>
        <w:t>Safe</w:t>
      </w:r>
      <w:r w:rsidR="00DD6DFF" w:rsidRPr="00DD6DFF">
        <w:rPr>
          <w:rFonts w:ascii="Arial" w:hAnsi="Arial" w:cs="Arial"/>
        </w:rPr>
        <w:t xml:space="preserve"> Mobilisation Group (SMG) scrutini</w:t>
      </w:r>
      <w:r w:rsidR="00B80FE6">
        <w:rPr>
          <w:rFonts w:ascii="Arial" w:hAnsi="Arial" w:cs="Arial"/>
        </w:rPr>
        <w:t xml:space="preserve">se falls outcome data monthly. </w:t>
      </w:r>
      <w:r w:rsidR="00DD6DFF" w:rsidRPr="00DD6DFF">
        <w:rPr>
          <w:rFonts w:ascii="Arial" w:hAnsi="Arial" w:cs="Arial"/>
        </w:rPr>
        <w:t xml:space="preserve">Wards were previously supported with high or increased levels </w:t>
      </w:r>
      <w:r w:rsidR="00B80FE6">
        <w:rPr>
          <w:rFonts w:ascii="Arial" w:hAnsi="Arial" w:cs="Arial"/>
        </w:rPr>
        <w:t xml:space="preserve">of falls with a support visit. </w:t>
      </w:r>
      <w:r w:rsidR="00DD6DFF" w:rsidRPr="00DD6DFF">
        <w:rPr>
          <w:rFonts w:ascii="Arial" w:hAnsi="Arial" w:cs="Arial"/>
        </w:rPr>
        <w:t>A new section has been added to Datix that triggers when Slips/Trips/Falls are selected as s</w:t>
      </w:r>
      <w:r w:rsidR="00B80FE6">
        <w:rPr>
          <w:rFonts w:ascii="Arial" w:hAnsi="Arial" w:cs="Arial"/>
        </w:rPr>
        <w:t>ub-categories.</w:t>
      </w:r>
      <w:r w:rsidR="00DD6DFF" w:rsidRPr="00DD6DFF">
        <w:rPr>
          <w:rFonts w:ascii="Arial" w:hAnsi="Arial" w:cs="Arial"/>
        </w:rPr>
        <w:t xml:space="preserve"> It will then be mandatory to complete questions on Post Fall Review, Interven</w:t>
      </w:r>
      <w:r w:rsidR="00B80FE6">
        <w:rPr>
          <w:rFonts w:ascii="Arial" w:hAnsi="Arial" w:cs="Arial"/>
        </w:rPr>
        <w:t xml:space="preserve">tions and Post Fall Questions. </w:t>
      </w:r>
      <w:r w:rsidR="00DD6DFF" w:rsidRPr="00DD6DFF">
        <w:rPr>
          <w:rFonts w:ascii="Arial" w:hAnsi="Arial" w:cs="Arial"/>
        </w:rPr>
        <w:t>Wards trigger based on breaching their upper control limits on their falls outcome charts (</w:t>
      </w:r>
      <w:proofErr w:type="gramStart"/>
      <w:r w:rsidR="00DD6DFF" w:rsidRPr="00DD6DFF">
        <w:rPr>
          <w:rFonts w:ascii="Arial" w:hAnsi="Arial" w:cs="Arial"/>
        </w:rPr>
        <w:t>either upper control limit</w:t>
      </w:r>
      <w:proofErr w:type="gramEnd"/>
      <w:r w:rsidR="00DD6DFF" w:rsidRPr="00DD6DFF">
        <w:rPr>
          <w:rFonts w:ascii="Arial" w:hAnsi="Arial" w:cs="Arial"/>
        </w:rPr>
        <w:t xml:space="preserve"> 1, 2 or 3) or by showing an increased number of falls, or by experiencing a fall with harm.  </w:t>
      </w:r>
    </w:p>
    <w:p w14:paraId="48DB4481" w14:textId="77777777" w:rsidR="005C25A7" w:rsidRDefault="005C25A7" w:rsidP="00DD6DFF">
      <w:pPr>
        <w:rPr>
          <w:rFonts w:ascii="Arial" w:hAnsi="Arial" w:cs="Arial"/>
        </w:rPr>
      </w:pPr>
    </w:p>
    <w:p w14:paraId="484694F9" w14:textId="48358926" w:rsidR="00DD6DFF" w:rsidRPr="00DD6DFF" w:rsidRDefault="00DD6DFF" w:rsidP="00DD6DFF">
      <w:pPr>
        <w:rPr>
          <w:rFonts w:ascii="Arial" w:hAnsi="Arial" w:cs="Arial"/>
        </w:rPr>
      </w:pPr>
      <w:r w:rsidRPr="00DD6DFF">
        <w:rPr>
          <w:rFonts w:ascii="Arial" w:hAnsi="Arial" w:cs="Arial"/>
        </w:rPr>
        <w:t xml:space="preserve">Due to the increased number of falls within Critical Care the falls </w:t>
      </w:r>
      <w:proofErr w:type="gramStart"/>
      <w:r w:rsidRPr="00DD6DFF">
        <w:rPr>
          <w:rFonts w:ascii="Arial" w:hAnsi="Arial" w:cs="Arial"/>
        </w:rPr>
        <w:t>prevention</w:t>
      </w:r>
      <w:proofErr w:type="gramEnd"/>
      <w:r w:rsidRPr="00DD6DFF">
        <w:rPr>
          <w:rFonts w:ascii="Arial" w:hAnsi="Arial" w:cs="Arial"/>
        </w:rPr>
        <w:t xml:space="preserve"> care bundles were stepped up for HDU2, HDU3, ICU1 and ICU2.  Across the NHSGJ, the median of 96% for FP1 equals the previous year and the median of 98% for FP2 is equal to the previous year.  </w:t>
      </w:r>
    </w:p>
    <w:p w14:paraId="56CE02AD" w14:textId="72B713C3" w:rsidR="00DD6DFF" w:rsidRPr="00DD6DFF" w:rsidRDefault="00DD6DFF" w:rsidP="00DD6DFF">
      <w:pPr>
        <w:rPr>
          <w:rFonts w:ascii="Arial" w:hAnsi="Arial" w:cs="Arial"/>
        </w:rPr>
      </w:pPr>
      <w:r w:rsidRPr="00DD6DFF">
        <w:rPr>
          <w:rFonts w:ascii="Arial" w:hAnsi="Arial" w:cs="Arial"/>
        </w:rPr>
        <w:t>It is important to note the comparison of falls resulting in harm</w:t>
      </w:r>
      <w:r w:rsidR="00B80FE6">
        <w:rPr>
          <w:rFonts w:ascii="Arial" w:hAnsi="Arial" w:cs="Arial"/>
        </w:rPr>
        <w:t xml:space="preserve"> in relation to patient falls. </w:t>
      </w:r>
      <w:r w:rsidRPr="00DD6DFF">
        <w:rPr>
          <w:rFonts w:ascii="Arial" w:hAnsi="Arial" w:cs="Arial"/>
        </w:rPr>
        <w:t>During the year the level of falls with harm remained low at 4% (n=5).  This is a reduction of three compared to the previous year.</w:t>
      </w:r>
    </w:p>
    <w:p w14:paraId="101CAD24" w14:textId="77777777" w:rsidR="005C25A7" w:rsidRDefault="005C25A7" w:rsidP="00DD6DFF">
      <w:pPr>
        <w:rPr>
          <w:rFonts w:ascii="Arial" w:hAnsi="Arial" w:cs="Arial"/>
        </w:rPr>
      </w:pPr>
    </w:p>
    <w:p w14:paraId="3849881B" w14:textId="6A0F591D" w:rsidR="00DD6DFF" w:rsidRPr="00DD6DFF" w:rsidRDefault="00DD6DFF" w:rsidP="00DD6DFF">
      <w:pPr>
        <w:rPr>
          <w:rFonts w:ascii="Arial" w:hAnsi="Arial" w:cs="Arial"/>
        </w:rPr>
      </w:pPr>
      <w:r w:rsidRPr="00DD6DFF">
        <w:rPr>
          <w:rFonts w:ascii="Arial" w:hAnsi="Arial" w:cs="Arial"/>
        </w:rPr>
        <w:t>In June 2023, a Safe Mobilisation workshop</w:t>
      </w:r>
      <w:r w:rsidR="00B80FE6">
        <w:rPr>
          <w:rFonts w:ascii="Arial" w:hAnsi="Arial" w:cs="Arial"/>
        </w:rPr>
        <w:t xml:space="preserve"> took place in Training Room </w:t>
      </w:r>
      <w:proofErr w:type="gramStart"/>
      <w:r w:rsidR="00B80FE6">
        <w:rPr>
          <w:rFonts w:ascii="Arial" w:hAnsi="Arial" w:cs="Arial"/>
        </w:rPr>
        <w:t>5</w:t>
      </w:r>
      <w:r w:rsidR="006866BF">
        <w:rPr>
          <w:rFonts w:ascii="Arial" w:hAnsi="Arial" w:cs="Arial"/>
        </w:rPr>
        <w:t xml:space="preserve"> which</w:t>
      </w:r>
      <w:proofErr w:type="gramEnd"/>
      <w:r w:rsidR="006866BF">
        <w:rPr>
          <w:rFonts w:ascii="Arial" w:hAnsi="Arial" w:cs="Arial"/>
        </w:rPr>
        <w:t xml:space="preserve"> was multi-disciplinary and had representation from nursing, rehabilitation, clinical education and pharmacy</w:t>
      </w:r>
      <w:r w:rsidR="00B80FE6">
        <w:rPr>
          <w:rFonts w:ascii="Arial" w:hAnsi="Arial" w:cs="Arial"/>
        </w:rPr>
        <w:t>.</w:t>
      </w:r>
      <w:r w:rsidRPr="00DD6DFF">
        <w:rPr>
          <w:rFonts w:ascii="Arial" w:hAnsi="Arial" w:cs="Arial"/>
        </w:rPr>
        <w:t xml:space="preserve"> Feedback from the day was positive and the SMG agreed to hold similar sessions at regular intervals (potentially 6 monthly) to ensure that relevant new recruits are</w:t>
      </w:r>
      <w:r w:rsidR="006866BF">
        <w:rPr>
          <w:rFonts w:ascii="Arial" w:hAnsi="Arial" w:cs="Arial"/>
        </w:rPr>
        <w:t xml:space="preserve"> captured throughout the year.</w:t>
      </w:r>
    </w:p>
    <w:p w14:paraId="002C182E" w14:textId="77777777" w:rsidR="006866BF" w:rsidRDefault="006866BF" w:rsidP="00DD6DFF">
      <w:pPr>
        <w:rPr>
          <w:rFonts w:ascii="Arial" w:hAnsi="Arial" w:cs="Arial"/>
        </w:rPr>
      </w:pPr>
    </w:p>
    <w:p w14:paraId="77F744CE" w14:textId="1C6AA5DA" w:rsidR="00DD6DFF" w:rsidRPr="00DD6DFF" w:rsidRDefault="006866BF" w:rsidP="00DD6DFF">
      <w:pPr>
        <w:rPr>
          <w:rFonts w:ascii="Arial" w:hAnsi="Arial" w:cs="Arial"/>
        </w:rPr>
      </w:pPr>
      <w:r w:rsidRPr="009435F0">
        <w:rPr>
          <w:rFonts w:cstheme="minorHAnsi"/>
          <w:noProof/>
        </w:rPr>
        <w:drawing>
          <wp:anchor distT="0" distB="0" distL="114300" distR="114300" simplePos="0" relativeHeight="251657216" behindDoc="0" locked="0" layoutInCell="1" allowOverlap="1" wp14:anchorId="124ABF04" wp14:editId="1D402687">
            <wp:simplePos x="0" y="0"/>
            <wp:positionH relativeFrom="column">
              <wp:posOffset>15240</wp:posOffset>
            </wp:positionH>
            <wp:positionV relativeFrom="paragraph">
              <wp:posOffset>554990</wp:posOffset>
            </wp:positionV>
            <wp:extent cx="6577330" cy="3730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7330" cy="3730625"/>
                    </a:xfrm>
                    <a:prstGeom prst="rect">
                      <a:avLst/>
                    </a:prstGeom>
                    <a:noFill/>
                  </pic:spPr>
                </pic:pic>
              </a:graphicData>
            </a:graphic>
            <wp14:sizeRelH relativeFrom="page">
              <wp14:pctWidth>0</wp14:pctWidth>
            </wp14:sizeRelH>
            <wp14:sizeRelV relativeFrom="page">
              <wp14:pctHeight>0</wp14:pctHeight>
            </wp14:sizeRelV>
          </wp:anchor>
        </w:drawing>
      </w:r>
      <w:r w:rsidR="00DD6DFF" w:rsidRPr="00DD6DFF">
        <w:rPr>
          <w:rFonts w:ascii="Arial" w:hAnsi="Arial" w:cs="Arial"/>
        </w:rPr>
        <w:t>The SMG chair and key leaders feel that it was important to continue to capture learning from all areas.  Improving our falls numbers remains a high priority for the N</w:t>
      </w:r>
      <w:r w:rsidR="00B80FE6">
        <w:rPr>
          <w:rFonts w:ascii="Arial" w:hAnsi="Arial" w:cs="Arial"/>
        </w:rPr>
        <w:t>HSGJ.</w:t>
      </w:r>
      <w:r w:rsidR="00DD6DFF" w:rsidRPr="00DD6DFF">
        <w:rPr>
          <w:rFonts w:ascii="Arial" w:hAnsi="Arial" w:cs="Arial"/>
        </w:rPr>
        <w:t xml:space="preserve"> A Driver Diagram has been created to support continue improvement for 2023/</w:t>
      </w:r>
      <w:r w:rsidR="00906B34">
        <w:rPr>
          <w:rFonts w:ascii="Arial" w:hAnsi="Arial" w:cs="Arial"/>
        </w:rPr>
        <w:t>20</w:t>
      </w:r>
      <w:r w:rsidR="00DD6DFF" w:rsidRPr="00DD6DFF">
        <w:rPr>
          <w:rFonts w:ascii="Arial" w:hAnsi="Arial" w:cs="Arial"/>
        </w:rPr>
        <w:t>24.</w:t>
      </w:r>
    </w:p>
    <w:p w14:paraId="64177A3C" w14:textId="3EBFC546" w:rsidR="00DD6DFF" w:rsidRDefault="00DD6DFF" w:rsidP="00DD6DFF">
      <w:r>
        <w:t xml:space="preserve">  </w:t>
      </w:r>
    </w:p>
    <w:p w14:paraId="1F66D6C7" w14:textId="77777777" w:rsidR="00461FBC" w:rsidRPr="00473D1A" w:rsidRDefault="00461FBC" w:rsidP="001B0E26">
      <w:pPr>
        <w:pStyle w:val="Subtitle"/>
        <w:jc w:val="left"/>
        <w:rPr>
          <w:b w:val="0"/>
          <w:color w:val="FFC000"/>
        </w:rPr>
      </w:pPr>
    </w:p>
    <w:p w14:paraId="361CB3C7" w14:textId="39622C7C" w:rsidR="001B0E26" w:rsidRPr="00687317" w:rsidRDefault="001B0E26" w:rsidP="001B0E26">
      <w:pPr>
        <w:pStyle w:val="Subtitle"/>
        <w:jc w:val="left"/>
        <w:rPr>
          <w:b w:val="0"/>
          <w:color w:val="auto"/>
        </w:rPr>
      </w:pPr>
      <w:r w:rsidRPr="00687317">
        <w:rPr>
          <w:b w:val="0"/>
          <w:color w:val="auto"/>
        </w:rPr>
        <w:t xml:space="preserve">2.2.3 </w:t>
      </w:r>
      <w:r w:rsidR="009405B8" w:rsidRPr="00687317">
        <w:rPr>
          <w:b w:val="0"/>
          <w:color w:val="auto"/>
        </w:rPr>
        <w:t>Staff</w:t>
      </w:r>
      <w:r w:rsidRPr="00687317">
        <w:rPr>
          <w:b w:val="0"/>
          <w:color w:val="auto"/>
        </w:rPr>
        <w:t xml:space="preserve"> Accidents/Falls (n=</w:t>
      </w:r>
      <w:r w:rsidR="00461FBC" w:rsidRPr="00687317">
        <w:rPr>
          <w:b w:val="0"/>
          <w:color w:val="auto"/>
        </w:rPr>
        <w:t>106</w:t>
      </w:r>
      <w:r w:rsidRPr="00687317">
        <w:rPr>
          <w:b w:val="0"/>
          <w:color w:val="auto"/>
        </w:rPr>
        <w:t>)</w:t>
      </w:r>
    </w:p>
    <w:p w14:paraId="336DE2EF" w14:textId="5D3329AF" w:rsidR="009405B8" w:rsidRPr="005024F4" w:rsidRDefault="009405B8" w:rsidP="001B0E26">
      <w:pPr>
        <w:pStyle w:val="Subtitle"/>
        <w:jc w:val="left"/>
        <w:rPr>
          <w:b w:val="0"/>
          <w:color w:val="auto"/>
        </w:rPr>
      </w:pPr>
      <w:r w:rsidRPr="00461FBC">
        <w:rPr>
          <w:b w:val="0"/>
          <w:color w:val="auto"/>
        </w:rPr>
        <w:t xml:space="preserve">Staff Accidents/Falls features in the top </w:t>
      </w:r>
      <w:proofErr w:type="gramStart"/>
      <w:r w:rsidRPr="00461FBC">
        <w:rPr>
          <w:b w:val="0"/>
          <w:color w:val="auto"/>
        </w:rPr>
        <w:t>3</w:t>
      </w:r>
      <w:proofErr w:type="gramEnd"/>
      <w:r w:rsidRPr="00461FBC">
        <w:rPr>
          <w:b w:val="0"/>
          <w:color w:val="auto"/>
        </w:rPr>
        <w:t xml:space="preserve"> reported categories of events for 202</w:t>
      </w:r>
      <w:r w:rsidR="00461FBC" w:rsidRPr="00461FBC">
        <w:rPr>
          <w:b w:val="0"/>
          <w:color w:val="auto"/>
        </w:rPr>
        <w:t>2</w:t>
      </w:r>
      <w:r w:rsidRPr="00461FBC">
        <w:rPr>
          <w:b w:val="0"/>
          <w:color w:val="auto"/>
        </w:rPr>
        <w:t>/202</w:t>
      </w:r>
      <w:r w:rsidR="00461FBC" w:rsidRPr="00461FBC">
        <w:rPr>
          <w:b w:val="0"/>
          <w:color w:val="auto"/>
        </w:rPr>
        <w:t>3</w:t>
      </w:r>
      <w:r w:rsidR="000657C2" w:rsidRPr="00461FBC">
        <w:rPr>
          <w:b w:val="0"/>
          <w:color w:val="auto"/>
        </w:rPr>
        <w:t>;</w:t>
      </w:r>
      <w:r w:rsidR="000657C2" w:rsidRPr="00473D1A">
        <w:rPr>
          <w:b w:val="0"/>
          <w:color w:val="FFC000"/>
        </w:rPr>
        <w:t xml:space="preserve"> </w:t>
      </w:r>
      <w:r w:rsidR="000657C2" w:rsidRPr="005024F4">
        <w:rPr>
          <w:b w:val="0"/>
          <w:color w:val="auto"/>
        </w:rPr>
        <w:t>none of these event were graded major/extreme</w:t>
      </w:r>
      <w:r w:rsidR="00B80FE6">
        <w:rPr>
          <w:b w:val="0"/>
          <w:color w:val="auto"/>
        </w:rPr>
        <w:t xml:space="preserve">. </w:t>
      </w:r>
      <w:r w:rsidRPr="005024F4">
        <w:rPr>
          <w:b w:val="0"/>
          <w:color w:val="auto"/>
        </w:rPr>
        <w:t xml:space="preserve">The </w:t>
      </w:r>
      <w:r w:rsidR="00A677F2" w:rsidRPr="005024F4">
        <w:rPr>
          <w:b w:val="0"/>
          <w:color w:val="auto"/>
        </w:rPr>
        <w:t xml:space="preserve">following </w:t>
      </w:r>
      <w:r w:rsidRPr="005024F4">
        <w:rPr>
          <w:b w:val="0"/>
          <w:color w:val="auto"/>
        </w:rPr>
        <w:t>chart shows these events by sub category.</w:t>
      </w:r>
    </w:p>
    <w:p w14:paraId="46BF29AE" w14:textId="42696866" w:rsidR="009405B8" w:rsidRPr="005024F4" w:rsidRDefault="009405B8" w:rsidP="009405B8">
      <w:pPr>
        <w:pStyle w:val="Subtitle"/>
        <w:rPr>
          <w:rFonts w:ascii="Arial Narrow" w:hAnsi="Arial Narrow"/>
          <w:color w:val="auto"/>
          <w:sz w:val="22"/>
          <w:szCs w:val="22"/>
        </w:rPr>
      </w:pPr>
      <w:r w:rsidRPr="005024F4">
        <w:rPr>
          <w:rFonts w:ascii="Arial Narrow" w:hAnsi="Arial Narrow"/>
          <w:color w:val="auto"/>
          <w:sz w:val="22"/>
          <w:szCs w:val="22"/>
        </w:rPr>
        <w:t xml:space="preserve">Chart </w:t>
      </w:r>
      <w:r w:rsidR="004F2A4E">
        <w:rPr>
          <w:rFonts w:ascii="Arial Narrow" w:hAnsi="Arial Narrow"/>
          <w:color w:val="auto"/>
          <w:sz w:val="22"/>
          <w:szCs w:val="22"/>
        </w:rPr>
        <w:t>10</w:t>
      </w:r>
      <w:r w:rsidRPr="005024F4">
        <w:rPr>
          <w:rFonts w:ascii="Arial Narrow" w:hAnsi="Arial Narrow"/>
          <w:color w:val="auto"/>
          <w:sz w:val="22"/>
          <w:szCs w:val="22"/>
        </w:rPr>
        <w:t xml:space="preserve"> – Staff/Visitor Accidents/Falls by Subcategory</w:t>
      </w:r>
    </w:p>
    <w:p w14:paraId="35B86F14" w14:textId="5C29F3A6" w:rsidR="009405B8" w:rsidRPr="00473D1A" w:rsidRDefault="00461FBC" w:rsidP="009405B8">
      <w:pPr>
        <w:pStyle w:val="Subtitle"/>
        <w:spacing w:after="240"/>
        <w:rPr>
          <w:rFonts w:ascii="Arial Narrow" w:hAnsi="Arial Narrow"/>
          <w:color w:val="FFC000"/>
        </w:rPr>
      </w:pPr>
      <w:r>
        <w:rPr>
          <w:noProof/>
          <w:lang w:eastAsia="en-GB"/>
        </w:rPr>
        <w:drawing>
          <wp:inline distT="0" distB="0" distL="0" distR="0" wp14:anchorId="50750A5C" wp14:editId="76A8D32A">
            <wp:extent cx="6311900" cy="25019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428016" w14:textId="76AD517C" w:rsidR="001B0E26" w:rsidRPr="006866BF" w:rsidRDefault="00981EB3" w:rsidP="001B0E26">
      <w:pPr>
        <w:pStyle w:val="Subtitle"/>
        <w:jc w:val="left"/>
        <w:rPr>
          <w:b w:val="0"/>
          <w:color w:val="auto"/>
        </w:rPr>
      </w:pPr>
      <w:r w:rsidRPr="00FE440B">
        <w:rPr>
          <w:b w:val="0"/>
          <w:color w:val="auto"/>
        </w:rPr>
        <w:t>Sharps injuries is the top reported sub category amongst staff accidents</w:t>
      </w:r>
      <w:r w:rsidR="00B80FE6">
        <w:rPr>
          <w:b w:val="0"/>
          <w:color w:val="auto"/>
        </w:rPr>
        <w:t xml:space="preserve">. </w:t>
      </w:r>
      <w:proofErr w:type="gramStart"/>
      <w:r w:rsidRPr="00906B34">
        <w:rPr>
          <w:b w:val="0"/>
          <w:color w:val="auto"/>
        </w:rPr>
        <w:t>When compared to the number of Occupational Health attendances for sharps</w:t>
      </w:r>
      <w:r w:rsidR="00D76C95" w:rsidRPr="00906B34">
        <w:rPr>
          <w:b w:val="0"/>
          <w:color w:val="auto"/>
        </w:rPr>
        <w:t xml:space="preserve"> and splash</w:t>
      </w:r>
      <w:r w:rsidRPr="00906B34">
        <w:rPr>
          <w:b w:val="0"/>
          <w:color w:val="auto"/>
        </w:rPr>
        <w:t xml:space="preserve"> injuries</w:t>
      </w:r>
      <w:r w:rsidR="00D76C95" w:rsidRPr="00906B34">
        <w:rPr>
          <w:b w:val="0"/>
          <w:color w:val="auto"/>
        </w:rPr>
        <w:t>, there was a total number of 76 members of staff who attended Occupational Health.</w:t>
      </w:r>
      <w:proofErr w:type="gramEnd"/>
      <w:r w:rsidR="00D76C95" w:rsidRPr="00906B34">
        <w:rPr>
          <w:b w:val="0"/>
          <w:color w:val="auto"/>
        </w:rPr>
        <w:t xml:space="preserve"> This means that 42</w:t>
      </w:r>
      <w:r w:rsidR="00023E55" w:rsidRPr="00906B34">
        <w:rPr>
          <w:b w:val="0"/>
          <w:color w:val="auto"/>
        </w:rPr>
        <w:t>%</w:t>
      </w:r>
      <w:r w:rsidR="00D76C95" w:rsidRPr="00906B34">
        <w:rPr>
          <w:b w:val="0"/>
          <w:color w:val="auto"/>
        </w:rPr>
        <w:t xml:space="preserve"> were</w:t>
      </w:r>
      <w:r w:rsidRPr="00906B34">
        <w:rPr>
          <w:b w:val="0"/>
          <w:color w:val="auto"/>
        </w:rPr>
        <w:t xml:space="preserve"> </w:t>
      </w:r>
      <w:r w:rsidRPr="006866BF">
        <w:rPr>
          <w:b w:val="0"/>
          <w:color w:val="auto"/>
        </w:rPr>
        <w:t>reported on Datix</w:t>
      </w:r>
      <w:r w:rsidR="00023E55" w:rsidRPr="006866BF">
        <w:rPr>
          <w:b w:val="0"/>
          <w:color w:val="auto"/>
        </w:rPr>
        <w:t>; this has been recognised by the Occupational Health team and work is underway to target areas with poor reporting</w:t>
      </w:r>
      <w:r w:rsidR="00B80FE6" w:rsidRPr="006866BF">
        <w:rPr>
          <w:b w:val="0"/>
          <w:color w:val="auto"/>
        </w:rPr>
        <w:t>.</w:t>
      </w:r>
      <w:r w:rsidRPr="006866BF">
        <w:rPr>
          <w:b w:val="0"/>
          <w:color w:val="auto"/>
        </w:rPr>
        <w:t xml:space="preserve"> </w:t>
      </w:r>
      <w:proofErr w:type="gramStart"/>
      <w:r w:rsidR="00D76C95" w:rsidRPr="006866BF">
        <w:rPr>
          <w:b w:val="0"/>
          <w:color w:val="auto"/>
        </w:rPr>
        <w:t>4</w:t>
      </w:r>
      <w:r w:rsidR="00D6731A" w:rsidRPr="006866BF">
        <w:rPr>
          <w:b w:val="0"/>
          <w:color w:val="auto"/>
        </w:rPr>
        <w:t>2%</w:t>
      </w:r>
      <w:proofErr w:type="gramEnd"/>
      <w:r w:rsidR="00D6731A" w:rsidRPr="006866BF">
        <w:rPr>
          <w:b w:val="0"/>
          <w:color w:val="auto"/>
        </w:rPr>
        <w:t xml:space="preserve"> of all sharps injuries are attributable to theatre areas with the largest specialty being cardiac theatres (n=</w:t>
      </w:r>
      <w:r w:rsidR="00D76C95" w:rsidRPr="006866BF">
        <w:rPr>
          <w:b w:val="0"/>
          <w:color w:val="auto"/>
        </w:rPr>
        <w:t>5</w:t>
      </w:r>
      <w:r w:rsidR="00D6731A" w:rsidRPr="006866BF">
        <w:rPr>
          <w:b w:val="0"/>
          <w:color w:val="auto"/>
        </w:rPr>
        <w:t>).</w:t>
      </w:r>
    </w:p>
    <w:p w14:paraId="38C69DFC" w14:textId="36A795C1" w:rsidR="00D110BE" w:rsidRPr="006866BF" w:rsidRDefault="00D110BE" w:rsidP="001B0E26">
      <w:pPr>
        <w:pStyle w:val="Subtitle"/>
        <w:jc w:val="left"/>
        <w:rPr>
          <w:b w:val="0"/>
          <w:color w:val="auto"/>
        </w:rPr>
      </w:pPr>
    </w:p>
    <w:p w14:paraId="5628D259" w14:textId="013AE2DE" w:rsidR="00D110BE" w:rsidRPr="006866BF" w:rsidRDefault="00D110BE" w:rsidP="001B0E26">
      <w:pPr>
        <w:pStyle w:val="Subtitle"/>
        <w:jc w:val="left"/>
        <w:rPr>
          <w:b w:val="0"/>
          <w:color w:val="auto"/>
        </w:rPr>
      </w:pPr>
      <w:r w:rsidRPr="006866BF">
        <w:rPr>
          <w:b w:val="0"/>
          <w:color w:val="auto"/>
        </w:rPr>
        <w:t>On review of the staff falls the areas that see the highest number of falls are</w:t>
      </w:r>
      <w:r w:rsidR="00FE440B" w:rsidRPr="006866BF">
        <w:rPr>
          <w:b w:val="0"/>
          <w:color w:val="auto"/>
        </w:rPr>
        <w:t xml:space="preserve"> in the critical care department</w:t>
      </w:r>
      <w:r w:rsidRPr="006866BF">
        <w:rPr>
          <w:b w:val="0"/>
          <w:color w:val="auto"/>
        </w:rPr>
        <w:t xml:space="preserve"> reporting </w:t>
      </w:r>
      <w:r w:rsidR="00FE440B" w:rsidRPr="006866BF">
        <w:rPr>
          <w:b w:val="0"/>
          <w:color w:val="auto"/>
        </w:rPr>
        <w:t>2</w:t>
      </w:r>
      <w:r w:rsidRPr="006866BF">
        <w:rPr>
          <w:b w:val="0"/>
          <w:color w:val="auto"/>
        </w:rPr>
        <w:t xml:space="preserve"> events during the year; these figures are not alarming and do not highlight any requirement for additional staff training for manual handling.</w:t>
      </w:r>
    </w:p>
    <w:p w14:paraId="1DEAFEF1" w14:textId="46DD7C52" w:rsidR="00D110BE" w:rsidRPr="006866BF" w:rsidRDefault="00D110BE" w:rsidP="001B0E26">
      <w:pPr>
        <w:pStyle w:val="Subtitle"/>
        <w:jc w:val="left"/>
        <w:rPr>
          <w:b w:val="0"/>
          <w:color w:val="auto"/>
        </w:rPr>
      </w:pPr>
    </w:p>
    <w:p w14:paraId="6660CC03" w14:textId="4B1E0337" w:rsidR="000657C2" w:rsidRPr="006866BF" w:rsidRDefault="000657C2" w:rsidP="001B0E26">
      <w:pPr>
        <w:pStyle w:val="Subtitle"/>
        <w:jc w:val="left"/>
        <w:rPr>
          <w:b w:val="0"/>
          <w:color w:val="auto"/>
        </w:rPr>
      </w:pPr>
      <w:r w:rsidRPr="006866BF">
        <w:rPr>
          <w:b w:val="0"/>
          <w:color w:val="auto"/>
        </w:rPr>
        <w:t>The staff accidents/falls reported under the sub category ‘contact/collision with objects’ are largely related to equipment/machinery and fixtures and fittings e.g. light fittings, doors, ceiling tiles; these account for 6</w:t>
      </w:r>
      <w:r w:rsidR="00FE440B" w:rsidRPr="006866BF">
        <w:rPr>
          <w:b w:val="0"/>
          <w:color w:val="auto"/>
        </w:rPr>
        <w:t>0</w:t>
      </w:r>
      <w:r w:rsidRPr="006866BF">
        <w:rPr>
          <w:b w:val="0"/>
          <w:color w:val="auto"/>
        </w:rPr>
        <w:t>% of this sub category of events.</w:t>
      </w:r>
    </w:p>
    <w:p w14:paraId="1D2846CC" w14:textId="5D8DD87C" w:rsidR="003C0192" w:rsidRPr="006866BF" w:rsidRDefault="003C0192" w:rsidP="001B0E26">
      <w:pPr>
        <w:pStyle w:val="Subtitle"/>
        <w:jc w:val="left"/>
        <w:rPr>
          <w:b w:val="0"/>
          <w:color w:val="auto"/>
        </w:rPr>
      </w:pPr>
    </w:p>
    <w:p w14:paraId="25B6F9B2" w14:textId="3AB06722" w:rsidR="003C0192" w:rsidRPr="00906B34" w:rsidRDefault="003C0192" w:rsidP="001B0E26">
      <w:pPr>
        <w:pStyle w:val="Subtitle"/>
        <w:jc w:val="left"/>
        <w:rPr>
          <w:b w:val="0"/>
          <w:color w:val="auto"/>
        </w:rPr>
      </w:pPr>
      <w:r w:rsidRPr="006866BF">
        <w:rPr>
          <w:b w:val="0"/>
          <w:color w:val="auto"/>
        </w:rPr>
        <w:t>Trends related</w:t>
      </w:r>
      <w:r w:rsidRPr="00906B34">
        <w:rPr>
          <w:b w:val="0"/>
          <w:color w:val="auto"/>
        </w:rPr>
        <w:t xml:space="preserve"> to staff incidents are reported and monitored via the Health and Safety Committee on a quarterly basis.</w:t>
      </w:r>
    </w:p>
    <w:p w14:paraId="65673AA5" w14:textId="77777777" w:rsidR="009405B8" w:rsidRPr="00FC1675" w:rsidRDefault="009405B8" w:rsidP="001B0E26">
      <w:pPr>
        <w:pStyle w:val="Subtitle"/>
        <w:jc w:val="left"/>
        <w:rPr>
          <w:b w:val="0"/>
          <w:color w:val="auto"/>
          <w:u w:val="single"/>
        </w:rPr>
      </w:pPr>
    </w:p>
    <w:p w14:paraId="34387C3F" w14:textId="77777777" w:rsidR="001B0E26" w:rsidRPr="00FC1675" w:rsidRDefault="001B0E26" w:rsidP="001B0E26">
      <w:pPr>
        <w:pStyle w:val="Subtitle"/>
        <w:jc w:val="left"/>
        <w:rPr>
          <w:color w:val="auto"/>
        </w:rPr>
      </w:pPr>
      <w:r w:rsidRPr="00FC1675">
        <w:rPr>
          <w:color w:val="auto"/>
        </w:rPr>
        <w:t>2.3 Significant Adverse Events</w:t>
      </w:r>
    </w:p>
    <w:p w14:paraId="199A8B18" w14:textId="34FCE0B0" w:rsidR="005B5ABA" w:rsidRPr="00182DF9" w:rsidRDefault="001B0E26" w:rsidP="005B5ABA">
      <w:pPr>
        <w:autoSpaceDE w:val="0"/>
        <w:autoSpaceDN w:val="0"/>
        <w:adjustRightInd w:val="0"/>
        <w:rPr>
          <w:rFonts w:ascii="Arial" w:hAnsi="Arial" w:cs="Arial"/>
        </w:rPr>
      </w:pPr>
      <w:r w:rsidRPr="00182DF9">
        <w:rPr>
          <w:rFonts w:ascii="Arial" w:hAnsi="Arial" w:cs="Arial"/>
        </w:rPr>
        <w:t xml:space="preserve">There was </w:t>
      </w:r>
      <w:proofErr w:type="gramStart"/>
      <w:r w:rsidRPr="00182DF9">
        <w:rPr>
          <w:rFonts w:ascii="Arial" w:hAnsi="Arial" w:cs="Arial"/>
        </w:rPr>
        <w:t xml:space="preserve">a total of </w:t>
      </w:r>
      <w:r w:rsidR="00FC1675" w:rsidRPr="00182DF9">
        <w:rPr>
          <w:rFonts w:ascii="Arial" w:hAnsi="Arial" w:cs="Arial"/>
        </w:rPr>
        <w:t>46</w:t>
      </w:r>
      <w:proofErr w:type="gramEnd"/>
      <w:r w:rsidRPr="00182DF9">
        <w:rPr>
          <w:rFonts w:ascii="Arial" w:hAnsi="Arial" w:cs="Arial"/>
        </w:rPr>
        <w:t xml:space="preserve"> </w:t>
      </w:r>
      <w:r w:rsidR="00FC1675" w:rsidRPr="00182DF9">
        <w:rPr>
          <w:rFonts w:ascii="Arial" w:hAnsi="Arial" w:cs="Arial"/>
        </w:rPr>
        <w:t xml:space="preserve">adverse events reported during </w:t>
      </w:r>
      <w:r w:rsidR="005039B5" w:rsidRPr="00182DF9">
        <w:rPr>
          <w:rFonts w:ascii="Arial" w:hAnsi="Arial" w:cs="Arial"/>
        </w:rPr>
        <w:t>2</w:t>
      </w:r>
      <w:r w:rsidR="005B5ABA" w:rsidRPr="00182DF9">
        <w:rPr>
          <w:rFonts w:ascii="Arial" w:hAnsi="Arial" w:cs="Arial"/>
        </w:rPr>
        <w:t>02</w:t>
      </w:r>
      <w:r w:rsidR="005039B5" w:rsidRPr="00182DF9">
        <w:rPr>
          <w:rFonts w:ascii="Arial" w:hAnsi="Arial" w:cs="Arial"/>
        </w:rPr>
        <w:t>2</w:t>
      </w:r>
      <w:r w:rsidRPr="00182DF9">
        <w:rPr>
          <w:rFonts w:ascii="Arial" w:hAnsi="Arial" w:cs="Arial"/>
        </w:rPr>
        <w:t>/202</w:t>
      </w:r>
      <w:r w:rsidR="005039B5" w:rsidRPr="00182DF9">
        <w:rPr>
          <w:rFonts w:ascii="Arial" w:hAnsi="Arial" w:cs="Arial"/>
        </w:rPr>
        <w:t>3</w:t>
      </w:r>
      <w:r w:rsidR="00B80FE6">
        <w:rPr>
          <w:rFonts w:ascii="Arial" w:hAnsi="Arial" w:cs="Arial"/>
        </w:rPr>
        <w:t xml:space="preserve">. </w:t>
      </w:r>
      <w:r w:rsidR="005039B5" w:rsidRPr="00182DF9">
        <w:rPr>
          <w:rFonts w:ascii="Arial" w:hAnsi="Arial" w:cs="Arial"/>
        </w:rPr>
        <w:t>There we</w:t>
      </w:r>
      <w:r w:rsidR="00A82999" w:rsidRPr="00182DF9">
        <w:rPr>
          <w:rFonts w:ascii="Arial" w:hAnsi="Arial" w:cs="Arial"/>
        </w:rPr>
        <w:t>re 19 Significant Adverse Event Reviews (SAER)</w:t>
      </w:r>
      <w:r w:rsidR="005039B5" w:rsidRPr="00182DF9">
        <w:rPr>
          <w:rFonts w:ascii="Arial" w:hAnsi="Arial" w:cs="Arial"/>
        </w:rPr>
        <w:t xml:space="preserve"> commissioned</w:t>
      </w:r>
      <w:r w:rsidR="00A82999" w:rsidRPr="00182DF9">
        <w:rPr>
          <w:rFonts w:ascii="Arial" w:hAnsi="Arial" w:cs="Arial"/>
        </w:rPr>
        <w:t>, 25 were concluded at Initial Assessment Tool stage and at the time of reporting two events were still under consideration for SAER.</w:t>
      </w:r>
    </w:p>
    <w:p w14:paraId="58D6D024" w14:textId="77777777" w:rsidR="005B5ABA" w:rsidRPr="00182DF9" w:rsidRDefault="005B5ABA" w:rsidP="005B5ABA">
      <w:pPr>
        <w:autoSpaceDE w:val="0"/>
        <w:autoSpaceDN w:val="0"/>
        <w:adjustRightInd w:val="0"/>
        <w:ind w:left="426"/>
        <w:rPr>
          <w:rFonts w:ascii="Arial" w:hAnsi="Arial" w:cs="Arial"/>
        </w:rPr>
      </w:pPr>
    </w:p>
    <w:p w14:paraId="577806C5" w14:textId="36873C12" w:rsidR="00A82999" w:rsidRPr="00182DF9" w:rsidRDefault="00A82999" w:rsidP="001B0E26">
      <w:pPr>
        <w:pStyle w:val="Subtitle"/>
        <w:jc w:val="left"/>
        <w:rPr>
          <w:b w:val="0"/>
          <w:bCs w:val="0"/>
          <w:color w:val="auto"/>
          <w:lang w:eastAsia="en-GB"/>
        </w:rPr>
      </w:pPr>
      <w:r w:rsidRPr="00182DF9">
        <w:rPr>
          <w:b w:val="0"/>
          <w:bCs w:val="0"/>
          <w:color w:val="auto"/>
          <w:lang w:eastAsia="en-GB"/>
        </w:rPr>
        <w:t xml:space="preserve">When compared to 2021/2022 there is a decrease of </w:t>
      </w:r>
      <w:r w:rsidR="00182DF9" w:rsidRPr="00182DF9">
        <w:rPr>
          <w:b w:val="0"/>
          <w:bCs w:val="0"/>
          <w:color w:val="auto"/>
          <w:lang w:eastAsia="en-GB"/>
        </w:rPr>
        <w:t xml:space="preserve">45% </w:t>
      </w:r>
      <w:r w:rsidR="00B80FE6">
        <w:rPr>
          <w:b w:val="0"/>
          <w:bCs w:val="0"/>
          <w:color w:val="auto"/>
          <w:lang w:eastAsia="en-GB"/>
        </w:rPr>
        <w:t>of events commissioned as SAER.</w:t>
      </w:r>
      <w:r w:rsidR="00182DF9" w:rsidRPr="00182DF9">
        <w:rPr>
          <w:b w:val="0"/>
          <w:bCs w:val="0"/>
          <w:color w:val="auto"/>
          <w:lang w:eastAsia="en-GB"/>
        </w:rPr>
        <w:t xml:space="preserve"> As a percentage of the total incidents reported, during 2022-2023 there were 1.42% reviewed as SAER compared to 2.57% in the previous year.</w:t>
      </w:r>
    </w:p>
    <w:p w14:paraId="0800780D" w14:textId="77777777" w:rsidR="00A82999" w:rsidRPr="001B1977" w:rsidRDefault="00A82999" w:rsidP="001B0E26">
      <w:pPr>
        <w:pStyle w:val="Subtitle"/>
        <w:jc w:val="left"/>
        <w:rPr>
          <w:b w:val="0"/>
          <w:bCs w:val="0"/>
          <w:color w:val="auto"/>
          <w:lang w:eastAsia="en-GB"/>
        </w:rPr>
      </w:pPr>
    </w:p>
    <w:p w14:paraId="579BDE16" w14:textId="5478307B" w:rsidR="002E6811" w:rsidRPr="006B01C6" w:rsidRDefault="002E6811" w:rsidP="001B0E26">
      <w:pPr>
        <w:pStyle w:val="Subtitle"/>
        <w:jc w:val="left"/>
        <w:rPr>
          <w:b w:val="0"/>
          <w:color w:val="auto"/>
        </w:rPr>
      </w:pPr>
      <w:r w:rsidRPr="001B1977">
        <w:rPr>
          <w:b w:val="0"/>
          <w:color w:val="auto"/>
        </w:rPr>
        <w:t xml:space="preserve">All events </w:t>
      </w:r>
      <w:r w:rsidR="001B1977">
        <w:rPr>
          <w:b w:val="0"/>
          <w:color w:val="auto"/>
        </w:rPr>
        <w:t xml:space="preserve">with severity major or extreme </w:t>
      </w:r>
      <w:r w:rsidRPr="001B1977">
        <w:rPr>
          <w:b w:val="0"/>
          <w:color w:val="auto"/>
        </w:rPr>
        <w:t xml:space="preserve">will trigger an Initial Assessment to consider if an SAER is </w:t>
      </w:r>
      <w:r w:rsidRPr="006B01C6">
        <w:rPr>
          <w:b w:val="0"/>
          <w:color w:val="auto"/>
        </w:rPr>
        <w:t xml:space="preserve">required </w:t>
      </w:r>
      <w:proofErr w:type="gramStart"/>
      <w:r w:rsidRPr="006B01C6">
        <w:rPr>
          <w:b w:val="0"/>
          <w:color w:val="auto"/>
        </w:rPr>
        <w:t>however</w:t>
      </w:r>
      <w:proofErr w:type="gramEnd"/>
      <w:r w:rsidRPr="006B01C6">
        <w:rPr>
          <w:b w:val="0"/>
          <w:color w:val="auto"/>
        </w:rPr>
        <w:t xml:space="preserve"> the severity of the e</w:t>
      </w:r>
      <w:r w:rsidR="00B80FE6">
        <w:rPr>
          <w:b w:val="0"/>
          <w:color w:val="auto"/>
        </w:rPr>
        <w:t>vent is not the only indicator.</w:t>
      </w:r>
      <w:r w:rsidRPr="006B01C6">
        <w:rPr>
          <w:b w:val="0"/>
          <w:color w:val="auto"/>
        </w:rPr>
        <w:t xml:space="preserve"> The chart below shows that </w:t>
      </w:r>
      <w:r w:rsidR="001B1977" w:rsidRPr="006B01C6">
        <w:rPr>
          <w:b w:val="0"/>
          <w:color w:val="auto"/>
        </w:rPr>
        <w:t xml:space="preserve">a large number </w:t>
      </w:r>
      <w:r w:rsidRPr="006B01C6">
        <w:rPr>
          <w:b w:val="0"/>
          <w:color w:val="auto"/>
        </w:rPr>
        <w:t>of SAE</w:t>
      </w:r>
      <w:r w:rsidR="001B1977" w:rsidRPr="006B01C6">
        <w:rPr>
          <w:b w:val="0"/>
          <w:color w:val="auto"/>
        </w:rPr>
        <w:t>Rs</w:t>
      </w:r>
      <w:r w:rsidRPr="006B01C6">
        <w:rPr>
          <w:b w:val="0"/>
          <w:color w:val="auto"/>
        </w:rPr>
        <w:t xml:space="preserve"> involved events that were severity </w:t>
      </w:r>
      <w:r w:rsidR="001B1977" w:rsidRPr="006B01C6">
        <w:rPr>
          <w:b w:val="0"/>
          <w:color w:val="auto"/>
        </w:rPr>
        <w:t>moderate</w:t>
      </w:r>
      <w:r w:rsidR="00B80FE6">
        <w:rPr>
          <w:b w:val="0"/>
          <w:color w:val="auto"/>
        </w:rPr>
        <w:t xml:space="preserve">. </w:t>
      </w:r>
      <w:r w:rsidR="006B01C6" w:rsidRPr="006B01C6">
        <w:rPr>
          <w:b w:val="0"/>
          <w:color w:val="auto"/>
        </w:rPr>
        <w:t>There was a large number of events reported which were patient deaths in Cardiology that were considered for Initial Assessment Tool however were not deemed appropriate to review; the Cardiology team routinely record all patient deaths on Datix for consideration on the appropriate level of review either via SAER process or M&amp;M.</w:t>
      </w:r>
    </w:p>
    <w:p w14:paraId="0313C278" w14:textId="77777777" w:rsidR="00D02285" w:rsidRPr="006B01C6" w:rsidRDefault="00D02285" w:rsidP="001B0E26">
      <w:pPr>
        <w:pStyle w:val="Subtitle"/>
        <w:jc w:val="left"/>
        <w:rPr>
          <w:b w:val="0"/>
          <w:color w:val="auto"/>
        </w:rPr>
      </w:pPr>
    </w:p>
    <w:p w14:paraId="15FF2C30" w14:textId="401656C8" w:rsidR="002E6811" w:rsidRPr="006B01C6" w:rsidRDefault="002E6811" w:rsidP="002E6811">
      <w:pPr>
        <w:pStyle w:val="Subtitle"/>
        <w:rPr>
          <w:rFonts w:ascii="Arial Narrow" w:hAnsi="Arial Narrow"/>
          <w:color w:val="auto"/>
          <w:sz w:val="22"/>
          <w:szCs w:val="22"/>
        </w:rPr>
      </w:pPr>
      <w:r w:rsidRPr="006B01C6">
        <w:rPr>
          <w:rFonts w:ascii="Arial Narrow" w:hAnsi="Arial Narrow"/>
          <w:color w:val="auto"/>
          <w:sz w:val="22"/>
          <w:szCs w:val="22"/>
        </w:rPr>
        <w:t xml:space="preserve">Chart </w:t>
      </w:r>
      <w:r w:rsidR="004F2A4E">
        <w:rPr>
          <w:rFonts w:ascii="Arial Narrow" w:hAnsi="Arial Narrow"/>
          <w:color w:val="auto"/>
          <w:sz w:val="22"/>
          <w:szCs w:val="22"/>
        </w:rPr>
        <w:t>11</w:t>
      </w:r>
      <w:r w:rsidRPr="006B01C6">
        <w:rPr>
          <w:rFonts w:ascii="Arial Narrow" w:hAnsi="Arial Narrow"/>
          <w:color w:val="auto"/>
          <w:sz w:val="22"/>
          <w:szCs w:val="22"/>
        </w:rPr>
        <w:t xml:space="preserve"> – Severity of Significant Adverse Events</w:t>
      </w:r>
    </w:p>
    <w:p w14:paraId="1EF5C0E2" w14:textId="5ABCE284" w:rsidR="002E6811" w:rsidRPr="00473D1A" w:rsidRDefault="005E3F82" w:rsidP="008638CB">
      <w:pPr>
        <w:pStyle w:val="Subtitle"/>
        <w:spacing w:after="240"/>
        <w:rPr>
          <w:b w:val="0"/>
        </w:rPr>
      </w:pPr>
      <w:r>
        <w:rPr>
          <w:noProof/>
          <w:lang w:eastAsia="en-GB"/>
        </w:rPr>
        <w:drawing>
          <wp:inline distT="0" distB="0" distL="0" distR="0" wp14:anchorId="1B4ACEFA" wp14:editId="3D292EF3">
            <wp:extent cx="4337050" cy="2667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2CA473B" w14:textId="474C8971" w:rsidR="00BA0E88" w:rsidRPr="006B01C6" w:rsidRDefault="006942B5" w:rsidP="00BA0E88">
      <w:pPr>
        <w:pStyle w:val="Subtitle"/>
        <w:jc w:val="left"/>
        <w:rPr>
          <w:b w:val="0"/>
          <w:color w:val="auto"/>
        </w:rPr>
      </w:pPr>
      <w:r w:rsidRPr="006B01C6">
        <w:rPr>
          <w:b w:val="0"/>
          <w:color w:val="auto"/>
        </w:rPr>
        <w:t xml:space="preserve">In line with the previous year and concerns about engagement in the SAER process we reviewed in </w:t>
      </w:r>
      <w:proofErr w:type="gramStart"/>
      <w:r w:rsidRPr="006B01C6">
        <w:rPr>
          <w:b w:val="0"/>
          <w:color w:val="auto"/>
        </w:rPr>
        <w:t>detail</w:t>
      </w:r>
      <w:proofErr w:type="gramEnd"/>
      <w:r w:rsidR="00BA0E88" w:rsidRPr="006B01C6">
        <w:rPr>
          <w:b w:val="0"/>
          <w:color w:val="auto"/>
        </w:rPr>
        <w:t xml:space="preserve"> the time taken to report and commission Significant Adverse Event reviews was analysed.</w:t>
      </w:r>
    </w:p>
    <w:p w14:paraId="69033C31" w14:textId="77777777" w:rsidR="00AD45E7" w:rsidRPr="00571296" w:rsidRDefault="00AD45E7" w:rsidP="00BA0E88">
      <w:pPr>
        <w:rPr>
          <w:rFonts w:ascii="Arial" w:hAnsi="Arial" w:cs="Arial"/>
          <w:u w:val="single"/>
        </w:rPr>
      </w:pPr>
    </w:p>
    <w:p w14:paraId="24C71CCE" w14:textId="6BBA66B6" w:rsidR="00BA0E88" w:rsidRPr="00571296" w:rsidRDefault="00BA0E88" w:rsidP="00BA0E88">
      <w:pPr>
        <w:rPr>
          <w:rFonts w:ascii="Arial" w:hAnsi="Arial" w:cs="Arial"/>
          <w:u w:val="single"/>
        </w:rPr>
      </w:pPr>
      <w:r w:rsidRPr="00571296">
        <w:rPr>
          <w:rFonts w:ascii="Arial" w:hAnsi="Arial" w:cs="Arial"/>
          <w:u w:val="single"/>
        </w:rPr>
        <w:t>Event to Reporting Date</w:t>
      </w:r>
    </w:p>
    <w:p w14:paraId="05A8C462" w14:textId="77777777" w:rsidR="00BA0E88" w:rsidRPr="00571296" w:rsidRDefault="00BA0E88" w:rsidP="00BA0E88">
      <w:pPr>
        <w:rPr>
          <w:rFonts w:ascii="Arial" w:hAnsi="Arial" w:cs="Arial"/>
          <w:i/>
          <w:u w:val="single"/>
        </w:rPr>
      </w:pPr>
    </w:p>
    <w:tbl>
      <w:tblPr>
        <w:tblStyle w:val="TableGrid"/>
        <w:tblW w:w="0" w:type="auto"/>
        <w:tblInd w:w="108" w:type="dxa"/>
        <w:tblLook w:val="04A0" w:firstRow="1" w:lastRow="0" w:firstColumn="1" w:lastColumn="0" w:noHBand="0" w:noVBand="1"/>
      </w:tblPr>
      <w:tblGrid>
        <w:gridCol w:w="5387"/>
        <w:gridCol w:w="3747"/>
      </w:tblGrid>
      <w:tr w:rsidR="00571296" w:rsidRPr="00571296" w14:paraId="6E3CD396" w14:textId="77777777" w:rsidTr="00F21FEF">
        <w:tc>
          <w:tcPr>
            <w:tcW w:w="5387" w:type="dxa"/>
          </w:tcPr>
          <w:p w14:paraId="3682AA43" w14:textId="77777777" w:rsidR="00BA0E88" w:rsidRPr="00571296" w:rsidRDefault="00BA0E88" w:rsidP="00F21FEF">
            <w:pPr>
              <w:rPr>
                <w:rFonts w:ascii="Arial" w:hAnsi="Arial" w:cs="Arial"/>
              </w:rPr>
            </w:pPr>
            <w:r w:rsidRPr="00571296">
              <w:rPr>
                <w:rFonts w:ascii="Arial" w:hAnsi="Arial" w:cs="Arial"/>
              </w:rPr>
              <w:t>Number of events</w:t>
            </w:r>
          </w:p>
        </w:tc>
        <w:tc>
          <w:tcPr>
            <w:tcW w:w="3747" w:type="dxa"/>
          </w:tcPr>
          <w:p w14:paraId="4DCA8AD4" w14:textId="42552550" w:rsidR="00BA0E88" w:rsidRPr="00571296" w:rsidRDefault="006B01C6" w:rsidP="006B01C6">
            <w:pPr>
              <w:rPr>
                <w:rFonts w:ascii="Arial" w:hAnsi="Arial" w:cs="Arial"/>
              </w:rPr>
            </w:pPr>
            <w:r w:rsidRPr="00571296">
              <w:rPr>
                <w:rFonts w:ascii="Arial" w:hAnsi="Arial" w:cs="Arial"/>
              </w:rPr>
              <w:t>19</w:t>
            </w:r>
          </w:p>
        </w:tc>
      </w:tr>
      <w:tr w:rsidR="00571296" w:rsidRPr="00571296" w14:paraId="650F6A91" w14:textId="77777777" w:rsidTr="00F21FEF">
        <w:tc>
          <w:tcPr>
            <w:tcW w:w="5387" w:type="dxa"/>
          </w:tcPr>
          <w:p w14:paraId="2E8E02E6" w14:textId="77777777" w:rsidR="00BA0E88" w:rsidRPr="00571296" w:rsidRDefault="00BA0E88" w:rsidP="00F21FEF">
            <w:pPr>
              <w:rPr>
                <w:rFonts w:ascii="Arial" w:hAnsi="Arial" w:cs="Arial"/>
              </w:rPr>
            </w:pPr>
            <w:r w:rsidRPr="00571296">
              <w:rPr>
                <w:rFonts w:ascii="Arial" w:hAnsi="Arial" w:cs="Arial"/>
              </w:rPr>
              <w:t>Range</w:t>
            </w:r>
          </w:p>
        </w:tc>
        <w:tc>
          <w:tcPr>
            <w:tcW w:w="3747" w:type="dxa"/>
          </w:tcPr>
          <w:p w14:paraId="1912107E" w14:textId="51D15EF7" w:rsidR="00BA0E88" w:rsidRPr="00571296" w:rsidRDefault="00BA0E88" w:rsidP="00571296">
            <w:pPr>
              <w:rPr>
                <w:rFonts w:ascii="Arial" w:hAnsi="Arial" w:cs="Arial"/>
              </w:rPr>
            </w:pPr>
            <w:r w:rsidRPr="00571296">
              <w:rPr>
                <w:rFonts w:ascii="Arial" w:hAnsi="Arial" w:cs="Arial"/>
              </w:rPr>
              <w:t xml:space="preserve">0 days – </w:t>
            </w:r>
            <w:r w:rsidR="00571296" w:rsidRPr="00571296">
              <w:rPr>
                <w:rFonts w:ascii="Arial" w:hAnsi="Arial" w:cs="Arial"/>
              </w:rPr>
              <w:t>124</w:t>
            </w:r>
            <w:r w:rsidRPr="00571296">
              <w:rPr>
                <w:rFonts w:ascii="Arial" w:hAnsi="Arial" w:cs="Arial"/>
              </w:rPr>
              <w:t xml:space="preserve"> days</w:t>
            </w:r>
          </w:p>
        </w:tc>
      </w:tr>
      <w:tr w:rsidR="00473D1A" w:rsidRPr="00473D1A" w14:paraId="347E743F" w14:textId="77777777" w:rsidTr="00F21FEF">
        <w:tc>
          <w:tcPr>
            <w:tcW w:w="5387" w:type="dxa"/>
          </w:tcPr>
          <w:p w14:paraId="1B7830BE" w14:textId="77777777" w:rsidR="00BA0E88" w:rsidRPr="00571296" w:rsidRDefault="00BA0E88" w:rsidP="00F21FEF">
            <w:pPr>
              <w:rPr>
                <w:rFonts w:ascii="Arial" w:hAnsi="Arial" w:cs="Arial"/>
              </w:rPr>
            </w:pPr>
            <w:r w:rsidRPr="00571296">
              <w:rPr>
                <w:rFonts w:ascii="Arial" w:hAnsi="Arial" w:cs="Arial"/>
              </w:rPr>
              <w:t>Mode</w:t>
            </w:r>
          </w:p>
        </w:tc>
        <w:tc>
          <w:tcPr>
            <w:tcW w:w="3747" w:type="dxa"/>
          </w:tcPr>
          <w:p w14:paraId="6CF2AA5C" w14:textId="6A0AF77B" w:rsidR="00BA0E88" w:rsidRPr="00571296" w:rsidRDefault="00571296" w:rsidP="00F21FEF">
            <w:pPr>
              <w:rPr>
                <w:rFonts w:ascii="Arial" w:hAnsi="Arial" w:cs="Arial"/>
              </w:rPr>
            </w:pPr>
            <w:r w:rsidRPr="00571296">
              <w:rPr>
                <w:rFonts w:ascii="Arial" w:hAnsi="Arial" w:cs="Arial"/>
              </w:rPr>
              <w:t>0/1</w:t>
            </w:r>
            <w:r w:rsidR="00BA0E88" w:rsidRPr="00571296">
              <w:rPr>
                <w:rFonts w:ascii="Arial" w:hAnsi="Arial" w:cs="Arial"/>
              </w:rPr>
              <w:t xml:space="preserve"> days</w:t>
            </w:r>
          </w:p>
        </w:tc>
      </w:tr>
      <w:tr w:rsidR="00473D1A" w:rsidRPr="00473D1A" w14:paraId="37DFA081" w14:textId="77777777" w:rsidTr="00F21FEF">
        <w:tc>
          <w:tcPr>
            <w:tcW w:w="5387" w:type="dxa"/>
          </w:tcPr>
          <w:p w14:paraId="723E7338" w14:textId="77777777" w:rsidR="00BA0E88" w:rsidRPr="00571296" w:rsidRDefault="00BA0E88" w:rsidP="00F21FEF">
            <w:pPr>
              <w:rPr>
                <w:rFonts w:ascii="Arial" w:hAnsi="Arial" w:cs="Arial"/>
              </w:rPr>
            </w:pPr>
            <w:r w:rsidRPr="00571296">
              <w:rPr>
                <w:rFonts w:ascii="Arial" w:hAnsi="Arial" w:cs="Arial"/>
              </w:rPr>
              <w:t>Average</w:t>
            </w:r>
          </w:p>
        </w:tc>
        <w:tc>
          <w:tcPr>
            <w:tcW w:w="3747" w:type="dxa"/>
          </w:tcPr>
          <w:p w14:paraId="60D71F7B" w14:textId="03596193" w:rsidR="00BA0E88" w:rsidRPr="00571296" w:rsidRDefault="00571296" w:rsidP="00571296">
            <w:pPr>
              <w:rPr>
                <w:rFonts w:ascii="Arial" w:hAnsi="Arial" w:cs="Arial"/>
              </w:rPr>
            </w:pPr>
            <w:r w:rsidRPr="00571296">
              <w:rPr>
                <w:rFonts w:ascii="Arial" w:hAnsi="Arial" w:cs="Arial"/>
              </w:rPr>
              <w:t xml:space="preserve">15 </w:t>
            </w:r>
            <w:r w:rsidR="00BA0E88" w:rsidRPr="00571296">
              <w:rPr>
                <w:rFonts w:ascii="Arial" w:hAnsi="Arial" w:cs="Arial"/>
              </w:rPr>
              <w:t>days</w:t>
            </w:r>
          </w:p>
        </w:tc>
      </w:tr>
      <w:tr w:rsidR="00BA0E88" w:rsidRPr="00473D1A" w14:paraId="75755DFD" w14:textId="77777777" w:rsidTr="00F21FEF">
        <w:tc>
          <w:tcPr>
            <w:tcW w:w="5387" w:type="dxa"/>
          </w:tcPr>
          <w:p w14:paraId="191D4125" w14:textId="77777777" w:rsidR="00BA0E88" w:rsidRPr="00571296" w:rsidRDefault="00BA0E88" w:rsidP="00F21FEF">
            <w:pPr>
              <w:rPr>
                <w:rFonts w:ascii="Arial" w:hAnsi="Arial" w:cs="Arial"/>
              </w:rPr>
            </w:pPr>
            <w:r w:rsidRPr="00571296">
              <w:rPr>
                <w:rFonts w:ascii="Arial" w:hAnsi="Arial" w:cs="Arial"/>
              </w:rPr>
              <w:t>% that met policy deadline (24 hrs to report)</w:t>
            </w:r>
          </w:p>
        </w:tc>
        <w:tc>
          <w:tcPr>
            <w:tcW w:w="3747" w:type="dxa"/>
          </w:tcPr>
          <w:p w14:paraId="1258D879" w14:textId="28ADB623" w:rsidR="00BA0E88" w:rsidRPr="00571296" w:rsidRDefault="00571296" w:rsidP="00571296">
            <w:pPr>
              <w:rPr>
                <w:rFonts w:ascii="Arial" w:hAnsi="Arial" w:cs="Arial"/>
              </w:rPr>
            </w:pPr>
            <w:r w:rsidRPr="00571296">
              <w:rPr>
                <w:rFonts w:ascii="Arial" w:hAnsi="Arial" w:cs="Arial"/>
              </w:rPr>
              <w:t>53</w:t>
            </w:r>
            <w:r w:rsidR="00BA0E88" w:rsidRPr="00571296">
              <w:rPr>
                <w:rFonts w:ascii="Arial" w:hAnsi="Arial" w:cs="Arial"/>
              </w:rPr>
              <w:t>% (</w:t>
            </w:r>
            <w:r w:rsidRPr="00571296">
              <w:rPr>
                <w:rFonts w:ascii="Arial" w:hAnsi="Arial" w:cs="Arial"/>
              </w:rPr>
              <w:t>10</w:t>
            </w:r>
            <w:r w:rsidR="00BA0E88" w:rsidRPr="00571296">
              <w:rPr>
                <w:rFonts w:ascii="Arial" w:hAnsi="Arial" w:cs="Arial"/>
              </w:rPr>
              <w:t>/</w:t>
            </w:r>
            <w:r w:rsidRPr="00571296">
              <w:rPr>
                <w:rFonts w:ascii="Arial" w:hAnsi="Arial" w:cs="Arial"/>
              </w:rPr>
              <w:t>19</w:t>
            </w:r>
            <w:r w:rsidR="00BA0E88" w:rsidRPr="00571296">
              <w:rPr>
                <w:rFonts w:ascii="Arial" w:hAnsi="Arial" w:cs="Arial"/>
              </w:rPr>
              <w:t xml:space="preserve">) </w:t>
            </w:r>
          </w:p>
        </w:tc>
      </w:tr>
    </w:tbl>
    <w:p w14:paraId="32A3B06B" w14:textId="77777777" w:rsidR="00BA0E88" w:rsidRPr="000E554C" w:rsidRDefault="00BA0E88" w:rsidP="00BA0E88">
      <w:pPr>
        <w:rPr>
          <w:rFonts w:ascii="Arial" w:hAnsi="Arial" w:cs="Arial"/>
        </w:rPr>
      </w:pPr>
    </w:p>
    <w:p w14:paraId="0C233D5C" w14:textId="27F6DB60" w:rsidR="000E554C" w:rsidRPr="000E554C" w:rsidRDefault="000E554C" w:rsidP="00BA0E88">
      <w:pPr>
        <w:pStyle w:val="Subtitle"/>
        <w:jc w:val="left"/>
        <w:rPr>
          <w:b w:val="0"/>
          <w:color w:val="auto"/>
        </w:rPr>
      </w:pPr>
      <w:r w:rsidRPr="000E554C">
        <w:rPr>
          <w:b w:val="0"/>
          <w:color w:val="auto"/>
        </w:rPr>
        <w:t>The table below outlines the reasons for the delay in reporting over events that took more than 5 working days to report.</w:t>
      </w:r>
    </w:p>
    <w:p w14:paraId="29000847" w14:textId="77777777" w:rsidR="000E554C" w:rsidRPr="000E554C" w:rsidRDefault="000E554C" w:rsidP="00BA0E88">
      <w:pPr>
        <w:pStyle w:val="Subtitle"/>
        <w:jc w:val="left"/>
        <w:rPr>
          <w:b w:val="0"/>
          <w:color w:val="auto"/>
        </w:rPr>
      </w:pPr>
    </w:p>
    <w:tbl>
      <w:tblPr>
        <w:tblStyle w:val="TableGrid"/>
        <w:tblW w:w="0" w:type="auto"/>
        <w:tblLook w:val="04A0" w:firstRow="1" w:lastRow="0" w:firstColumn="1" w:lastColumn="0" w:noHBand="0" w:noVBand="1"/>
      </w:tblPr>
      <w:tblGrid>
        <w:gridCol w:w="2093"/>
        <w:gridCol w:w="1701"/>
        <w:gridCol w:w="6770"/>
      </w:tblGrid>
      <w:tr w:rsidR="000E554C" w:rsidRPr="000E554C" w14:paraId="245EB1F4" w14:textId="77777777" w:rsidTr="004F2A4E">
        <w:tc>
          <w:tcPr>
            <w:tcW w:w="2093" w:type="dxa"/>
          </w:tcPr>
          <w:p w14:paraId="5BD92C3A" w14:textId="600747AC" w:rsidR="000E554C" w:rsidRPr="000E554C" w:rsidRDefault="000E554C" w:rsidP="00BA0E88">
            <w:pPr>
              <w:pStyle w:val="Subtitle"/>
              <w:jc w:val="left"/>
              <w:rPr>
                <w:b w:val="0"/>
                <w:color w:val="auto"/>
              </w:rPr>
            </w:pPr>
            <w:r w:rsidRPr="000E554C">
              <w:rPr>
                <w:b w:val="0"/>
                <w:color w:val="auto"/>
              </w:rPr>
              <w:t>Days to report</w:t>
            </w:r>
          </w:p>
        </w:tc>
        <w:tc>
          <w:tcPr>
            <w:tcW w:w="1701" w:type="dxa"/>
          </w:tcPr>
          <w:p w14:paraId="35829AB1" w14:textId="22DA697A" w:rsidR="000E554C" w:rsidRPr="000E554C" w:rsidRDefault="000E554C" w:rsidP="00BA0E88">
            <w:pPr>
              <w:pStyle w:val="Subtitle"/>
              <w:jc w:val="left"/>
              <w:rPr>
                <w:b w:val="0"/>
                <w:color w:val="auto"/>
              </w:rPr>
            </w:pPr>
            <w:r w:rsidRPr="000E554C">
              <w:rPr>
                <w:b w:val="0"/>
                <w:color w:val="auto"/>
              </w:rPr>
              <w:t>Service</w:t>
            </w:r>
          </w:p>
        </w:tc>
        <w:tc>
          <w:tcPr>
            <w:tcW w:w="6770" w:type="dxa"/>
          </w:tcPr>
          <w:p w14:paraId="6E75482C" w14:textId="51D86599" w:rsidR="000E554C" w:rsidRPr="000E554C" w:rsidRDefault="000E554C" w:rsidP="00BA0E88">
            <w:pPr>
              <w:pStyle w:val="Subtitle"/>
              <w:jc w:val="left"/>
              <w:rPr>
                <w:b w:val="0"/>
                <w:color w:val="auto"/>
              </w:rPr>
            </w:pPr>
            <w:r w:rsidRPr="000E554C">
              <w:rPr>
                <w:b w:val="0"/>
                <w:color w:val="auto"/>
              </w:rPr>
              <w:t>Reason for delay in reporting</w:t>
            </w:r>
          </w:p>
        </w:tc>
      </w:tr>
      <w:tr w:rsidR="000E554C" w:rsidRPr="000E554C" w14:paraId="26EEFDFB" w14:textId="77777777" w:rsidTr="004F2A4E">
        <w:tc>
          <w:tcPr>
            <w:tcW w:w="2093" w:type="dxa"/>
          </w:tcPr>
          <w:p w14:paraId="5FDD9BC1" w14:textId="3AADE4EA" w:rsidR="000E554C" w:rsidRPr="000E554C" w:rsidRDefault="000E554C" w:rsidP="00BA0E88">
            <w:pPr>
              <w:pStyle w:val="Subtitle"/>
              <w:jc w:val="left"/>
              <w:rPr>
                <w:b w:val="0"/>
                <w:color w:val="auto"/>
              </w:rPr>
            </w:pPr>
            <w:r w:rsidRPr="000E554C">
              <w:rPr>
                <w:b w:val="0"/>
                <w:color w:val="auto"/>
              </w:rPr>
              <w:t>124</w:t>
            </w:r>
          </w:p>
        </w:tc>
        <w:tc>
          <w:tcPr>
            <w:tcW w:w="1701" w:type="dxa"/>
          </w:tcPr>
          <w:p w14:paraId="53AD2B35" w14:textId="18D994AC" w:rsidR="000E554C" w:rsidRPr="000E554C" w:rsidRDefault="000E554C" w:rsidP="000E554C">
            <w:pPr>
              <w:pStyle w:val="Subtitle"/>
              <w:jc w:val="left"/>
              <w:rPr>
                <w:b w:val="0"/>
                <w:color w:val="auto"/>
              </w:rPr>
            </w:pPr>
            <w:r w:rsidRPr="000E554C">
              <w:rPr>
                <w:b w:val="0"/>
                <w:color w:val="auto"/>
              </w:rPr>
              <w:t>Cardiology</w:t>
            </w:r>
          </w:p>
        </w:tc>
        <w:tc>
          <w:tcPr>
            <w:tcW w:w="6770" w:type="dxa"/>
          </w:tcPr>
          <w:p w14:paraId="355F5FE7" w14:textId="3749B2C5" w:rsidR="000E554C" w:rsidRPr="000E554C" w:rsidRDefault="000E554C" w:rsidP="00BA0E88">
            <w:pPr>
              <w:pStyle w:val="Subtitle"/>
              <w:jc w:val="left"/>
              <w:rPr>
                <w:b w:val="0"/>
                <w:color w:val="auto"/>
              </w:rPr>
            </w:pPr>
            <w:r w:rsidRPr="000E554C">
              <w:rPr>
                <w:b w:val="0"/>
                <w:color w:val="auto"/>
              </w:rPr>
              <w:t>Joint review with NHS GGC.  Logged on Datix when advised of event by NHS GGC and made aware of NHSGJ involvement.</w:t>
            </w:r>
          </w:p>
        </w:tc>
      </w:tr>
      <w:tr w:rsidR="000E554C" w:rsidRPr="000E554C" w14:paraId="169741F3" w14:textId="77777777" w:rsidTr="004F2A4E">
        <w:tc>
          <w:tcPr>
            <w:tcW w:w="2093" w:type="dxa"/>
          </w:tcPr>
          <w:p w14:paraId="39925097" w14:textId="246A67D4" w:rsidR="000E554C" w:rsidRPr="000E554C" w:rsidRDefault="000E554C" w:rsidP="00BA0E88">
            <w:pPr>
              <w:pStyle w:val="Subtitle"/>
              <w:jc w:val="left"/>
              <w:rPr>
                <w:b w:val="0"/>
                <w:color w:val="auto"/>
              </w:rPr>
            </w:pPr>
            <w:r w:rsidRPr="000E554C">
              <w:rPr>
                <w:b w:val="0"/>
                <w:color w:val="auto"/>
              </w:rPr>
              <w:t>62</w:t>
            </w:r>
          </w:p>
        </w:tc>
        <w:tc>
          <w:tcPr>
            <w:tcW w:w="1701" w:type="dxa"/>
          </w:tcPr>
          <w:p w14:paraId="3D2A727E" w14:textId="75CB2CDB" w:rsidR="000E554C" w:rsidRPr="000E554C" w:rsidRDefault="000E554C" w:rsidP="00BA0E88">
            <w:pPr>
              <w:pStyle w:val="Subtitle"/>
              <w:jc w:val="left"/>
              <w:rPr>
                <w:b w:val="0"/>
                <w:color w:val="auto"/>
              </w:rPr>
            </w:pPr>
            <w:r w:rsidRPr="000E554C">
              <w:rPr>
                <w:b w:val="0"/>
                <w:color w:val="auto"/>
              </w:rPr>
              <w:t>SACCS</w:t>
            </w:r>
          </w:p>
        </w:tc>
        <w:tc>
          <w:tcPr>
            <w:tcW w:w="6770" w:type="dxa"/>
          </w:tcPr>
          <w:p w14:paraId="20772A1C" w14:textId="36D16276" w:rsidR="000E554C" w:rsidRPr="000E554C" w:rsidRDefault="000E554C" w:rsidP="00BA0E88">
            <w:pPr>
              <w:pStyle w:val="Subtitle"/>
              <w:jc w:val="left"/>
              <w:rPr>
                <w:b w:val="0"/>
                <w:color w:val="auto"/>
              </w:rPr>
            </w:pPr>
            <w:r w:rsidRPr="000E554C">
              <w:rPr>
                <w:b w:val="0"/>
                <w:color w:val="auto"/>
              </w:rPr>
              <w:t>Not initially identified as a potential SAER – benefit in reviewing identified by clinical team after significant discussion amongst clinicians</w:t>
            </w:r>
          </w:p>
        </w:tc>
      </w:tr>
      <w:tr w:rsidR="000E554C" w:rsidRPr="000E554C" w14:paraId="50F6C1BD" w14:textId="77777777" w:rsidTr="004F2A4E">
        <w:tc>
          <w:tcPr>
            <w:tcW w:w="2093" w:type="dxa"/>
          </w:tcPr>
          <w:p w14:paraId="43C9CF95" w14:textId="1A8687B2" w:rsidR="000E554C" w:rsidRPr="000E554C" w:rsidRDefault="000E554C" w:rsidP="00BA0E88">
            <w:pPr>
              <w:pStyle w:val="Subtitle"/>
              <w:jc w:val="left"/>
              <w:rPr>
                <w:b w:val="0"/>
                <w:color w:val="auto"/>
              </w:rPr>
            </w:pPr>
            <w:r w:rsidRPr="000E554C">
              <w:rPr>
                <w:b w:val="0"/>
                <w:color w:val="auto"/>
              </w:rPr>
              <w:t>36</w:t>
            </w:r>
          </w:p>
        </w:tc>
        <w:tc>
          <w:tcPr>
            <w:tcW w:w="1701" w:type="dxa"/>
          </w:tcPr>
          <w:p w14:paraId="302D6BD5" w14:textId="42CE9ACB" w:rsidR="000E554C" w:rsidRPr="000E554C" w:rsidRDefault="000E554C" w:rsidP="00BA0E88">
            <w:pPr>
              <w:pStyle w:val="Subtitle"/>
              <w:jc w:val="left"/>
              <w:rPr>
                <w:b w:val="0"/>
                <w:color w:val="auto"/>
              </w:rPr>
            </w:pPr>
            <w:r w:rsidRPr="000E554C">
              <w:rPr>
                <w:b w:val="0"/>
                <w:color w:val="auto"/>
              </w:rPr>
              <w:t>SACCS</w:t>
            </w:r>
          </w:p>
        </w:tc>
        <w:tc>
          <w:tcPr>
            <w:tcW w:w="6770" w:type="dxa"/>
          </w:tcPr>
          <w:p w14:paraId="598EA903" w14:textId="548AE602" w:rsidR="000E554C" w:rsidRPr="000E554C" w:rsidRDefault="000E554C" w:rsidP="00BA0E88">
            <w:pPr>
              <w:pStyle w:val="Subtitle"/>
              <w:jc w:val="left"/>
              <w:rPr>
                <w:b w:val="0"/>
                <w:color w:val="auto"/>
              </w:rPr>
            </w:pPr>
            <w:r w:rsidRPr="000E554C">
              <w:rPr>
                <w:b w:val="0"/>
                <w:color w:val="auto"/>
              </w:rPr>
              <w:t>Identified for SAER via Cardiology structured review process</w:t>
            </w:r>
          </w:p>
        </w:tc>
      </w:tr>
      <w:tr w:rsidR="000E554C" w:rsidRPr="000E554C" w14:paraId="07F56FE2" w14:textId="77777777" w:rsidTr="004F2A4E">
        <w:tc>
          <w:tcPr>
            <w:tcW w:w="2093" w:type="dxa"/>
          </w:tcPr>
          <w:p w14:paraId="4FAB13C8" w14:textId="6A05295D" w:rsidR="000E554C" w:rsidRPr="000E554C" w:rsidRDefault="000E554C" w:rsidP="00BA0E88">
            <w:pPr>
              <w:pStyle w:val="Subtitle"/>
              <w:jc w:val="left"/>
              <w:rPr>
                <w:b w:val="0"/>
                <w:color w:val="auto"/>
              </w:rPr>
            </w:pPr>
            <w:r w:rsidRPr="000E554C">
              <w:rPr>
                <w:b w:val="0"/>
                <w:color w:val="auto"/>
              </w:rPr>
              <w:t>31</w:t>
            </w:r>
          </w:p>
        </w:tc>
        <w:tc>
          <w:tcPr>
            <w:tcW w:w="1701" w:type="dxa"/>
          </w:tcPr>
          <w:p w14:paraId="7122CA6D" w14:textId="008BBB04" w:rsidR="000E554C" w:rsidRPr="000E554C" w:rsidRDefault="000E554C" w:rsidP="00BA0E88">
            <w:pPr>
              <w:pStyle w:val="Subtitle"/>
              <w:jc w:val="left"/>
              <w:rPr>
                <w:b w:val="0"/>
                <w:color w:val="auto"/>
              </w:rPr>
            </w:pPr>
            <w:r w:rsidRPr="000E554C">
              <w:rPr>
                <w:b w:val="0"/>
                <w:color w:val="auto"/>
              </w:rPr>
              <w:t>SNAHFS</w:t>
            </w:r>
          </w:p>
        </w:tc>
        <w:tc>
          <w:tcPr>
            <w:tcW w:w="6770" w:type="dxa"/>
          </w:tcPr>
          <w:p w14:paraId="5EBCB194" w14:textId="1B4EDFD2" w:rsidR="000E554C" w:rsidRPr="000E554C" w:rsidRDefault="00EB5ADC" w:rsidP="00BA0E88">
            <w:pPr>
              <w:pStyle w:val="Subtitle"/>
              <w:jc w:val="left"/>
              <w:rPr>
                <w:b w:val="0"/>
                <w:color w:val="auto"/>
              </w:rPr>
            </w:pPr>
            <w:r w:rsidRPr="000E554C">
              <w:rPr>
                <w:b w:val="0"/>
                <w:color w:val="auto"/>
              </w:rPr>
              <w:t>Post-transplant</w:t>
            </w:r>
            <w:r w:rsidR="000E554C" w:rsidRPr="000E554C">
              <w:rPr>
                <w:b w:val="0"/>
                <w:color w:val="auto"/>
              </w:rPr>
              <w:t xml:space="preserve"> death reported following discussion at SNAHFS CG meeting</w:t>
            </w:r>
          </w:p>
        </w:tc>
      </w:tr>
      <w:tr w:rsidR="000E554C" w:rsidRPr="000E554C" w14:paraId="47410492" w14:textId="77777777" w:rsidTr="004F2A4E">
        <w:tc>
          <w:tcPr>
            <w:tcW w:w="2093" w:type="dxa"/>
          </w:tcPr>
          <w:p w14:paraId="786BB830" w14:textId="0AA213D9" w:rsidR="000E554C" w:rsidRPr="000E554C" w:rsidRDefault="000E554C" w:rsidP="00BA0E88">
            <w:pPr>
              <w:pStyle w:val="Subtitle"/>
              <w:jc w:val="left"/>
              <w:rPr>
                <w:b w:val="0"/>
                <w:color w:val="auto"/>
              </w:rPr>
            </w:pPr>
            <w:r w:rsidRPr="000E554C">
              <w:rPr>
                <w:b w:val="0"/>
                <w:color w:val="auto"/>
              </w:rPr>
              <w:t>17</w:t>
            </w:r>
          </w:p>
        </w:tc>
        <w:tc>
          <w:tcPr>
            <w:tcW w:w="1701" w:type="dxa"/>
          </w:tcPr>
          <w:p w14:paraId="578602BF" w14:textId="7DCE380F" w:rsidR="000E554C" w:rsidRPr="000E554C" w:rsidRDefault="000E554C" w:rsidP="00BA0E88">
            <w:pPr>
              <w:pStyle w:val="Subtitle"/>
              <w:jc w:val="left"/>
              <w:rPr>
                <w:b w:val="0"/>
                <w:color w:val="auto"/>
              </w:rPr>
            </w:pPr>
            <w:r w:rsidRPr="000E554C">
              <w:rPr>
                <w:b w:val="0"/>
                <w:color w:val="auto"/>
              </w:rPr>
              <w:t>SNAHFS</w:t>
            </w:r>
          </w:p>
        </w:tc>
        <w:tc>
          <w:tcPr>
            <w:tcW w:w="6770" w:type="dxa"/>
          </w:tcPr>
          <w:p w14:paraId="4B243639" w14:textId="168C56D7" w:rsidR="000E554C" w:rsidRPr="000E554C" w:rsidRDefault="00EB5ADC" w:rsidP="00BA0E88">
            <w:pPr>
              <w:pStyle w:val="Subtitle"/>
              <w:jc w:val="left"/>
              <w:rPr>
                <w:b w:val="0"/>
                <w:color w:val="auto"/>
              </w:rPr>
            </w:pPr>
            <w:r w:rsidRPr="000E554C">
              <w:rPr>
                <w:b w:val="0"/>
                <w:color w:val="auto"/>
              </w:rPr>
              <w:t>Post-transplant</w:t>
            </w:r>
            <w:r w:rsidR="000E554C" w:rsidRPr="000E554C">
              <w:rPr>
                <w:b w:val="0"/>
                <w:color w:val="auto"/>
              </w:rPr>
              <w:t xml:space="preserve"> death reported following discussion at SNAHFS CG meeting</w:t>
            </w:r>
          </w:p>
        </w:tc>
      </w:tr>
    </w:tbl>
    <w:p w14:paraId="3FE4982B" w14:textId="77777777" w:rsidR="00330BA9" w:rsidRDefault="00330BA9" w:rsidP="00BA0E88">
      <w:pPr>
        <w:pStyle w:val="Subtitle"/>
        <w:jc w:val="left"/>
        <w:rPr>
          <w:b w:val="0"/>
          <w:color w:val="auto"/>
        </w:rPr>
      </w:pPr>
    </w:p>
    <w:p w14:paraId="468FCD84" w14:textId="511C9AD8" w:rsidR="006942B5" w:rsidRPr="006866BF" w:rsidRDefault="00BA0E88" w:rsidP="00BA0E88">
      <w:pPr>
        <w:pStyle w:val="Subtitle"/>
        <w:jc w:val="left"/>
        <w:rPr>
          <w:b w:val="0"/>
          <w:color w:val="auto"/>
        </w:rPr>
      </w:pPr>
      <w:r w:rsidRPr="0070241F">
        <w:rPr>
          <w:b w:val="0"/>
          <w:color w:val="auto"/>
        </w:rPr>
        <w:t xml:space="preserve">Excluding these </w:t>
      </w:r>
      <w:r w:rsidR="000E554C" w:rsidRPr="0070241F">
        <w:rPr>
          <w:b w:val="0"/>
          <w:color w:val="auto"/>
        </w:rPr>
        <w:t>five</w:t>
      </w:r>
      <w:r w:rsidRPr="0070241F">
        <w:rPr>
          <w:b w:val="0"/>
          <w:color w:val="auto"/>
        </w:rPr>
        <w:t xml:space="preserve"> events the average time to</w:t>
      </w:r>
      <w:r w:rsidR="00687317">
        <w:rPr>
          <w:b w:val="0"/>
          <w:color w:val="auto"/>
        </w:rPr>
        <w:t xml:space="preserve"> report the remaining SAERs was</w:t>
      </w:r>
      <w:r w:rsidR="0070241F" w:rsidRPr="0070241F">
        <w:rPr>
          <w:b w:val="0"/>
          <w:color w:val="auto"/>
        </w:rPr>
        <w:t xml:space="preserve"> </w:t>
      </w:r>
      <w:r w:rsidR="00330BA9">
        <w:rPr>
          <w:b w:val="0"/>
          <w:color w:val="auto"/>
        </w:rPr>
        <w:t>1.3</w:t>
      </w:r>
      <w:r w:rsidRPr="0070241F">
        <w:rPr>
          <w:b w:val="0"/>
          <w:color w:val="auto"/>
        </w:rPr>
        <w:t xml:space="preserve"> days; when compared </w:t>
      </w:r>
      <w:r w:rsidRPr="006866BF">
        <w:rPr>
          <w:b w:val="0"/>
          <w:color w:val="auto"/>
        </w:rPr>
        <w:t>to the average during 20</w:t>
      </w:r>
      <w:r w:rsidR="0070241F" w:rsidRPr="006866BF">
        <w:rPr>
          <w:b w:val="0"/>
          <w:color w:val="auto"/>
        </w:rPr>
        <w:t>20</w:t>
      </w:r>
      <w:r w:rsidRPr="006866BF">
        <w:rPr>
          <w:b w:val="0"/>
          <w:color w:val="auto"/>
        </w:rPr>
        <w:t xml:space="preserve"> – 202</w:t>
      </w:r>
      <w:r w:rsidR="0070241F" w:rsidRPr="006866BF">
        <w:rPr>
          <w:b w:val="0"/>
          <w:color w:val="auto"/>
        </w:rPr>
        <w:t>1</w:t>
      </w:r>
      <w:r w:rsidRPr="006866BF">
        <w:rPr>
          <w:b w:val="0"/>
          <w:color w:val="auto"/>
        </w:rPr>
        <w:t xml:space="preserve"> this is </w:t>
      </w:r>
      <w:r w:rsidR="0070241F" w:rsidRPr="006866BF">
        <w:rPr>
          <w:b w:val="0"/>
          <w:color w:val="auto"/>
        </w:rPr>
        <w:t>24.7</w:t>
      </w:r>
      <w:r w:rsidRPr="006866BF">
        <w:rPr>
          <w:b w:val="0"/>
          <w:color w:val="auto"/>
        </w:rPr>
        <w:t xml:space="preserve"> days </w:t>
      </w:r>
      <w:r w:rsidR="0070241F" w:rsidRPr="006866BF">
        <w:rPr>
          <w:b w:val="0"/>
          <w:color w:val="auto"/>
        </w:rPr>
        <w:t>less which shows a significant improvement in reporting events.</w:t>
      </w:r>
      <w:r w:rsidRPr="006866BF">
        <w:rPr>
          <w:b w:val="0"/>
          <w:color w:val="auto"/>
        </w:rPr>
        <w:t xml:space="preserve">  </w:t>
      </w:r>
    </w:p>
    <w:p w14:paraId="4666E519" w14:textId="77777777" w:rsidR="006942B5" w:rsidRPr="006866BF" w:rsidRDefault="006942B5" w:rsidP="00BA0E88">
      <w:pPr>
        <w:pStyle w:val="Subtitle"/>
        <w:jc w:val="left"/>
        <w:rPr>
          <w:b w:val="0"/>
          <w:color w:val="auto"/>
        </w:rPr>
      </w:pPr>
    </w:p>
    <w:p w14:paraId="49AB09C5" w14:textId="55AEC1F8" w:rsidR="001B0E26" w:rsidRPr="0070241F" w:rsidRDefault="001B0E26" w:rsidP="00677A50">
      <w:pPr>
        <w:pStyle w:val="Subtitle"/>
        <w:jc w:val="left"/>
        <w:rPr>
          <w:b w:val="0"/>
          <w:color w:val="auto"/>
        </w:rPr>
      </w:pPr>
      <w:r w:rsidRPr="006866BF">
        <w:rPr>
          <w:b w:val="0"/>
          <w:color w:val="auto"/>
        </w:rPr>
        <w:t>Appendix A provides</w:t>
      </w:r>
      <w:r w:rsidRPr="0070241F">
        <w:rPr>
          <w:b w:val="0"/>
          <w:color w:val="auto"/>
        </w:rPr>
        <w:t xml:space="preserve"> an overview of the significant adverse events, their status and outcome where applicable. </w:t>
      </w:r>
    </w:p>
    <w:p w14:paraId="41A2B57D" w14:textId="77777777" w:rsidR="001B0E26" w:rsidRPr="0070241F" w:rsidRDefault="001B0E26" w:rsidP="001B0E26">
      <w:pPr>
        <w:pStyle w:val="Subtitle"/>
        <w:jc w:val="left"/>
        <w:rPr>
          <w:b w:val="0"/>
          <w:color w:val="auto"/>
        </w:rPr>
      </w:pPr>
    </w:p>
    <w:p w14:paraId="1A195DF8" w14:textId="56DEF986" w:rsidR="001B0E26" w:rsidRPr="0070241F" w:rsidRDefault="001B0E26" w:rsidP="001B0E26">
      <w:pPr>
        <w:pStyle w:val="Subtitle"/>
        <w:jc w:val="left"/>
        <w:rPr>
          <w:b w:val="0"/>
          <w:color w:val="auto"/>
        </w:rPr>
      </w:pPr>
      <w:r w:rsidRPr="0070241F">
        <w:rPr>
          <w:b w:val="0"/>
          <w:color w:val="auto"/>
        </w:rPr>
        <w:t xml:space="preserve">The charts below show both the overall SAE reporting over the previous </w:t>
      </w:r>
      <w:r w:rsidR="00101880" w:rsidRPr="0070241F">
        <w:rPr>
          <w:b w:val="0"/>
          <w:color w:val="auto"/>
        </w:rPr>
        <w:t>f</w:t>
      </w:r>
      <w:r w:rsidR="0070241F" w:rsidRPr="0070241F">
        <w:rPr>
          <w:b w:val="0"/>
          <w:color w:val="auto"/>
        </w:rPr>
        <w:t>ive</w:t>
      </w:r>
      <w:r w:rsidR="00101880" w:rsidRPr="0070241F">
        <w:rPr>
          <w:b w:val="0"/>
          <w:color w:val="auto"/>
        </w:rPr>
        <w:t xml:space="preserve"> </w:t>
      </w:r>
      <w:r w:rsidRPr="0070241F">
        <w:rPr>
          <w:b w:val="0"/>
          <w:color w:val="auto"/>
        </w:rPr>
        <w:t xml:space="preserve">years and a t-chart for the </w:t>
      </w:r>
      <w:proofErr w:type="gramStart"/>
      <w:r w:rsidR="00101880" w:rsidRPr="0070241F">
        <w:rPr>
          <w:b w:val="0"/>
          <w:color w:val="auto"/>
        </w:rPr>
        <w:t>SAER’</w:t>
      </w:r>
      <w:r w:rsidRPr="0070241F">
        <w:rPr>
          <w:b w:val="0"/>
          <w:color w:val="auto"/>
        </w:rPr>
        <w:t>s</w:t>
      </w:r>
      <w:proofErr w:type="gramEnd"/>
      <w:r w:rsidRPr="0070241F">
        <w:rPr>
          <w:b w:val="0"/>
          <w:color w:val="auto"/>
        </w:rPr>
        <w:t xml:space="preserve"> that have been reported during the </w:t>
      </w:r>
      <w:r w:rsidR="00210CA6">
        <w:rPr>
          <w:b w:val="0"/>
          <w:color w:val="auto"/>
        </w:rPr>
        <w:t>previous three years</w:t>
      </w:r>
      <w:r w:rsidRPr="0070241F">
        <w:rPr>
          <w:b w:val="0"/>
          <w:color w:val="auto"/>
        </w:rPr>
        <w:t>.</w:t>
      </w:r>
    </w:p>
    <w:p w14:paraId="645CF03B" w14:textId="77777777" w:rsidR="007E7E4B" w:rsidRDefault="007E7E4B" w:rsidP="001B0E26">
      <w:pPr>
        <w:pStyle w:val="Subtitle"/>
        <w:rPr>
          <w:rFonts w:ascii="Arial Narrow" w:hAnsi="Arial Narrow"/>
          <w:color w:val="auto"/>
          <w:sz w:val="22"/>
          <w:szCs w:val="22"/>
        </w:rPr>
      </w:pPr>
    </w:p>
    <w:p w14:paraId="5181721F" w14:textId="77777777" w:rsidR="00495B77" w:rsidRDefault="00495B77">
      <w:pPr>
        <w:spacing w:after="200" w:line="276" w:lineRule="auto"/>
        <w:rPr>
          <w:rFonts w:ascii="Arial Narrow" w:hAnsi="Arial Narrow" w:cs="Arial"/>
          <w:b/>
          <w:bCs/>
          <w:sz w:val="22"/>
          <w:szCs w:val="22"/>
          <w:lang w:eastAsia="en-US"/>
        </w:rPr>
      </w:pPr>
      <w:r>
        <w:rPr>
          <w:rFonts w:ascii="Arial Narrow" w:hAnsi="Arial Narrow"/>
          <w:sz w:val="22"/>
          <w:szCs w:val="22"/>
        </w:rPr>
        <w:br w:type="page"/>
      </w:r>
    </w:p>
    <w:p w14:paraId="022911F5" w14:textId="036B96B6" w:rsidR="001B0E26" w:rsidRPr="0070241F" w:rsidRDefault="00E2723D" w:rsidP="001B0E26">
      <w:pPr>
        <w:pStyle w:val="Subtitle"/>
        <w:rPr>
          <w:rFonts w:ascii="Arial Narrow" w:hAnsi="Arial Narrow"/>
          <w:color w:val="auto"/>
          <w:sz w:val="22"/>
          <w:szCs w:val="22"/>
        </w:rPr>
      </w:pPr>
      <w:r w:rsidRPr="0070241F">
        <w:rPr>
          <w:rFonts w:ascii="Arial Narrow" w:hAnsi="Arial Narrow"/>
          <w:color w:val="auto"/>
          <w:sz w:val="22"/>
          <w:szCs w:val="22"/>
        </w:rPr>
        <w:t xml:space="preserve">Chart </w:t>
      </w:r>
      <w:r w:rsidR="004F2A4E">
        <w:rPr>
          <w:rFonts w:ascii="Arial Narrow" w:hAnsi="Arial Narrow"/>
          <w:color w:val="auto"/>
          <w:sz w:val="22"/>
          <w:szCs w:val="22"/>
        </w:rPr>
        <w:t>12</w:t>
      </w:r>
      <w:r w:rsidR="001B0E26" w:rsidRPr="0070241F">
        <w:rPr>
          <w:rFonts w:ascii="Arial Narrow" w:hAnsi="Arial Narrow"/>
          <w:color w:val="auto"/>
          <w:sz w:val="22"/>
          <w:szCs w:val="22"/>
        </w:rPr>
        <w:t xml:space="preserve"> – Total Significant Adverse Events by Month Reported</w:t>
      </w:r>
    </w:p>
    <w:p w14:paraId="7CA28EF9" w14:textId="7954198B" w:rsidR="001B0E26" w:rsidRPr="00473D1A" w:rsidRDefault="0070241F" w:rsidP="00101880">
      <w:pPr>
        <w:pStyle w:val="Subtitle"/>
        <w:spacing w:after="240"/>
        <w:rPr>
          <w:rFonts w:ascii="Arial Narrow" w:hAnsi="Arial Narrow"/>
          <w:sz w:val="22"/>
          <w:szCs w:val="22"/>
        </w:rPr>
      </w:pPr>
      <w:r>
        <w:rPr>
          <w:noProof/>
          <w:lang w:eastAsia="en-GB"/>
        </w:rPr>
        <w:drawing>
          <wp:inline distT="0" distB="0" distL="0" distR="0" wp14:anchorId="2A64E1FC" wp14:editId="16BA4812">
            <wp:extent cx="5588000" cy="275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18478" cy="2770931"/>
                    </a:xfrm>
                    <a:prstGeom prst="rect">
                      <a:avLst/>
                    </a:prstGeom>
                  </pic:spPr>
                </pic:pic>
              </a:graphicData>
            </a:graphic>
          </wp:inline>
        </w:drawing>
      </w:r>
      <w:r w:rsidR="001B0E26" w:rsidRPr="00473D1A">
        <w:rPr>
          <w:rFonts w:ascii="Arial Narrow" w:hAnsi="Arial Narrow"/>
          <w:sz w:val="22"/>
          <w:szCs w:val="22"/>
        </w:rPr>
        <w:t xml:space="preserve">      </w:t>
      </w:r>
    </w:p>
    <w:p w14:paraId="42E06FE6" w14:textId="4030D09D" w:rsidR="001B0E26" w:rsidRPr="00210CA6" w:rsidRDefault="001B0E26" w:rsidP="001B0E26">
      <w:pPr>
        <w:pStyle w:val="Subtitle"/>
        <w:rPr>
          <w:b w:val="0"/>
          <w:color w:val="auto"/>
          <w:sz w:val="22"/>
          <w:szCs w:val="22"/>
        </w:rPr>
      </w:pPr>
      <w:r w:rsidRPr="00210CA6">
        <w:rPr>
          <w:rFonts w:ascii="Arial Narrow" w:hAnsi="Arial Narrow"/>
          <w:color w:val="auto"/>
          <w:sz w:val="22"/>
          <w:szCs w:val="22"/>
        </w:rPr>
        <w:t xml:space="preserve">Chart </w:t>
      </w:r>
      <w:r w:rsidR="004F2A4E">
        <w:rPr>
          <w:rFonts w:ascii="Arial Narrow" w:hAnsi="Arial Narrow"/>
          <w:color w:val="auto"/>
          <w:sz w:val="22"/>
          <w:szCs w:val="22"/>
        </w:rPr>
        <w:t>13</w:t>
      </w:r>
      <w:r w:rsidRPr="00210CA6">
        <w:rPr>
          <w:rFonts w:ascii="Arial Narrow" w:hAnsi="Arial Narrow"/>
          <w:color w:val="auto"/>
          <w:sz w:val="22"/>
          <w:szCs w:val="22"/>
        </w:rPr>
        <w:t xml:space="preserve"> – </w:t>
      </w:r>
      <w:r w:rsidR="00210CA6" w:rsidRPr="00210CA6">
        <w:rPr>
          <w:rFonts w:ascii="Arial Narrow" w:hAnsi="Arial Narrow"/>
          <w:color w:val="auto"/>
          <w:sz w:val="22"/>
          <w:szCs w:val="22"/>
        </w:rPr>
        <w:t>Days between SAERs Reported</w:t>
      </w:r>
    </w:p>
    <w:p w14:paraId="79DBEFF7" w14:textId="685C5E58" w:rsidR="007E7E4B" w:rsidRPr="004F2A4E" w:rsidRDefault="00495B77" w:rsidP="00495B77">
      <w:pPr>
        <w:pStyle w:val="Subtitle"/>
        <w:spacing w:after="240"/>
        <w:rPr>
          <w:b w:val="0"/>
        </w:rPr>
      </w:pPr>
      <w:r>
        <w:rPr>
          <w:b w:val="0"/>
          <w:noProof/>
          <w:lang w:eastAsia="en-GB"/>
        </w:rPr>
        <w:drawing>
          <wp:inline distT="0" distB="0" distL="0" distR="0" wp14:anchorId="45A9D5A4" wp14:editId="1E15575E">
            <wp:extent cx="5619750" cy="3117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9750" cy="3117850"/>
                    </a:xfrm>
                    <a:prstGeom prst="rect">
                      <a:avLst/>
                    </a:prstGeom>
                    <a:noFill/>
                  </pic:spPr>
                </pic:pic>
              </a:graphicData>
            </a:graphic>
          </wp:inline>
        </w:drawing>
      </w:r>
    </w:p>
    <w:p w14:paraId="0629431F" w14:textId="6FC2EB4C" w:rsidR="001B0E26" w:rsidRPr="00210CA6" w:rsidRDefault="001B0E26" w:rsidP="001B0E26">
      <w:pPr>
        <w:pStyle w:val="Subtitle"/>
        <w:rPr>
          <w:b w:val="0"/>
          <w:color w:val="auto"/>
          <w:sz w:val="22"/>
          <w:szCs w:val="22"/>
        </w:rPr>
      </w:pPr>
      <w:r w:rsidRPr="00210CA6">
        <w:rPr>
          <w:rFonts w:ascii="Arial Narrow" w:hAnsi="Arial Narrow"/>
          <w:color w:val="auto"/>
          <w:sz w:val="22"/>
          <w:szCs w:val="22"/>
        </w:rPr>
        <w:t xml:space="preserve">Chart </w:t>
      </w:r>
      <w:r w:rsidR="004F2A4E">
        <w:rPr>
          <w:rFonts w:ascii="Arial Narrow" w:hAnsi="Arial Narrow"/>
          <w:color w:val="auto"/>
          <w:sz w:val="22"/>
          <w:szCs w:val="22"/>
        </w:rPr>
        <w:t xml:space="preserve">14 </w:t>
      </w:r>
      <w:r w:rsidRPr="00210CA6">
        <w:rPr>
          <w:rFonts w:ascii="Arial Narrow" w:hAnsi="Arial Narrow"/>
          <w:color w:val="auto"/>
          <w:sz w:val="22"/>
          <w:szCs w:val="22"/>
        </w:rPr>
        <w:t>– SAE</w:t>
      </w:r>
      <w:r w:rsidR="00101880" w:rsidRPr="00210CA6">
        <w:rPr>
          <w:rFonts w:ascii="Arial Narrow" w:hAnsi="Arial Narrow"/>
          <w:color w:val="auto"/>
          <w:sz w:val="22"/>
          <w:szCs w:val="22"/>
        </w:rPr>
        <w:t>R’s by Category</w:t>
      </w:r>
      <w:r w:rsidRPr="00210CA6">
        <w:rPr>
          <w:rFonts w:ascii="Arial Narrow" w:hAnsi="Arial Narrow"/>
          <w:color w:val="auto"/>
          <w:sz w:val="22"/>
          <w:szCs w:val="22"/>
        </w:rPr>
        <w:t xml:space="preserve"> </w:t>
      </w:r>
    </w:p>
    <w:p w14:paraId="7800AAA4" w14:textId="2D61AAD2" w:rsidR="001B0E26" w:rsidRPr="00210CA6" w:rsidRDefault="00210CA6" w:rsidP="001347E9">
      <w:pPr>
        <w:pStyle w:val="Subtitle"/>
        <w:spacing w:after="240"/>
        <w:rPr>
          <w:b w:val="0"/>
          <w:color w:val="auto"/>
        </w:rPr>
      </w:pPr>
      <w:r w:rsidRPr="00210CA6">
        <w:rPr>
          <w:noProof/>
          <w:color w:val="auto"/>
          <w:lang w:eastAsia="en-GB"/>
        </w:rPr>
        <w:drawing>
          <wp:inline distT="0" distB="0" distL="0" distR="0" wp14:anchorId="16E30106" wp14:editId="0B5C7B18">
            <wp:extent cx="5543550" cy="2355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543550" cy="2355850"/>
                    </a:xfrm>
                    <a:prstGeom prst="rect">
                      <a:avLst/>
                    </a:prstGeom>
                  </pic:spPr>
                </pic:pic>
              </a:graphicData>
            </a:graphic>
          </wp:inline>
        </w:drawing>
      </w:r>
    </w:p>
    <w:p w14:paraId="146BF0DB" w14:textId="22B2AA03" w:rsidR="001B0E26" w:rsidRPr="005F4A26" w:rsidRDefault="001347E9" w:rsidP="001B0E26">
      <w:pPr>
        <w:pStyle w:val="Subtitle"/>
        <w:jc w:val="left"/>
        <w:rPr>
          <w:b w:val="0"/>
          <w:bCs w:val="0"/>
          <w:color w:val="auto"/>
        </w:rPr>
      </w:pPr>
      <w:r w:rsidRPr="00210CA6">
        <w:rPr>
          <w:b w:val="0"/>
          <w:bCs w:val="0"/>
          <w:color w:val="auto"/>
        </w:rPr>
        <w:t xml:space="preserve">It can be seen from chart </w:t>
      </w:r>
      <w:r w:rsidR="004F2A4E">
        <w:rPr>
          <w:b w:val="0"/>
          <w:bCs w:val="0"/>
          <w:color w:val="auto"/>
        </w:rPr>
        <w:t>14</w:t>
      </w:r>
      <w:r w:rsidRPr="00210CA6">
        <w:rPr>
          <w:b w:val="0"/>
          <w:bCs w:val="0"/>
          <w:color w:val="auto"/>
        </w:rPr>
        <w:t xml:space="preserve"> </w:t>
      </w:r>
      <w:r w:rsidR="001B0E26" w:rsidRPr="00210CA6">
        <w:rPr>
          <w:b w:val="0"/>
          <w:bCs w:val="0"/>
          <w:color w:val="auto"/>
        </w:rPr>
        <w:t xml:space="preserve">that the most prevalent categories related to </w:t>
      </w:r>
      <w:r w:rsidRPr="00210CA6">
        <w:rPr>
          <w:b w:val="0"/>
          <w:bCs w:val="0"/>
          <w:color w:val="auto"/>
        </w:rPr>
        <w:t>SAER’s</w:t>
      </w:r>
      <w:r w:rsidR="001B0E26" w:rsidRPr="00210CA6">
        <w:rPr>
          <w:b w:val="0"/>
          <w:bCs w:val="0"/>
          <w:color w:val="auto"/>
        </w:rPr>
        <w:t xml:space="preserve"> is</w:t>
      </w:r>
      <w:r w:rsidRPr="00210CA6">
        <w:rPr>
          <w:b w:val="0"/>
          <w:bCs w:val="0"/>
          <w:color w:val="auto"/>
        </w:rPr>
        <w:t xml:space="preserve"> ‘unexpected deaths/severe harm’</w:t>
      </w:r>
      <w:r w:rsidR="001B0E26" w:rsidRPr="00210CA6">
        <w:rPr>
          <w:b w:val="0"/>
          <w:bCs w:val="0"/>
          <w:color w:val="auto"/>
        </w:rPr>
        <w:t xml:space="preserve"> </w:t>
      </w:r>
      <w:r w:rsidRPr="00210CA6">
        <w:rPr>
          <w:b w:val="0"/>
          <w:bCs w:val="0"/>
          <w:color w:val="auto"/>
        </w:rPr>
        <w:t xml:space="preserve">and </w:t>
      </w:r>
      <w:r w:rsidR="001B0E26" w:rsidRPr="00210CA6">
        <w:rPr>
          <w:b w:val="0"/>
          <w:bCs w:val="0"/>
          <w:color w:val="auto"/>
        </w:rPr>
        <w:t>‘th</w:t>
      </w:r>
      <w:r w:rsidRPr="00210CA6">
        <w:rPr>
          <w:b w:val="0"/>
          <w:bCs w:val="0"/>
          <w:color w:val="auto"/>
        </w:rPr>
        <w:t>erapeutic processes/procedures’</w:t>
      </w:r>
      <w:r w:rsidR="00B80FE6">
        <w:rPr>
          <w:b w:val="0"/>
          <w:bCs w:val="0"/>
          <w:color w:val="auto"/>
        </w:rPr>
        <w:t xml:space="preserve">. </w:t>
      </w:r>
      <w:r w:rsidR="001B0E26" w:rsidRPr="00210CA6">
        <w:rPr>
          <w:b w:val="0"/>
          <w:bCs w:val="0"/>
          <w:color w:val="auto"/>
        </w:rPr>
        <w:t xml:space="preserve">This is </w:t>
      </w:r>
      <w:proofErr w:type="gramStart"/>
      <w:r w:rsidR="001B0E26" w:rsidRPr="00210CA6">
        <w:rPr>
          <w:b w:val="0"/>
          <w:bCs w:val="0"/>
          <w:color w:val="auto"/>
        </w:rPr>
        <w:t>not unexpected</w:t>
      </w:r>
      <w:proofErr w:type="gramEnd"/>
      <w:r w:rsidR="001B0E26" w:rsidRPr="00210CA6">
        <w:rPr>
          <w:b w:val="0"/>
          <w:bCs w:val="0"/>
          <w:color w:val="auto"/>
        </w:rPr>
        <w:t xml:space="preserve"> as these categories of events are more likely to result in more severe harm</w:t>
      </w:r>
      <w:r w:rsidR="00210CA6" w:rsidRPr="00210CA6">
        <w:rPr>
          <w:b w:val="0"/>
          <w:bCs w:val="0"/>
          <w:color w:val="auto"/>
        </w:rPr>
        <w:t xml:space="preserve"> and is the same pattern seen </w:t>
      </w:r>
      <w:r w:rsidR="00210CA6" w:rsidRPr="005F4A26">
        <w:rPr>
          <w:b w:val="0"/>
          <w:bCs w:val="0"/>
          <w:color w:val="auto"/>
        </w:rPr>
        <w:t>in previous years</w:t>
      </w:r>
      <w:r w:rsidR="001B0E26" w:rsidRPr="005F4A26">
        <w:rPr>
          <w:b w:val="0"/>
          <w:bCs w:val="0"/>
          <w:color w:val="auto"/>
        </w:rPr>
        <w:t>.</w:t>
      </w:r>
    </w:p>
    <w:p w14:paraId="0C03C440" w14:textId="77777777" w:rsidR="001B0E26" w:rsidRPr="005F4A26" w:rsidRDefault="001B0E26" w:rsidP="001B0E26">
      <w:pPr>
        <w:pStyle w:val="Subtitle"/>
        <w:jc w:val="left"/>
        <w:rPr>
          <w:b w:val="0"/>
          <w:bCs w:val="0"/>
          <w:color w:val="auto"/>
        </w:rPr>
      </w:pPr>
    </w:p>
    <w:p w14:paraId="379D65F0" w14:textId="3B112C64" w:rsidR="001B0E26" w:rsidRPr="005F4A26" w:rsidRDefault="001B0E26" w:rsidP="001B0E26">
      <w:pPr>
        <w:pStyle w:val="Subtitle"/>
        <w:jc w:val="left"/>
        <w:rPr>
          <w:b w:val="0"/>
          <w:color w:val="auto"/>
        </w:rPr>
      </w:pPr>
      <w:r w:rsidRPr="005F4A26">
        <w:rPr>
          <w:b w:val="0"/>
          <w:color w:val="auto"/>
        </w:rPr>
        <w:t xml:space="preserve">The following chart shows the Significant Adverse Events by service; this demonstrates the majority occurred within </w:t>
      </w:r>
      <w:r w:rsidR="005F4A26" w:rsidRPr="005F4A26">
        <w:rPr>
          <w:b w:val="0"/>
          <w:color w:val="auto"/>
        </w:rPr>
        <w:t>National Services Division and Interventiona</w:t>
      </w:r>
      <w:r w:rsidR="00321C6B" w:rsidRPr="005F4A26">
        <w:rPr>
          <w:b w:val="0"/>
          <w:color w:val="auto"/>
        </w:rPr>
        <w:t>l Cardiology</w:t>
      </w:r>
      <w:r w:rsidRPr="005F4A26">
        <w:rPr>
          <w:b w:val="0"/>
          <w:color w:val="auto"/>
        </w:rPr>
        <w:t>.</w:t>
      </w:r>
      <w:r w:rsidR="00321C6B" w:rsidRPr="005F4A26">
        <w:rPr>
          <w:b w:val="0"/>
          <w:color w:val="auto"/>
        </w:rPr>
        <w:t xml:space="preserve"> </w:t>
      </w:r>
      <w:r w:rsidR="005F4A26" w:rsidRPr="005F4A26">
        <w:rPr>
          <w:b w:val="0"/>
          <w:color w:val="auto"/>
        </w:rPr>
        <w:t>There was a combination of events related to SNAHFS patients (n=4) and SACCS patien</w:t>
      </w:r>
      <w:r w:rsidR="00B80FE6">
        <w:rPr>
          <w:b w:val="0"/>
          <w:color w:val="auto"/>
        </w:rPr>
        <w:t>ts (n=3) within the NSD events.</w:t>
      </w:r>
      <w:r w:rsidR="005F4A26" w:rsidRPr="005F4A26">
        <w:rPr>
          <w:b w:val="0"/>
          <w:color w:val="auto"/>
        </w:rPr>
        <w:t xml:space="preserve"> </w:t>
      </w:r>
      <w:proofErr w:type="gramStart"/>
      <w:r w:rsidR="005F4A26" w:rsidRPr="005F4A26">
        <w:rPr>
          <w:b w:val="0"/>
          <w:color w:val="auto"/>
        </w:rPr>
        <w:t>This is a change in trend when compared to previous reports where Cardiac Services</w:t>
      </w:r>
      <w:r w:rsidR="00910D70">
        <w:rPr>
          <w:b w:val="0"/>
          <w:color w:val="auto"/>
        </w:rPr>
        <w:t xml:space="preserve"> and Interventional Cardiology we</w:t>
      </w:r>
      <w:r w:rsidR="005F4A26" w:rsidRPr="005F4A26">
        <w:rPr>
          <w:b w:val="0"/>
          <w:color w:val="auto"/>
        </w:rPr>
        <w:t>re traditionally the highest reporting services.</w:t>
      </w:r>
      <w:proofErr w:type="gramEnd"/>
    </w:p>
    <w:p w14:paraId="2C5C81F4" w14:textId="77777777" w:rsidR="001B0E26" w:rsidRPr="005F4A26" w:rsidRDefault="001B0E26" w:rsidP="001B0E26">
      <w:pPr>
        <w:pStyle w:val="Subtitle"/>
        <w:jc w:val="left"/>
        <w:rPr>
          <w:b w:val="0"/>
          <w:color w:val="auto"/>
        </w:rPr>
      </w:pPr>
    </w:p>
    <w:p w14:paraId="73F23857" w14:textId="39A1D68C" w:rsidR="001B0E26" w:rsidRPr="005F4A26" w:rsidRDefault="001B0E26" w:rsidP="001B0E26">
      <w:pPr>
        <w:pStyle w:val="Subtitle"/>
        <w:rPr>
          <w:b w:val="0"/>
          <w:color w:val="auto"/>
          <w:sz w:val="22"/>
          <w:szCs w:val="22"/>
        </w:rPr>
      </w:pPr>
      <w:r w:rsidRPr="005F4A26">
        <w:rPr>
          <w:rFonts w:ascii="Arial Narrow" w:hAnsi="Arial Narrow"/>
          <w:color w:val="auto"/>
          <w:sz w:val="22"/>
          <w:szCs w:val="22"/>
        </w:rPr>
        <w:t xml:space="preserve">Chart </w:t>
      </w:r>
      <w:r w:rsidR="004F2A4E">
        <w:rPr>
          <w:rFonts w:ascii="Arial Narrow" w:hAnsi="Arial Narrow"/>
          <w:color w:val="auto"/>
          <w:sz w:val="22"/>
          <w:szCs w:val="22"/>
        </w:rPr>
        <w:t>15</w:t>
      </w:r>
      <w:r w:rsidRPr="005F4A26">
        <w:rPr>
          <w:rFonts w:ascii="Arial Narrow" w:hAnsi="Arial Narrow"/>
          <w:color w:val="auto"/>
          <w:sz w:val="22"/>
          <w:szCs w:val="22"/>
        </w:rPr>
        <w:t xml:space="preserve"> – SAE</w:t>
      </w:r>
      <w:r w:rsidR="005F4A26" w:rsidRPr="005F4A26">
        <w:rPr>
          <w:rFonts w:ascii="Arial Narrow" w:hAnsi="Arial Narrow"/>
          <w:color w:val="auto"/>
          <w:sz w:val="22"/>
          <w:szCs w:val="22"/>
        </w:rPr>
        <w:t>R</w:t>
      </w:r>
      <w:r w:rsidRPr="005F4A26">
        <w:rPr>
          <w:rFonts w:ascii="Arial Narrow" w:hAnsi="Arial Narrow"/>
          <w:color w:val="auto"/>
          <w:sz w:val="22"/>
          <w:szCs w:val="22"/>
        </w:rPr>
        <w:t xml:space="preserve"> by Service </w:t>
      </w:r>
    </w:p>
    <w:p w14:paraId="2E68657B" w14:textId="522C35C3" w:rsidR="001B0E26" w:rsidRPr="005F4A26" w:rsidRDefault="005F4A26" w:rsidP="001347E9">
      <w:pPr>
        <w:pStyle w:val="Subtitle"/>
        <w:spacing w:after="240"/>
        <w:rPr>
          <w:b w:val="0"/>
          <w:color w:val="auto"/>
        </w:rPr>
      </w:pPr>
      <w:r w:rsidRPr="005F4A26">
        <w:rPr>
          <w:noProof/>
          <w:color w:val="auto"/>
          <w:lang w:eastAsia="en-GB"/>
        </w:rPr>
        <w:drawing>
          <wp:inline distT="0" distB="0" distL="0" distR="0" wp14:anchorId="05175C3A" wp14:editId="67F0EEE2">
            <wp:extent cx="4602589" cy="2203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34245" cy="2218605"/>
                    </a:xfrm>
                    <a:prstGeom prst="rect">
                      <a:avLst/>
                    </a:prstGeom>
                  </pic:spPr>
                </pic:pic>
              </a:graphicData>
            </a:graphic>
          </wp:inline>
        </w:drawing>
      </w:r>
    </w:p>
    <w:p w14:paraId="14F22948" w14:textId="6819D963" w:rsidR="00386CF5" w:rsidRPr="005F4A26" w:rsidRDefault="001B0E26" w:rsidP="001B0E26">
      <w:pPr>
        <w:pStyle w:val="Subtitle"/>
        <w:jc w:val="left"/>
        <w:rPr>
          <w:b w:val="0"/>
          <w:color w:val="auto"/>
        </w:rPr>
      </w:pPr>
      <w:r w:rsidRPr="005F4A26">
        <w:rPr>
          <w:b w:val="0"/>
          <w:color w:val="auto"/>
        </w:rPr>
        <w:t>One of the significant adverse events involved a patient who had undergone cardiac transplant surgery and subseque</w:t>
      </w:r>
      <w:r w:rsidR="00B80FE6">
        <w:rPr>
          <w:b w:val="0"/>
          <w:color w:val="auto"/>
        </w:rPr>
        <w:t xml:space="preserve">ntly died. </w:t>
      </w:r>
      <w:r w:rsidR="005F4A26" w:rsidRPr="005F4A26">
        <w:rPr>
          <w:b w:val="0"/>
          <w:color w:val="auto"/>
        </w:rPr>
        <w:t>Three of the SNAHFS events related to post transplant patient deaths; t</w:t>
      </w:r>
      <w:r w:rsidRPr="005F4A26">
        <w:rPr>
          <w:b w:val="0"/>
          <w:color w:val="auto"/>
        </w:rPr>
        <w:t xml:space="preserve">hese events automatically trigger the </w:t>
      </w:r>
      <w:r w:rsidR="00386CF5" w:rsidRPr="005F4A26">
        <w:rPr>
          <w:b w:val="0"/>
          <w:color w:val="auto"/>
        </w:rPr>
        <w:t>SAER</w:t>
      </w:r>
      <w:r w:rsidRPr="005F4A26">
        <w:rPr>
          <w:b w:val="0"/>
          <w:color w:val="auto"/>
        </w:rPr>
        <w:t xml:space="preserve"> process as stated in the Adverse Event Policy.  </w:t>
      </w:r>
      <w:r w:rsidR="005F4A26" w:rsidRPr="005F4A26">
        <w:rPr>
          <w:b w:val="0"/>
          <w:color w:val="auto"/>
        </w:rPr>
        <w:t>The process for commissioning SAER following transplant patient deaths was reviewed during the year 2022/2023 following a few events resulting in little or no learning; the majority of ev</w:t>
      </w:r>
      <w:r w:rsidR="00B80FE6">
        <w:rPr>
          <w:b w:val="0"/>
          <w:color w:val="auto"/>
        </w:rPr>
        <w:t>ents highlighted good practice.</w:t>
      </w:r>
      <w:r w:rsidR="005F4A26" w:rsidRPr="005F4A26">
        <w:rPr>
          <w:b w:val="0"/>
          <w:color w:val="auto"/>
        </w:rPr>
        <w:t xml:space="preserve"> It was agreed that any transplant patient death up to 30 days post-transplant would continue to be automatically reviewed via the SAER process.</w:t>
      </w:r>
    </w:p>
    <w:p w14:paraId="059015DF" w14:textId="244383D6" w:rsidR="00BC46A7" w:rsidRPr="00473D1A" w:rsidRDefault="00BC46A7" w:rsidP="001B0E26">
      <w:pPr>
        <w:pStyle w:val="Subtitle"/>
        <w:jc w:val="left"/>
        <w:rPr>
          <w:b w:val="0"/>
        </w:rPr>
      </w:pPr>
    </w:p>
    <w:p w14:paraId="31B7BA87" w14:textId="66D23475" w:rsidR="00A8125E" w:rsidRDefault="00910D70" w:rsidP="001B0E26">
      <w:pPr>
        <w:pStyle w:val="Subtitle"/>
        <w:jc w:val="left"/>
        <w:rPr>
          <w:b w:val="0"/>
          <w:color w:val="auto"/>
        </w:rPr>
      </w:pPr>
      <w:r w:rsidRPr="00A3395E">
        <w:rPr>
          <w:b w:val="0"/>
          <w:color w:val="auto"/>
        </w:rPr>
        <w:t>Learning:</w:t>
      </w:r>
    </w:p>
    <w:p w14:paraId="29336165" w14:textId="77777777" w:rsidR="00495B77" w:rsidRPr="00A3395E" w:rsidRDefault="00495B77" w:rsidP="001B0E26">
      <w:pPr>
        <w:pStyle w:val="Subtitle"/>
        <w:jc w:val="left"/>
        <w:rPr>
          <w:b w:val="0"/>
          <w:color w:val="auto"/>
        </w:rPr>
      </w:pPr>
    </w:p>
    <w:p w14:paraId="6AD30CC6" w14:textId="4DAE0B37" w:rsidR="00B65E20" w:rsidRPr="00A3395E" w:rsidRDefault="00E4757A" w:rsidP="001B0E26">
      <w:pPr>
        <w:pStyle w:val="Subtitle"/>
        <w:jc w:val="left"/>
        <w:rPr>
          <w:b w:val="0"/>
          <w:color w:val="auto"/>
        </w:rPr>
      </w:pPr>
      <w:r>
        <w:rPr>
          <w:b w:val="0"/>
          <w:color w:val="auto"/>
        </w:rPr>
        <w:t>Although there has been a variety of learning points generated from SAER’s during the year, t</w:t>
      </w:r>
      <w:r w:rsidR="00B65E20" w:rsidRPr="00A3395E">
        <w:rPr>
          <w:b w:val="0"/>
          <w:color w:val="auto"/>
        </w:rPr>
        <w:t>he</w:t>
      </w:r>
      <w:r>
        <w:rPr>
          <w:b w:val="0"/>
          <w:color w:val="auto"/>
        </w:rPr>
        <w:t>re is one clear overriding theme; this re</w:t>
      </w:r>
      <w:r w:rsidR="00B80FE6">
        <w:rPr>
          <w:b w:val="0"/>
          <w:color w:val="auto"/>
        </w:rPr>
        <w:t>lates to communication.</w:t>
      </w:r>
      <w:r w:rsidR="00B65E20" w:rsidRPr="00A3395E">
        <w:rPr>
          <w:b w:val="0"/>
          <w:color w:val="auto"/>
        </w:rPr>
        <w:t xml:space="preserve"> There are a number of different aspects of communication improvements including:</w:t>
      </w:r>
    </w:p>
    <w:p w14:paraId="713AE2A6" w14:textId="77777777" w:rsidR="00B65E20" w:rsidRPr="00495B77" w:rsidRDefault="00B65E20" w:rsidP="001B0E26">
      <w:pPr>
        <w:pStyle w:val="Subtitle"/>
        <w:jc w:val="left"/>
        <w:rPr>
          <w:b w:val="0"/>
          <w:color w:val="auto"/>
        </w:rPr>
      </w:pPr>
    </w:p>
    <w:p w14:paraId="356B788B" w14:textId="77777777" w:rsidR="00B65E20" w:rsidRPr="00495B77" w:rsidRDefault="00B65E20" w:rsidP="00B65E20">
      <w:pPr>
        <w:pStyle w:val="Subtitle"/>
        <w:numPr>
          <w:ilvl w:val="0"/>
          <w:numId w:val="15"/>
        </w:numPr>
        <w:jc w:val="left"/>
        <w:rPr>
          <w:b w:val="0"/>
          <w:color w:val="auto"/>
        </w:rPr>
      </w:pPr>
      <w:r w:rsidRPr="00495B77">
        <w:rPr>
          <w:b w:val="0"/>
          <w:color w:val="auto"/>
        </w:rPr>
        <w:t>Communication with relatives and patients in terms of involvement in decision making</w:t>
      </w:r>
    </w:p>
    <w:p w14:paraId="2893E188" w14:textId="77777777" w:rsidR="00B65E20" w:rsidRPr="00495B77" w:rsidRDefault="00B65E20" w:rsidP="00B65E20">
      <w:pPr>
        <w:pStyle w:val="Subtitle"/>
        <w:numPr>
          <w:ilvl w:val="0"/>
          <w:numId w:val="15"/>
        </w:numPr>
        <w:jc w:val="left"/>
        <w:rPr>
          <w:b w:val="0"/>
          <w:color w:val="auto"/>
        </w:rPr>
      </w:pPr>
      <w:r w:rsidRPr="00495B77">
        <w:rPr>
          <w:b w:val="0"/>
          <w:color w:val="auto"/>
        </w:rPr>
        <w:t>Clearer handovers between clinical teams on transferring patients (both internally and externally)</w:t>
      </w:r>
    </w:p>
    <w:p w14:paraId="59BC9B30" w14:textId="77777777" w:rsidR="00B65E20" w:rsidRPr="00495B77" w:rsidRDefault="00B65E20" w:rsidP="00B65E20">
      <w:pPr>
        <w:pStyle w:val="Subtitle"/>
        <w:numPr>
          <w:ilvl w:val="0"/>
          <w:numId w:val="15"/>
        </w:numPr>
        <w:jc w:val="left"/>
        <w:rPr>
          <w:b w:val="0"/>
          <w:color w:val="auto"/>
        </w:rPr>
      </w:pPr>
      <w:r w:rsidRPr="00495B77">
        <w:rPr>
          <w:b w:val="0"/>
          <w:color w:val="auto"/>
        </w:rPr>
        <w:t>Involvement of medical team in patient transfers</w:t>
      </w:r>
    </w:p>
    <w:p w14:paraId="5652211D" w14:textId="289B6550" w:rsidR="00A8125E" w:rsidRPr="00495B77" w:rsidRDefault="00E4757A" w:rsidP="00E4757A">
      <w:pPr>
        <w:pStyle w:val="Subtitle"/>
        <w:numPr>
          <w:ilvl w:val="0"/>
          <w:numId w:val="15"/>
        </w:numPr>
        <w:jc w:val="left"/>
        <w:rPr>
          <w:b w:val="0"/>
          <w:color w:val="auto"/>
        </w:rPr>
      </w:pPr>
      <w:r w:rsidRPr="00495B77">
        <w:rPr>
          <w:b w:val="0"/>
          <w:color w:val="auto"/>
        </w:rPr>
        <w:t>C</w:t>
      </w:r>
      <w:r w:rsidR="00B65E20" w:rsidRPr="00495B77">
        <w:rPr>
          <w:b w:val="0"/>
          <w:color w:val="auto"/>
        </w:rPr>
        <w:t>lear</w:t>
      </w:r>
      <w:r w:rsidRPr="00495B77">
        <w:rPr>
          <w:b w:val="0"/>
          <w:color w:val="auto"/>
        </w:rPr>
        <w:t xml:space="preserve"> </w:t>
      </w:r>
      <w:r w:rsidR="00B65E20" w:rsidRPr="00495B77">
        <w:rPr>
          <w:b w:val="0"/>
          <w:color w:val="auto"/>
        </w:rPr>
        <w:t>documentation</w:t>
      </w:r>
      <w:r w:rsidRPr="00495B77">
        <w:rPr>
          <w:b w:val="0"/>
          <w:color w:val="auto"/>
        </w:rPr>
        <w:t xml:space="preserve"> of any communication in relation to a patients care</w:t>
      </w:r>
    </w:p>
    <w:p w14:paraId="6B3387E7" w14:textId="332C20F4" w:rsidR="001B0E26" w:rsidRPr="00495B77" w:rsidRDefault="001B0E26" w:rsidP="001B0E26">
      <w:pPr>
        <w:pStyle w:val="Subtitle"/>
        <w:jc w:val="left"/>
        <w:rPr>
          <w:b w:val="0"/>
          <w:color w:val="auto"/>
        </w:rPr>
      </w:pPr>
    </w:p>
    <w:p w14:paraId="3EF9127F" w14:textId="2C834C9C" w:rsidR="00495B77" w:rsidRPr="00495B77" w:rsidRDefault="00495B77" w:rsidP="001B0E26">
      <w:pPr>
        <w:pStyle w:val="Subtitle"/>
        <w:jc w:val="left"/>
        <w:rPr>
          <w:b w:val="0"/>
          <w:color w:val="auto"/>
        </w:rPr>
      </w:pPr>
      <w:r w:rsidRPr="00495B77">
        <w:rPr>
          <w:b w:val="0"/>
          <w:color w:val="auto"/>
        </w:rPr>
        <w:t xml:space="preserve">Documentation is also </w:t>
      </w:r>
      <w:r>
        <w:rPr>
          <w:b w:val="0"/>
          <w:color w:val="auto"/>
        </w:rPr>
        <w:t xml:space="preserve">often </w:t>
      </w:r>
      <w:r w:rsidRPr="00495B77">
        <w:rPr>
          <w:b w:val="0"/>
          <w:color w:val="auto"/>
        </w:rPr>
        <w:t xml:space="preserve">highlighted as a learning point from SAER’s however it has also been noted that there are areas in the organisation where this is exemplar.  When services ensure good </w:t>
      </w:r>
      <w:proofErr w:type="gramStart"/>
      <w:r w:rsidRPr="00495B77">
        <w:rPr>
          <w:b w:val="0"/>
          <w:color w:val="auto"/>
        </w:rPr>
        <w:t>documentation</w:t>
      </w:r>
      <w:proofErr w:type="gramEnd"/>
      <w:r w:rsidRPr="00495B77">
        <w:rPr>
          <w:b w:val="0"/>
          <w:color w:val="auto"/>
        </w:rPr>
        <w:t xml:space="preserve"> this enables those reviewing SAER’s and also investigating patient complaints and claims to do so with relative ease.</w:t>
      </w:r>
    </w:p>
    <w:p w14:paraId="744DD8BF" w14:textId="77777777" w:rsidR="00495B77" w:rsidRPr="00495B77" w:rsidRDefault="00495B77" w:rsidP="001B0E26">
      <w:pPr>
        <w:pStyle w:val="Subtitle"/>
        <w:jc w:val="left"/>
        <w:rPr>
          <w:b w:val="0"/>
          <w:color w:val="auto"/>
        </w:rPr>
      </w:pPr>
    </w:p>
    <w:p w14:paraId="65559B59" w14:textId="424F53DE" w:rsidR="0031477F" w:rsidRPr="00495B77" w:rsidRDefault="001B0E26" w:rsidP="001B0E26">
      <w:pPr>
        <w:pStyle w:val="Subtitle"/>
        <w:jc w:val="left"/>
        <w:rPr>
          <w:b w:val="0"/>
          <w:color w:val="auto"/>
        </w:rPr>
      </w:pPr>
      <w:r w:rsidRPr="00910D70">
        <w:rPr>
          <w:b w:val="0"/>
          <w:color w:val="auto"/>
        </w:rPr>
        <w:t xml:space="preserve">The process for reviewing action plans </w:t>
      </w:r>
      <w:r w:rsidR="0031477F" w:rsidRPr="00910D70">
        <w:rPr>
          <w:b w:val="0"/>
          <w:color w:val="auto"/>
        </w:rPr>
        <w:t xml:space="preserve">has been revised following the restructuring of the Clinical </w:t>
      </w:r>
      <w:r w:rsidR="00B80FE6">
        <w:rPr>
          <w:b w:val="0"/>
          <w:color w:val="auto"/>
        </w:rPr>
        <w:t>Governance reporting structure.</w:t>
      </w:r>
      <w:r w:rsidR="0031477F" w:rsidRPr="00910D70">
        <w:rPr>
          <w:b w:val="0"/>
          <w:color w:val="auto"/>
        </w:rPr>
        <w:t xml:space="preserve"> All open actions from SAER’s are reviewed at service clinical governanc</w:t>
      </w:r>
      <w:r w:rsidR="00B80FE6">
        <w:rPr>
          <w:b w:val="0"/>
          <w:color w:val="auto"/>
        </w:rPr>
        <w:t xml:space="preserve">e meetings on a monthly basis. </w:t>
      </w:r>
      <w:r w:rsidR="0031477F" w:rsidRPr="00910D70">
        <w:rPr>
          <w:b w:val="0"/>
          <w:color w:val="auto"/>
        </w:rPr>
        <w:t xml:space="preserve">Those actions that are </w:t>
      </w:r>
      <w:proofErr w:type="gramStart"/>
      <w:r w:rsidR="0031477F" w:rsidRPr="00910D70">
        <w:rPr>
          <w:b w:val="0"/>
          <w:color w:val="auto"/>
        </w:rPr>
        <w:t>cross divisional</w:t>
      </w:r>
      <w:proofErr w:type="gramEnd"/>
      <w:r w:rsidR="0031477F" w:rsidRPr="00910D70">
        <w:rPr>
          <w:b w:val="0"/>
          <w:color w:val="auto"/>
        </w:rPr>
        <w:t xml:space="preserve"> will be monitored via the Clinical Governance Risk Management Group</w:t>
      </w:r>
      <w:r w:rsidR="00982191">
        <w:rPr>
          <w:b w:val="0"/>
          <w:color w:val="auto"/>
        </w:rPr>
        <w:t xml:space="preserve"> (CGRMG)</w:t>
      </w:r>
      <w:r w:rsidR="0031477F" w:rsidRPr="00910D70">
        <w:rPr>
          <w:b w:val="0"/>
          <w:color w:val="auto"/>
        </w:rPr>
        <w:t>.</w:t>
      </w:r>
      <w:r w:rsidR="00982191">
        <w:rPr>
          <w:b w:val="0"/>
          <w:color w:val="auto"/>
        </w:rPr>
        <w:t xml:space="preserve"> There has also been an emphasis placed on open SAER actions that are more than 3 months past the expected completion date; these are detailed at each CGRMG meeting and both Divisional Management Teams are reviewing</w:t>
      </w:r>
      <w:r w:rsidR="00B80FE6">
        <w:rPr>
          <w:b w:val="0"/>
          <w:color w:val="auto"/>
        </w:rPr>
        <w:t xml:space="preserve"> these on a more regular basis.</w:t>
      </w:r>
      <w:r w:rsidR="00982191">
        <w:rPr>
          <w:b w:val="0"/>
          <w:color w:val="auto"/>
        </w:rPr>
        <w:t xml:space="preserve"> Given the additional focus placed on SAER </w:t>
      </w:r>
      <w:r w:rsidR="00982191" w:rsidRPr="00495B77">
        <w:rPr>
          <w:b w:val="0"/>
          <w:color w:val="auto"/>
        </w:rPr>
        <w:t>actions, the past year has seen an improvement in the completion of these however, the timescales for completing is still challenging.</w:t>
      </w:r>
    </w:p>
    <w:p w14:paraId="0F1FB868" w14:textId="77777777" w:rsidR="001B0E26" w:rsidRPr="00495B77" w:rsidRDefault="001B0E26" w:rsidP="001B0E26">
      <w:pPr>
        <w:pStyle w:val="Subtitle"/>
        <w:jc w:val="left"/>
        <w:rPr>
          <w:b w:val="0"/>
          <w:color w:val="auto"/>
        </w:rPr>
      </w:pPr>
    </w:p>
    <w:p w14:paraId="4EF21B90" w14:textId="0131191A" w:rsidR="001B0E26" w:rsidRPr="00495B77" w:rsidRDefault="00724867" w:rsidP="001B0E26">
      <w:pPr>
        <w:pStyle w:val="Subtitle"/>
        <w:jc w:val="left"/>
        <w:rPr>
          <w:b w:val="0"/>
          <w:color w:val="auto"/>
        </w:rPr>
      </w:pPr>
      <w:r w:rsidRPr="00495B77">
        <w:rPr>
          <w:b w:val="0"/>
          <w:color w:val="auto"/>
        </w:rPr>
        <w:t>On completion of a SAER</w:t>
      </w:r>
      <w:r w:rsidR="001B0E26" w:rsidRPr="00495B77">
        <w:rPr>
          <w:b w:val="0"/>
          <w:color w:val="auto"/>
        </w:rPr>
        <w:t xml:space="preserve"> investigation, each case if given an outcome code based on the following descriptors:</w:t>
      </w:r>
    </w:p>
    <w:p w14:paraId="39183C7A" w14:textId="77777777" w:rsidR="001B0E26" w:rsidRPr="00495B77" w:rsidRDefault="001B0E26" w:rsidP="001B0E26">
      <w:pPr>
        <w:pStyle w:val="Subtitle"/>
        <w:jc w:val="left"/>
        <w:rPr>
          <w:b w:val="0"/>
          <w:color w:val="auto"/>
        </w:rPr>
      </w:pPr>
    </w:p>
    <w:p w14:paraId="71D4F400" w14:textId="1AAE58D9" w:rsidR="001B0E26" w:rsidRPr="008638CB" w:rsidRDefault="001B0E26" w:rsidP="001B0E26">
      <w:pPr>
        <w:pStyle w:val="Subtitle"/>
        <w:numPr>
          <w:ilvl w:val="0"/>
          <w:numId w:val="2"/>
        </w:numPr>
        <w:jc w:val="left"/>
        <w:rPr>
          <w:b w:val="0"/>
          <w:color w:val="auto"/>
        </w:rPr>
      </w:pPr>
      <w:r w:rsidRPr="00495B77">
        <w:rPr>
          <w:b w:val="0"/>
          <w:color w:val="auto"/>
        </w:rPr>
        <w:t>Appropriate</w:t>
      </w:r>
      <w:r w:rsidRPr="008638CB">
        <w:rPr>
          <w:b w:val="0"/>
          <w:color w:val="auto"/>
        </w:rPr>
        <w:t xml:space="preserve"> care</w:t>
      </w:r>
      <w:r w:rsidR="00717059" w:rsidRPr="008638CB">
        <w:rPr>
          <w:b w:val="0"/>
          <w:color w:val="auto"/>
        </w:rPr>
        <w:t>, well planned and delivered.</w:t>
      </w:r>
    </w:p>
    <w:p w14:paraId="11A1A27B" w14:textId="648AA0A4" w:rsidR="001B0E26" w:rsidRPr="008638CB" w:rsidRDefault="00717059" w:rsidP="001B0E26">
      <w:pPr>
        <w:pStyle w:val="Subtitle"/>
        <w:numPr>
          <w:ilvl w:val="0"/>
          <w:numId w:val="2"/>
        </w:numPr>
        <w:jc w:val="left"/>
        <w:rPr>
          <w:b w:val="0"/>
          <w:color w:val="auto"/>
        </w:rPr>
      </w:pPr>
      <w:r w:rsidRPr="008638CB">
        <w:rPr>
          <w:b w:val="0"/>
          <w:color w:val="auto"/>
        </w:rPr>
        <w:t>Issues identified but they did not contribute to the event.</w:t>
      </w:r>
    </w:p>
    <w:p w14:paraId="67BFD99B" w14:textId="0FB0CC87" w:rsidR="00717059" w:rsidRPr="008638CB" w:rsidRDefault="00717059" w:rsidP="001B0E26">
      <w:pPr>
        <w:pStyle w:val="Subtitle"/>
        <w:numPr>
          <w:ilvl w:val="0"/>
          <w:numId w:val="2"/>
        </w:numPr>
        <w:jc w:val="left"/>
        <w:rPr>
          <w:b w:val="0"/>
          <w:color w:val="auto"/>
        </w:rPr>
      </w:pPr>
      <w:r w:rsidRPr="008638CB">
        <w:rPr>
          <w:b w:val="0"/>
          <w:color w:val="auto"/>
        </w:rPr>
        <w:t>Issues identified which may have caused or contributed to the event.</w:t>
      </w:r>
    </w:p>
    <w:p w14:paraId="22715A38" w14:textId="233284F6" w:rsidR="001B0E26" w:rsidRPr="008638CB" w:rsidRDefault="00717059" w:rsidP="001B0E26">
      <w:pPr>
        <w:pStyle w:val="Subtitle"/>
        <w:numPr>
          <w:ilvl w:val="0"/>
          <w:numId w:val="2"/>
        </w:numPr>
        <w:jc w:val="left"/>
        <w:rPr>
          <w:b w:val="0"/>
          <w:color w:val="auto"/>
        </w:rPr>
      </w:pPr>
      <w:r w:rsidRPr="008638CB">
        <w:rPr>
          <w:b w:val="0"/>
          <w:color w:val="auto"/>
        </w:rPr>
        <w:t>Issues identified which directly related to the cause of the event.</w:t>
      </w:r>
    </w:p>
    <w:p w14:paraId="719EDBF3" w14:textId="77777777" w:rsidR="001B0E26" w:rsidRPr="008638CB" w:rsidRDefault="001B0E26" w:rsidP="001B0E26">
      <w:pPr>
        <w:pStyle w:val="Subtitle"/>
        <w:jc w:val="left"/>
        <w:rPr>
          <w:b w:val="0"/>
          <w:color w:val="auto"/>
        </w:rPr>
      </w:pPr>
    </w:p>
    <w:p w14:paraId="7668FB2A" w14:textId="1EDEA99F" w:rsidR="001B0E26" w:rsidRPr="008638CB" w:rsidRDefault="001B0E26" w:rsidP="001B0E26">
      <w:pPr>
        <w:pStyle w:val="Subtitle"/>
        <w:jc w:val="left"/>
        <w:rPr>
          <w:b w:val="0"/>
          <w:color w:val="auto"/>
        </w:rPr>
      </w:pPr>
      <w:r w:rsidRPr="008638CB">
        <w:rPr>
          <w:b w:val="0"/>
          <w:color w:val="auto"/>
        </w:rPr>
        <w:t>The following chart s</w:t>
      </w:r>
      <w:r w:rsidR="00BA0E88" w:rsidRPr="008638CB">
        <w:rPr>
          <w:b w:val="0"/>
          <w:color w:val="auto"/>
        </w:rPr>
        <w:t>hows the outcome codes for the SAER</w:t>
      </w:r>
      <w:r w:rsidRPr="008638CB">
        <w:rPr>
          <w:b w:val="0"/>
          <w:color w:val="auto"/>
        </w:rPr>
        <w:t xml:space="preserve"> reviews during 20</w:t>
      </w:r>
      <w:r w:rsidR="00724867" w:rsidRPr="008638CB">
        <w:rPr>
          <w:b w:val="0"/>
          <w:color w:val="auto"/>
        </w:rPr>
        <w:t>2</w:t>
      </w:r>
      <w:r w:rsidR="00EC139B" w:rsidRPr="008638CB">
        <w:rPr>
          <w:b w:val="0"/>
          <w:color w:val="auto"/>
        </w:rPr>
        <w:t>2/2023</w:t>
      </w:r>
      <w:r w:rsidRPr="008638CB">
        <w:rPr>
          <w:b w:val="0"/>
          <w:color w:val="auto"/>
        </w:rPr>
        <w:t>.</w:t>
      </w:r>
    </w:p>
    <w:p w14:paraId="0D8F033E" w14:textId="77777777" w:rsidR="000657C2" w:rsidRPr="00495B77" w:rsidRDefault="000657C2" w:rsidP="00724867">
      <w:pPr>
        <w:pStyle w:val="Subtitle"/>
        <w:rPr>
          <w:rFonts w:ascii="Arial Narrow" w:hAnsi="Arial Narrow"/>
          <w:color w:val="auto"/>
          <w:sz w:val="22"/>
          <w:szCs w:val="22"/>
        </w:rPr>
      </w:pPr>
    </w:p>
    <w:p w14:paraId="79F1E565" w14:textId="77777777" w:rsidR="00717059" w:rsidRPr="00495B77" w:rsidRDefault="00717059" w:rsidP="00724867">
      <w:pPr>
        <w:pStyle w:val="Subtitle"/>
        <w:rPr>
          <w:rFonts w:ascii="Arial Narrow" w:hAnsi="Arial Narrow"/>
          <w:color w:val="auto"/>
          <w:sz w:val="22"/>
          <w:szCs w:val="22"/>
        </w:rPr>
      </w:pPr>
    </w:p>
    <w:p w14:paraId="63282AAF" w14:textId="1FCC9B6F" w:rsidR="00724867" w:rsidRPr="00257326" w:rsidRDefault="00FF20BF" w:rsidP="00724867">
      <w:pPr>
        <w:pStyle w:val="Subtitle"/>
        <w:rPr>
          <w:rFonts w:ascii="Arial Narrow" w:hAnsi="Arial Narrow"/>
          <w:color w:val="auto"/>
          <w:sz w:val="22"/>
          <w:szCs w:val="22"/>
        </w:rPr>
      </w:pPr>
      <w:r w:rsidRPr="00257326">
        <w:rPr>
          <w:rFonts w:ascii="Arial Narrow" w:hAnsi="Arial Narrow"/>
          <w:color w:val="auto"/>
          <w:sz w:val="22"/>
          <w:szCs w:val="22"/>
        </w:rPr>
        <w:t>Chart 1</w:t>
      </w:r>
      <w:r w:rsidR="004F2A4E">
        <w:rPr>
          <w:rFonts w:ascii="Arial Narrow" w:hAnsi="Arial Narrow"/>
          <w:color w:val="auto"/>
          <w:sz w:val="22"/>
          <w:szCs w:val="22"/>
        </w:rPr>
        <w:t>6</w:t>
      </w:r>
      <w:r w:rsidRPr="00257326">
        <w:rPr>
          <w:rFonts w:ascii="Arial Narrow" w:hAnsi="Arial Narrow"/>
          <w:color w:val="auto"/>
          <w:sz w:val="22"/>
          <w:szCs w:val="22"/>
        </w:rPr>
        <w:t xml:space="preserve"> - </w:t>
      </w:r>
      <w:r w:rsidR="00724867" w:rsidRPr="00257326">
        <w:rPr>
          <w:rFonts w:ascii="Arial Narrow" w:hAnsi="Arial Narrow"/>
          <w:color w:val="auto"/>
          <w:sz w:val="22"/>
          <w:szCs w:val="22"/>
        </w:rPr>
        <w:t>SAER Outcome Codes</w:t>
      </w:r>
    </w:p>
    <w:p w14:paraId="3478627C" w14:textId="00C34FB6" w:rsidR="001B0E26" w:rsidRPr="00495B77" w:rsidRDefault="00EC139B" w:rsidP="00724867">
      <w:pPr>
        <w:pStyle w:val="Subtitle"/>
        <w:spacing w:after="240"/>
        <w:rPr>
          <w:b w:val="0"/>
          <w:color w:val="auto"/>
        </w:rPr>
      </w:pPr>
      <w:r>
        <w:rPr>
          <w:noProof/>
          <w:lang w:eastAsia="en-GB"/>
        </w:rPr>
        <w:drawing>
          <wp:inline distT="0" distB="0" distL="0" distR="0" wp14:anchorId="1883A499" wp14:editId="1262AD24">
            <wp:extent cx="4494363" cy="268224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478EAAB" w14:textId="075DB8EC" w:rsidR="0058523D" w:rsidRPr="00495B77" w:rsidRDefault="00EC139B" w:rsidP="00724867">
      <w:pPr>
        <w:pStyle w:val="Subtitle"/>
        <w:spacing w:after="240"/>
        <w:jc w:val="left"/>
        <w:rPr>
          <w:b w:val="0"/>
          <w:color w:val="auto"/>
        </w:rPr>
      </w:pPr>
      <w:r w:rsidRPr="00495B77">
        <w:rPr>
          <w:b w:val="0"/>
          <w:color w:val="auto"/>
        </w:rPr>
        <w:t xml:space="preserve">In 24% of </w:t>
      </w:r>
      <w:proofErr w:type="gramStart"/>
      <w:r w:rsidRPr="00495B77">
        <w:rPr>
          <w:b w:val="0"/>
          <w:color w:val="auto"/>
        </w:rPr>
        <w:t>cases</w:t>
      </w:r>
      <w:proofErr w:type="gramEnd"/>
      <w:r w:rsidRPr="00495B77">
        <w:rPr>
          <w:b w:val="0"/>
          <w:color w:val="auto"/>
        </w:rPr>
        <w:t xml:space="preserve"> an outcome code of 4 was agreed, meaning that we felt </w:t>
      </w:r>
      <w:r w:rsidR="00717059" w:rsidRPr="00495B77">
        <w:rPr>
          <w:b w:val="0"/>
          <w:color w:val="auto"/>
        </w:rPr>
        <w:t>issues were ide</w:t>
      </w:r>
      <w:r w:rsidR="00717059" w:rsidRPr="008638CB">
        <w:rPr>
          <w:b w:val="0"/>
          <w:color w:val="auto"/>
        </w:rPr>
        <w:t xml:space="preserve">ntified and the issues were directly linked to the cause of the event. </w:t>
      </w:r>
      <w:r w:rsidR="00724867" w:rsidRPr="008638CB">
        <w:rPr>
          <w:b w:val="0"/>
          <w:color w:val="auto"/>
        </w:rPr>
        <w:t xml:space="preserve">In </w:t>
      </w:r>
      <w:r w:rsidRPr="008638CB">
        <w:rPr>
          <w:b w:val="0"/>
          <w:color w:val="auto"/>
        </w:rPr>
        <w:t>47</w:t>
      </w:r>
      <w:r w:rsidR="00724867" w:rsidRPr="008638CB">
        <w:rPr>
          <w:b w:val="0"/>
          <w:color w:val="auto"/>
        </w:rPr>
        <w:t xml:space="preserve">% of </w:t>
      </w:r>
      <w:proofErr w:type="gramStart"/>
      <w:r w:rsidR="00724867" w:rsidRPr="008638CB">
        <w:rPr>
          <w:b w:val="0"/>
          <w:color w:val="auto"/>
        </w:rPr>
        <w:t>cases</w:t>
      </w:r>
      <w:proofErr w:type="gramEnd"/>
      <w:r w:rsidR="00724867" w:rsidRPr="008638CB">
        <w:rPr>
          <w:b w:val="0"/>
          <w:color w:val="auto"/>
        </w:rPr>
        <w:t xml:space="preserve"> an outcome of 3 was </w:t>
      </w:r>
      <w:r w:rsidR="00724867" w:rsidRPr="00495B77">
        <w:rPr>
          <w:b w:val="0"/>
          <w:color w:val="auto"/>
        </w:rPr>
        <w:t xml:space="preserve">agreed meaning that we have felt there was </w:t>
      </w:r>
      <w:r w:rsidR="00717059" w:rsidRPr="00495B77">
        <w:rPr>
          <w:b w:val="0"/>
          <w:color w:val="auto"/>
        </w:rPr>
        <w:t>issues that may have caused or contributed to the event</w:t>
      </w:r>
      <w:r w:rsidR="002E6811" w:rsidRPr="00495B77">
        <w:rPr>
          <w:b w:val="0"/>
          <w:color w:val="auto"/>
        </w:rPr>
        <w:t xml:space="preserve">.  In </w:t>
      </w:r>
      <w:r w:rsidR="00717059" w:rsidRPr="00495B77">
        <w:rPr>
          <w:b w:val="0"/>
          <w:color w:val="auto"/>
        </w:rPr>
        <w:t>2</w:t>
      </w:r>
      <w:r w:rsidR="002E6811" w:rsidRPr="00495B77">
        <w:rPr>
          <w:b w:val="0"/>
          <w:color w:val="auto"/>
        </w:rPr>
        <w:t xml:space="preserve">3% of cases an outcome of 2 was concluded which is not unusual as generally when looking back in detail there are learning points identified that can inform future practice.  </w:t>
      </w:r>
      <w:r w:rsidR="00717059" w:rsidRPr="00495B77">
        <w:rPr>
          <w:b w:val="0"/>
          <w:color w:val="auto"/>
        </w:rPr>
        <w:t xml:space="preserve">One of the cases </w:t>
      </w:r>
      <w:r w:rsidR="002E6811" w:rsidRPr="00495B77">
        <w:rPr>
          <w:b w:val="0"/>
          <w:color w:val="auto"/>
        </w:rPr>
        <w:t>concluded a</w:t>
      </w:r>
      <w:r w:rsidR="00717059" w:rsidRPr="00495B77">
        <w:rPr>
          <w:b w:val="0"/>
          <w:color w:val="auto"/>
        </w:rPr>
        <w:t>t an</w:t>
      </w:r>
      <w:r w:rsidR="002E6811" w:rsidRPr="00495B77">
        <w:rPr>
          <w:b w:val="0"/>
          <w:color w:val="auto"/>
        </w:rPr>
        <w:t xml:space="preserve"> outcome of </w:t>
      </w:r>
      <w:proofErr w:type="gramStart"/>
      <w:r w:rsidR="002E6811" w:rsidRPr="00495B77">
        <w:rPr>
          <w:b w:val="0"/>
          <w:color w:val="auto"/>
        </w:rPr>
        <w:t>1</w:t>
      </w:r>
      <w:proofErr w:type="gramEnd"/>
      <w:r w:rsidR="002E6811" w:rsidRPr="00495B77">
        <w:rPr>
          <w:b w:val="0"/>
          <w:color w:val="auto"/>
        </w:rPr>
        <w:t xml:space="preserve"> which </w:t>
      </w:r>
      <w:r w:rsidR="0058523D" w:rsidRPr="00495B77">
        <w:rPr>
          <w:b w:val="0"/>
          <w:color w:val="auto"/>
        </w:rPr>
        <w:t>was a transplant death that was triggered automatically</w:t>
      </w:r>
      <w:r w:rsidR="00717059" w:rsidRPr="00495B77">
        <w:rPr>
          <w:b w:val="0"/>
          <w:color w:val="auto"/>
        </w:rPr>
        <w:t>.</w:t>
      </w:r>
      <w:r w:rsidR="0058523D" w:rsidRPr="00495B77">
        <w:rPr>
          <w:b w:val="0"/>
          <w:color w:val="auto"/>
        </w:rPr>
        <w:t xml:space="preserve"> </w:t>
      </w:r>
    </w:p>
    <w:p w14:paraId="74D8B660" w14:textId="2CA7EC57" w:rsidR="004D4908" w:rsidRDefault="00724867" w:rsidP="00724867">
      <w:pPr>
        <w:pStyle w:val="Subtitle"/>
        <w:spacing w:after="240"/>
        <w:jc w:val="left"/>
        <w:rPr>
          <w:b w:val="0"/>
          <w:color w:val="auto"/>
        </w:rPr>
      </w:pPr>
      <w:r w:rsidRPr="00495B77">
        <w:rPr>
          <w:b w:val="0"/>
          <w:color w:val="auto"/>
        </w:rPr>
        <w:t xml:space="preserve">The overview within the appendix shows the status of the </w:t>
      </w:r>
      <w:r w:rsidR="00B80FE6" w:rsidRPr="00495B77">
        <w:rPr>
          <w:b w:val="0"/>
          <w:color w:val="auto"/>
        </w:rPr>
        <w:t xml:space="preserve">action plans for these events. </w:t>
      </w:r>
      <w:r w:rsidRPr="00495B77">
        <w:rPr>
          <w:b w:val="0"/>
          <w:color w:val="auto"/>
        </w:rPr>
        <w:t xml:space="preserve">It is vital especially in the </w:t>
      </w:r>
      <w:proofErr w:type="gramStart"/>
      <w:r w:rsidRPr="00495B77">
        <w:rPr>
          <w:b w:val="0"/>
          <w:color w:val="auto"/>
        </w:rPr>
        <w:t>3</w:t>
      </w:r>
      <w:proofErr w:type="gramEnd"/>
      <w:r w:rsidRPr="00495B77">
        <w:rPr>
          <w:b w:val="0"/>
          <w:color w:val="auto"/>
        </w:rPr>
        <w:t xml:space="preserve"> and 4 outcomes that we ensure robust action plans with escala</w:t>
      </w:r>
      <w:r w:rsidR="00B80FE6" w:rsidRPr="00495B77">
        <w:rPr>
          <w:b w:val="0"/>
          <w:color w:val="auto"/>
        </w:rPr>
        <w:t>tion of any issues in delivery.</w:t>
      </w:r>
      <w:r w:rsidRPr="00495B77">
        <w:rPr>
          <w:b w:val="0"/>
          <w:color w:val="auto"/>
        </w:rPr>
        <w:t xml:space="preserve"> We are actively working to improve the processes supporting this within the revised CG structure and a more focused report to support enhanced tracking.</w:t>
      </w:r>
    </w:p>
    <w:p w14:paraId="41227DE0" w14:textId="77777777" w:rsidR="000E6A56" w:rsidRPr="00495B77" w:rsidRDefault="000E6A56" w:rsidP="00724867">
      <w:pPr>
        <w:pStyle w:val="Subtitle"/>
        <w:spacing w:after="240"/>
        <w:jc w:val="left"/>
        <w:rPr>
          <w:b w:val="0"/>
          <w:color w:val="auto"/>
        </w:rPr>
      </w:pPr>
    </w:p>
    <w:p w14:paraId="0966FC00" w14:textId="77777777" w:rsidR="001B0E26" w:rsidRPr="00495B77" w:rsidRDefault="001B0E26" w:rsidP="001B0E26">
      <w:pPr>
        <w:pStyle w:val="Subtitle"/>
        <w:numPr>
          <w:ilvl w:val="0"/>
          <w:numId w:val="1"/>
        </w:numPr>
        <w:jc w:val="both"/>
        <w:rPr>
          <w:color w:val="auto"/>
        </w:rPr>
      </w:pPr>
      <w:r w:rsidRPr="00495B77">
        <w:rPr>
          <w:color w:val="auto"/>
        </w:rPr>
        <w:t xml:space="preserve">Complaints </w:t>
      </w:r>
    </w:p>
    <w:p w14:paraId="4EDE5461" w14:textId="77777777" w:rsidR="001B0E26" w:rsidRPr="00495B77" w:rsidRDefault="001B0E26" w:rsidP="001B0E26">
      <w:pPr>
        <w:pStyle w:val="Subtitle"/>
        <w:jc w:val="both"/>
        <w:rPr>
          <w:color w:val="auto"/>
          <w:u w:val="single"/>
        </w:rPr>
      </w:pPr>
    </w:p>
    <w:p w14:paraId="4257F8E9" w14:textId="77777777" w:rsidR="001B0E26" w:rsidRPr="00495B77" w:rsidRDefault="001B0E26" w:rsidP="001B0E26">
      <w:pPr>
        <w:pStyle w:val="Subtitle"/>
        <w:jc w:val="both"/>
        <w:rPr>
          <w:color w:val="auto"/>
        </w:rPr>
      </w:pPr>
      <w:r w:rsidRPr="00495B77">
        <w:rPr>
          <w:color w:val="auto"/>
        </w:rPr>
        <w:t>3.1 Overview</w:t>
      </w:r>
    </w:p>
    <w:p w14:paraId="43F4DD28" w14:textId="77777777" w:rsidR="001B0E26" w:rsidRPr="00495B77" w:rsidRDefault="001B0E26" w:rsidP="001B0E26">
      <w:pPr>
        <w:pStyle w:val="Subtitle"/>
        <w:jc w:val="both"/>
        <w:rPr>
          <w:b w:val="0"/>
          <w:color w:val="auto"/>
        </w:rPr>
      </w:pPr>
    </w:p>
    <w:p w14:paraId="23D5318F" w14:textId="424976E4" w:rsidR="001B0E26" w:rsidRPr="00495B77" w:rsidRDefault="001B0E26" w:rsidP="001B0E26">
      <w:pPr>
        <w:rPr>
          <w:rFonts w:ascii="Arial" w:hAnsi="Arial" w:cs="Arial"/>
        </w:rPr>
      </w:pPr>
      <w:r w:rsidRPr="00495B77">
        <w:rPr>
          <w:rFonts w:ascii="Arial" w:hAnsi="Arial" w:cs="Arial"/>
        </w:rPr>
        <w:t xml:space="preserve">The </w:t>
      </w:r>
      <w:r w:rsidR="00826426" w:rsidRPr="00495B77">
        <w:rPr>
          <w:rFonts w:ascii="Arial" w:hAnsi="Arial" w:cs="Arial"/>
        </w:rPr>
        <w:t>Scotland complaints Handling Procedure incorporates a</w:t>
      </w:r>
      <w:r w:rsidRPr="00495B77">
        <w:rPr>
          <w:rFonts w:ascii="Arial" w:hAnsi="Arial" w:cs="Arial"/>
        </w:rPr>
        <w:t xml:space="preserve"> reporting structure with </w:t>
      </w:r>
      <w:proofErr w:type="gramStart"/>
      <w:r w:rsidRPr="00495B77">
        <w:rPr>
          <w:rFonts w:ascii="Arial" w:hAnsi="Arial" w:cs="Arial"/>
        </w:rPr>
        <w:t>9</w:t>
      </w:r>
      <w:proofErr w:type="gramEnd"/>
      <w:r w:rsidRPr="00495B77">
        <w:rPr>
          <w:rFonts w:ascii="Arial" w:hAnsi="Arial" w:cs="Arial"/>
        </w:rPr>
        <w:t xml:space="preserve"> new Key Performance Indicators (KPI) and is reported appropriately through the Clinical Governance structure within </w:t>
      </w:r>
      <w:r w:rsidR="00826426" w:rsidRPr="00495B77">
        <w:rPr>
          <w:rFonts w:ascii="Arial" w:hAnsi="Arial" w:cs="Arial"/>
        </w:rPr>
        <w:t>NHS</w:t>
      </w:r>
      <w:r w:rsidRPr="00495B77">
        <w:rPr>
          <w:rFonts w:ascii="Arial" w:hAnsi="Arial" w:cs="Arial"/>
        </w:rPr>
        <w:t>GJ.</w:t>
      </w:r>
    </w:p>
    <w:p w14:paraId="012D2199" w14:textId="3B6E9345" w:rsidR="00017D25" w:rsidRPr="00495B77" w:rsidRDefault="00017D25" w:rsidP="001B0E26">
      <w:pPr>
        <w:rPr>
          <w:rFonts w:ascii="Arial" w:hAnsi="Arial" w:cs="Arial"/>
        </w:rPr>
      </w:pPr>
    </w:p>
    <w:p w14:paraId="791546B6" w14:textId="350B572B" w:rsidR="00695505" w:rsidRPr="00495B77" w:rsidRDefault="00695505" w:rsidP="00695505">
      <w:pPr>
        <w:pStyle w:val="ListParagraph"/>
        <w:numPr>
          <w:ilvl w:val="0"/>
          <w:numId w:val="4"/>
        </w:numPr>
        <w:tabs>
          <w:tab w:val="left" w:pos="426"/>
        </w:tabs>
        <w:outlineLvl w:val="0"/>
        <w:rPr>
          <w:rFonts w:ascii="Arial" w:hAnsi="Arial" w:cs="Arial"/>
        </w:rPr>
      </w:pPr>
      <w:r w:rsidRPr="00495B77">
        <w:rPr>
          <w:rFonts w:ascii="Arial" w:hAnsi="Arial" w:cs="Arial"/>
        </w:rPr>
        <w:t>During 202</w:t>
      </w:r>
      <w:r w:rsidR="00C660E1">
        <w:rPr>
          <w:rFonts w:ascii="Arial" w:hAnsi="Arial" w:cs="Arial"/>
        </w:rPr>
        <w:t>2</w:t>
      </w:r>
      <w:r w:rsidRPr="00495B77">
        <w:rPr>
          <w:rFonts w:ascii="Arial" w:hAnsi="Arial" w:cs="Arial"/>
        </w:rPr>
        <w:t>/202</w:t>
      </w:r>
      <w:r w:rsidR="00C660E1">
        <w:rPr>
          <w:rFonts w:ascii="Arial" w:hAnsi="Arial" w:cs="Arial"/>
        </w:rPr>
        <w:t>3</w:t>
      </w:r>
      <w:r w:rsidRPr="00495B77">
        <w:rPr>
          <w:rFonts w:ascii="Arial" w:hAnsi="Arial" w:cs="Arial"/>
        </w:rPr>
        <w:t xml:space="preserve"> there were 11</w:t>
      </w:r>
      <w:r w:rsidR="00C660E1">
        <w:rPr>
          <w:rFonts w:ascii="Arial" w:hAnsi="Arial" w:cs="Arial"/>
        </w:rPr>
        <w:t>8</w:t>
      </w:r>
      <w:r w:rsidRPr="00495B77">
        <w:rPr>
          <w:rFonts w:ascii="Arial" w:hAnsi="Arial" w:cs="Arial"/>
        </w:rPr>
        <w:t xml:space="preserve"> complaints received (Stage 1 (5</w:t>
      </w:r>
      <w:r w:rsidR="00C660E1">
        <w:rPr>
          <w:rFonts w:ascii="Arial" w:hAnsi="Arial" w:cs="Arial"/>
        </w:rPr>
        <w:t>7</w:t>
      </w:r>
      <w:r w:rsidRPr="00495B77">
        <w:rPr>
          <w:rFonts w:ascii="Arial" w:hAnsi="Arial" w:cs="Arial"/>
        </w:rPr>
        <w:t xml:space="preserve">) and Stage 2 (61)).  There has been an overall increase of 4% (Stage 1 (53) and Stage 2 (61)) in Stage 1.  Which is expected due to the COVID-19 pandemic measures being lifted and services resuming to a more pre pandemic level.   </w:t>
      </w:r>
    </w:p>
    <w:p w14:paraId="4919C641" w14:textId="239E78CC" w:rsidR="001B0E26" w:rsidRPr="00495B77" w:rsidRDefault="001B0E26" w:rsidP="001B0E26">
      <w:pPr>
        <w:pStyle w:val="ListParagraph"/>
        <w:numPr>
          <w:ilvl w:val="0"/>
          <w:numId w:val="4"/>
        </w:numPr>
        <w:tabs>
          <w:tab w:val="left" w:pos="426"/>
        </w:tabs>
        <w:outlineLvl w:val="0"/>
        <w:rPr>
          <w:rFonts w:ascii="Arial" w:hAnsi="Arial" w:cs="Arial"/>
        </w:rPr>
      </w:pPr>
      <w:r w:rsidRPr="00495B77">
        <w:rPr>
          <w:rFonts w:ascii="Arial" w:hAnsi="Arial" w:cs="Arial"/>
        </w:rPr>
        <w:t xml:space="preserve">There were </w:t>
      </w:r>
      <w:r w:rsidR="0008784C" w:rsidRPr="00495B77">
        <w:rPr>
          <w:rFonts w:ascii="Arial" w:hAnsi="Arial" w:cs="Arial"/>
        </w:rPr>
        <w:t>12</w:t>
      </w:r>
      <w:r w:rsidRPr="00495B77">
        <w:rPr>
          <w:rFonts w:ascii="Arial" w:hAnsi="Arial" w:cs="Arial"/>
        </w:rPr>
        <w:t xml:space="preserve"> stage 1 complaints that escalated to a stage 2.</w:t>
      </w:r>
    </w:p>
    <w:p w14:paraId="7CD77DF5" w14:textId="33C5788B" w:rsidR="001B0E26" w:rsidRPr="00495B77" w:rsidRDefault="001B0E26" w:rsidP="00381F7A">
      <w:pPr>
        <w:pStyle w:val="ListParagraph"/>
        <w:numPr>
          <w:ilvl w:val="0"/>
          <w:numId w:val="4"/>
        </w:numPr>
        <w:tabs>
          <w:tab w:val="left" w:pos="426"/>
        </w:tabs>
        <w:outlineLvl w:val="0"/>
        <w:rPr>
          <w:rFonts w:ascii="Arial" w:hAnsi="Arial" w:cs="Arial"/>
        </w:rPr>
      </w:pPr>
      <w:r w:rsidRPr="00495B77">
        <w:rPr>
          <w:rFonts w:ascii="Arial" w:hAnsi="Arial" w:cs="Arial"/>
        </w:rPr>
        <w:t>3</w:t>
      </w:r>
      <w:r w:rsidR="0008784C" w:rsidRPr="00495B77">
        <w:rPr>
          <w:rFonts w:ascii="Arial" w:hAnsi="Arial" w:cs="Arial"/>
        </w:rPr>
        <w:t>4</w:t>
      </w:r>
      <w:r w:rsidRPr="00495B77">
        <w:rPr>
          <w:rFonts w:ascii="Arial" w:hAnsi="Arial" w:cs="Arial"/>
        </w:rPr>
        <w:t xml:space="preserve"> (6</w:t>
      </w:r>
      <w:r w:rsidR="0008784C" w:rsidRPr="00495B77">
        <w:rPr>
          <w:rFonts w:ascii="Arial" w:hAnsi="Arial" w:cs="Arial"/>
        </w:rPr>
        <w:t>0</w:t>
      </w:r>
      <w:r w:rsidRPr="00495B77">
        <w:rPr>
          <w:rFonts w:ascii="Arial" w:hAnsi="Arial" w:cs="Arial"/>
        </w:rPr>
        <w:t xml:space="preserve">%) of the </w:t>
      </w:r>
      <w:r w:rsidR="0008784C" w:rsidRPr="00495B77">
        <w:rPr>
          <w:rFonts w:ascii="Arial" w:hAnsi="Arial" w:cs="Arial"/>
        </w:rPr>
        <w:t>5</w:t>
      </w:r>
      <w:r w:rsidR="002B6097">
        <w:rPr>
          <w:rFonts w:ascii="Arial" w:hAnsi="Arial" w:cs="Arial"/>
        </w:rPr>
        <w:t>7</w:t>
      </w:r>
      <w:r w:rsidRPr="00495B77">
        <w:rPr>
          <w:rFonts w:ascii="Arial" w:hAnsi="Arial" w:cs="Arial"/>
        </w:rPr>
        <w:t xml:space="preserve"> stage 1 complaints were responded to within 5 working </w:t>
      </w:r>
      <w:r w:rsidR="006A1A05" w:rsidRPr="00495B77">
        <w:rPr>
          <w:rFonts w:ascii="Arial" w:hAnsi="Arial" w:cs="Arial"/>
        </w:rPr>
        <w:t>days’</w:t>
      </w:r>
      <w:r w:rsidRPr="00495B77">
        <w:rPr>
          <w:rFonts w:ascii="Arial" w:hAnsi="Arial" w:cs="Arial"/>
        </w:rPr>
        <w:t xml:space="preserve"> timescales</w:t>
      </w:r>
      <w:r w:rsidR="00EB5ADC" w:rsidRPr="00495B77">
        <w:rPr>
          <w:rFonts w:ascii="Arial" w:hAnsi="Arial" w:cs="Arial"/>
        </w:rPr>
        <w:t>, Four</w:t>
      </w:r>
      <w:r w:rsidR="0008784C" w:rsidRPr="00495B77">
        <w:rPr>
          <w:rFonts w:ascii="Arial" w:hAnsi="Arial" w:cs="Arial"/>
        </w:rPr>
        <w:t xml:space="preserve"> </w:t>
      </w:r>
      <w:r w:rsidRPr="00495B77">
        <w:rPr>
          <w:rFonts w:ascii="Arial" w:hAnsi="Arial" w:cs="Arial"/>
        </w:rPr>
        <w:t>stage 1 complaints were withdrawn.</w:t>
      </w:r>
    </w:p>
    <w:p w14:paraId="720811BE" w14:textId="5C9A9952" w:rsidR="001B0E26" w:rsidRPr="00495B77" w:rsidRDefault="0008784C" w:rsidP="00381F7A">
      <w:pPr>
        <w:pStyle w:val="ListParagraph"/>
        <w:numPr>
          <w:ilvl w:val="0"/>
          <w:numId w:val="4"/>
        </w:numPr>
        <w:tabs>
          <w:tab w:val="left" w:pos="426"/>
        </w:tabs>
        <w:outlineLvl w:val="0"/>
        <w:rPr>
          <w:rFonts w:ascii="Arial" w:hAnsi="Arial" w:cs="Arial"/>
        </w:rPr>
      </w:pPr>
      <w:r w:rsidRPr="00495B77">
        <w:rPr>
          <w:rFonts w:ascii="Arial" w:hAnsi="Arial" w:cs="Arial"/>
        </w:rPr>
        <w:t>12</w:t>
      </w:r>
      <w:r w:rsidR="001B0E26" w:rsidRPr="00495B77">
        <w:rPr>
          <w:rFonts w:ascii="Arial" w:hAnsi="Arial" w:cs="Arial"/>
        </w:rPr>
        <w:t xml:space="preserve"> (</w:t>
      </w:r>
      <w:r w:rsidRPr="00495B77">
        <w:rPr>
          <w:rFonts w:ascii="Arial" w:hAnsi="Arial" w:cs="Arial"/>
        </w:rPr>
        <w:t>20</w:t>
      </w:r>
      <w:r w:rsidR="001B0E26" w:rsidRPr="00495B77">
        <w:rPr>
          <w:rFonts w:ascii="Arial" w:hAnsi="Arial" w:cs="Arial"/>
        </w:rPr>
        <w:t xml:space="preserve">%) of </w:t>
      </w:r>
      <w:r w:rsidRPr="00495B77">
        <w:rPr>
          <w:rFonts w:ascii="Arial" w:hAnsi="Arial" w:cs="Arial"/>
        </w:rPr>
        <w:t>61</w:t>
      </w:r>
      <w:r w:rsidR="001B0E26" w:rsidRPr="00495B77">
        <w:rPr>
          <w:rFonts w:ascii="Arial" w:hAnsi="Arial" w:cs="Arial"/>
        </w:rPr>
        <w:t xml:space="preserve"> stage </w:t>
      </w:r>
      <w:proofErr w:type="gramStart"/>
      <w:r w:rsidR="001B0E26" w:rsidRPr="00495B77">
        <w:rPr>
          <w:rFonts w:ascii="Arial" w:hAnsi="Arial" w:cs="Arial"/>
        </w:rPr>
        <w:t>2</w:t>
      </w:r>
      <w:proofErr w:type="gramEnd"/>
      <w:r w:rsidR="001B0E26" w:rsidRPr="00495B77">
        <w:rPr>
          <w:rFonts w:ascii="Arial" w:hAnsi="Arial" w:cs="Arial"/>
        </w:rPr>
        <w:t xml:space="preserve"> complaints were responded to within 20 working </w:t>
      </w:r>
      <w:r w:rsidR="006A1A05" w:rsidRPr="00495B77">
        <w:rPr>
          <w:rFonts w:ascii="Arial" w:hAnsi="Arial" w:cs="Arial"/>
        </w:rPr>
        <w:t>days’</w:t>
      </w:r>
      <w:r w:rsidR="001B0E26" w:rsidRPr="00495B77">
        <w:rPr>
          <w:rFonts w:ascii="Arial" w:hAnsi="Arial" w:cs="Arial"/>
        </w:rPr>
        <w:t xml:space="preserve"> timescales.  There w</w:t>
      </w:r>
      <w:r w:rsidRPr="00495B77">
        <w:rPr>
          <w:rFonts w:ascii="Arial" w:hAnsi="Arial" w:cs="Arial"/>
        </w:rPr>
        <w:t>ere</w:t>
      </w:r>
      <w:r w:rsidR="001B0E26" w:rsidRPr="00495B77">
        <w:rPr>
          <w:rFonts w:ascii="Arial" w:hAnsi="Arial" w:cs="Arial"/>
        </w:rPr>
        <w:t xml:space="preserve"> </w:t>
      </w:r>
      <w:proofErr w:type="gramStart"/>
      <w:r w:rsidRPr="00495B77">
        <w:rPr>
          <w:rFonts w:ascii="Arial" w:hAnsi="Arial" w:cs="Arial"/>
        </w:rPr>
        <w:t>7</w:t>
      </w:r>
      <w:proofErr w:type="gramEnd"/>
      <w:r w:rsidR="001B0E26" w:rsidRPr="00495B77">
        <w:rPr>
          <w:rFonts w:ascii="Arial" w:hAnsi="Arial" w:cs="Arial"/>
        </w:rPr>
        <w:t xml:space="preserve"> stage 2 complaint</w:t>
      </w:r>
      <w:r w:rsidRPr="00495B77">
        <w:rPr>
          <w:rFonts w:ascii="Arial" w:hAnsi="Arial" w:cs="Arial"/>
        </w:rPr>
        <w:t>s</w:t>
      </w:r>
      <w:r w:rsidR="001B0E26" w:rsidRPr="00495B77">
        <w:rPr>
          <w:rFonts w:ascii="Arial" w:hAnsi="Arial" w:cs="Arial"/>
        </w:rPr>
        <w:t xml:space="preserve"> withdrawn</w:t>
      </w:r>
      <w:r w:rsidR="00A75ECC" w:rsidRPr="00495B77">
        <w:rPr>
          <w:rFonts w:ascii="Arial" w:hAnsi="Arial" w:cs="Arial"/>
        </w:rPr>
        <w:t>.</w:t>
      </w:r>
    </w:p>
    <w:p w14:paraId="3A9D9C09" w14:textId="6CE682A2" w:rsidR="001B0E26" w:rsidRPr="00495B77" w:rsidRDefault="001B0E26" w:rsidP="00381F7A">
      <w:pPr>
        <w:pStyle w:val="ListParagraph"/>
        <w:numPr>
          <w:ilvl w:val="0"/>
          <w:numId w:val="4"/>
        </w:numPr>
        <w:tabs>
          <w:tab w:val="left" w:pos="5310"/>
        </w:tabs>
        <w:outlineLvl w:val="0"/>
        <w:rPr>
          <w:rFonts w:ascii="Arial" w:hAnsi="Arial" w:cs="Arial"/>
        </w:rPr>
      </w:pPr>
      <w:r w:rsidRPr="00495B77">
        <w:rPr>
          <w:rFonts w:ascii="Arial" w:hAnsi="Arial" w:cs="Arial"/>
        </w:rPr>
        <w:t xml:space="preserve">The top three categories were </w:t>
      </w:r>
      <w:r w:rsidR="00653953" w:rsidRPr="00495B77">
        <w:rPr>
          <w:rFonts w:ascii="Arial" w:hAnsi="Arial" w:cs="Arial"/>
        </w:rPr>
        <w:t>Clinical Treatment (30), Cancellations of surgery/procedure (20) and waiting list (19)</w:t>
      </w:r>
      <w:r w:rsidRPr="00495B77">
        <w:rPr>
          <w:rFonts w:ascii="Arial" w:hAnsi="Arial" w:cs="Arial"/>
        </w:rPr>
        <w:t xml:space="preserve">. </w:t>
      </w:r>
    </w:p>
    <w:p w14:paraId="4B77E268" w14:textId="07395DA3" w:rsidR="001B0E26" w:rsidRPr="00495B77" w:rsidRDefault="001B0E26" w:rsidP="00381F7A">
      <w:pPr>
        <w:pStyle w:val="ListParagraph"/>
        <w:numPr>
          <w:ilvl w:val="0"/>
          <w:numId w:val="4"/>
        </w:numPr>
        <w:tabs>
          <w:tab w:val="left" w:pos="5310"/>
        </w:tabs>
        <w:outlineLvl w:val="0"/>
        <w:rPr>
          <w:rFonts w:ascii="Arial" w:hAnsi="Arial" w:cs="Arial"/>
        </w:rPr>
      </w:pPr>
      <w:r w:rsidRPr="00495B77">
        <w:rPr>
          <w:rFonts w:ascii="Arial" w:hAnsi="Arial" w:cs="Arial"/>
        </w:rPr>
        <w:t xml:space="preserve">There were </w:t>
      </w:r>
      <w:proofErr w:type="gramStart"/>
      <w:r w:rsidR="00381F7A" w:rsidRPr="00495B77">
        <w:rPr>
          <w:rFonts w:ascii="Arial" w:hAnsi="Arial" w:cs="Arial"/>
        </w:rPr>
        <w:t>6</w:t>
      </w:r>
      <w:proofErr w:type="gramEnd"/>
      <w:r w:rsidRPr="00495B77">
        <w:rPr>
          <w:rFonts w:ascii="Arial" w:hAnsi="Arial" w:cs="Arial"/>
        </w:rPr>
        <w:t xml:space="preserve"> complaints progressed to a Significant Adverse Event Review (SAER). </w:t>
      </w:r>
    </w:p>
    <w:p w14:paraId="51358127" w14:textId="22992381" w:rsidR="001B0E26" w:rsidRPr="00495B77" w:rsidRDefault="001B0E26" w:rsidP="00381F7A">
      <w:pPr>
        <w:pStyle w:val="ListParagraph"/>
        <w:numPr>
          <w:ilvl w:val="0"/>
          <w:numId w:val="4"/>
        </w:numPr>
        <w:tabs>
          <w:tab w:val="left" w:pos="5310"/>
        </w:tabs>
        <w:outlineLvl w:val="0"/>
        <w:rPr>
          <w:rFonts w:ascii="Arial" w:hAnsi="Arial" w:cs="Arial"/>
        </w:rPr>
      </w:pPr>
      <w:r w:rsidRPr="00495B77">
        <w:rPr>
          <w:rFonts w:ascii="Arial" w:hAnsi="Arial" w:cs="Arial"/>
        </w:rPr>
        <w:t xml:space="preserve">There were </w:t>
      </w:r>
      <w:proofErr w:type="gramStart"/>
      <w:r w:rsidR="00381F7A" w:rsidRPr="00495B77">
        <w:rPr>
          <w:rFonts w:ascii="Arial" w:hAnsi="Arial" w:cs="Arial"/>
        </w:rPr>
        <w:t>6</w:t>
      </w:r>
      <w:proofErr w:type="gramEnd"/>
      <w:r w:rsidRPr="00495B77">
        <w:rPr>
          <w:rFonts w:ascii="Arial" w:hAnsi="Arial" w:cs="Arial"/>
        </w:rPr>
        <w:t xml:space="preserve"> cases referred to the Scottish Public Services Ombudsman (SPSO)</w:t>
      </w:r>
      <w:r w:rsidR="0099646F" w:rsidRPr="00495B77">
        <w:rPr>
          <w:rFonts w:ascii="Arial" w:hAnsi="Arial" w:cs="Arial"/>
        </w:rPr>
        <w:t>.</w:t>
      </w:r>
    </w:p>
    <w:p w14:paraId="0CA8990D" w14:textId="43A5B9C2" w:rsidR="001B0E26" w:rsidRPr="00495B77" w:rsidRDefault="001B0E26" w:rsidP="00381F7A">
      <w:pPr>
        <w:pStyle w:val="ListParagraph"/>
        <w:numPr>
          <w:ilvl w:val="0"/>
          <w:numId w:val="4"/>
        </w:numPr>
        <w:tabs>
          <w:tab w:val="left" w:pos="5310"/>
        </w:tabs>
        <w:outlineLvl w:val="0"/>
        <w:rPr>
          <w:rFonts w:ascii="Arial" w:hAnsi="Arial" w:cs="Arial"/>
        </w:rPr>
      </w:pPr>
      <w:r w:rsidRPr="00495B77">
        <w:rPr>
          <w:rFonts w:ascii="Arial" w:hAnsi="Arial" w:cs="Arial"/>
        </w:rPr>
        <w:t xml:space="preserve">There were </w:t>
      </w:r>
      <w:r w:rsidR="00381F7A" w:rsidRPr="00495B77">
        <w:rPr>
          <w:rFonts w:ascii="Arial" w:hAnsi="Arial" w:cs="Arial"/>
        </w:rPr>
        <w:t>67 concerns received during 2022</w:t>
      </w:r>
      <w:r w:rsidRPr="00495B77">
        <w:rPr>
          <w:rFonts w:ascii="Arial" w:hAnsi="Arial" w:cs="Arial"/>
        </w:rPr>
        <w:t>/2</w:t>
      </w:r>
      <w:r w:rsidR="00381F7A" w:rsidRPr="00495B77">
        <w:rPr>
          <w:rFonts w:ascii="Arial" w:hAnsi="Arial" w:cs="Arial"/>
        </w:rPr>
        <w:t>3; this represents a 51% increase</w:t>
      </w:r>
      <w:r w:rsidR="00756B07" w:rsidRPr="00495B77">
        <w:rPr>
          <w:rFonts w:ascii="Arial" w:hAnsi="Arial" w:cs="Arial"/>
        </w:rPr>
        <w:t xml:space="preserve"> compared to the previous year.</w:t>
      </w:r>
      <w:r w:rsidR="00381F7A" w:rsidRPr="00495B77">
        <w:rPr>
          <w:rFonts w:ascii="Arial" w:hAnsi="Arial" w:cs="Arial"/>
        </w:rPr>
        <w:t xml:space="preserve"> The majority related to waiting times and cancellation of surgery/procedure.</w:t>
      </w:r>
    </w:p>
    <w:p w14:paraId="3B044012" w14:textId="403FD02F" w:rsidR="001B0E26" w:rsidRPr="00495B77" w:rsidRDefault="001B0E26" w:rsidP="001B0E26">
      <w:pPr>
        <w:pStyle w:val="ListParagraph"/>
        <w:numPr>
          <w:ilvl w:val="0"/>
          <w:numId w:val="4"/>
        </w:numPr>
        <w:tabs>
          <w:tab w:val="left" w:pos="5310"/>
        </w:tabs>
        <w:jc w:val="both"/>
        <w:outlineLvl w:val="0"/>
        <w:rPr>
          <w:rFonts w:ascii="Arial" w:hAnsi="Arial" w:cs="Arial"/>
        </w:rPr>
      </w:pPr>
      <w:r w:rsidRPr="00495B77">
        <w:rPr>
          <w:rFonts w:ascii="Arial" w:hAnsi="Arial" w:cs="Arial"/>
        </w:rPr>
        <w:t xml:space="preserve">Compliments were the highest feedback, with </w:t>
      </w:r>
      <w:r w:rsidR="00381F7A" w:rsidRPr="00495B77">
        <w:rPr>
          <w:rFonts w:ascii="Arial" w:hAnsi="Arial" w:cs="Arial"/>
        </w:rPr>
        <w:t>212</w:t>
      </w:r>
      <w:r w:rsidRPr="00495B77">
        <w:rPr>
          <w:rFonts w:ascii="Arial" w:hAnsi="Arial" w:cs="Arial"/>
        </w:rPr>
        <w:t xml:space="preserve"> being received</w:t>
      </w:r>
      <w:r w:rsidR="00F73ED6" w:rsidRPr="00495B77">
        <w:rPr>
          <w:rFonts w:ascii="Arial" w:hAnsi="Arial" w:cs="Arial"/>
        </w:rPr>
        <w:t xml:space="preserve"> during 2022/23</w:t>
      </w:r>
      <w:r w:rsidRPr="00495B77">
        <w:rPr>
          <w:rFonts w:ascii="Arial" w:hAnsi="Arial" w:cs="Arial"/>
        </w:rPr>
        <w:t xml:space="preserve">.  </w:t>
      </w:r>
    </w:p>
    <w:p w14:paraId="50EB98C6" w14:textId="77777777" w:rsidR="001B0E26" w:rsidRPr="00495B77" w:rsidRDefault="001B0E26" w:rsidP="001B0E26">
      <w:pPr>
        <w:rPr>
          <w:rFonts w:ascii="Arial" w:hAnsi="Arial" w:cs="Arial"/>
        </w:rPr>
      </w:pPr>
    </w:p>
    <w:p w14:paraId="159937E1" w14:textId="30D192E1" w:rsidR="001B0E26" w:rsidRPr="00495B77" w:rsidRDefault="001B0E26" w:rsidP="001B0E26">
      <w:pPr>
        <w:pStyle w:val="Subtitle"/>
        <w:tabs>
          <w:tab w:val="center" w:pos="4513"/>
          <w:tab w:val="left" w:pos="7200"/>
        </w:tabs>
        <w:rPr>
          <w:rFonts w:ascii="Arial Narrow" w:hAnsi="Arial Narrow"/>
          <w:color w:val="auto"/>
          <w:sz w:val="22"/>
          <w:szCs w:val="22"/>
        </w:rPr>
      </w:pPr>
      <w:r w:rsidRPr="00495B77">
        <w:rPr>
          <w:rFonts w:ascii="Arial Narrow" w:hAnsi="Arial Narrow"/>
          <w:color w:val="auto"/>
          <w:sz w:val="22"/>
          <w:szCs w:val="22"/>
        </w:rPr>
        <w:t xml:space="preserve">Chart </w:t>
      </w:r>
      <w:r w:rsidR="004F2A4E" w:rsidRPr="00495B77">
        <w:rPr>
          <w:rFonts w:ascii="Arial Narrow" w:hAnsi="Arial Narrow"/>
          <w:color w:val="auto"/>
          <w:sz w:val="22"/>
          <w:szCs w:val="22"/>
        </w:rPr>
        <w:t>17</w:t>
      </w:r>
      <w:r w:rsidRPr="00495B77">
        <w:rPr>
          <w:rFonts w:ascii="Arial Narrow" w:hAnsi="Arial Narrow"/>
          <w:color w:val="auto"/>
          <w:sz w:val="22"/>
          <w:szCs w:val="22"/>
        </w:rPr>
        <w:t xml:space="preserve"> – NHS GJ Complaints by Service </w:t>
      </w:r>
      <w:r w:rsidR="009558A8" w:rsidRPr="00495B77">
        <w:rPr>
          <w:rFonts w:ascii="Arial Narrow" w:hAnsi="Arial Narrow"/>
          <w:color w:val="auto"/>
          <w:sz w:val="22"/>
          <w:szCs w:val="22"/>
        </w:rPr>
        <w:t xml:space="preserve">(Top 6) </w:t>
      </w:r>
      <w:r w:rsidRPr="00495B77">
        <w:rPr>
          <w:rFonts w:ascii="Arial Narrow" w:hAnsi="Arial Narrow"/>
          <w:color w:val="auto"/>
          <w:sz w:val="22"/>
          <w:szCs w:val="22"/>
        </w:rPr>
        <w:t>202</w:t>
      </w:r>
      <w:r w:rsidR="009558A8" w:rsidRPr="00495B77">
        <w:rPr>
          <w:rFonts w:ascii="Arial Narrow" w:hAnsi="Arial Narrow"/>
          <w:color w:val="auto"/>
          <w:sz w:val="22"/>
          <w:szCs w:val="22"/>
        </w:rPr>
        <w:t>2</w:t>
      </w:r>
      <w:r w:rsidRPr="00495B77">
        <w:rPr>
          <w:rFonts w:ascii="Arial Narrow" w:hAnsi="Arial Narrow"/>
          <w:color w:val="auto"/>
          <w:sz w:val="22"/>
          <w:szCs w:val="22"/>
        </w:rPr>
        <w:t>/202</w:t>
      </w:r>
      <w:r w:rsidR="009558A8" w:rsidRPr="00495B77">
        <w:rPr>
          <w:rFonts w:ascii="Arial Narrow" w:hAnsi="Arial Narrow"/>
          <w:color w:val="auto"/>
          <w:sz w:val="22"/>
          <w:szCs w:val="22"/>
        </w:rPr>
        <w:t>3</w:t>
      </w:r>
    </w:p>
    <w:p w14:paraId="7C842916" w14:textId="67BB1D4C" w:rsidR="001B0E26" w:rsidRPr="00495B77" w:rsidRDefault="009558A8" w:rsidP="001B0E26">
      <w:pPr>
        <w:pStyle w:val="Subtitle"/>
        <w:spacing w:after="240"/>
        <w:rPr>
          <w:b w:val="0"/>
          <w:color w:val="auto"/>
          <w:highlight w:val="yellow"/>
        </w:rPr>
      </w:pPr>
      <w:r>
        <w:rPr>
          <w:noProof/>
          <w:lang w:eastAsia="en-GB"/>
        </w:rPr>
        <w:drawing>
          <wp:inline distT="0" distB="0" distL="0" distR="0" wp14:anchorId="105FDA62" wp14:editId="0F250763">
            <wp:extent cx="4067175" cy="25146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1B0E26" w:rsidRPr="00473D1A">
        <w:rPr>
          <w:noProof/>
          <w:color w:val="FFC000"/>
        </w:rPr>
        <w:t xml:space="preserve"> </w:t>
      </w:r>
    </w:p>
    <w:p w14:paraId="75292DAC" w14:textId="30BE4A36" w:rsidR="001B0E26" w:rsidRPr="00495B77" w:rsidRDefault="003729B9" w:rsidP="001B0E26">
      <w:pPr>
        <w:pStyle w:val="Subtitle"/>
        <w:jc w:val="left"/>
        <w:rPr>
          <w:b w:val="0"/>
          <w:color w:val="auto"/>
        </w:rPr>
      </w:pPr>
      <w:r w:rsidRPr="00495B77">
        <w:rPr>
          <w:b w:val="0"/>
          <w:color w:val="auto"/>
        </w:rPr>
        <w:t xml:space="preserve">The above chart shows the top </w:t>
      </w:r>
      <w:proofErr w:type="gramStart"/>
      <w:r w:rsidR="009558A8" w:rsidRPr="00495B77">
        <w:rPr>
          <w:b w:val="0"/>
          <w:color w:val="auto"/>
        </w:rPr>
        <w:t>6</w:t>
      </w:r>
      <w:proofErr w:type="gramEnd"/>
      <w:r w:rsidR="001B0E26" w:rsidRPr="00495B77">
        <w:rPr>
          <w:b w:val="0"/>
          <w:color w:val="auto"/>
        </w:rPr>
        <w:t xml:space="preserve"> services </w:t>
      </w:r>
      <w:r w:rsidR="00756B07" w:rsidRPr="00495B77">
        <w:rPr>
          <w:b w:val="0"/>
          <w:color w:val="auto"/>
        </w:rPr>
        <w:t xml:space="preserve">that the complaints relate to. </w:t>
      </w:r>
      <w:r w:rsidR="001B0E26" w:rsidRPr="00495B77">
        <w:rPr>
          <w:b w:val="0"/>
          <w:color w:val="auto"/>
        </w:rPr>
        <w:t>Orthopaedics</w:t>
      </w:r>
      <w:r w:rsidR="0099646F" w:rsidRPr="00495B77">
        <w:rPr>
          <w:b w:val="0"/>
          <w:color w:val="auto"/>
        </w:rPr>
        <w:t>, Cardiac Services</w:t>
      </w:r>
      <w:r w:rsidR="001B0E26" w:rsidRPr="00495B77">
        <w:rPr>
          <w:b w:val="0"/>
          <w:color w:val="auto"/>
        </w:rPr>
        <w:t xml:space="preserve"> </w:t>
      </w:r>
      <w:r w:rsidR="009558A8" w:rsidRPr="00495B77">
        <w:rPr>
          <w:b w:val="0"/>
          <w:color w:val="auto"/>
        </w:rPr>
        <w:t xml:space="preserve">and </w:t>
      </w:r>
      <w:r w:rsidR="001B0E26" w:rsidRPr="00495B77">
        <w:rPr>
          <w:b w:val="0"/>
          <w:color w:val="auto"/>
        </w:rPr>
        <w:t xml:space="preserve">Interventional Cardiology </w:t>
      </w:r>
      <w:r w:rsidR="0099646F" w:rsidRPr="00495B77">
        <w:rPr>
          <w:b w:val="0"/>
          <w:color w:val="auto"/>
        </w:rPr>
        <w:t xml:space="preserve">have all featured in the top </w:t>
      </w:r>
      <w:proofErr w:type="gramStart"/>
      <w:r w:rsidR="0099646F" w:rsidRPr="00495B77">
        <w:rPr>
          <w:b w:val="0"/>
          <w:color w:val="auto"/>
        </w:rPr>
        <w:t>3</w:t>
      </w:r>
      <w:proofErr w:type="gramEnd"/>
      <w:r w:rsidR="0099646F" w:rsidRPr="00495B77">
        <w:rPr>
          <w:b w:val="0"/>
          <w:color w:val="auto"/>
        </w:rPr>
        <w:t xml:space="preserve"> services for 3 of the 4 preceding financial years.</w:t>
      </w:r>
    </w:p>
    <w:p w14:paraId="47CA02EA" w14:textId="77777777" w:rsidR="001B0E26" w:rsidRPr="00495B77" w:rsidRDefault="001B0E26" w:rsidP="001B0E26">
      <w:pPr>
        <w:pStyle w:val="Subtitle"/>
        <w:jc w:val="left"/>
        <w:rPr>
          <w:b w:val="0"/>
          <w:color w:val="auto"/>
        </w:rPr>
      </w:pPr>
    </w:p>
    <w:p w14:paraId="0219D8FD" w14:textId="5FA38D38" w:rsidR="00F162E3" w:rsidRPr="00495B77" w:rsidRDefault="00F162E3" w:rsidP="00F162E3">
      <w:pPr>
        <w:pStyle w:val="Subtitle"/>
        <w:rPr>
          <w:b w:val="0"/>
          <w:color w:val="auto"/>
        </w:rPr>
      </w:pPr>
      <w:r w:rsidRPr="00495B77">
        <w:rPr>
          <w:rFonts w:ascii="Arial Narrow" w:hAnsi="Arial Narrow"/>
          <w:color w:val="auto"/>
          <w:sz w:val="22"/>
          <w:szCs w:val="22"/>
        </w:rPr>
        <w:t xml:space="preserve">Chart </w:t>
      </w:r>
      <w:r w:rsidR="004F2A4E" w:rsidRPr="00495B77">
        <w:rPr>
          <w:rFonts w:ascii="Arial Narrow" w:hAnsi="Arial Narrow"/>
          <w:color w:val="auto"/>
          <w:sz w:val="22"/>
          <w:szCs w:val="22"/>
        </w:rPr>
        <w:t>18</w:t>
      </w:r>
      <w:r w:rsidRPr="00495B77">
        <w:rPr>
          <w:rFonts w:ascii="Arial Narrow" w:hAnsi="Arial Narrow"/>
          <w:color w:val="auto"/>
          <w:sz w:val="22"/>
          <w:szCs w:val="22"/>
        </w:rPr>
        <w:t xml:space="preserve"> – NHS GJ Complaints by Categories</w:t>
      </w:r>
      <w:r w:rsidR="001E33C2" w:rsidRPr="00495B77">
        <w:rPr>
          <w:rFonts w:ascii="Arial Narrow" w:hAnsi="Arial Narrow"/>
          <w:color w:val="auto"/>
          <w:sz w:val="22"/>
          <w:szCs w:val="22"/>
        </w:rPr>
        <w:t xml:space="preserve"> – Two Year Comparison 2021-22 – 2022/23</w:t>
      </w:r>
    </w:p>
    <w:p w14:paraId="6F213FE4" w14:textId="629019D7" w:rsidR="001B0E26" w:rsidRPr="00221906" w:rsidRDefault="001E33C2" w:rsidP="00EB089A">
      <w:pPr>
        <w:pStyle w:val="Subtitle"/>
        <w:spacing w:after="240"/>
        <w:rPr>
          <w:b w:val="0"/>
          <w:color w:val="auto"/>
        </w:rPr>
      </w:pPr>
      <w:r w:rsidRPr="00221906">
        <w:rPr>
          <w:noProof/>
          <w:color w:val="auto"/>
          <w:lang w:eastAsia="en-GB"/>
        </w:rPr>
        <w:drawing>
          <wp:inline distT="0" distB="0" distL="0" distR="0" wp14:anchorId="4D3C358E" wp14:editId="4A4680EB">
            <wp:extent cx="4581525" cy="22098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99D063C" w14:textId="5FF71F63" w:rsidR="001B0E26" w:rsidRPr="00495B77" w:rsidRDefault="001B0E26" w:rsidP="001B0E26">
      <w:pPr>
        <w:pStyle w:val="Subtitle"/>
        <w:jc w:val="left"/>
        <w:rPr>
          <w:b w:val="0"/>
          <w:color w:val="auto"/>
        </w:rPr>
      </w:pPr>
      <w:r w:rsidRPr="00221906">
        <w:rPr>
          <w:b w:val="0"/>
          <w:color w:val="auto"/>
        </w:rPr>
        <w:t xml:space="preserve">Chart </w:t>
      </w:r>
      <w:r w:rsidR="004F2A4E">
        <w:rPr>
          <w:b w:val="0"/>
          <w:color w:val="auto"/>
        </w:rPr>
        <w:t>18</w:t>
      </w:r>
      <w:r w:rsidRPr="00221906">
        <w:rPr>
          <w:b w:val="0"/>
          <w:color w:val="auto"/>
        </w:rPr>
        <w:t xml:space="preserve"> </w:t>
      </w:r>
      <w:r w:rsidRPr="00495B77">
        <w:rPr>
          <w:b w:val="0"/>
          <w:color w:val="auto"/>
        </w:rPr>
        <w:t xml:space="preserve">shows the top </w:t>
      </w:r>
      <w:proofErr w:type="gramStart"/>
      <w:r w:rsidRPr="00495B77">
        <w:rPr>
          <w:b w:val="0"/>
          <w:color w:val="auto"/>
        </w:rPr>
        <w:t>6</w:t>
      </w:r>
      <w:proofErr w:type="gramEnd"/>
      <w:r w:rsidRPr="00495B77">
        <w:rPr>
          <w:b w:val="0"/>
          <w:color w:val="auto"/>
        </w:rPr>
        <w:t xml:space="preserve"> categorie</w:t>
      </w:r>
      <w:r w:rsidR="00756B07" w:rsidRPr="00495B77">
        <w:rPr>
          <w:b w:val="0"/>
          <w:color w:val="auto"/>
        </w:rPr>
        <w:t>s for complaints.</w:t>
      </w:r>
      <w:r w:rsidRPr="00495B77">
        <w:rPr>
          <w:b w:val="0"/>
          <w:color w:val="auto"/>
        </w:rPr>
        <w:t xml:space="preserve"> The top themes are Clinical Treatment, being the hig</w:t>
      </w:r>
      <w:r w:rsidR="00857056" w:rsidRPr="00495B77">
        <w:rPr>
          <w:b w:val="0"/>
          <w:color w:val="auto"/>
        </w:rPr>
        <w:t>hest over the past three years.</w:t>
      </w:r>
      <w:r w:rsidRPr="00495B77">
        <w:rPr>
          <w:b w:val="0"/>
          <w:color w:val="auto"/>
        </w:rPr>
        <w:t xml:space="preserve"> </w:t>
      </w:r>
      <w:r w:rsidR="008F3796" w:rsidRPr="00495B77">
        <w:rPr>
          <w:b w:val="0"/>
          <w:color w:val="auto"/>
        </w:rPr>
        <w:t>Cancellation of surgery/ procedure</w:t>
      </w:r>
      <w:r w:rsidRPr="00495B77">
        <w:rPr>
          <w:b w:val="0"/>
          <w:color w:val="auto"/>
        </w:rPr>
        <w:t xml:space="preserve">, Staff Attitude and Waiting list have been in the top </w:t>
      </w:r>
      <w:proofErr w:type="gramStart"/>
      <w:r w:rsidRPr="00495B77">
        <w:rPr>
          <w:b w:val="0"/>
          <w:color w:val="auto"/>
        </w:rPr>
        <w:t>4</w:t>
      </w:r>
      <w:proofErr w:type="gramEnd"/>
      <w:r w:rsidRPr="00495B77">
        <w:rPr>
          <w:b w:val="0"/>
          <w:color w:val="auto"/>
        </w:rPr>
        <w:t xml:space="preserve"> themes over the past three years.</w:t>
      </w:r>
    </w:p>
    <w:p w14:paraId="627E96D5" w14:textId="54EEFF0C" w:rsidR="00017D25" w:rsidRPr="00495B77" w:rsidRDefault="00017D25" w:rsidP="00170386">
      <w:pPr>
        <w:rPr>
          <w:rFonts w:ascii="Arial" w:hAnsi="Arial" w:cs="Arial"/>
        </w:rPr>
      </w:pPr>
    </w:p>
    <w:p w14:paraId="3A4C426E" w14:textId="0B2C1F28" w:rsidR="001B0E26" w:rsidRPr="00495B77" w:rsidRDefault="001B0E26" w:rsidP="001B0E26">
      <w:pPr>
        <w:widowControl w:val="0"/>
        <w:autoSpaceDE w:val="0"/>
        <w:autoSpaceDN w:val="0"/>
        <w:adjustRightInd w:val="0"/>
        <w:ind w:right="690"/>
        <w:rPr>
          <w:rFonts w:ascii="Arial" w:hAnsi="Arial" w:cs="Arial"/>
        </w:rPr>
      </w:pPr>
      <w:r w:rsidRPr="00495B77">
        <w:rPr>
          <w:rFonts w:ascii="Arial" w:hAnsi="Arial" w:cs="Arial"/>
        </w:rPr>
        <w:t xml:space="preserve">In this </w:t>
      </w:r>
      <w:proofErr w:type="gramStart"/>
      <w:r w:rsidRPr="00495B77">
        <w:rPr>
          <w:rFonts w:ascii="Arial" w:hAnsi="Arial" w:cs="Arial"/>
        </w:rPr>
        <w:t>year</w:t>
      </w:r>
      <w:proofErr w:type="gramEnd"/>
      <w:r w:rsidRPr="00495B77">
        <w:rPr>
          <w:rFonts w:ascii="Arial" w:hAnsi="Arial" w:cs="Arial"/>
        </w:rPr>
        <w:t xml:space="preserve"> we have had </w:t>
      </w:r>
      <w:r w:rsidR="00D134E8" w:rsidRPr="00495B77">
        <w:rPr>
          <w:rFonts w:ascii="Arial" w:hAnsi="Arial" w:cs="Arial"/>
        </w:rPr>
        <w:t>three</w:t>
      </w:r>
      <w:r w:rsidRPr="00495B77">
        <w:rPr>
          <w:rFonts w:ascii="Arial" w:hAnsi="Arial" w:cs="Arial"/>
        </w:rPr>
        <w:t xml:space="preserve"> complaints that escalated to a Significant Adverse Event </w:t>
      </w:r>
      <w:r w:rsidR="00D134E8" w:rsidRPr="00495B77">
        <w:rPr>
          <w:rFonts w:ascii="Arial" w:hAnsi="Arial" w:cs="Arial"/>
        </w:rPr>
        <w:t xml:space="preserve">Review </w:t>
      </w:r>
      <w:r w:rsidRPr="00495B77">
        <w:rPr>
          <w:rFonts w:ascii="Arial" w:hAnsi="Arial" w:cs="Arial"/>
        </w:rPr>
        <w:t>(SAE</w:t>
      </w:r>
      <w:r w:rsidR="00D134E8" w:rsidRPr="00495B77">
        <w:rPr>
          <w:rFonts w:ascii="Arial" w:hAnsi="Arial" w:cs="Arial"/>
        </w:rPr>
        <w:t xml:space="preserve">R).  </w:t>
      </w:r>
      <w:r w:rsidR="003751C3" w:rsidRPr="00495B77">
        <w:rPr>
          <w:rFonts w:ascii="Arial" w:hAnsi="Arial" w:cs="Arial"/>
        </w:rPr>
        <w:t>All learning and actions r</w:t>
      </w:r>
      <w:r w:rsidR="00A050E9" w:rsidRPr="00495B77">
        <w:rPr>
          <w:rFonts w:ascii="Arial" w:hAnsi="Arial" w:cs="Arial"/>
        </w:rPr>
        <w:t>elated to SAERs is detailed in A</w:t>
      </w:r>
      <w:r w:rsidR="003751C3" w:rsidRPr="00495B77">
        <w:rPr>
          <w:rFonts w:ascii="Arial" w:hAnsi="Arial" w:cs="Arial"/>
        </w:rPr>
        <w:t>ppendix A.</w:t>
      </w:r>
    </w:p>
    <w:p w14:paraId="1A9D59D8" w14:textId="77777777" w:rsidR="001B0E26" w:rsidRPr="00495B77" w:rsidRDefault="001B0E26" w:rsidP="001B0E26">
      <w:pPr>
        <w:pStyle w:val="Subtitle"/>
        <w:jc w:val="both"/>
        <w:rPr>
          <w:b w:val="0"/>
          <w:color w:val="auto"/>
        </w:rPr>
      </w:pPr>
    </w:p>
    <w:p w14:paraId="4E286A4F" w14:textId="77777777" w:rsidR="00025CDD" w:rsidRPr="00495B77" w:rsidRDefault="00025CDD" w:rsidP="00025CDD">
      <w:pPr>
        <w:rPr>
          <w:rFonts w:ascii="Arial" w:hAnsi="Arial" w:cs="Arial"/>
        </w:rPr>
      </w:pPr>
      <w:r w:rsidRPr="00495B77">
        <w:rPr>
          <w:rFonts w:ascii="Arial" w:hAnsi="Arial" w:cs="Arial"/>
        </w:rPr>
        <w:t>The following is a summary of some of the improvements to the service from feedback received during 2022/23:</w:t>
      </w:r>
    </w:p>
    <w:p w14:paraId="7F833DA0" w14:textId="77777777" w:rsidR="00025CDD" w:rsidRPr="00495B77" w:rsidRDefault="00025CDD" w:rsidP="00025CDD">
      <w:pPr>
        <w:rPr>
          <w:rFonts w:ascii="Arial" w:hAnsi="Arial" w:cs="Arial"/>
        </w:rPr>
      </w:pPr>
    </w:p>
    <w:p w14:paraId="68E016AA" w14:textId="77777777" w:rsidR="00025CDD" w:rsidRPr="00495B77" w:rsidRDefault="00FC3925" w:rsidP="00025CDD">
      <w:pPr>
        <w:pStyle w:val="Subtitle"/>
        <w:numPr>
          <w:ilvl w:val="0"/>
          <w:numId w:val="3"/>
        </w:numPr>
        <w:jc w:val="left"/>
        <w:rPr>
          <w:b w:val="0"/>
          <w:color w:val="auto"/>
        </w:rPr>
      </w:pPr>
      <w:hyperlink r:id="rId36" w:history="1">
        <w:r w:rsidR="00025CDD" w:rsidRPr="00495B77">
          <w:rPr>
            <w:rStyle w:val="Hyperlink"/>
            <w:rFonts w:cs="Arial"/>
            <w:b w:val="0"/>
            <w:color w:val="auto"/>
            <w:u w:val="none"/>
            <w:bdr w:val="none" w:sz="0" w:space="0" w:color="auto" w:frame="1"/>
          </w:rPr>
          <w:t>Staff to ensure that any duplicate referrals are removed to avoid patients being booked in error</w:t>
        </w:r>
      </w:hyperlink>
      <w:r w:rsidR="00025CDD" w:rsidRPr="00495B77">
        <w:rPr>
          <w:b w:val="0"/>
          <w:color w:val="auto"/>
        </w:rPr>
        <w:t xml:space="preserve">. </w:t>
      </w:r>
    </w:p>
    <w:p w14:paraId="77D25531" w14:textId="77777777" w:rsidR="00025CDD" w:rsidRPr="00495B77" w:rsidRDefault="00025CDD" w:rsidP="00025CDD">
      <w:pPr>
        <w:pStyle w:val="Subtitle"/>
        <w:ind w:left="720"/>
        <w:jc w:val="left"/>
        <w:rPr>
          <w:b w:val="0"/>
          <w:color w:val="auto"/>
        </w:rPr>
      </w:pPr>
    </w:p>
    <w:p w14:paraId="5B1B260B" w14:textId="77777777" w:rsidR="00025CDD" w:rsidRPr="00495B77" w:rsidRDefault="00FC3925" w:rsidP="00025CDD">
      <w:pPr>
        <w:pStyle w:val="Subtitle"/>
        <w:numPr>
          <w:ilvl w:val="0"/>
          <w:numId w:val="3"/>
        </w:numPr>
        <w:jc w:val="left"/>
        <w:rPr>
          <w:b w:val="0"/>
          <w:color w:val="auto"/>
        </w:rPr>
      </w:pPr>
      <w:hyperlink r:id="rId37" w:history="1">
        <w:r w:rsidR="00025CDD" w:rsidRPr="00495B77">
          <w:rPr>
            <w:rStyle w:val="Hyperlink"/>
            <w:rFonts w:cs="Arial"/>
            <w:b w:val="0"/>
            <w:color w:val="auto"/>
            <w:u w:val="none"/>
            <w:bdr w:val="none" w:sz="0" w:space="0" w:color="auto" w:frame="1"/>
          </w:rPr>
          <w:t>Nursing staff to reiterate to patients the importance of wearing anti-embolism stockings</w:t>
        </w:r>
      </w:hyperlink>
      <w:r w:rsidR="00025CDD" w:rsidRPr="00495B77">
        <w:rPr>
          <w:b w:val="0"/>
          <w:color w:val="auto"/>
        </w:rPr>
        <w:t>.</w:t>
      </w:r>
    </w:p>
    <w:p w14:paraId="3B8F6DE8" w14:textId="77777777" w:rsidR="00025CDD" w:rsidRPr="00495B77" w:rsidRDefault="00025CDD" w:rsidP="00025CDD">
      <w:pPr>
        <w:pStyle w:val="Subtitle"/>
        <w:jc w:val="left"/>
        <w:rPr>
          <w:b w:val="0"/>
          <w:color w:val="auto"/>
        </w:rPr>
      </w:pPr>
    </w:p>
    <w:p w14:paraId="08782511" w14:textId="77777777" w:rsidR="00025CDD" w:rsidRPr="00687317" w:rsidRDefault="00FC3925" w:rsidP="00025CDD">
      <w:pPr>
        <w:pStyle w:val="Subtitle"/>
        <w:numPr>
          <w:ilvl w:val="0"/>
          <w:numId w:val="3"/>
        </w:numPr>
        <w:jc w:val="left"/>
        <w:rPr>
          <w:b w:val="0"/>
          <w:color w:val="000000" w:themeColor="text1"/>
        </w:rPr>
      </w:pPr>
      <w:hyperlink r:id="rId38" w:history="1">
        <w:r w:rsidR="00025CDD" w:rsidRPr="00495B77">
          <w:rPr>
            <w:rStyle w:val="Hyperlink"/>
            <w:rFonts w:cs="Arial"/>
            <w:b w:val="0"/>
            <w:color w:val="auto"/>
            <w:u w:val="none"/>
            <w:bdr w:val="none" w:sz="0" w:space="0" w:color="auto" w:frame="1"/>
          </w:rPr>
          <w:t>Deaf Awareness training to be organised for CME session via Equalities lead</w:t>
        </w:r>
      </w:hyperlink>
      <w:r w:rsidR="00025CDD" w:rsidRPr="00687317">
        <w:rPr>
          <w:rStyle w:val="Hyperlink"/>
          <w:rFonts w:cs="Arial"/>
          <w:b w:val="0"/>
          <w:color w:val="000000" w:themeColor="text1"/>
          <w:u w:val="none"/>
          <w:bdr w:val="none" w:sz="0" w:space="0" w:color="auto" w:frame="1"/>
        </w:rPr>
        <w:t>.</w:t>
      </w:r>
    </w:p>
    <w:p w14:paraId="0432B11B" w14:textId="77777777" w:rsidR="00025CDD" w:rsidRPr="00687317" w:rsidRDefault="00025CDD" w:rsidP="00025CDD">
      <w:pPr>
        <w:pStyle w:val="Subtitle"/>
        <w:jc w:val="left"/>
        <w:rPr>
          <w:b w:val="0"/>
          <w:color w:val="auto"/>
        </w:rPr>
      </w:pPr>
    </w:p>
    <w:p w14:paraId="27C10791" w14:textId="77777777" w:rsidR="00025CDD" w:rsidRPr="00687317" w:rsidRDefault="00025CDD" w:rsidP="00025CDD">
      <w:pPr>
        <w:pStyle w:val="Subtitle"/>
        <w:numPr>
          <w:ilvl w:val="0"/>
          <w:numId w:val="3"/>
        </w:numPr>
        <w:jc w:val="left"/>
        <w:rPr>
          <w:b w:val="0"/>
          <w:color w:val="auto"/>
        </w:rPr>
      </w:pPr>
      <w:r w:rsidRPr="00687317">
        <w:rPr>
          <w:b w:val="0"/>
          <w:color w:val="auto"/>
        </w:rPr>
        <w:t>Staff reminded of attitude during interactions with patients/families to ensure they comply with NHS GJ values.</w:t>
      </w:r>
    </w:p>
    <w:p w14:paraId="334C0657" w14:textId="77777777" w:rsidR="00025CDD" w:rsidRPr="00687317" w:rsidRDefault="00025CDD" w:rsidP="00025CDD">
      <w:pPr>
        <w:pStyle w:val="Subtitle"/>
        <w:jc w:val="left"/>
        <w:rPr>
          <w:b w:val="0"/>
          <w:color w:val="auto"/>
        </w:rPr>
      </w:pPr>
    </w:p>
    <w:p w14:paraId="069C0815" w14:textId="77777777" w:rsidR="00025CDD" w:rsidRPr="00687317" w:rsidRDefault="00025CDD" w:rsidP="00025CDD">
      <w:pPr>
        <w:pStyle w:val="Subtitle"/>
        <w:numPr>
          <w:ilvl w:val="0"/>
          <w:numId w:val="3"/>
        </w:numPr>
        <w:jc w:val="left"/>
        <w:rPr>
          <w:b w:val="0"/>
          <w:color w:val="auto"/>
        </w:rPr>
      </w:pPr>
      <w:r w:rsidRPr="00687317">
        <w:rPr>
          <w:b w:val="0"/>
          <w:color w:val="auto"/>
        </w:rPr>
        <w:t xml:space="preserve">Staff within service that complaint related to were given training on clearly labelling information on booking form and reminded to remain vigilant for potential delay information. </w:t>
      </w:r>
    </w:p>
    <w:p w14:paraId="76AAD37E" w14:textId="77777777" w:rsidR="001B0E26" w:rsidRPr="00D41D3B" w:rsidRDefault="001B0E26" w:rsidP="001B0E26">
      <w:pPr>
        <w:pStyle w:val="Subtitle"/>
        <w:jc w:val="both"/>
        <w:rPr>
          <w:b w:val="0"/>
          <w:color w:val="auto"/>
        </w:rPr>
      </w:pPr>
    </w:p>
    <w:p w14:paraId="0D0433B3" w14:textId="77777777" w:rsidR="003E40B1" w:rsidRPr="00D41D3B" w:rsidRDefault="003E40B1" w:rsidP="00D134E8">
      <w:pPr>
        <w:pStyle w:val="Subtitle"/>
        <w:jc w:val="left"/>
        <w:rPr>
          <w:color w:val="auto"/>
        </w:rPr>
      </w:pPr>
    </w:p>
    <w:p w14:paraId="0459718D" w14:textId="557F3AEB" w:rsidR="00F162E3" w:rsidRPr="00025CDD" w:rsidRDefault="00F162E3" w:rsidP="00D134E8">
      <w:pPr>
        <w:pStyle w:val="Subtitle"/>
        <w:jc w:val="left"/>
        <w:rPr>
          <w:color w:val="auto"/>
        </w:rPr>
      </w:pPr>
      <w:r w:rsidRPr="00025CDD">
        <w:rPr>
          <w:color w:val="auto"/>
        </w:rPr>
        <w:t>SPSO</w:t>
      </w:r>
    </w:p>
    <w:p w14:paraId="0CFECBF4" w14:textId="77777777" w:rsidR="00F162E3" w:rsidRPr="0099646F" w:rsidRDefault="00F162E3" w:rsidP="00D134E8">
      <w:pPr>
        <w:pStyle w:val="Subtitle"/>
        <w:jc w:val="left"/>
        <w:rPr>
          <w:b w:val="0"/>
          <w:color w:val="auto"/>
        </w:rPr>
      </w:pPr>
    </w:p>
    <w:p w14:paraId="382326CA" w14:textId="1BA23A4A" w:rsidR="0099646F" w:rsidRPr="0099646F" w:rsidRDefault="00D134E8" w:rsidP="00D134E8">
      <w:pPr>
        <w:pStyle w:val="Subtitle"/>
        <w:jc w:val="left"/>
        <w:rPr>
          <w:b w:val="0"/>
          <w:color w:val="auto"/>
        </w:rPr>
      </w:pPr>
      <w:r w:rsidRPr="0099646F">
        <w:rPr>
          <w:b w:val="0"/>
          <w:color w:val="auto"/>
        </w:rPr>
        <w:t xml:space="preserve">We had </w:t>
      </w:r>
      <w:r w:rsidR="00025CDD" w:rsidRPr="0099646F">
        <w:rPr>
          <w:b w:val="0"/>
          <w:color w:val="auto"/>
        </w:rPr>
        <w:t>six</w:t>
      </w:r>
      <w:r w:rsidRPr="0099646F">
        <w:rPr>
          <w:b w:val="0"/>
          <w:color w:val="auto"/>
        </w:rPr>
        <w:t xml:space="preserve"> cases referred to the Scottish Public Service</w:t>
      </w:r>
      <w:r w:rsidR="00756B07">
        <w:rPr>
          <w:b w:val="0"/>
          <w:color w:val="auto"/>
        </w:rPr>
        <w:t>s Ombudsman (SPSO) in the year.</w:t>
      </w:r>
      <w:r w:rsidRPr="0099646F">
        <w:rPr>
          <w:b w:val="0"/>
          <w:color w:val="auto"/>
        </w:rPr>
        <w:t xml:space="preserve"> One case </w:t>
      </w:r>
      <w:r w:rsidR="0099646F" w:rsidRPr="0099646F">
        <w:rPr>
          <w:b w:val="0"/>
          <w:color w:val="auto"/>
        </w:rPr>
        <w:t xml:space="preserve">has been reviewed by SPSO and has not been upheld; this related to Cardiac Services.  The remaining </w:t>
      </w:r>
      <w:proofErr w:type="gramStart"/>
      <w:r w:rsidR="0099646F" w:rsidRPr="0099646F">
        <w:rPr>
          <w:b w:val="0"/>
          <w:color w:val="auto"/>
        </w:rPr>
        <w:t>5</w:t>
      </w:r>
      <w:proofErr w:type="gramEnd"/>
      <w:r w:rsidR="0099646F" w:rsidRPr="0099646F">
        <w:rPr>
          <w:b w:val="0"/>
          <w:color w:val="auto"/>
        </w:rPr>
        <w:t xml:space="preserve"> cases are still under review by SPSO at the time of this report.</w:t>
      </w:r>
    </w:p>
    <w:p w14:paraId="3E99510E" w14:textId="77777777" w:rsidR="0099646F" w:rsidRPr="0099646F" w:rsidRDefault="0099646F" w:rsidP="00D134E8">
      <w:pPr>
        <w:pStyle w:val="Subtitle"/>
        <w:jc w:val="left"/>
        <w:rPr>
          <w:b w:val="0"/>
          <w:color w:val="auto"/>
        </w:rPr>
      </w:pPr>
    </w:p>
    <w:p w14:paraId="175E4F39" w14:textId="77777777" w:rsidR="00F162E3" w:rsidRPr="0099646F" w:rsidRDefault="00F162E3" w:rsidP="00F162E3">
      <w:pPr>
        <w:rPr>
          <w:rFonts w:ascii="Arial" w:hAnsi="Arial" w:cs="Arial"/>
          <w:b/>
        </w:rPr>
      </w:pPr>
      <w:r w:rsidRPr="0099646F">
        <w:rPr>
          <w:rFonts w:ascii="Arial" w:hAnsi="Arial" w:cs="Arial"/>
          <w:b/>
        </w:rPr>
        <w:t>Compliments</w:t>
      </w:r>
    </w:p>
    <w:p w14:paraId="18120BDC" w14:textId="77777777" w:rsidR="00F162E3" w:rsidRPr="0099646F" w:rsidRDefault="00F162E3" w:rsidP="00F162E3">
      <w:pPr>
        <w:rPr>
          <w:rFonts w:ascii="Arial" w:hAnsi="Arial" w:cs="Arial"/>
        </w:rPr>
      </w:pPr>
    </w:p>
    <w:p w14:paraId="120DF30D" w14:textId="267C0AC8" w:rsidR="0099646F" w:rsidRPr="0099646F" w:rsidRDefault="00F162E3" w:rsidP="00F162E3">
      <w:pPr>
        <w:rPr>
          <w:rFonts w:ascii="Arial" w:hAnsi="Arial" w:cs="Arial"/>
        </w:rPr>
      </w:pPr>
      <w:r w:rsidRPr="0099646F">
        <w:rPr>
          <w:rFonts w:ascii="Arial" w:hAnsi="Arial" w:cs="Arial"/>
        </w:rPr>
        <w:t xml:space="preserve">As noted in the overview, there were </w:t>
      </w:r>
      <w:r w:rsidR="0099646F" w:rsidRPr="0099646F">
        <w:rPr>
          <w:rFonts w:ascii="Arial" w:hAnsi="Arial" w:cs="Arial"/>
        </w:rPr>
        <w:t xml:space="preserve">212 </w:t>
      </w:r>
      <w:r w:rsidRPr="0099646F">
        <w:rPr>
          <w:rFonts w:ascii="Arial" w:hAnsi="Arial" w:cs="Arial"/>
        </w:rPr>
        <w:t>compliments formally logged</w:t>
      </w:r>
      <w:r w:rsidR="0099646F" w:rsidRPr="0099646F">
        <w:rPr>
          <w:rFonts w:ascii="Arial" w:hAnsi="Arial" w:cs="Arial"/>
        </w:rPr>
        <w:t>; this is an increase of 32% compared to the previous Annual Learning Summary</w:t>
      </w:r>
      <w:r w:rsidR="00756B07">
        <w:rPr>
          <w:rFonts w:ascii="Arial" w:hAnsi="Arial" w:cs="Arial"/>
        </w:rPr>
        <w:t>.</w:t>
      </w:r>
      <w:r w:rsidRPr="0099646F">
        <w:rPr>
          <w:rFonts w:ascii="Arial" w:hAnsi="Arial" w:cs="Arial"/>
        </w:rPr>
        <w:t xml:space="preserve"> The wards and staff members continuously receive thank you card/letters/messages and general complimentary feedback on a daily basis,</w:t>
      </w:r>
      <w:r w:rsidR="00756B07">
        <w:rPr>
          <w:rFonts w:ascii="Arial" w:hAnsi="Arial" w:cs="Arial"/>
        </w:rPr>
        <w:t xml:space="preserve"> which is not formally logged. </w:t>
      </w:r>
      <w:r w:rsidRPr="0099646F">
        <w:rPr>
          <w:rFonts w:ascii="Arial" w:hAnsi="Arial" w:cs="Arial"/>
        </w:rPr>
        <w:t xml:space="preserve">There are </w:t>
      </w:r>
      <w:proofErr w:type="gramStart"/>
      <w:r w:rsidRPr="0099646F">
        <w:rPr>
          <w:rFonts w:ascii="Arial" w:hAnsi="Arial" w:cs="Arial"/>
        </w:rPr>
        <w:t>2</w:t>
      </w:r>
      <w:proofErr w:type="gramEnd"/>
      <w:r w:rsidRPr="0099646F">
        <w:rPr>
          <w:rFonts w:ascii="Arial" w:hAnsi="Arial" w:cs="Arial"/>
        </w:rPr>
        <w:t xml:space="preserve"> departments </w:t>
      </w:r>
      <w:r w:rsidR="0099646F" w:rsidRPr="0099646F">
        <w:rPr>
          <w:rFonts w:ascii="Arial" w:hAnsi="Arial" w:cs="Arial"/>
        </w:rPr>
        <w:t>l</w:t>
      </w:r>
      <w:r w:rsidRPr="0099646F">
        <w:rPr>
          <w:rFonts w:ascii="Arial" w:hAnsi="Arial" w:cs="Arial"/>
        </w:rPr>
        <w:t xml:space="preserve">ogging their own compliments, </w:t>
      </w:r>
      <w:r w:rsidR="0099646F" w:rsidRPr="0099646F">
        <w:rPr>
          <w:rFonts w:ascii="Arial" w:hAnsi="Arial" w:cs="Arial"/>
        </w:rPr>
        <w:t>and this will continue to be rolled out to other services over the upcoming year.</w:t>
      </w:r>
    </w:p>
    <w:p w14:paraId="31F6DEDA" w14:textId="77777777" w:rsidR="00F162E3" w:rsidRPr="0099646F" w:rsidRDefault="00F162E3" w:rsidP="00F162E3">
      <w:pPr>
        <w:rPr>
          <w:rFonts w:ascii="Arial" w:hAnsi="Arial" w:cs="Arial"/>
          <w:b/>
        </w:rPr>
      </w:pPr>
    </w:p>
    <w:p w14:paraId="0008AB21" w14:textId="5EF94E5B" w:rsidR="00F162E3" w:rsidRPr="00495B77" w:rsidRDefault="00F162E3" w:rsidP="00F162E3">
      <w:pPr>
        <w:pStyle w:val="Subtitle"/>
        <w:jc w:val="left"/>
        <w:rPr>
          <w:b w:val="0"/>
          <w:color w:val="auto"/>
        </w:rPr>
      </w:pPr>
      <w:r w:rsidRPr="0099646F">
        <w:rPr>
          <w:b w:val="0"/>
          <w:color w:val="auto"/>
        </w:rPr>
        <w:t xml:space="preserve">Orthopaedics and </w:t>
      </w:r>
      <w:r w:rsidR="0099646F" w:rsidRPr="0099646F">
        <w:rPr>
          <w:b w:val="0"/>
          <w:color w:val="auto"/>
        </w:rPr>
        <w:t>Cardiac Services</w:t>
      </w:r>
      <w:r w:rsidRPr="0099646F">
        <w:rPr>
          <w:b w:val="0"/>
          <w:color w:val="auto"/>
        </w:rPr>
        <w:t xml:space="preserve"> received the highest number of compliments; this </w:t>
      </w:r>
      <w:r w:rsidR="0099646F" w:rsidRPr="0099646F">
        <w:rPr>
          <w:b w:val="0"/>
          <w:color w:val="auto"/>
        </w:rPr>
        <w:t xml:space="preserve">is a </w:t>
      </w:r>
      <w:r w:rsidR="0099646F" w:rsidRPr="00495B77">
        <w:rPr>
          <w:b w:val="0"/>
          <w:color w:val="auto"/>
        </w:rPr>
        <w:t>change to the previous report with Cardiac Services replacing Interventional Cardiology as the second highest service</w:t>
      </w:r>
      <w:r w:rsidRPr="00495B77">
        <w:rPr>
          <w:b w:val="0"/>
          <w:color w:val="auto"/>
        </w:rPr>
        <w:t xml:space="preserve">.  </w:t>
      </w:r>
    </w:p>
    <w:p w14:paraId="146803CC" w14:textId="77777777" w:rsidR="00D134E8" w:rsidRPr="00495B77" w:rsidRDefault="00D134E8" w:rsidP="001B0E26">
      <w:pPr>
        <w:pStyle w:val="Subtitle"/>
        <w:jc w:val="left"/>
        <w:rPr>
          <w:b w:val="0"/>
          <w:color w:val="auto"/>
        </w:rPr>
      </w:pPr>
    </w:p>
    <w:p w14:paraId="2268BD6B" w14:textId="10ED014F" w:rsidR="005F3B6B" w:rsidRPr="00495B77" w:rsidRDefault="005F3B6B" w:rsidP="001B0E26">
      <w:pPr>
        <w:pStyle w:val="Subtitle"/>
        <w:jc w:val="left"/>
        <w:rPr>
          <w:color w:val="auto"/>
        </w:rPr>
      </w:pPr>
      <w:r w:rsidRPr="00495B77">
        <w:rPr>
          <w:color w:val="auto"/>
        </w:rPr>
        <w:t xml:space="preserve">Conclusion &amp; Recommendations </w:t>
      </w:r>
    </w:p>
    <w:p w14:paraId="6F57F58F" w14:textId="26CE0CCB" w:rsidR="005F3B6B" w:rsidRPr="00495B77" w:rsidRDefault="005F3B6B" w:rsidP="001B0E26">
      <w:pPr>
        <w:pStyle w:val="Subtitle"/>
        <w:jc w:val="left"/>
        <w:rPr>
          <w:b w:val="0"/>
          <w:color w:val="auto"/>
        </w:rPr>
      </w:pPr>
    </w:p>
    <w:p w14:paraId="5259D98B" w14:textId="5F4DCEBF" w:rsidR="00565197" w:rsidRPr="00E4757A" w:rsidRDefault="00B266B7" w:rsidP="00B255DF">
      <w:pPr>
        <w:pStyle w:val="Subtitle"/>
        <w:jc w:val="left"/>
        <w:rPr>
          <w:b w:val="0"/>
          <w:color w:val="auto"/>
        </w:rPr>
      </w:pPr>
      <w:r w:rsidRPr="00495B77">
        <w:rPr>
          <w:b w:val="0"/>
          <w:color w:val="auto"/>
        </w:rPr>
        <w:t>We acknowledge</w:t>
      </w:r>
      <w:r w:rsidR="005F3B6B" w:rsidRPr="00495B77">
        <w:rPr>
          <w:b w:val="0"/>
          <w:color w:val="auto"/>
        </w:rPr>
        <w:t xml:space="preserve"> given the </w:t>
      </w:r>
      <w:r w:rsidR="00A3395E" w:rsidRPr="00495B77">
        <w:rPr>
          <w:b w:val="0"/>
          <w:color w:val="auto"/>
        </w:rPr>
        <w:t>lack of an Annual Learning Summary for 2021/2022,</w:t>
      </w:r>
      <w:r w:rsidRPr="00495B77">
        <w:rPr>
          <w:b w:val="0"/>
          <w:color w:val="auto"/>
        </w:rPr>
        <w:t xml:space="preserve"> it is </w:t>
      </w:r>
      <w:r w:rsidR="00A3395E" w:rsidRPr="00495B77">
        <w:rPr>
          <w:b w:val="0"/>
          <w:color w:val="auto"/>
        </w:rPr>
        <w:t>not possible to make clear direct comparisons to the previous year and the report prior to this included the period during</w:t>
      </w:r>
      <w:r w:rsidR="00A3395E" w:rsidRPr="0053409F">
        <w:rPr>
          <w:b w:val="0"/>
          <w:color w:val="auto"/>
        </w:rPr>
        <w:t xml:space="preserve"> COVID therefore was not a normal </w:t>
      </w:r>
      <w:r w:rsidR="00EB5ADC" w:rsidRPr="0053409F">
        <w:rPr>
          <w:b w:val="0"/>
          <w:color w:val="auto"/>
        </w:rPr>
        <w:t>year</w:t>
      </w:r>
      <w:r w:rsidR="00A3395E" w:rsidRPr="0053409F">
        <w:rPr>
          <w:b w:val="0"/>
          <w:color w:val="auto"/>
        </w:rPr>
        <w:t xml:space="preserve"> in terms of adverse events,</w:t>
      </w:r>
      <w:r w:rsidR="00756B07">
        <w:rPr>
          <w:b w:val="0"/>
          <w:color w:val="auto"/>
        </w:rPr>
        <w:t xml:space="preserve"> activity and feedback. </w:t>
      </w:r>
      <w:r w:rsidR="0053409F" w:rsidRPr="0053409F">
        <w:rPr>
          <w:b w:val="0"/>
          <w:color w:val="auto"/>
        </w:rPr>
        <w:t xml:space="preserve">The overall adverse </w:t>
      </w:r>
      <w:proofErr w:type="gramStart"/>
      <w:r w:rsidR="0053409F" w:rsidRPr="0053409F">
        <w:rPr>
          <w:b w:val="0"/>
          <w:color w:val="auto"/>
        </w:rPr>
        <w:t>event reporting</w:t>
      </w:r>
      <w:proofErr w:type="gramEnd"/>
      <w:r w:rsidR="0053409F" w:rsidRPr="0053409F">
        <w:rPr>
          <w:b w:val="0"/>
          <w:color w:val="auto"/>
        </w:rPr>
        <w:t xml:space="preserve"> rate has recovered from the downturn we experien</w:t>
      </w:r>
      <w:r w:rsidR="00756B07">
        <w:rPr>
          <w:b w:val="0"/>
          <w:color w:val="auto"/>
        </w:rPr>
        <w:t xml:space="preserve">ced during the </w:t>
      </w:r>
      <w:proofErr w:type="spellStart"/>
      <w:r w:rsidR="00756B07">
        <w:rPr>
          <w:b w:val="0"/>
          <w:color w:val="auto"/>
        </w:rPr>
        <w:t>covid</w:t>
      </w:r>
      <w:proofErr w:type="spellEnd"/>
      <w:r w:rsidR="00756B07">
        <w:rPr>
          <w:b w:val="0"/>
          <w:color w:val="auto"/>
        </w:rPr>
        <w:t xml:space="preserve"> pandemic. </w:t>
      </w:r>
      <w:r w:rsidR="0053409F" w:rsidRPr="0053409F">
        <w:rPr>
          <w:b w:val="0"/>
          <w:color w:val="auto"/>
        </w:rPr>
        <w:t>We have seen a slight increase in reporting overall and a significant improvement in the time taken for incidents to be reported (particularly in terms of SAER’</w:t>
      </w:r>
      <w:r w:rsidR="0053409F">
        <w:rPr>
          <w:b w:val="0"/>
          <w:color w:val="auto"/>
        </w:rPr>
        <w:t>s); this was an area noted for improvement in th</w:t>
      </w:r>
      <w:r w:rsidR="00756B07">
        <w:rPr>
          <w:b w:val="0"/>
          <w:color w:val="auto"/>
        </w:rPr>
        <w:t>e last Annual Learning Summary.</w:t>
      </w:r>
      <w:r w:rsidR="0053409F">
        <w:rPr>
          <w:b w:val="0"/>
          <w:color w:val="auto"/>
        </w:rPr>
        <w:t xml:space="preserve"> We continue to see steady increase in the number of complaints received, both stage </w:t>
      </w:r>
      <w:proofErr w:type="gramStart"/>
      <w:r w:rsidR="0053409F">
        <w:rPr>
          <w:b w:val="0"/>
          <w:color w:val="auto"/>
        </w:rPr>
        <w:t>1</w:t>
      </w:r>
      <w:proofErr w:type="gramEnd"/>
      <w:r w:rsidR="0053409F">
        <w:rPr>
          <w:b w:val="0"/>
          <w:color w:val="auto"/>
        </w:rPr>
        <w:t xml:space="preserve"> and stage 2 </w:t>
      </w:r>
      <w:r w:rsidR="0053409F" w:rsidRPr="00E4757A">
        <w:rPr>
          <w:b w:val="0"/>
          <w:color w:val="auto"/>
        </w:rPr>
        <w:t>and response times remain to be challenging often due to the complexity of complaints.</w:t>
      </w:r>
    </w:p>
    <w:p w14:paraId="49D275FA" w14:textId="6B132B66" w:rsidR="00565197" w:rsidRPr="00E4757A" w:rsidRDefault="00565197" w:rsidP="00B255DF">
      <w:pPr>
        <w:pStyle w:val="Subtitle"/>
        <w:jc w:val="left"/>
        <w:rPr>
          <w:b w:val="0"/>
          <w:color w:val="auto"/>
        </w:rPr>
      </w:pPr>
    </w:p>
    <w:p w14:paraId="1D0A9F60" w14:textId="5DF32807" w:rsidR="00B266B7" w:rsidRPr="00E4757A" w:rsidRDefault="00E4757A" w:rsidP="00565197">
      <w:pPr>
        <w:pStyle w:val="Subtitle"/>
        <w:spacing w:after="240"/>
        <w:jc w:val="left"/>
        <w:rPr>
          <w:b w:val="0"/>
          <w:color w:val="auto"/>
        </w:rPr>
      </w:pPr>
      <w:r w:rsidRPr="00E4757A">
        <w:rPr>
          <w:b w:val="0"/>
          <w:color w:val="auto"/>
        </w:rPr>
        <w:t>The featuring of Labs adverse events in th</w:t>
      </w:r>
      <w:r w:rsidR="00756B07">
        <w:rPr>
          <w:b w:val="0"/>
          <w:color w:val="auto"/>
        </w:rPr>
        <w:t xml:space="preserve">e top </w:t>
      </w:r>
      <w:proofErr w:type="gramStart"/>
      <w:r w:rsidR="00756B07">
        <w:rPr>
          <w:b w:val="0"/>
          <w:color w:val="auto"/>
        </w:rPr>
        <w:t>3</w:t>
      </w:r>
      <w:proofErr w:type="gramEnd"/>
      <w:r w:rsidR="00756B07">
        <w:rPr>
          <w:b w:val="0"/>
          <w:color w:val="auto"/>
        </w:rPr>
        <w:t xml:space="preserve"> categories is unusual. </w:t>
      </w:r>
      <w:r w:rsidRPr="00E4757A">
        <w:rPr>
          <w:b w:val="0"/>
          <w:color w:val="auto"/>
        </w:rPr>
        <w:t xml:space="preserve">The </w:t>
      </w:r>
      <w:r w:rsidR="00EB5ADC" w:rsidRPr="00E4757A">
        <w:rPr>
          <w:b w:val="0"/>
          <w:color w:val="auto"/>
        </w:rPr>
        <w:t>review</w:t>
      </w:r>
      <w:r w:rsidRPr="00E4757A">
        <w:rPr>
          <w:b w:val="0"/>
          <w:color w:val="auto"/>
        </w:rPr>
        <w:t xml:space="preserve"> of the cause of this has highlighted the need to ensure that all supporting services linked to main specialties are involved from the outset in discus</w:t>
      </w:r>
      <w:r w:rsidR="00756B07">
        <w:rPr>
          <w:b w:val="0"/>
          <w:color w:val="auto"/>
        </w:rPr>
        <w:t>sions around service expansion.</w:t>
      </w:r>
      <w:r w:rsidRPr="00E4757A">
        <w:rPr>
          <w:b w:val="0"/>
          <w:color w:val="auto"/>
        </w:rPr>
        <w:t xml:space="preserve"> </w:t>
      </w:r>
      <w:proofErr w:type="gramStart"/>
      <w:r w:rsidRPr="00E4757A">
        <w:rPr>
          <w:b w:val="0"/>
          <w:color w:val="auto"/>
        </w:rPr>
        <w:t>This may have alleviated the issues encountered with the pathology samples and is learning that can be translated across other supporting services.</w:t>
      </w:r>
      <w:proofErr w:type="gramEnd"/>
    </w:p>
    <w:p w14:paraId="1EE1D58F" w14:textId="3754EAF6" w:rsidR="00E4757A" w:rsidRPr="00E4757A" w:rsidRDefault="00E4757A" w:rsidP="00B255DF">
      <w:pPr>
        <w:pStyle w:val="Subtitle"/>
        <w:jc w:val="left"/>
        <w:rPr>
          <w:b w:val="0"/>
          <w:color w:val="auto"/>
        </w:rPr>
      </w:pPr>
      <w:r w:rsidRPr="00E4757A">
        <w:rPr>
          <w:b w:val="0"/>
          <w:color w:val="auto"/>
        </w:rPr>
        <w:t>Previous reports have highlighted challenges with comple</w:t>
      </w:r>
      <w:r w:rsidR="00756B07">
        <w:rPr>
          <w:b w:val="0"/>
          <w:color w:val="auto"/>
        </w:rPr>
        <w:t xml:space="preserve">ting actions following SAER’s. </w:t>
      </w:r>
      <w:r w:rsidRPr="00E4757A">
        <w:rPr>
          <w:b w:val="0"/>
          <w:color w:val="auto"/>
        </w:rPr>
        <w:t xml:space="preserve">Whilst this continues to </w:t>
      </w:r>
      <w:proofErr w:type="gramStart"/>
      <w:r w:rsidRPr="00E4757A">
        <w:rPr>
          <w:b w:val="0"/>
          <w:color w:val="auto"/>
        </w:rPr>
        <w:t>be</w:t>
      </w:r>
      <w:proofErr w:type="gramEnd"/>
      <w:r w:rsidRPr="00E4757A">
        <w:rPr>
          <w:b w:val="0"/>
          <w:color w:val="auto"/>
        </w:rPr>
        <w:t xml:space="preserve"> a challenge there has been a concerted effort from Divisional Management Teams, Services via CG meetings and also individual ac</w:t>
      </w:r>
      <w:r w:rsidR="00756B07">
        <w:rPr>
          <w:b w:val="0"/>
          <w:color w:val="auto"/>
        </w:rPr>
        <w:t>tion owners in addressing this.</w:t>
      </w:r>
      <w:r w:rsidRPr="00E4757A">
        <w:rPr>
          <w:b w:val="0"/>
          <w:color w:val="auto"/>
        </w:rPr>
        <w:t xml:space="preserve"> A process for escalation of actions will be reviewed alongside escalation of issues around SAER timescales, complaint response timescales and completion of adverse event investigations within a timely manner.</w:t>
      </w:r>
      <w:r w:rsidR="00495B77">
        <w:rPr>
          <w:b w:val="0"/>
          <w:color w:val="auto"/>
        </w:rPr>
        <w:t xml:space="preserve">  Another focus for SAER actions continues to be ensuring the actions are SMART and realistic timescales for achieving the action are set.</w:t>
      </w:r>
    </w:p>
    <w:p w14:paraId="008C1205" w14:textId="77777777" w:rsidR="00B266B7" w:rsidRPr="0015151D" w:rsidRDefault="00B266B7" w:rsidP="00B255DF">
      <w:pPr>
        <w:pStyle w:val="Subtitle"/>
        <w:jc w:val="left"/>
        <w:rPr>
          <w:b w:val="0"/>
          <w:color w:val="auto"/>
        </w:rPr>
      </w:pPr>
    </w:p>
    <w:p w14:paraId="124445F1" w14:textId="77777777" w:rsidR="00495B77" w:rsidRPr="0015151D" w:rsidRDefault="00495B77" w:rsidP="00B255DF">
      <w:pPr>
        <w:pStyle w:val="Subtitle"/>
        <w:jc w:val="left"/>
        <w:rPr>
          <w:b w:val="0"/>
          <w:color w:val="auto"/>
        </w:rPr>
      </w:pPr>
      <w:r w:rsidRPr="0015151D">
        <w:rPr>
          <w:b w:val="0"/>
          <w:color w:val="auto"/>
        </w:rPr>
        <w:t>In conclusion, there are a few areas for the organisation to focus on from the analysis of the data within the Annual Learning Summary:</w:t>
      </w:r>
    </w:p>
    <w:p w14:paraId="775795D0" w14:textId="77777777" w:rsidR="00495B77" w:rsidRPr="0015151D" w:rsidRDefault="00495B77" w:rsidP="00B255DF">
      <w:pPr>
        <w:pStyle w:val="Subtitle"/>
        <w:jc w:val="left"/>
        <w:rPr>
          <w:b w:val="0"/>
          <w:color w:val="auto"/>
        </w:rPr>
      </w:pPr>
    </w:p>
    <w:p w14:paraId="405622BF" w14:textId="6FFEB499" w:rsidR="00495B77" w:rsidRDefault="00495B77" w:rsidP="00495B77">
      <w:pPr>
        <w:pStyle w:val="Subtitle"/>
        <w:numPr>
          <w:ilvl w:val="0"/>
          <w:numId w:val="22"/>
        </w:numPr>
        <w:jc w:val="left"/>
        <w:rPr>
          <w:b w:val="0"/>
          <w:color w:val="auto"/>
        </w:rPr>
      </w:pPr>
      <w:r w:rsidRPr="0015151D">
        <w:rPr>
          <w:b w:val="0"/>
          <w:color w:val="auto"/>
        </w:rPr>
        <w:t xml:space="preserve">A focussed piece of work relating to communication within the organisation, with external partners </w:t>
      </w:r>
      <w:proofErr w:type="gramStart"/>
      <w:r w:rsidRPr="0015151D">
        <w:rPr>
          <w:b w:val="0"/>
          <w:color w:val="auto"/>
        </w:rPr>
        <w:t>and also</w:t>
      </w:r>
      <w:proofErr w:type="gramEnd"/>
      <w:r w:rsidRPr="0015151D">
        <w:rPr>
          <w:b w:val="0"/>
          <w:color w:val="auto"/>
        </w:rPr>
        <w:t xml:space="preserve"> with patients and their relatives.  This was highlighted as a theme from SAER actions and </w:t>
      </w:r>
      <w:proofErr w:type="gramStart"/>
      <w:r w:rsidRPr="0015151D">
        <w:rPr>
          <w:b w:val="0"/>
          <w:color w:val="auto"/>
        </w:rPr>
        <w:t>has also</w:t>
      </w:r>
      <w:proofErr w:type="gramEnd"/>
      <w:r w:rsidRPr="0015151D">
        <w:rPr>
          <w:b w:val="0"/>
          <w:color w:val="auto"/>
        </w:rPr>
        <w:t xml:space="preserve"> been a key element of various complaints.</w:t>
      </w:r>
    </w:p>
    <w:p w14:paraId="19635742" w14:textId="77777777" w:rsidR="00D12B08" w:rsidRPr="0015151D" w:rsidRDefault="00D12B08" w:rsidP="00D12B08">
      <w:pPr>
        <w:pStyle w:val="Subtitle"/>
        <w:ind w:left="790"/>
        <w:jc w:val="left"/>
        <w:rPr>
          <w:b w:val="0"/>
          <w:color w:val="auto"/>
        </w:rPr>
      </w:pPr>
    </w:p>
    <w:p w14:paraId="4AB18B09" w14:textId="13173441" w:rsidR="0015151D" w:rsidRDefault="0015151D" w:rsidP="00495B77">
      <w:pPr>
        <w:pStyle w:val="Subtitle"/>
        <w:numPr>
          <w:ilvl w:val="0"/>
          <w:numId w:val="22"/>
        </w:numPr>
        <w:jc w:val="left"/>
        <w:rPr>
          <w:b w:val="0"/>
          <w:color w:val="auto"/>
        </w:rPr>
      </w:pPr>
      <w:r w:rsidRPr="0015151D">
        <w:rPr>
          <w:b w:val="0"/>
          <w:color w:val="auto"/>
        </w:rPr>
        <w:t>Where services are expanding all key stakeholders, in particular support services, should be involved in the discussions around the implementation and impact on support services.  This should be in a proactive manner rather than reactive as was the case in relation to pathology sample issues.</w:t>
      </w:r>
    </w:p>
    <w:p w14:paraId="7C3C5AB5" w14:textId="29CF5CCF" w:rsidR="00D12B08" w:rsidRDefault="00D12B08" w:rsidP="00D12B08">
      <w:pPr>
        <w:pStyle w:val="Subtitle"/>
        <w:jc w:val="left"/>
        <w:rPr>
          <w:b w:val="0"/>
          <w:color w:val="auto"/>
        </w:rPr>
      </w:pPr>
    </w:p>
    <w:p w14:paraId="7954FEE5" w14:textId="13283C21" w:rsidR="0015151D" w:rsidRDefault="0015151D" w:rsidP="00495B77">
      <w:pPr>
        <w:pStyle w:val="Subtitle"/>
        <w:numPr>
          <w:ilvl w:val="0"/>
          <w:numId w:val="22"/>
        </w:numPr>
        <w:jc w:val="left"/>
        <w:rPr>
          <w:b w:val="0"/>
          <w:color w:val="auto"/>
        </w:rPr>
      </w:pPr>
      <w:r>
        <w:rPr>
          <w:b w:val="0"/>
          <w:color w:val="auto"/>
        </w:rPr>
        <w:t>Development of key process measures to improve on timescales for the completion of SAERs will be a focus for 2023/24.  This will be a preparatory piece of work bearing in mind the imminent publication of an updated National Framework for Adverse Event Management.  This will allow the organisation to identify the key challenges associated with delays and assist in targeting remedial action.</w:t>
      </w:r>
    </w:p>
    <w:p w14:paraId="09978A0B" w14:textId="71822A71" w:rsidR="00D12B08" w:rsidRDefault="00D12B08" w:rsidP="00D12B08">
      <w:pPr>
        <w:pStyle w:val="Subtitle"/>
        <w:jc w:val="left"/>
        <w:rPr>
          <w:b w:val="0"/>
          <w:color w:val="auto"/>
        </w:rPr>
      </w:pPr>
    </w:p>
    <w:p w14:paraId="06DFB022" w14:textId="49BAD12B" w:rsidR="0015151D" w:rsidRPr="0015151D" w:rsidRDefault="0015151D" w:rsidP="00495B77">
      <w:pPr>
        <w:pStyle w:val="Subtitle"/>
        <w:numPr>
          <w:ilvl w:val="0"/>
          <w:numId w:val="22"/>
        </w:numPr>
        <w:jc w:val="left"/>
        <w:rPr>
          <w:b w:val="0"/>
          <w:color w:val="auto"/>
        </w:rPr>
      </w:pPr>
      <w:r>
        <w:rPr>
          <w:b w:val="0"/>
          <w:color w:val="auto"/>
        </w:rPr>
        <w:t xml:space="preserve">Continued development of support resources/training for all those involved with the SAER process; this is work in progress and has been identified as learning from some SAERs </w:t>
      </w:r>
      <w:r w:rsidRPr="0015151D">
        <w:rPr>
          <w:b w:val="0"/>
          <w:color w:val="auto"/>
        </w:rPr>
        <w:t>and the SAER focus group undertaken with key stakeholders.</w:t>
      </w:r>
    </w:p>
    <w:p w14:paraId="2E6F3649" w14:textId="77777777" w:rsidR="0015151D" w:rsidRPr="0015151D" w:rsidRDefault="0015151D" w:rsidP="0015151D">
      <w:pPr>
        <w:pStyle w:val="Subtitle"/>
        <w:ind w:left="430"/>
        <w:jc w:val="left"/>
        <w:rPr>
          <w:color w:val="auto"/>
        </w:rPr>
      </w:pPr>
    </w:p>
    <w:p w14:paraId="49DE3FE2" w14:textId="32527D6D" w:rsidR="00E4757A" w:rsidRPr="00E4757A" w:rsidRDefault="0015151D" w:rsidP="0015151D">
      <w:pPr>
        <w:pStyle w:val="Subtitle"/>
        <w:ind w:left="430"/>
        <w:jc w:val="left"/>
        <w:rPr>
          <w:b w:val="0"/>
          <w:color w:val="auto"/>
        </w:rPr>
      </w:pPr>
      <w:r w:rsidRPr="0015151D">
        <w:rPr>
          <w:b w:val="0"/>
          <w:color w:val="auto"/>
        </w:rPr>
        <w:t>I</w:t>
      </w:r>
      <w:r w:rsidR="00565197" w:rsidRPr="0015151D">
        <w:rPr>
          <w:b w:val="0"/>
          <w:color w:val="auto"/>
        </w:rPr>
        <w:t xml:space="preserve">n </w:t>
      </w:r>
      <w:r w:rsidR="00D12B08">
        <w:rPr>
          <w:b w:val="0"/>
          <w:color w:val="auto"/>
        </w:rPr>
        <w:t xml:space="preserve">terms of the </w:t>
      </w:r>
      <w:r w:rsidR="00565197" w:rsidRPr="0015151D">
        <w:rPr>
          <w:b w:val="0"/>
          <w:color w:val="auto"/>
        </w:rPr>
        <w:t xml:space="preserve">themes previously identified and </w:t>
      </w:r>
      <w:r w:rsidR="00E4757A" w:rsidRPr="0015151D">
        <w:rPr>
          <w:b w:val="0"/>
          <w:color w:val="auto"/>
        </w:rPr>
        <w:t>recommendations made in previous reports an</w:t>
      </w:r>
      <w:r w:rsidR="00E4757A" w:rsidRPr="00E4757A">
        <w:rPr>
          <w:b w:val="0"/>
          <w:color w:val="auto"/>
        </w:rPr>
        <w:t xml:space="preserve"> update on progress on these is detailed below:</w:t>
      </w:r>
    </w:p>
    <w:p w14:paraId="3616F1BE" w14:textId="6E4599D0" w:rsidR="00B255DF" w:rsidRPr="00E4757A" w:rsidRDefault="00B255DF" w:rsidP="00B255DF">
      <w:pPr>
        <w:pStyle w:val="Subtitle"/>
        <w:jc w:val="left"/>
        <w:rPr>
          <w:b w:val="0"/>
          <w:color w:val="auto"/>
        </w:rPr>
      </w:pPr>
    </w:p>
    <w:p w14:paraId="4D46F39A" w14:textId="512DC3CB" w:rsidR="00832B66" w:rsidRPr="00E4757A" w:rsidRDefault="00B266B7" w:rsidP="00B255DF">
      <w:pPr>
        <w:pStyle w:val="Subtitle"/>
        <w:numPr>
          <w:ilvl w:val="0"/>
          <w:numId w:val="8"/>
        </w:numPr>
        <w:ind w:left="360"/>
        <w:jc w:val="left"/>
        <w:rPr>
          <w:b w:val="0"/>
          <w:i/>
          <w:color w:val="auto"/>
        </w:rPr>
      </w:pPr>
      <w:proofErr w:type="gramStart"/>
      <w:r w:rsidRPr="00E4757A">
        <w:rPr>
          <w:b w:val="0"/>
          <w:color w:val="auto"/>
        </w:rPr>
        <w:t>Education sessions via CME and CG Forums to raise awareness and understanding of the</w:t>
      </w:r>
      <w:r w:rsidR="00B255DF" w:rsidRPr="00E4757A">
        <w:rPr>
          <w:b w:val="0"/>
          <w:color w:val="auto"/>
        </w:rPr>
        <w:t xml:space="preserve"> SAER process</w:t>
      </w:r>
      <w:r w:rsidRPr="00E4757A">
        <w:rPr>
          <w:b w:val="0"/>
          <w:color w:val="auto"/>
        </w:rPr>
        <w:t xml:space="preserve"> and need for timely engagement with this with the aim of reducing </w:t>
      </w:r>
      <w:r w:rsidR="009D30DD" w:rsidRPr="00E4757A">
        <w:rPr>
          <w:b w:val="0"/>
          <w:color w:val="auto"/>
        </w:rPr>
        <w:t xml:space="preserve">the </w:t>
      </w:r>
      <w:r w:rsidRPr="00E4757A">
        <w:rPr>
          <w:b w:val="0"/>
          <w:color w:val="auto"/>
        </w:rPr>
        <w:t xml:space="preserve">time it takes to report these events on Datix and commence the review process </w:t>
      </w:r>
      <w:r w:rsidR="0053409F" w:rsidRPr="00E4757A">
        <w:rPr>
          <w:b w:val="0"/>
          <w:color w:val="auto"/>
        </w:rPr>
        <w:t xml:space="preserve">– </w:t>
      </w:r>
      <w:r w:rsidR="0053409F" w:rsidRPr="00E4757A">
        <w:rPr>
          <w:b w:val="0"/>
          <w:i/>
          <w:color w:val="auto"/>
        </w:rPr>
        <w:t>partially completed – reporting times has significantly improved and a focus group has been undertaken with an action plan in place to refine the SAER process</w:t>
      </w:r>
      <w:proofErr w:type="gramEnd"/>
    </w:p>
    <w:p w14:paraId="200E4A61" w14:textId="77777777" w:rsidR="00565197" w:rsidRPr="00E4757A" w:rsidRDefault="00565197" w:rsidP="00B266B7">
      <w:pPr>
        <w:pStyle w:val="Subtitle"/>
        <w:ind w:left="360"/>
        <w:jc w:val="left"/>
        <w:rPr>
          <w:b w:val="0"/>
          <w:color w:val="auto"/>
        </w:rPr>
      </w:pPr>
    </w:p>
    <w:p w14:paraId="28790992" w14:textId="3F9DFA2D" w:rsidR="00832B66" w:rsidRPr="00E4757A" w:rsidRDefault="00B266B7" w:rsidP="00B255DF">
      <w:pPr>
        <w:pStyle w:val="Subtitle"/>
        <w:numPr>
          <w:ilvl w:val="0"/>
          <w:numId w:val="8"/>
        </w:numPr>
        <w:ind w:left="360"/>
        <w:jc w:val="left"/>
        <w:rPr>
          <w:b w:val="0"/>
          <w:color w:val="auto"/>
        </w:rPr>
      </w:pPr>
      <w:r w:rsidRPr="00E4757A">
        <w:rPr>
          <w:b w:val="0"/>
          <w:color w:val="auto"/>
        </w:rPr>
        <w:t xml:space="preserve">Review via CGRMG of the High Risk MDT for Cardiac Surgery to update fully on progress to date and barriers to </w:t>
      </w:r>
      <w:r w:rsidR="009D30DD" w:rsidRPr="00E4757A">
        <w:rPr>
          <w:b w:val="0"/>
          <w:color w:val="auto"/>
        </w:rPr>
        <w:t xml:space="preserve">implementation </w:t>
      </w:r>
      <w:r w:rsidR="00E4757A" w:rsidRPr="00E4757A">
        <w:rPr>
          <w:b w:val="0"/>
          <w:color w:val="auto"/>
        </w:rPr>
        <w:t>–</w:t>
      </w:r>
      <w:r w:rsidR="0053409F" w:rsidRPr="00E4757A">
        <w:rPr>
          <w:b w:val="0"/>
          <w:color w:val="auto"/>
        </w:rPr>
        <w:t xml:space="preserve"> </w:t>
      </w:r>
      <w:r w:rsidR="00E4757A" w:rsidRPr="00E4757A">
        <w:rPr>
          <w:b w:val="0"/>
          <w:i/>
          <w:color w:val="auto"/>
        </w:rPr>
        <w:t>action closed and High Risk patients discussed at MDT</w:t>
      </w:r>
    </w:p>
    <w:p w14:paraId="3EEB51A3" w14:textId="77777777" w:rsidR="00565197" w:rsidRPr="00E4757A" w:rsidRDefault="00565197" w:rsidP="00B266B7">
      <w:pPr>
        <w:pStyle w:val="Subtitle"/>
        <w:ind w:left="360"/>
        <w:jc w:val="left"/>
        <w:rPr>
          <w:b w:val="0"/>
          <w:color w:val="auto"/>
        </w:rPr>
      </w:pPr>
    </w:p>
    <w:p w14:paraId="4670F64A" w14:textId="43673117" w:rsidR="00832B66" w:rsidRPr="00E4757A" w:rsidRDefault="00B266B7" w:rsidP="00B255DF">
      <w:pPr>
        <w:pStyle w:val="Subtitle"/>
        <w:numPr>
          <w:ilvl w:val="0"/>
          <w:numId w:val="8"/>
        </w:numPr>
        <w:ind w:left="360"/>
        <w:jc w:val="left"/>
        <w:rPr>
          <w:b w:val="0"/>
          <w:i/>
          <w:color w:val="auto"/>
        </w:rPr>
      </w:pPr>
      <w:r w:rsidRPr="00E4757A">
        <w:rPr>
          <w:b w:val="0"/>
          <w:color w:val="auto"/>
        </w:rPr>
        <w:t>Assurance from the SLWG on the process to support review of radiology reports with au</w:t>
      </w:r>
      <w:r w:rsidR="0053409F" w:rsidRPr="00E4757A">
        <w:rPr>
          <w:b w:val="0"/>
          <w:color w:val="auto"/>
        </w:rPr>
        <w:t xml:space="preserve">dit data to confirm compliance – </w:t>
      </w:r>
      <w:r w:rsidR="0053409F" w:rsidRPr="00E4757A">
        <w:rPr>
          <w:b w:val="0"/>
          <w:i/>
          <w:color w:val="auto"/>
        </w:rPr>
        <w:t>this SLWG concluded with a plan in place for each service to develop internal processes</w:t>
      </w:r>
      <w:r w:rsidR="00857056">
        <w:rPr>
          <w:b w:val="0"/>
          <w:i/>
          <w:color w:val="auto"/>
        </w:rPr>
        <w:t xml:space="preserve"> for review radiology reports. </w:t>
      </w:r>
      <w:r w:rsidR="0053409F" w:rsidRPr="00E4757A">
        <w:rPr>
          <w:b w:val="0"/>
          <w:i/>
          <w:color w:val="auto"/>
        </w:rPr>
        <w:t xml:space="preserve">The infrastructure to support this in electronic systems, although not 100% </w:t>
      </w:r>
      <w:proofErr w:type="gramStart"/>
      <w:r w:rsidR="0053409F" w:rsidRPr="00E4757A">
        <w:rPr>
          <w:b w:val="0"/>
          <w:i/>
          <w:color w:val="auto"/>
        </w:rPr>
        <w:t>ideal,</w:t>
      </w:r>
      <w:proofErr w:type="gramEnd"/>
      <w:r w:rsidR="0053409F" w:rsidRPr="00E4757A">
        <w:rPr>
          <w:b w:val="0"/>
          <w:i/>
          <w:color w:val="auto"/>
        </w:rPr>
        <w:t xml:space="preserve"> was developed as far as our current systems would allow.</w:t>
      </w:r>
    </w:p>
    <w:p w14:paraId="1137C312" w14:textId="77777777" w:rsidR="009D30DD" w:rsidRPr="00E4757A" w:rsidRDefault="009D30DD" w:rsidP="009D30DD">
      <w:pPr>
        <w:pStyle w:val="ListParagraph"/>
        <w:rPr>
          <w:b/>
        </w:rPr>
      </w:pPr>
    </w:p>
    <w:p w14:paraId="4C9A60C8" w14:textId="52980722" w:rsidR="009D30DD" w:rsidRPr="00E4757A" w:rsidRDefault="009D30DD" w:rsidP="00B255DF">
      <w:pPr>
        <w:pStyle w:val="Subtitle"/>
        <w:numPr>
          <w:ilvl w:val="0"/>
          <w:numId w:val="8"/>
        </w:numPr>
        <w:ind w:left="360"/>
        <w:jc w:val="left"/>
        <w:rPr>
          <w:b w:val="0"/>
          <w:i/>
          <w:color w:val="auto"/>
        </w:rPr>
      </w:pPr>
      <w:r w:rsidRPr="00E4757A">
        <w:rPr>
          <w:b w:val="0"/>
          <w:color w:val="auto"/>
        </w:rPr>
        <w:t xml:space="preserve">Scheduled updates from the Medicines Improvement Group on work plan progression to support escalation of issues and alignment to SAER learning </w:t>
      </w:r>
      <w:r w:rsidR="0053409F" w:rsidRPr="00E4757A">
        <w:rPr>
          <w:b w:val="0"/>
          <w:color w:val="auto"/>
        </w:rPr>
        <w:t xml:space="preserve">– </w:t>
      </w:r>
      <w:r w:rsidR="0053409F" w:rsidRPr="00E4757A">
        <w:rPr>
          <w:b w:val="0"/>
          <w:i/>
          <w:color w:val="auto"/>
        </w:rPr>
        <w:t xml:space="preserve">this action is ongoing and is a focus for the </w:t>
      </w:r>
      <w:r w:rsidR="00751AD7">
        <w:rPr>
          <w:b w:val="0"/>
          <w:i/>
          <w:color w:val="auto"/>
        </w:rPr>
        <w:t>Director of Pharmacy</w:t>
      </w:r>
    </w:p>
    <w:p w14:paraId="2A68847F" w14:textId="77777777" w:rsidR="00565197" w:rsidRPr="00E4757A" w:rsidRDefault="00565197" w:rsidP="00B266B7">
      <w:pPr>
        <w:pStyle w:val="Subtitle"/>
        <w:ind w:left="360"/>
        <w:jc w:val="left"/>
        <w:rPr>
          <w:b w:val="0"/>
          <w:color w:val="auto"/>
        </w:rPr>
      </w:pPr>
    </w:p>
    <w:p w14:paraId="29B09FF1" w14:textId="55CAC042" w:rsidR="00565197" w:rsidRPr="00E4757A" w:rsidRDefault="00232D28" w:rsidP="0041651C">
      <w:pPr>
        <w:pStyle w:val="Subtitle"/>
        <w:numPr>
          <w:ilvl w:val="0"/>
          <w:numId w:val="8"/>
        </w:numPr>
        <w:ind w:left="360"/>
        <w:jc w:val="left"/>
        <w:rPr>
          <w:b w:val="0"/>
          <w:i/>
          <w:color w:val="auto"/>
        </w:rPr>
      </w:pPr>
      <w:r w:rsidRPr="00E4757A">
        <w:rPr>
          <w:b w:val="0"/>
          <w:color w:val="auto"/>
        </w:rPr>
        <w:t>Surgical Safety work plan to be progressed across Theatres to encompass the WHO Surgical Safety elements of safety brief, pause and sign out and the Stop before You Block work underway to ensure robus</w:t>
      </w:r>
      <w:r w:rsidR="00756B07">
        <w:rPr>
          <w:b w:val="0"/>
          <w:color w:val="auto"/>
        </w:rPr>
        <w:t xml:space="preserve">t, quality processes in place. </w:t>
      </w:r>
      <w:r w:rsidRPr="00E4757A">
        <w:rPr>
          <w:b w:val="0"/>
          <w:color w:val="auto"/>
        </w:rPr>
        <w:t xml:space="preserve">Some pilot projects are underway in all aspects that can provide </w:t>
      </w:r>
      <w:r w:rsidR="0053409F" w:rsidRPr="00E4757A">
        <w:rPr>
          <w:b w:val="0"/>
          <w:color w:val="auto"/>
        </w:rPr>
        <w:t xml:space="preserve">the basis for wider programme. – </w:t>
      </w:r>
      <w:r w:rsidR="0053409F" w:rsidRPr="00E4757A">
        <w:rPr>
          <w:b w:val="0"/>
          <w:i/>
          <w:color w:val="auto"/>
        </w:rPr>
        <w:t xml:space="preserve">Some elements of surgical safety work have been completed </w:t>
      </w:r>
      <w:proofErr w:type="gramStart"/>
      <w:r w:rsidR="0053409F" w:rsidRPr="00E4757A">
        <w:rPr>
          <w:b w:val="0"/>
          <w:i/>
          <w:color w:val="auto"/>
        </w:rPr>
        <w:t>however</w:t>
      </w:r>
      <w:proofErr w:type="gramEnd"/>
      <w:r w:rsidR="0053409F" w:rsidRPr="00E4757A">
        <w:rPr>
          <w:b w:val="0"/>
          <w:i/>
          <w:color w:val="auto"/>
        </w:rPr>
        <w:t xml:space="preserve"> the theatres team are currently reviewing the best way to continue this work via a theatre specific working group</w:t>
      </w:r>
      <w:r w:rsidR="00E4757A" w:rsidRPr="00E4757A">
        <w:rPr>
          <w:b w:val="0"/>
          <w:i/>
          <w:color w:val="auto"/>
        </w:rPr>
        <w:t>.</w:t>
      </w:r>
    </w:p>
    <w:p w14:paraId="3CE1B575" w14:textId="77777777" w:rsidR="00232D28" w:rsidRPr="004F376E" w:rsidRDefault="00232D28" w:rsidP="00232D28">
      <w:pPr>
        <w:pStyle w:val="ListParagraph"/>
        <w:rPr>
          <w:b/>
          <w:color w:val="FF0000"/>
        </w:rPr>
      </w:pPr>
    </w:p>
    <w:p w14:paraId="5FD829D5" w14:textId="77777777" w:rsidR="00B255DF" w:rsidRPr="001542C0" w:rsidRDefault="00B255DF" w:rsidP="001B0E26">
      <w:pPr>
        <w:pStyle w:val="Subtitle"/>
        <w:jc w:val="left"/>
        <w:rPr>
          <w:b w:val="0"/>
          <w:color w:val="auto"/>
        </w:rPr>
        <w:sectPr w:rsidR="00B255DF" w:rsidRPr="001542C0" w:rsidSect="000A7872">
          <w:headerReference w:type="default" r:id="rId39"/>
          <w:pgSz w:w="11906" w:h="16838"/>
          <w:pgMar w:top="1440" w:right="707" w:bottom="993" w:left="851" w:header="708" w:footer="708" w:gutter="0"/>
          <w:cols w:space="708"/>
          <w:docGrid w:linePitch="360"/>
        </w:sectPr>
      </w:pPr>
    </w:p>
    <w:p w14:paraId="51C57316" w14:textId="3EE5F090" w:rsidR="00EC6011" w:rsidRDefault="00AD45E7" w:rsidP="008F3796">
      <w:pPr>
        <w:pStyle w:val="Subtitle"/>
        <w:jc w:val="right"/>
        <w:rPr>
          <w:color w:val="auto"/>
          <w:sz w:val="22"/>
          <w:szCs w:val="22"/>
        </w:rPr>
      </w:pPr>
      <w:r w:rsidRPr="008638CB">
        <w:rPr>
          <w:color w:val="auto"/>
          <w:sz w:val="22"/>
          <w:szCs w:val="22"/>
        </w:rPr>
        <w:t xml:space="preserve">Appendix A - </w:t>
      </w:r>
      <w:r w:rsidR="001B0E26" w:rsidRPr="008638CB">
        <w:rPr>
          <w:color w:val="auto"/>
          <w:sz w:val="22"/>
          <w:szCs w:val="22"/>
        </w:rPr>
        <w:t xml:space="preserve">GJNH </w:t>
      </w:r>
      <w:r w:rsidR="00B3040D" w:rsidRPr="008638CB">
        <w:rPr>
          <w:color w:val="auto"/>
          <w:sz w:val="22"/>
          <w:szCs w:val="22"/>
        </w:rPr>
        <w:t>SAER</w:t>
      </w:r>
      <w:r w:rsidR="001B0E26" w:rsidRPr="008638CB">
        <w:rPr>
          <w:color w:val="auto"/>
          <w:sz w:val="22"/>
          <w:szCs w:val="22"/>
        </w:rPr>
        <w:t xml:space="preserve"> Investigations</w:t>
      </w:r>
    </w:p>
    <w:p w14:paraId="164AA952" w14:textId="77777777" w:rsidR="00EC6011" w:rsidRDefault="00EC6011">
      <w:pPr>
        <w:pStyle w:val="Subtitle"/>
        <w:jc w:val="right"/>
        <w:rPr>
          <w:color w:val="auto"/>
          <w:sz w:val="22"/>
          <w:szCs w:val="22"/>
        </w:rPr>
      </w:pPr>
    </w:p>
    <w:tbl>
      <w:tblPr>
        <w:tblW w:w="15735" w:type="dxa"/>
        <w:tblInd w:w="108" w:type="dxa"/>
        <w:tblLayout w:type="fixed"/>
        <w:tblLook w:val="04A0" w:firstRow="1" w:lastRow="0" w:firstColumn="1" w:lastColumn="0" w:noHBand="0" w:noVBand="1"/>
      </w:tblPr>
      <w:tblGrid>
        <w:gridCol w:w="900"/>
        <w:gridCol w:w="1510"/>
        <w:gridCol w:w="992"/>
        <w:gridCol w:w="3119"/>
        <w:gridCol w:w="2126"/>
        <w:gridCol w:w="1134"/>
        <w:gridCol w:w="2977"/>
        <w:gridCol w:w="2977"/>
      </w:tblGrid>
      <w:tr w:rsidR="00EC6011" w:rsidRPr="00EC6011" w14:paraId="39C49D9E" w14:textId="77777777" w:rsidTr="008638CB">
        <w:trPr>
          <w:trHeight w:val="600"/>
          <w:tblHeader/>
        </w:trPr>
        <w:tc>
          <w:tcPr>
            <w:tcW w:w="900" w:type="dxa"/>
            <w:tcBorders>
              <w:top w:val="single" w:sz="4" w:space="0" w:color="000000"/>
              <w:left w:val="single" w:sz="4" w:space="0" w:color="000000"/>
              <w:bottom w:val="single" w:sz="4" w:space="0" w:color="000000"/>
              <w:right w:val="single" w:sz="4" w:space="0" w:color="000000"/>
            </w:tcBorders>
            <w:shd w:val="clear" w:color="000000" w:fill="162D54"/>
            <w:vAlign w:val="center"/>
            <w:hideMark/>
          </w:tcPr>
          <w:p w14:paraId="426EDDAD" w14:textId="77777777" w:rsidR="00EC6011" w:rsidRPr="008638CB" w:rsidRDefault="00EC6011" w:rsidP="00EC6011">
            <w:pPr>
              <w:rPr>
                <w:rFonts w:ascii="Arial" w:hAnsi="Arial" w:cs="Arial"/>
                <w:color w:val="FFFFFF"/>
              </w:rPr>
            </w:pPr>
            <w:r w:rsidRPr="008638CB">
              <w:rPr>
                <w:rFonts w:ascii="Arial" w:hAnsi="Arial" w:cs="Arial"/>
                <w:color w:val="FFFFFF"/>
                <w:sz w:val="22"/>
                <w:szCs w:val="22"/>
              </w:rPr>
              <w:t>Ref</w:t>
            </w:r>
          </w:p>
        </w:tc>
        <w:tc>
          <w:tcPr>
            <w:tcW w:w="1510" w:type="dxa"/>
            <w:tcBorders>
              <w:top w:val="single" w:sz="4" w:space="0" w:color="000000"/>
              <w:left w:val="nil"/>
              <w:bottom w:val="single" w:sz="4" w:space="0" w:color="000000"/>
              <w:right w:val="single" w:sz="4" w:space="0" w:color="000000"/>
            </w:tcBorders>
            <w:shd w:val="clear" w:color="000000" w:fill="162D54"/>
            <w:vAlign w:val="center"/>
            <w:hideMark/>
          </w:tcPr>
          <w:p w14:paraId="323B19A7" w14:textId="77777777" w:rsidR="00EC6011" w:rsidRPr="008638CB" w:rsidRDefault="00EC6011" w:rsidP="00EC6011">
            <w:pPr>
              <w:rPr>
                <w:rFonts w:ascii="Arial" w:hAnsi="Arial" w:cs="Arial"/>
                <w:color w:val="FFFFFF"/>
              </w:rPr>
            </w:pPr>
            <w:r w:rsidRPr="008638CB">
              <w:rPr>
                <w:rFonts w:ascii="Arial" w:hAnsi="Arial" w:cs="Arial"/>
                <w:color w:val="FFFFFF"/>
                <w:sz w:val="22"/>
                <w:szCs w:val="22"/>
              </w:rPr>
              <w:t>Month of Event</w:t>
            </w:r>
          </w:p>
        </w:tc>
        <w:tc>
          <w:tcPr>
            <w:tcW w:w="992" w:type="dxa"/>
            <w:tcBorders>
              <w:top w:val="single" w:sz="4" w:space="0" w:color="000000"/>
              <w:left w:val="nil"/>
              <w:bottom w:val="single" w:sz="4" w:space="0" w:color="000000"/>
              <w:right w:val="single" w:sz="4" w:space="0" w:color="000000"/>
            </w:tcBorders>
            <w:shd w:val="clear" w:color="000000" w:fill="162D54"/>
            <w:vAlign w:val="center"/>
            <w:hideMark/>
          </w:tcPr>
          <w:p w14:paraId="2053F369" w14:textId="77777777" w:rsidR="00EC6011" w:rsidRPr="008638CB" w:rsidRDefault="00EC6011" w:rsidP="00EC6011">
            <w:pPr>
              <w:rPr>
                <w:rFonts w:ascii="Arial" w:hAnsi="Arial" w:cs="Arial"/>
                <w:color w:val="FFFFFF"/>
              </w:rPr>
            </w:pPr>
            <w:r w:rsidRPr="008638CB">
              <w:rPr>
                <w:rFonts w:ascii="Arial" w:hAnsi="Arial" w:cs="Arial"/>
                <w:color w:val="FFFFFF"/>
                <w:sz w:val="22"/>
                <w:szCs w:val="22"/>
              </w:rPr>
              <w:t>Division</w:t>
            </w:r>
          </w:p>
        </w:tc>
        <w:tc>
          <w:tcPr>
            <w:tcW w:w="3119" w:type="dxa"/>
            <w:tcBorders>
              <w:top w:val="single" w:sz="4" w:space="0" w:color="000000"/>
              <w:left w:val="nil"/>
              <w:bottom w:val="single" w:sz="4" w:space="0" w:color="000000"/>
              <w:right w:val="single" w:sz="4" w:space="0" w:color="000000"/>
            </w:tcBorders>
            <w:shd w:val="clear" w:color="000000" w:fill="162D54"/>
            <w:vAlign w:val="center"/>
            <w:hideMark/>
          </w:tcPr>
          <w:p w14:paraId="4FADD185" w14:textId="77777777" w:rsidR="00EC6011" w:rsidRPr="008638CB" w:rsidRDefault="00EC6011" w:rsidP="00EC6011">
            <w:pPr>
              <w:rPr>
                <w:rFonts w:ascii="Arial" w:hAnsi="Arial" w:cs="Arial"/>
                <w:color w:val="FFFFFF"/>
              </w:rPr>
            </w:pPr>
            <w:r w:rsidRPr="008638CB">
              <w:rPr>
                <w:rFonts w:ascii="Arial" w:hAnsi="Arial" w:cs="Arial"/>
                <w:color w:val="FFFFFF"/>
                <w:sz w:val="22"/>
                <w:szCs w:val="22"/>
              </w:rPr>
              <w:t>SAER Short Title</w:t>
            </w:r>
          </w:p>
        </w:tc>
        <w:tc>
          <w:tcPr>
            <w:tcW w:w="2126" w:type="dxa"/>
            <w:tcBorders>
              <w:top w:val="single" w:sz="4" w:space="0" w:color="000000"/>
              <w:left w:val="nil"/>
              <w:bottom w:val="single" w:sz="4" w:space="0" w:color="000000"/>
              <w:right w:val="single" w:sz="4" w:space="0" w:color="000000"/>
            </w:tcBorders>
            <w:shd w:val="clear" w:color="000000" w:fill="162D54"/>
            <w:vAlign w:val="center"/>
            <w:hideMark/>
          </w:tcPr>
          <w:p w14:paraId="5A4BB501" w14:textId="77777777" w:rsidR="00EC6011" w:rsidRPr="008638CB" w:rsidRDefault="00EC6011" w:rsidP="00EC6011">
            <w:pPr>
              <w:rPr>
                <w:rFonts w:ascii="Arial" w:hAnsi="Arial" w:cs="Arial"/>
                <w:color w:val="FFFFFF"/>
              </w:rPr>
            </w:pPr>
            <w:r w:rsidRPr="008638CB">
              <w:rPr>
                <w:rFonts w:ascii="Arial" w:hAnsi="Arial" w:cs="Arial"/>
                <w:color w:val="FFFFFF"/>
                <w:sz w:val="22"/>
                <w:szCs w:val="22"/>
              </w:rPr>
              <w:t>Investigation Status</w:t>
            </w:r>
          </w:p>
        </w:tc>
        <w:tc>
          <w:tcPr>
            <w:tcW w:w="1134" w:type="dxa"/>
            <w:tcBorders>
              <w:top w:val="single" w:sz="4" w:space="0" w:color="000000"/>
              <w:left w:val="nil"/>
              <w:bottom w:val="single" w:sz="4" w:space="0" w:color="000000"/>
              <w:right w:val="single" w:sz="4" w:space="0" w:color="000000"/>
            </w:tcBorders>
            <w:shd w:val="clear" w:color="000000" w:fill="162D54"/>
            <w:vAlign w:val="center"/>
            <w:hideMark/>
          </w:tcPr>
          <w:p w14:paraId="256BD177" w14:textId="77777777" w:rsidR="00EC6011" w:rsidRPr="008638CB" w:rsidRDefault="00EC6011" w:rsidP="008638CB">
            <w:pPr>
              <w:jc w:val="center"/>
              <w:rPr>
                <w:rFonts w:ascii="Arial" w:hAnsi="Arial" w:cs="Arial"/>
                <w:color w:val="FFFFFF"/>
              </w:rPr>
            </w:pPr>
            <w:r w:rsidRPr="008638CB">
              <w:rPr>
                <w:rFonts w:ascii="Arial" w:hAnsi="Arial" w:cs="Arial"/>
                <w:color w:val="FFFFFF"/>
                <w:sz w:val="22"/>
                <w:szCs w:val="22"/>
              </w:rPr>
              <w:t>Outcome code</w:t>
            </w:r>
          </w:p>
        </w:tc>
        <w:tc>
          <w:tcPr>
            <w:tcW w:w="2977" w:type="dxa"/>
            <w:tcBorders>
              <w:top w:val="single" w:sz="4" w:space="0" w:color="000000"/>
              <w:left w:val="nil"/>
              <w:bottom w:val="single" w:sz="4" w:space="0" w:color="000000"/>
              <w:right w:val="nil"/>
            </w:tcBorders>
            <w:shd w:val="clear" w:color="000000" w:fill="162D54"/>
            <w:vAlign w:val="center"/>
            <w:hideMark/>
          </w:tcPr>
          <w:p w14:paraId="344F7D80" w14:textId="77777777" w:rsidR="00EC6011" w:rsidRPr="008638CB" w:rsidRDefault="00EC6011" w:rsidP="00EC6011">
            <w:pPr>
              <w:rPr>
                <w:rFonts w:ascii="Arial" w:hAnsi="Arial" w:cs="Arial"/>
                <w:color w:val="FFFFFF" w:themeColor="background1"/>
              </w:rPr>
            </w:pPr>
            <w:r w:rsidRPr="008638CB">
              <w:rPr>
                <w:rFonts w:ascii="Arial" w:hAnsi="Arial" w:cs="Arial"/>
                <w:color w:val="FFFFFF" w:themeColor="background1"/>
                <w:sz w:val="22"/>
                <w:szCs w:val="22"/>
              </w:rPr>
              <w:t>Key Learning</w:t>
            </w:r>
          </w:p>
        </w:tc>
        <w:tc>
          <w:tcPr>
            <w:tcW w:w="2977" w:type="dxa"/>
            <w:tcBorders>
              <w:top w:val="single" w:sz="4" w:space="0" w:color="auto"/>
              <w:left w:val="single" w:sz="4" w:space="0" w:color="auto"/>
              <w:bottom w:val="single" w:sz="4" w:space="0" w:color="auto"/>
              <w:right w:val="single" w:sz="4" w:space="0" w:color="auto"/>
            </w:tcBorders>
            <w:shd w:val="clear" w:color="000000" w:fill="162D54"/>
            <w:vAlign w:val="center"/>
            <w:hideMark/>
          </w:tcPr>
          <w:p w14:paraId="688E64F9" w14:textId="77777777" w:rsidR="00EC6011" w:rsidRPr="008638CB" w:rsidRDefault="00EC6011" w:rsidP="00EC6011">
            <w:pPr>
              <w:rPr>
                <w:rFonts w:ascii="Arial" w:hAnsi="Arial" w:cs="Arial"/>
                <w:color w:val="FFFFFF"/>
              </w:rPr>
            </w:pPr>
            <w:r w:rsidRPr="008638CB">
              <w:rPr>
                <w:rFonts w:ascii="Arial" w:hAnsi="Arial" w:cs="Arial"/>
                <w:color w:val="FFFFFF"/>
                <w:sz w:val="22"/>
                <w:szCs w:val="22"/>
              </w:rPr>
              <w:t>Action Plan Status</w:t>
            </w:r>
          </w:p>
        </w:tc>
      </w:tr>
      <w:tr w:rsidR="00EC6011" w:rsidRPr="00EC6011" w14:paraId="1B7B6866" w14:textId="77777777" w:rsidTr="008638CB">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F8539" w14:textId="77777777" w:rsidR="00EC6011" w:rsidRPr="008638CB" w:rsidRDefault="00EC6011" w:rsidP="00EC6011">
            <w:pPr>
              <w:rPr>
                <w:rFonts w:ascii="Arial" w:hAnsi="Arial" w:cs="Arial"/>
              </w:rPr>
            </w:pPr>
            <w:r w:rsidRPr="008638CB">
              <w:rPr>
                <w:rFonts w:ascii="Arial" w:hAnsi="Arial" w:cs="Arial"/>
                <w:sz w:val="22"/>
                <w:szCs w:val="22"/>
              </w:rPr>
              <w:t>DW-8477</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0806B8D9" w14:textId="77777777" w:rsidR="00EC6011" w:rsidRPr="008638CB" w:rsidRDefault="00EC6011" w:rsidP="00EC6011">
            <w:pPr>
              <w:rPr>
                <w:rFonts w:ascii="Arial" w:hAnsi="Arial" w:cs="Arial"/>
              </w:rPr>
            </w:pPr>
            <w:r w:rsidRPr="008638CB">
              <w:rPr>
                <w:rFonts w:ascii="Arial" w:hAnsi="Arial" w:cs="Arial"/>
                <w:sz w:val="22"/>
                <w:szCs w:val="22"/>
              </w:rPr>
              <w:t>April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4EE07D8" w14:textId="77777777" w:rsidR="00EC6011" w:rsidRPr="008638CB" w:rsidRDefault="00EC6011"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3AAFA6FC" w14:textId="77777777" w:rsidR="00EC6011" w:rsidRPr="008638CB" w:rsidRDefault="00EC6011" w:rsidP="00EC6011">
            <w:pPr>
              <w:rPr>
                <w:rFonts w:ascii="Arial" w:hAnsi="Arial" w:cs="Arial"/>
              </w:rPr>
            </w:pPr>
            <w:r w:rsidRPr="008638CB">
              <w:rPr>
                <w:rFonts w:ascii="Arial" w:hAnsi="Arial" w:cs="Arial"/>
                <w:sz w:val="22"/>
                <w:szCs w:val="22"/>
              </w:rPr>
              <w:t>Readmission to hospital - anticoagulation</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FA5F041" w14:textId="77777777" w:rsidR="00EC6011" w:rsidRPr="008638CB" w:rsidRDefault="00EC6011" w:rsidP="00EC6011">
            <w:pPr>
              <w:rPr>
                <w:rFonts w:ascii="Arial" w:hAnsi="Arial" w:cs="Arial"/>
              </w:rPr>
            </w:pPr>
            <w:r w:rsidRPr="008638CB">
              <w:rPr>
                <w:rFonts w:ascii="Arial" w:hAnsi="Arial" w:cs="Arial"/>
                <w:sz w:val="22"/>
                <w:szCs w:val="22"/>
              </w:rPr>
              <w:t>Completed in December 2022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BFEDE3C" w14:textId="77777777" w:rsidR="00EC6011" w:rsidRPr="008638CB" w:rsidRDefault="00EC6011" w:rsidP="008638CB">
            <w:pPr>
              <w:jc w:val="center"/>
              <w:rPr>
                <w:rFonts w:ascii="Arial" w:hAnsi="Arial" w:cs="Arial"/>
              </w:rPr>
            </w:pPr>
            <w:r w:rsidRPr="008638CB">
              <w:rPr>
                <w:rFonts w:ascii="Arial" w:hAnsi="Arial" w:cs="Arial"/>
                <w:sz w:val="22"/>
                <w:szCs w:val="22"/>
              </w:rPr>
              <w:t>4</w:t>
            </w:r>
          </w:p>
        </w:tc>
        <w:tc>
          <w:tcPr>
            <w:tcW w:w="2977" w:type="dxa"/>
            <w:tcBorders>
              <w:top w:val="single" w:sz="4" w:space="0" w:color="000000"/>
              <w:left w:val="nil"/>
              <w:bottom w:val="single" w:sz="4" w:space="0" w:color="000000"/>
              <w:right w:val="nil"/>
            </w:tcBorders>
            <w:shd w:val="clear" w:color="auto" w:fill="auto"/>
            <w:vAlign w:val="center"/>
            <w:hideMark/>
          </w:tcPr>
          <w:p w14:paraId="050885EA" w14:textId="77777777" w:rsidR="00EC6011" w:rsidRPr="004F376E" w:rsidRDefault="004F376E" w:rsidP="007A49FD">
            <w:pPr>
              <w:pStyle w:val="ListParagraph"/>
              <w:numPr>
                <w:ilvl w:val="0"/>
                <w:numId w:val="9"/>
              </w:numPr>
              <w:ind w:left="322"/>
              <w:rPr>
                <w:rFonts w:ascii="Arial" w:hAnsi="Arial" w:cs="Arial"/>
              </w:rPr>
            </w:pPr>
            <w:r w:rsidRPr="004F376E">
              <w:rPr>
                <w:rFonts w:ascii="Arial" w:hAnsi="Arial" w:cs="Arial"/>
              </w:rPr>
              <w:t>Standardised surgical handover</w:t>
            </w:r>
          </w:p>
          <w:p w14:paraId="2869F82D" w14:textId="77777777" w:rsidR="004F376E" w:rsidRPr="004F376E" w:rsidRDefault="004F376E" w:rsidP="007A49FD">
            <w:pPr>
              <w:pStyle w:val="ListParagraph"/>
              <w:numPr>
                <w:ilvl w:val="0"/>
                <w:numId w:val="9"/>
              </w:numPr>
              <w:ind w:left="322"/>
              <w:rPr>
                <w:rFonts w:ascii="Arial" w:hAnsi="Arial" w:cs="Arial"/>
              </w:rPr>
            </w:pPr>
            <w:r w:rsidRPr="004F376E">
              <w:rPr>
                <w:rFonts w:ascii="Arial" w:hAnsi="Arial" w:cs="Arial"/>
              </w:rPr>
              <w:t>Patient handover sticker for type of prosthesis used</w:t>
            </w:r>
          </w:p>
          <w:p w14:paraId="28C7F34F" w14:textId="77777777" w:rsidR="004F376E" w:rsidRPr="004F376E" w:rsidRDefault="004F376E" w:rsidP="007A49FD">
            <w:pPr>
              <w:pStyle w:val="ListParagraph"/>
              <w:numPr>
                <w:ilvl w:val="0"/>
                <w:numId w:val="9"/>
              </w:numPr>
              <w:ind w:left="322"/>
              <w:rPr>
                <w:rFonts w:ascii="Arial" w:hAnsi="Arial" w:cs="Arial"/>
              </w:rPr>
            </w:pPr>
            <w:r w:rsidRPr="004F376E">
              <w:rPr>
                <w:rFonts w:ascii="Arial" w:hAnsi="Arial" w:cs="Arial"/>
              </w:rPr>
              <w:t>Realistic medicine partnership working  for patient involvement in decision making</w:t>
            </w:r>
          </w:p>
          <w:p w14:paraId="3949552E" w14:textId="77777777" w:rsidR="004F376E" w:rsidRPr="004F376E" w:rsidRDefault="004F376E" w:rsidP="007A49FD">
            <w:pPr>
              <w:pStyle w:val="ListParagraph"/>
              <w:numPr>
                <w:ilvl w:val="0"/>
                <w:numId w:val="9"/>
              </w:numPr>
              <w:ind w:left="322"/>
              <w:rPr>
                <w:rFonts w:ascii="Arial" w:hAnsi="Arial" w:cs="Arial"/>
              </w:rPr>
            </w:pPr>
            <w:r w:rsidRPr="004F376E">
              <w:rPr>
                <w:rFonts w:ascii="Arial" w:hAnsi="Arial" w:cs="Arial"/>
              </w:rPr>
              <w:t>Develop and provide further education for confirmation bias</w:t>
            </w:r>
          </w:p>
          <w:p w14:paraId="4B2EED5F" w14:textId="77777777" w:rsidR="004F376E" w:rsidRPr="004F376E" w:rsidRDefault="004F376E" w:rsidP="007A49FD">
            <w:pPr>
              <w:pStyle w:val="ListParagraph"/>
              <w:numPr>
                <w:ilvl w:val="0"/>
                <w:numId w:val="9"/>
              </w:numPr>
              <w:ind w:left="322"/>
              <w:rPr>
                <w:rFonts w:ascii="Arial" w:hAnsi="Arial" w:cs="Arial"/>
              </w:rPr>
            </w:pPr>
            <w:r w:rsidRPr="004F376E">
              <w:rPr>
                <w:rFonts w:ascii="Arial" w:hAnsi="Arial" w:cs="Arial"/>
              </w:rPr>
              <w:t>Inclusion of patients type and duration of anticoagulation/anti-platelet on CIS Care Plan</w:t>
            </w:r>
          </w:p>
          <w:p w14:paraId="1BA05793" w14:textId="5DB3B764" w:rsidR="004F376E" w:rsidRPr="004F376E" w:rsidRDefault="004F376E" w:rsidP="007A49FD">
            <w:pPr>
              <w:pStyle w:val="ListParagraph"/>
              <w:numPr>
                <w:ilvl w:val="0"/>
                <w:numId w:val="9"/>
              </w:numPr>
              <w:ind w:left="322"/>
              <w:rPr>
                <w:rFonts w:ascii="Arial" w:hAnsi="Arial" w:cs="Arial"/>
                <w:b/>
              </w:rPr>
            </w:pPr>
            <w:r w:rsidRPr="004F376E">
              <w:rPr>
                <w:rFonts w:ascii="Arial" w:hAnsi="Arial" w:cs="Arial"/>
              </w:rPr>
              <w:t xml:space="preserve">Develop protocol for patients </w:t>
            </w:r>
            <w:r w:rsidR="00EB5ADC" w:rsidRPr="004F376E">
              <w:rPr>
                <w:rFonts w:ascii="Arial" w:hAnsi="Arial" w:cs="Arial"/>
              </w:rPr>
              <w:t>post-surgery</w:t>
            </w:r>
            <w:r w:rsidRPr="004F376E">
              <w:rPr>
                <w:rFonts w:ascii="Arial" w:hAnsi="Arial" w:cs="Arial"/>
              </w:rPr>
              <w:t xml:space="preserve"> anti-platelet therapy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6995" w14:textId="30E00820" w:rsidR="004F376E" w:rsidRPr="004F376E" w:rsidRDefault="00EC6011" w:rsidP="004F376E">
            <w:pPr>
              <w:rPr>
                <w:rFonts w:ascii="Arial" w:hAnsi="Arial" w:cs="Arial"/>
              </w:rPr>
            </w:pPr>
            <w:r w:rsidRPr="008638CB">
              <w:rPr>
                <w:rFonts w:ascii="Arial" w:hAnsi="Arial" w:cs="Arial"/>
                <w:sz w:val="22"/>
                <w:szCs w:val="22"/>
              </w:rPr>
              <w:t> </w:t>
            </w:r>
            <w:r w:rsidR="004F376E">
              <w:rPr>
                <w:rFonts w:ascii="Arial" w:hAnsi="Arial" w:cs="Arial"/>
                <w:sz w:val="22"/>
                <w:szCs w:val="22"/>
              </w:rPr>
              <w:t>Partially completed</w:t>
            </w:r>
          </w:p>
        </w:tc>
      </w:tr>
      <w:tr w:rsidR="00EC6011" w:rsidRPr="00EC6011" w14:paraId="7D2C6D88" w14:textId="77777777" w:rsidTr="008638CB">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0E0DA" w14:textId="77777777" w:rsidR="00EC6011" w:rsidRPr="008638CB" w:rsidRDefault="00EC6011" w:rsidP="00EC6011">
            <w:pPr>
              <w:rPr>
                <w:rFonts w:ascii="Arial" w:hAnsi="Arial" w:cs="Arial"/>
              </w:rPr>
            </w:pPr>
            <w:r w:rsidRPr="008638CB">
              <w:rPr>
                <w:rFonts w:ascii="Arial" w:hAnsi="Arial" w:cs="Arial"/>
                <w:sz w:val="22"/>
                <w:szCs w:val="22"/>
              </w:rPr>
              <w:t>DW-8533</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679EF631" w14:textId="77777777" w:rsidR="00EC6011" w:rsidRPr="008638CB" w:rsidRDefault="00EC6011" w:rsidP="00EC6011">
            <w:pPr>
              <w:rPr>
                <w:rFonts w:ascii="Arial" w:hAnsi="Arial" w:cs="Arial"/>
              </w:rPr>
            </w:pPr>
            <w:r w:rsidRPr="008638CB">
              <w:rPr>
                <w:rFonts w:ascii="Arial" w:hAnsi="Arial" w:cs="Arial"/>
                <w:sz w:val="22"/>
                <w:szCs w:val="22"/>
              </w:rPr>
              <w:t>April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8579E53" w14:textId="77777777" w:rsidR="00EC6011" w:rsidRPr="008638CB" w:rsidRDefault="00EC6011"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3461BEE7" w14:textId="77777777" w:rsidR="00EC6011" w:rsidRPr="008638CB" w:rsidRDefault="00EC6011" w:rsidP="00EC6011">
            <w:pPr>
              <w:rPr>
                <w:rFonts w:ascii="Arial" w:hAnsi="Arial" w:cs="Arial"/>
              </w:rPr>
            </w:pPr>
            <w:r w:rsidRPr="008638CB">
              <w:rPr>
                <w:rFonts w:ascii="Arial" w:hAnsi="Arial" w:cs="Arial"/>
                <w:sz w:val="22"/>
                <w:szCs w:val="22"/>
              </w:rPr>
              <w:t>Patient fall 3 East - fracture</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4E57B36" w14:textId="77777777" w:rsidR="00EC6011" w:rsidRPr="008638CB" w:rsidRDefault="00EC6011" w:rsidP="00EC6011">
            <w:pPr>
              <w:rPr>
                <w:rFonts w:ascii="Arial" w:hAnsi="Arial" w:cs="Arial"/>
              </w:rPr>
            </w:pPr>
            <w:r w:rsidRPr="008638CB">
              <w:rPr>
                <w:rFonts w:ascii="Arial" w:hAnsi="Arial" w:cs="Arial"/>
                <w:sz w:val="22"/>
                <w:szCs w:val="22"/>
              </w:rPr>
              <w:t>Completed in February 2023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2B4918C" w14:textId="77777777" w:rsidR="00EC6011" w:rsidRPr="008638CB" w:rsidRDefault="00EC6011" w:rsidP="008638CB">
            <w:pPr>
              <w:jc w:val="center"/>
              <w:rPr>
                <w:rFonts w:ascii="Arial" w:hAnsi="Arial" w:cs="Arial"/>
              </w:rPr>
            </w:pPr>
            <w:r w:rsidRPr="008638CB">
              <w:rPr>
                <w:rFonts w:ascii="Arial" w:hAnsi="Arial" w:cs="Arial"/>
                <w:sz w:val="22"/>
                <w:szCs w:val="22"/>
              </w:rPr>
              <w:t>2</w:t>
            </w:r>
          </w:p>
        </w:tc>
        <w:tc>
          <w:tcPr>
            <w:tcW w:w="2977" w:type="dxa"/>
            <w:tcBorders>
              <w:top w:val="single" w:sz="4" w:space="0" w:color="000000"/>
              <w:left w:val="nil"/>
              <w:bottom w:val="single" w:sz="4" w:space="0" w:color="000000"/>
              <w:right w:val="nil"/>
            </w:tcBorders>
            <w:shd w:val="clear" w:color="auto" w:fill="auto"/>
            <w:vAlign w:val="center"/>
            <w:hideMark/>
          </w:tcPr>
          <w:p w14:paraId="7D3D5ED1" w14:textId="17873CAC" w:rsidR="00EC6011" w:rsidRPr="004F376E" w:rsidRDefault="004F376E" w:rsidP="007A49FD">
            <w:pPr>
              <w:pStyle w:val="ListParagraph"/>
              <w:numPr>
                <w:ilvl w:val="0"/>
                <w:numId w:val="10"/>
              </w:numPr>
              <w:ind w:left="322"/>
              <w:rPr>
                <w:rFonts w:ascii="Arial" w:hAnsi="Arial" w:cs="Arial"/>
              </w:rPr>
            </w:pPr>
            <w:r w:rsidRPr="004F376E">
              <w:rPr>
                <w:rFonts w:ascii="Arial" w:hAnsi="Arial" w:cs="Arial"/>
              </w:rPr>
              <w:t>Clear documentation required at all times and recorded in patient notes</w:t>
            </w:r>
          </w:p>
          <w:p w14:paraId="469B35EA" w14:textId="77777777" w:rsidR="004F376E" w:rsidRPr="004F376E" w:rsidRDefault="004F376E" w:rsidP="007A49FD">
            <w:pPr>
              <w:pStyle w:val="ListParagraph"/>
              <w:numPr>
                <w:ilvl w:val="0"/>
                <w:numId w:val="10"/>
              </w:numPr>
              <w:ind w:left="322"/>
              <w:rPr>
                <w:rFonts w:ascii="Arial" w:hAnsi="Arial" w:cs="Arial"/>
              </w:rPr>
            </w:pPr>
            <w:r w:rsidRPr="004F376E">
              <w:rPr>
                <w:rFonts w:ascii="Arial" w:hAnsi="Arial" w:cs="Arial"/>
              </w:rPr>
              <w:t>Consideration of the falls assessment documentation in terms of high/low risk of falls</w:t>
            </w:r>
          </w:p>
          <w:p w14:paraId="28D0EA23" w14:textId="77777777" w:rsidR="004F376E" w:rsidRPr="004F376E" w:rsidRDefault="004F376E" w:rsidP="007A49FD">
            <w:pPr>
              <w:pStyle w:val="ListParagraph"/>
              <w:numPr>
                <w:ilvl w:val="0"/>
                <w:numId w:val="10"/>
              </w:numPr>
              <w:ind w:left="322"/>
              <w:rPr>
                <w:rFonts w:ascii="Arial" w:hAnsi="Arial" w:cs="Arial"/>
              </w:rPr>
            </w:pPr>
            <w:r w:rsidRPr="004F376E">
              <w:rPr>
                <w:rFonts w:ascii="Arial" w:hAnsi="Arial" w:cs="Arial"/>
              </w:rPr>
              <w:t>Staff to take notice of staff and relatives concerns</w:t>
            </w:r>
          </w:p>
          <w:p w14:paraId="344073EA" w14:textId="091C7EAB" w:rsidR="004F376E" w:rsidRPr="004F376E" w:rsidRDefault="004F376E" w:rsidP="007A49FD">
            <w:pPr>
              <w:pStyle w:val="ListParagraph"/>
              <w:numPr>
                <w:ilvl w:val="0"/>
                <w:numId w:val="10"/>
              </w:numPr>
              <w:ind w:left="322"/>
              <w:rPr>
                <w:rFonts w:ascii="Arial" w:hAnsi="Arial" w:cs="Arial"/>
                <w:b/>
              </w:rPr>
            </w:pPr>
            <w:r w:rsidRPr="004F376E">
              <w:rPr>
                <w:rFonts w:ascii="Arial" w:hAnsi="Arial" w:cs="Arial"/>
              </w:rPr>
              <w:t>Development of infographic for safe use of telemetry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997F" w14:textId="11665F65" w:rsidR="00EC6011" w:rsidRPr="008638CB" w:rsidRDefault="004F376E" w:rsidP="00EC6011">
            <w:pPr>
              <w:rPr>
                <w:rFonts w:ascii="Arial" w:hAnsi="Arial" w:cs="Arial"/>
              </w:rPr>
            </w:pPr>
            <w:r>
              <w:rPr>
                <w:rFonts w:ascii="Arial" w:hAnsi="Arial" w:cs="Arial"/>
                <w:sz w:val="22"/>
                <w:szCs w:val="22"/>
              </w:rPr>
              <w:t>Partially completed – one action outstanding in relation to falls assessment documentation</w:t>
            </w:r>
          </w:p>
        </w:tc>
      </w:tr>
      <w:tr w:rsidR="00EC6011" w:rsidRPr="00EC6011" w14:paraId="0F8DF8AA" w14:textId="77777777" w:rsidTr="008638CB">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2F6CA" w14:textId="77777777" w:rsidR="00EC6011" w:rsidRPr="008638CB" w:rsidRDefault="00EC6011" w:rsidP="00EC6011">
            <w:pPr>
              <w:rPr>
                <w:rFonts w:ascii="Arial" w:hAnsi="Arial" w:cs="Arial"/>
              </w:rPr>
            </w:pPr>
            <w:r w:rsidRPr="008638CB">
              <w:rPr>
                <w:rFonts w:ascii="Arial" w:hAnsi="Arial" w:cs="Arial"/>
                <w:sz w:val="22"/>
                <w:szCs w:val="22"/>
              </w:rPr>
              <w:t>DW-8596</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51726AF0" w14:textId="77777777" w:rsidR="00EC6011" w:rsidRPr="008638CB" w:rsidRDefault="00EC6011" w:rsidP="00EC6011">
            <w:pPr>
              <w:rPr>
                <w:rFonts w:ascii="Arial" w:hAnsi="Arial" w:cs="Arial"/>
              </w:rPr>
            </w:pPr>
            <w:r w:rsidRPr="008638CB">
              <w:rPr>
                <w:rFonts w:ascii="Arial" w:hAnsi="Arial" w:cs="Arial"/>
                <w:sz w:val="22"/>
                <w:szCs w:val="22"/>
              </w:rPr>
              <w:t>May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D7D64F0" w14:textId="77777777" w:rsidR="00EC6011" w:rsidRPr="008638CB" w:rsidRDefault="00EC6011"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3E96064E" w14:textId="77777777" w:rsidR="00EC6011" w:rsidRPr="008638CB" w:rsidRDefault="00EC6011" w:rsidP="00EC6011">
            <w:pPr>
              <w:rPr>
                <w:rFonts w:ascii="Arial" w:hAnsi="Arial" w:cs="Arial"/>
              </w:rPr>
            </w:pPr>
            <w:r w:rsidRPr="008638CB">
              <w:rPr>
                <w:rFonts w:ascii="Arial" w:hAnsi="Arial" w:cs="Arial"/>
                <w:sz w:val="22"/>
                <w:szCs w:val="22"/>
              </w:rPr>
              <w:t>TAVI patient deaths on waiting list</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C7CC43E" w14:textId="77777777" w:rsidR="00EC6011" w:rsidRPr="008638CB" w:rsidRDefault="00EC6011" w:rsidP="00EC6011">
            <w:pPr>
              <w:rPr>
                <w:rFonts w:ascii="Arial" w:hAnsi="Arial" w:cs="Arial"/>
              </w:rPr>
            </w:pPr>
            <w:r w:rsidRPr="008638CB">
              <w:rPr>
                <w:rFonts w:ascii="Arial" w:hAnsi="Arial" w:cs="Arial"/>
                <w:sz w:val="22"/>
                <w:szCs w:val="22"/>
              </w:rPr>
              <w:t>Completed in September 2022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9813332" w14:textId="77777777" w:rsidR="00EC6011" w:rsidRPr="008638CB" w:rsidRDefault="00EC6011" w:rsidP="008638CB">
            <w:pPr>
              <w:jc w:val="center"/>
              <w:rPr>
                <w:rFonts w:ascii="Arial" w:hAnsi="Arial" w:cs="Arial"/>
              </w:rPr>
            </w:pPr>
            <w:r w:rsidRPr="008638CB">
              <w:rPr>
                <w:rFonts w:ascii="Arial" w:hAnsi="Arial" w:cs="Arial"/>
                <w:sz w:val="22"/>
                <w:szCs w:val="22"/>
              </w:rPr>
              <w:t>4</w:t>
            </w:r>
          </w:p>
        </w:tc>
        <w:tc>
          <w:tcPr>
            <w:tcW w:w="2977" w:type="dxa"/>
            <w:tcBorders>
              <w:top w:val="single" w:sz="4" w:space="0" w:color="000000"/>
              <w:left w:val="nil"/>
              <w:bottom w:val="single" w:sz="4" w:space="0" w:color="000000"/>
              <w:right w:val="nil"/>
            </w:tcBorders>
            <w:shd w:val="clear" w:color="auto" w:fill="auto"/>
            <w:vAlign w:val="center"/>
            <w:hideMark/>
          </w:tcPr>
          <w:p w14:paraId="6660E6F6" w14:textId="77777777" w:rsidR="00EC6011" w:rsidRPr="00422082" w:rsidRDefault="00422082" w:rsidP="007A49FD">
            <w:pPr>
              <w:pStyle w:val="ListParagraph"/>
              <w:numPr>
                <w:ilvl w:val="0"/>
                <w:numId w:val="11"/>
              </w:numPr>
              <w:ind w:left="322"/>
              <w:rPr>
                <w:rFonts w:ascii="Arial" w:hAnsi="Arial" w:cs="Arial"/>
              </w:rPr>
            </w:pPr>
            <w:r w:rsidRPr="00422082">
              <w:rPr>
                <w:rFonts w:ascii="Arial" w:hAnsi="Arial" w:cs="Arial"/>
              </w:rPr>
              <w:t>Review processes to ensure effective training and education for referrers.</w:t>
            </w:r>
          </w:p>
          <w:p w14:paraId="765F8112" w14:textId="77777777" w:rsidR="00422082" w:rsidRPr="00422082" w:rsidRDefault="00422082" w:rsidP="007A49FD">
            <w:pPr>
              <w:pStyle w:val="ListParagraph"/>
              <w:numPr>
                <w:ilvl w:val="0"/>
                <w:numId w:val="11"/>
              </w:numPr>
              <w:ind w:left="322"/>
              <w:rPr>
                <w:rFonts w:ascii="Arial" w:hAnsi="Arial" w:cs="Arial"/>
              </w:rPr>
            </w:pPr>
            <w:r w:rsidRPr="00422082">
              <w:rPr>
                <w:rFonts w:ascii="Arial" w:hAnsi="Arial" w:cs="Arial"/>
              </w:rPr>
              <w:t>Prospective rolling audit of mortality and significant morbidity</w:t>
            </w:r>
          </w:p>
          <w:p w14:paraId="32FE224A" w14:textId="77777777" w:rsidR="00422082" w:rsidRPr="00422082" w:rsidRDefault="00422082" w:rsidP="007A49FD">
            <w:pPr>
              <w:pStyle w:val="ListParagraph"/>
              <w:numPr>
                <w:ilvl w:val="0"/>
                <w:numId w:val="11"/>
              </w:numPr>
              <w:ind w:left="322"/>
              <w:rPr>
                <w:rFonts w:ascii="Arial" w:hAnsi="Arial" w:cs="Arial"/>
              </w:rPr>
            </w:pPr>
            <w:r w:rsidRPr="00422082">
              <w:rPr>
                <w:rFonts w:ascii="Arial" w:hAnsi="Arial" w:cs="Arial"/>
              </w:rPr>
              <w:t>Urgent provision of additional session</w:t>
            </w:r>
          </w:p>
          <w:p w14:paraId="6C95F99A" w14:textId="523D97A6" w:rsidR="00422082" w:rsidRPr="00422082" w:rsidRDefault="00422082" w:rsidP="007A49FD">
            <w:pPr>
              <w:pStyle w:val="ListParagraph"/>
              <w:numPr>
                <w:ilvl w:val="0"/>
                <w:numId w:val="11"/>
              </w:numPr>
              <w:ind w:left="322"/>
              <w:rPr>
                <w:rFonts w:ascii="Arial" w:hAnsi="Arial" w:cs="Arial"/>
                <w:b/>
              </w:rPr>
            </w:pPr>
            <w:r w:rsidRPr="00422082">
              <w:rPr>
                <w:rFonts w:ascii="Arial" w:hAnsi="Arial" w:cs="Arial"/>
              </w:rPr>
              <w:t>Strengthening of worsening advice guidance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6D46" w14:textId="6A1C2B91" w:rsidR="00EC6011" w:rsidRPr="008638CB" w:rsidRDefault="00EC6011" w:rsidP="00EC6011">
            <w:pPr>
              <w:rPr>
                <w:rFonts w:ascii="Arial" w:hAnsi="Arial" w:cs="Arial"/>
              </w:rPr>
            </w:pPr>
            <w:r w:rsidRPr="008638CB">
              <w:rPr>
                <w:rFonts w:ascii="Arial" w:hAnsi="Arial" w:cs="Arial"/>
                <w:sz w:val="22"/>
                <w:szCs w:val="22"/>
              </w:rPr>
              <w:t> </w:t>
            </w:r>
            <w:r w:rsidR="00422082">
              <w:rPr>
                <w:rFonts w:ascii="Arial" w:hAnsi="Arial" w:cs="Arial"/>
                <w:sz w:val="22"/>
                <w:szCs w:val="22"/>
              </w:rPr>
              <w:t>Complete</w:t>
            </w:r>
          </w:p>
        </w:tc>
      </w:tr>
      <w:tr w:rsidR="007A49FD" w:rsidRPr="00EC6011" w14:paraId="2947F048"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94A41" w14:textId="77777777" w:rsidR="007A49FD" w:rsidRPr="008638CB" w:rsidRDefault="007A49FD" w:rsidP="00EC6011">
            <w:pPr>
              <w:rPr>
                <w:rFonts w:ascii="Arial" w:hAnsi="Arial" w:cs="Arial"/>
              </w:rPr>
            </w:pPr>
            <w:r w:rsidRPr="008638CB">
              <w:rPr>
                <w:rFonts w:ascii="Arial" w:hAnsi="Arial" w:cs="Arial"/>
                <w:sz w:val="22"/>
                <w:szCs w:val="22"/>
              </w:rPr>
              <w:t>DW-8790</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31F277CE" w14:textId="77777777" w:rsidR="007A49FD" w:rsidRPr="008638CB" w:rsidRDefault="007A49FD" w:rsidP="00EC6011">
            <w:pPr>
              <w:rPr>
                <w:rFonts w:ascii="Arial" w:hAnsi="Arial" w:cs="Arial"/>
              </w:rPr>
            </w:pPr>
            <w:r w:rsidRPr="008638CB">
              <w:rPr>
                <w:rFonts w:ascii="Arial" w:hAnsi="Arial" w:cs="Arial"/>
                <w:sz w:val="22"/>
                <w:szCs w:val="22"/>
              </w:rPr>
              <w:t>July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DEAEBA8"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785F735B" w14:textId="77777777" w:rsidR="007A49FD" w:rsidRPr="008638CB" w:rsidRDefault="007A49FD" w:rsidP="00EC6011">
            <w:pPr>
              <w:rPr>
                <w:rFonts w:ascii="Arial" w:hAnsi="Arial" w:cs="Arial"/>
              </w:rPr>
            </w:pPr>
            <w:r w:rsidRPr="008638CB">
              <w:rPr>
                <w:rFonts w:ascii="Arial" w:hAnsi="Arial" w:cs="Arial"/>
                <w:sz w:val="22"/>
                <w:szCs w:val="22"/>
              </w:rPr>
              <w:t>Clinical deterioration contributed to fall</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0D95669" w14:textId="77777777" w:rsidR="007A49FD" w:rsidRPr="008638CB" w:rsidRDefault="007A49FD" w:rsidP="00EC6011">
            <w:pPr>
              <w:rPr>
                <w:rFonts w:ascii="Arial" w:hAnsi="Arial" w:cs="Arial"/>
              </w:rPr>
            </w:pPr>
            <w:r w:rsidRPr="008638CB">
              <w:rPr>
                <w:rFonts w:ascii="Arial" w:hAnsi="Arial" w:cs="Arial"/>
                <w:sz w:val="22"/>
                <w:szCs w:val="22"/>
              </w:rPr>
              <w:t>Review complete - progressing via CG forums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CD4A06F" w14:textId="77777777" w:rsidR="007A49FD" w:rsidRPr="00D972FE" w:rsidRDefault="007A49FD" w:rsidP="008638CB">
            <w:pPr>
              <w:jc w:val="center"/>
              <w:rPr>
                <w:rFonts w:ascii="Arial" w:hAnsi="Arial" w:cs="Arial"/>
              </w:rPr>
            </w:pPr>
            <w:r w:rsidRPr="00D972FE">
              <w:rPr>
                <w:rFonts w:ascii="Arial" w:hAnsi="Arial" w:cs="Arial"/>
                <w:sz w:val="22"/>
                <w:szCs w:val="22"/>
              </w:rPr>
              <w:t>3</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5C54909B" w14:textId="77777777" w:rsidR="007A49FD" w:rsidRPr="004F2A4E" w:rsidRDefault="007A49FD" w:rsidP="004F2A4E">
            <w:pPr>
              <w:jc w:val="center"/>
              <w:rPr>
                <w:rFonts w:ascii="Arial" w:hAnsi="Arial" w:cs="Arial"/>
              </w:rPr>
            </w:pPr>
            <w:r w:rsidRPr="004F2A4E">
              <w:rPr>
                <w:rFonts w:ascii="Arial" w:hAnsi="Arial" w:cs="Arial"/>
                <w:szCs w:val="22"/>
              </w:rPr>
              <w:t>Action plan under development</w:t>
            </w:r>
          </w:p>
          <w:p w14:paraId="61378075" w14:textId="18A06522" w:rsidR="007A49FD" w:rsidRPr="004F2A4E" w:rsidRDefault="007A49FD" w:rsidP="00EC6011">
            <w:pPr>
              <w:rPr>
                <w:rFonts w:ascii="Arial" w:hAnsi="Arial" w:cs="Arial"/>
              </w:rPr>
            </w:pPr>
            <w:r w:rsidRPr="004F2A4E">
              <w:rPr>
                <w:rFonts w:ascii="Arial" w:hAnsi="Arial" w:cs="Arial"/>
                <w:szCs w:val="22"/>
              </w:rPr>
              <w:t> </w:t>
            </w:r>
          </w:p>
        </w:tc>
      </w:tr>
      <w:tr w:rsidR="00EC6011" w:rsidRPr="00EC6011" w14:paraId="2616AA13" w14:textId="77777777" w:rsidTr="008638CB">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9C396" w14:textId="77777777" w:rsidR="00EC6011" w:rsidRPr="008638CB" w:rsidRDefault="00EC6011" w:rsidP="00EC6011">
            <w:pPr>
              <w:rPr>
                <w:rFonts w:ascii="Arial" w:hAnsi="Arial" w:cs="Arial"/>
              </w:rPr>
            </w:pPr>
            <w:r w:rsidRPr="008638CB">
              <w:rPr>
                <w:rFonts w:ascii="Arial" w:hAnsi="Arial" w:cs="Arial"/>
                <w:sz w:val="22"/>
                <w:szCs w:val="22"/>
              </w:rPr>
              <w:t>DW-8972</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08312BA2" w14:textId="77777777" w:rsidR="00EC6011" w:rsidRPr="008638CB" w:rsidRDefault="00EC6011" w:rsidP="00EC6011">
            <w:pPr>
              <w:rPr>
                <w:rFonts w:ascii="Arial" w:hAnsi="Arial" w:cs="Arial"/>
              </w:rPr>
            </w:pPr>
            <w:r w:rsidRPr="008638CB">
              <w:rPr>
                <w:rFonts w:ascii="Arial" w:hAnsi="Arial" w:cs="Arial"/>
                <w:sz w:val="22"/>
                <w:szCs w:val="22"/>
              </w:rPr>
              <w:t>August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163AD08" w14:textId="77777777" w:rsidR="00EC6011" w:rsidRPr="008638CB" w:rsidRDefault="00EC6011"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47F1FB2D" w14:textId="77777777" w:rsidR="00EC6011" w:rsidRPr="008638CB" w:rsidRDefault="00EC6011" w:rsidP="00EC6011">
            <w:pPr>
              <w:rPr>
                <w:rFonts w:ascii="Arial" w:hAnsi="Arial" w:cs="Arial"/>
              </w:rPr>
            </w:pPr>
            <w:r w:rsidRPr="008638CB">
              <w:rPr>
                <w:rFonts w:ascii="Arial" w:hAnsi="Arial" w:cs="Arial"/>
                <w:sz w:val="22"/>
                <w:szCs w:val="22"/>
              </w:rPr>
              <w:t>7 French sheath in situ</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93DBD13" w14:textId="77777777" w:rsidR="00EC6011" w:rsidRPr="008638CB" w:rsidRDefault="00EC6011" w:rsidP="00EC6011">
            <w:pPr>
              <w:rPr>
                <w:rFonts w:ascii="Arial" w:hAnsi="Arial" w:cs="Arial"/>
              </w:rPr>
            </w:pPr>
            <w:r w:rsidRPr="008638CB">
              <w:rPr>
                <w:rFonts w:ascii="Arial" w:hAnsi="Arial" w:cs="Arial"/>
                <w:sz w:val="22"/>
                <w:szCs w:val="22"/>
              </w:rPr>
              <w:t>Completed in April 2023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08B3F92" w14:textId="77777777" w:rsidR="00EC6011" w:rsidRPr="008638CB" w:rsidRDefault="00EC6011" w:rsidP="008638CB">
            <w:pPr>
              <w:jc w:val="center"/>
              <w:rPr>
                <w:rFonts w:ascii="Arial" w:hAnsi="Arial" w:cs="Arial"/>
              </w:rPr>
            </w:pPr>
            <w:r w:rsidRPr="008638CB">
              <w:rPr>
                <w:rFonts w:ascii="Arial" w:hAnsi="Arial" w:cs="Arial"/>
                <w:sz w:val="22"/>
                <w:szCs w:val="22"/>
              </w:rPr>
              <w:t>3</w:t>
            </w:r>
          </w:p>
        </w:tc>
        <w:tc>
          <w:tcPr>
            <w:tcW w:w="2977" w:type="dxa"/>
            <w:tcBorders>
              <w:top w:val="single" w:sz="4" w:space="0" w:color="000000"/>
              <w:left w:val="nil"/>
              <w:bottom w:val="single" w:sz="4" w:space="0" w:color="000000"/>
              <w:right w:val="nil"/>
            </w:tcBorders>
            <w:shd w:val="clear" w:color="auto" w:fill="auto"/>
            <w:vAlign w:val="center"/>
            <w:hideMark/>
          </w:tcPr>
          <w:p w14:paraId="5517CED3" w14:textId="77777777" w:rsidR="00EC6011" w:rsidRPr="00D972FE" w:rsidRDefault="00D972FE" w:rsidP="007A49FD">
            <w:pPr>
              <w:pStyle w:val="ListParagraph"/>
              <w:numPr>
                <w:ilvl w:val="0"/>
                <w:numId w:val="12"/>
              </w:numPr>
              <w:ind w:left="322"/>
              <w:rPr>
                <w:rFonts w:ascii="Arial" w:hAnsi="Arial" w:cs="Arial"/>
              </w:rPr>
            </w:pPr>
            <w:r w:rsidRPr="00D972FE">
              <w:rPr>
                <w:rFonts w:ascii="Arial" w:hAnsi="Arial" w:cs="Arial"/>
              </w:rPr>
              <w:t>Standardise the equipment being used</w:t>
            </w:r>
          </w:p>
          <w:p w14:paraId="2833F1E9" w14:textId="77777777" w:rsidR="00D972FE" w:rsidRPr="00D972FE" w:rsidRDefault="00D972FE" w:rsidP="007A49FD">
            <w:pPr>
              <w:pStyle w:val="ListParagraph"/>
              <w:numPr>
                <w:ilvl w:val="0"/>
                <w:numId w:val="12"/>
              </w:numPr>
              <w:ind w:left="322"/>
              <w:rPr>
                <w:rFonts w:ascii="Arial" w:hAnsi="Arial" w:cs="Arial"/>
              </w:rPr>
            </w:pPr>
            <w:r w:rsidRPr="00D972FE">
              <w:rPr>
                <w:rFonts w:ascii="Arial" w:hAnsi="Arial" w:cs="Arial"/>
              </w:rPr>
              <w:t>Arterial lines be transduced leaving theatre</w:t>
            </w:r>
          </w:p>
          <w:p w14:paraId="78C6C955" w14:textId="77777777" w:rsidR="00D972FE" w:rsidRPr="00D972FE" w:rsidRDefault="00D972FE" w:rsidP="007A49FD">
            <w:pPr>
              <w:pStyle w:val="ListParagraph"/>
              <w:numPr>
                <w:ilvl w:val="0"/>
                <w:numId w:val="12"/>
              </w:numPr>
              <w:ind w:left="322"/>
              <w:rPr>
                <w:rFonts w:ascii="Arial" w:hAnsi="Arial" w:cs="Arial"/>
              </w:rPr>
            </w:pPr>
            <w:r w:rsidRPr="00D972FE">
              <w:rPr>
                <w:rFonts w:ascii="Arial" w:hAnsi="Arial" w:cs="Arial"/>
              </w:rPr>
              <w:t>Staff in Critical Care to ensure every line is documented on CIS and included in handovers.</w:t>
            </w:r>
          </w:p>
          <w:p w14:paraId="39128A53" w14:textId="203E0C08" w:rsidR="00D972FE" w:rsidRPr="00D972FE" w:rsidRDefault="00D972FE" w:rsidP="007A49FD">
            <w:pPr>
              <w:pStyle w:val="ListParagraph"/>
              <w:numPr>
                <w:ilvl w:val="0"/>
                <w:numId w:val="12"/>
              </w:numPr>
              <w:ind w:left="322"/>
              <w:rPr>
                <w:rFonts w:ascii="Arial" w:hAnsi="Arial" w:cs="Arial"/>
                <w:b/>
              </w:rPr>
            </w:pPr>
            <w:r w:rsidRPr="00D972FE">
              <w:rPr>
                <w:rFonts w:ascii="Arial" w:hAnsi="Arial" w:cs="Arial"/>
              </w:rPr>
              <w:t>CHA system in theatres being introduced to link with CHA in ICU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542B" w14:textId="77777777" w:rsidR="00EC6011" w:rsidRPr="008638CB" w:rsidRDefault="00EC6011" w:rsidP="00EC6011">
            <w:pPr>
              <w:rPr>
                <w:rFonts w:ascii="Arial" w:hAnsi="Arial" w:cs="Arial"/>
              </w:rPr>
            </w:pPr>
            <w:r w:rsidRPr="008638CB">
              <w:rPr>
                <w:rFonts w:ascii="Arial" w:hAnsi="Arial" w:cs="Arial"/>
                <w:sz w:val="22"/>
                <w:szCs w:val="22"/>
              </w:rPr>
              <w:t> </w:t>
            </w:r>
          </w:p>
        </w:tc>
      </w:tr>
      <w:tr w:rsidR="00EC6011" w:rsidRPr="00EC6011" w14:paraId="35922010" w14:textId="77777777" w:rsidTr="008638CB">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75412" w14:textId="77777777" w:rsidR="00EC6011" w:rsidRPr="008638CB" w:rsidRDefault="00EC6011" w:rsidP="00EC6011">
            <w:pPr>
              <w:rPr>
                <w:rFonts w:ascii="Arial" w:hAnsi="Arial" w:cs="Arial"/>
              </w:rPr>
            </w:pPr>
            <w:r w:rsidRPr="008638CB">
              <w:rPr>
                <w:rFonts w:ascii="Arial" w:hAnsi="Arial" w:cs="Arial"/>
                <w:sz w:val="22"/>
                <w:szCs w:val="22"/>
              </w:rPr>
              <w:t>DW-9115</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38B12715" w14:textId="77777777" w:rsidR="00EC6011" w:rsidRPr="008638CB" w:rsidRDefault="00EC6011" w:rsidP="00EC6011">
            <w:pPr>
              <w:rPr>
                <w:rFonts w:ascii="Arial" w:hAnsi="Arial" w:cs="Arial"/>
              </w:rPr>
            </w:pPr>
            <w:r w:rsidRPr="008638CB">
              <w:rPr>
                <w:rFonts w:ascii="Arial" w:hAnsi="Arial" w:cs="Arial"/>
                <w:sz w:val="22"/>
                <w:szCs w:val="22"/>
              </w:rPr>
              <w:t>August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F3523B9" w14:textId="77777777" w:rsidR="00EC6011" w:rsidRPr="008638CB" w:rsidRDefault="00EC6011"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34A85AE8" w14:textId="77777777" w:rsidR="00EC6011" w:rsidRPr="008638CB" w:rsidRDefault="00EC6011" w:rsidP="00EC6011">
            <w:pPr>
              <w:rPr>
                <w:rFonts w:ascii="Arial" w:hAnsi="Arial" w:cs="Arial"/>
              </w:rPr>
            </w:pPr>
            <w:r w:rsidRPr="008638CB">
              <w:rPr>
                <w:rFonts w:ascii="Arial" w:hAnsi="Arial" w:cs="Arial"/>
                <w:sz w:val="22"/>
                <w:szCs w:val="22"/>
              </w:rPr>
              <w:t>Transplant patient death Aug 2022</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9B442EF" w14:textId="77777777" w:rsidR="00EC6011" w:rsidRPr="008638CB" w:rsidRDefault="00EC6011" w:rsidP="00EC6011">
            <w:pPr>
              <w:rPr>
                <w:rFonts w:ascii="Arial" w:hAnsi="Arial" w:cs="Arial"/>
              </w:rPr>
            </w:pPr>
            <w:r w:rsidRPr="008638CB">
              <w:rPr>
                <w:rFonts w:ascii="Arial" w:hAnsi="Arial" w:cs="Arial"/>
                <w:sz w:val="22"/>
                <w:szCs w:val="22"/>
              </w:rPr>
              <w:t>Review complete - progressing via CG forums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3789DB2" w14:textId="77777777" w:rsidR="00EC6011" w:rsidRPr="008638CB" w:rsidRDefault="00EC6011" w:rsidP="008638CB">
            <w:pPr>
              <w:jc w:val="center"/>
              <w:rPr>
                <w:rFonts w:ascii="Arial" w:hAnsi="Arial" w:cs="Arial"/>
              </w:rPr>
            </w:pPr>
            <w:r w:rsidRPr="008638CB">
              <w:rPr>
                <w:rFonts w:ascii="Arial" w:hAnsi="Arial" w:cs="Arial"/>
                <w:sz w:val="22"/>
                <w:szCs w:val="22"/>
              </w:rPr>
              <w:t>1</w:t>
            </w:r>
          </w:p>
        </w:tc>
        <w:tc>
          <w:tcPr>
            <w:tcW w:w="2977" w:type="dxa"/>
            <w:tcBorders>
              <w:top w:val="single" w:sz="4" w:space="0" w:color="000000"/>
              <w:left w:val="nil"/>
              <w:bottom w:val="single" w:sz="4" w:space="0" w:color="000000"/>
              <w:right w:val="nil"/>
            </w:tcBorders>
            <w:shd w:val="clear" w:color="auto" w:fill="auto"/>
            <w:vAlign w:val="center"/>
            <w:hideMark/>
          </w:tcPr>
          <w:p w14:paraId="55468B75" w14:textId="253361FB" w:rsidR="00EC6011" w:rsidRPr="00D972FE" w:rsidRDefault="00D972FE" w:rsidP="007A49FD">
            <w:pPr>
              <w:pStyle w:val="ListParagraph"/>
              <w:numPr>
                <w:ilvl w:val="0"/>
                <w:numId w:val="13"/>
              </w:numPr>
              <w:ind w:left="322"/>
              <w:rPr>
                <w:rFonts w:ascii="Arial" w:hAnsi="Arial" w:cs="Arial"/>
              </w:rPr>
            </w:pPr>
            <w:r w:rsidRPr="00D972FE">
              <w:rPr>
                <w:rFonts w:ascii="Arial" w:hAnsi="Arial" w:cs="Arial"/>
              </w:rPr>
              <w:t>The accessibility of specialist Consultant Microbiologists to be reviewed, to ensure cover with expert knowledge in transplant, to ensure patient care managed clinically appropriate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0E086" w14:textId="1D03517D" w:rsidR="00EC6011" w:rsidRPr="008638CB" w:rsidRDefault="00EC6011" w:rsidP="00EC6011">
            <w:pPr>
              <w:rPr>
                <w:rFonts w:ascii="Arial" w:hAnsi="Arial" w:cs="Arial"/>
              </w:rPr>
            </w:pPr>
            <w:r w:rsidRPr="008638CB">
              <w:rPr>
                <w:rFonts w:ascii="Arial" w:hAnsi="Arial" w:cs="Arial"/>
                <w:sz w:val="22"/>
                <w:szCs w:val="22"/>
              </w:rPr>
              <w:t> </w:t>
            </w:r>
            <w:r w:rsidR="00D972FE">
              <w:rPr>
                <w:rFonts w:ascii="Arial" w:hAnsi="Arial" w:cs="Arial"/>
                <w:sz w:val="22"/>
                <w:szCs w:val="22"/>
              </w:rPr>
              <w:t>Complete</w:t>
            </w:r>
          </w:p>
        </w:tc>
      </w:tr>
      <w:tr w:rsidR="007A49FD" w:rsidRPr="00EC6011" w14:paraId="3D516CDD"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4E62C" w14:textId="77777777" w:rsidR="007A49FD" w:rsidRPr="008638CB" w:rsidRDefault="007A49FD" w:rsidP="00EC6011">
            <w:pPr>
              <w:rPr>
                <w:rFonts w:ascii="Arial" w:hAnsi="Arial" w:cs="Arial"/>
              </w:rPr>
            </w:pPr>
            <w:r w:rsidRPr="008638CB">
              <w:rPr>
                <w:rFonts w:ascii="Arial" w:hAnsi="Arial" w:cs="Arial"/>
                <w:sz w:val="22"/>
                <w:szCs w:val="22"/>
              </w:rPr>
              <w:t>DW-9116</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055EF018" w14:textId="77777777" w:rsidR="007A49FD" w:rsidRPr="008638CB" w:rsidRDefault="007A49FD" w:rsidP="00EC6011">
            <w:pPr>
              <w:rPr>
                <w:rFonts w:ascii="Arial" w:hAnsi="Arial" w:cs="Arial"/>
              </w:rPr>
            </w:pPr>
            <w:r w:rsidRPr="008638CB">
              <w:rPr>
                <w:rFonts w:ascii="Arial" w:hAnsi="Arial" w:cs="Arial"/>
                <w:sz w:val="22"/>
                <w:szCs w:val="22"/>
              </w:rPr>
              <w:t>September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62D6E7C"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37F45381" w14:textId="77777777" w:rsidR="007A49FD" w:rsidRPr="008638CB" w:rsidRDefault="007A49FD" w:rsidP="00EC6011">
            <w:pPr>
              <w:rPr>
                <w:rFonts w:ascii="Arial" w:hAnsi="Arial" w:cs="Arial"/>
              </w:rPr>
            </w:pPr>
            <w:r w:rsidRPr="008638CB">
              <w:rPr>
                <w:rFonts w:ascii="Arial" w:hAnsi="Arial" w:cs="Arial"/>
                <w:sz w:val="22"/>
                <w:szCs w:val="22"/>
              </w:rPr>
              <w:t>Transplant patient death Sept 2022</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3344824" w14:textId="77777777" w:rsidR="007A49FD" w:rsidRPr="008638CB" w:rsidRDefault="007A49FD" w:rsidP="00EC6011">
            <w:pPr>
              <w:rPr>
                <w:rFonts w:ascii="Arial" w:hAnsi="Arial" w:cs="Arial"/>
              </w:rPr>
            </w:pPr>
            <w:r w:rsidRPr="008638CB">
              <w:rPr>
                <w:rFonts w:ascii="Arial" w:hAnsi="Arial" w:cs="Arial"/>
                <w:sz w:val="22"/>
                <w:szCs w:val="22"/>
              </w:rPr>
              <w:t>Completed in July 2023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7C06378" w14:textId="77777777" w:rsidR="007A49FD" w:rsidRPr="008638CB" w:rsidRDefault="007A49FD" w:rsidP="008638CB">
            <w:pPr>
              <w:jc w:val="center"/>
              <w:rPr>
                <w:rFonts w:ascii="Arial" w:hAnsi="Arial" w:cs="Arial"/>
              </w:rPr>
            </w:pPr>
            <w:r w:rsidRPr="008638CB">
              <w:rPr>
                <w:rFonts w:ascii="Arial" w:hAnsi="Arial" w:cs="Arial"/>
                <w:sz w:val="22"/>
                <w:szCs w:val="22"/>
              </w:rPr>
              <w:t>2</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598430EB" w14:textId="77777777" w:rsidR="007A49FD" w:rsidRPr="004F2A4E" w:rsidRDefault="007A49FD" w:rsidP="004F2A4E">
            <w:pPr>
              <w:jc w:val="center"/>
              <w:rPr>
                <w:rFonts w:ascii="Arial" w:hAnsi="Arial" w:cs="Arial"/>
                <w:sz w:val="28"/>
              </w:rPr>
            </w:pPr>
            <w:r w:rsidRPr="004F2A4E">
              <w:rPr>
                <w:rFonts w:ascii="Arial" w:hAnsi="Arial" w:cs="Arial"/>
                <w:szCs w:val="22"/>
              </w:rPr>
              <w:t>Action plan under development</w:t>
            </w:r>
          </w:p>
          <w:p w14:paraId="778ED369" w14:textId="36C25D5B" w:rsidR="007A49FD" w:rsidRPr="008638CB" w:rsidRDefault="007A49FD" w:rsidP="00EC6011">
            <w:pPr>
              <w:rPr>
                <w:rFonts w:ascii="Arial" w:hAnsi="Arial" w:cs="Arial"/>
              </w:rPr>
            </w:pPr>
            <w:r w:rsidRPr="008638CB">
              <w:rPr>
                <w:rFonts w:ascii="Arial" w:hAnsi="Arial" w:cs="Arial"/>
                <w:sz w:val="22"/>
                <w:szCs w:val="22"/>
              </w:rPr>
              <w:t> </w:t>
            </w:r>
          </w:p>
        </w:tc>
      </w:tr>
      <w:tr w:rsidR="00EC6011" w:rsidRPr="00EC6011" w14:paraId="7B5C4B48" w14:textId="77777777" w:rsidTr="008638CB">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A2EBA" w14:textId="77777777" w:rsidR="00EC6011" w:rsidRPr="008638CB" w:rsidRDefault="00EC6011" w:rsidP="00EC6011">
            <w:pPr>
              <w:rPr>
                <w:rFonts w:ascii="Arial" w:hAnsi="Arial" w:cs="Arial"/>
              </w:rPr>
            </w:pPr>
            <w:r w:rsidRPr="008638CB">
              <w:rPr>
                <w:rFonts w:ascii="Arial" w:hAnsi="Arial" w:cs="Arial"/>
                <w:sz w:val="22"/>
                <w:szCs w:val="22"/>
              </w:rPr>
              <w:t>DW-9170</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226F8A9C" w14:textId="77777777" w:rsidR="00EC6011" w:rsidRPr="008638CB" w:rsidRDefault="00EC6011" w:rsidP="00EC6011">
            <w:pPr>
              <w:rPr>
                <w:rFonts w:ascii="Arial" w:hAnsi="Arial" w:cs="Arial"/>
              </w:rPr>
            </w:pPr>
            <w:r w:rsidRPr="008638CB">
              <w:rPr>
                <w:rFonts w:ascii="Arial" w:hAnsi="Arial" w:cs="Arial"/>
                <w:sz w:val="22"/>
                <w:szCs w:val="22"/>
              </w:rPr>
              <w:t>October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C255206" w14:textId="77777777" w:rsidR="00EC6011" w:rsidRPr="008638CB" w:rsidRDefault="00EC6011"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2EC8715E" w14:textId="77777777" w:rsidR="00EC6011" w:rsidRPr="008638CB" w:rsidRDefault="00EC6011" w:rsidP="00EC6011">
            <w:pPr>
              <w:rPr>
                <w:rFonts w:ascii="Arial" w:hAnsi="Arial" w:cs="Arial"/>
              </w:rPr>
            </w:pPr>
            <w:r w:rsidRPr="008638CB">
              <w:rPr>
                <w:rFonts w:ascii="Arial" w:hAnsi="Arial" w:cs="Arial"/>
                <w:sz w:val="22"/>
                <w:szCs w:val="22"/>
              </w:rPr>
              <w:t>SACCS patient death - delayed transfer</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AB1FE09" w14:textId="77777777" w:rsidR="00EC6011" w:rsidRPr="008638CB" w:rsidRDefault="00EC6011" w:rsidP="00EC6011">
            <w:pPr>
              <w:rPr>
                <w:rFonts w:ascii="Arial" w:hAnsi="Arial" w:cs="Arial"/>
              </w:rPr>
            </w:pPr>
            <w:r w:rsidRPr="008638CB">
              <w:rPr>
                <w:rFonts w:ascii="Arial" w:hAnsi="Arial" w:cs="Arial"/>
                <w:sz w:val="22"/>
                <w:szCs w:val="22"/>
              </w:rPr>
              <w:t>Completed May 2023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96B85C5" w14:textId="77777777" w:rsidR="00EC6011" w:rsidRPr="008638CB" w:rsidRDefault="00EC6011" w:rsidP="008638CB">
            <w:pPr>
              <w:jc w:val="center"/>
              <w:rPr>
                <w:rFonts w:ascii="Arial" w:hAnsi="Arial" w:cs="Arial"/>
              </w:rPr>
            </w:pPr>
            <w:r w:rsidRPr="008638CB">
              <w:rPr>
                <w:rFonts w:ascii="Arial" w:hAnsi="Arial" w:cs="Arial"/>
                <w:sz w:val="22"/>
                <w:szCs w:val="22"/>
              </w:rPr>
              <w:t>3</w:t>
            </w:r>
          </w:p>
        </w:tc>
        <w:tc>
          <w:tcPr>
            <w:tcW w:w="2977" w:type="dxa"/>
            <w:tcBorders>
              <w:top w:val="single" w:sz="4" w:space="0" w:color="000000"/>
              <w:left w:val="nil"/>
              <w:bottom w:val="single" w:sz="4" w:space="0" w:color="000000"/>
              <w:right w:val="nil"/>
            </w:tcBorders>
            <w:shd w:val="clear" w:color="auto" w:fill="auto"/>
            <w:vAlign w:val="center"/>
            <w:hideMark/>
          </w:tcPr>
          <w:p w14:paraId="0BE02204" w14:textId="77777777" w:rsidR="00EC6011" w:rsidRPr="00D972FE" w:rsidRDefault="00D972FE" w:rsidP="007A49FD">
            <w:pPr>
              <w:pStyle w:val="ListParagraph"/>
              <w:numPr>
                <w:ilvl w:val="0"/>
                <w:numId w:val="13"/>
              </w:numPr>
              <w:ind w:left="322" w:hanging="328"/>
              <w:rPr>
                <w:rFonts w:ascii="Arial" w:hAnsi="Arial" w:cs="Arial"/>
              </w:rPr>
            </w:pPr>
            <w:r w:rsidRPr="00D972FE">
              <w:rPr>
                <w:rFonts w:ascii="Arial" w:hAnsi="Arial" w:cs="Arial"/>
              </w:rPr>
              <w:t>Implement the recording of verbal communication with other health boards by using comments section on clinical portal</w:t>
            </w:r>
          </w:p>
          <w:p w14:paraId="0AE660BD" w14:textId="77777777" w:rsidR="00D972FE" w:rsidRPr="00D972FE" w:rsidRDefault="00D972FE" w:rsidP="007A49FD">
            <w:pPr>
              <w:pStyle w:val="ListParagraph"/>
              <w:numPr>
                <w:ilvl w:val="0"/>
                <w:numId w:val="13"/>
              </w:numPr>
              <w:ind w:left="322" w:hanging="328"/>
              <w:rPr>
                <w:rFonts w:ascii="Arial" w:hAnsi="Arial" w:cs="Arial"/>
              </w:rPr>
            </w:pPr>
            <w:r w:rsidRPr="00D972FE">
              <w:rPr>
                <w:rFonts w:ascii="Arial" w:hAnsi="Arial" w:cs="Arial"/>
              </w:rPr>
              <w:t>eHealth to review alternative electronic system in order to NHS GJ to access other Health Boards imaging in a timely manner</w:t>
            </w:r>
          </w:p>
          <w:p w14:paraId="71807ADE" w14:textId="77777777" w:rsidR="00D972FE" w:rsidRPr="00D972FE" w:rsidRDefault="00D972FE" w:rsidP="007A49FD">
            <w:pPr>
              <w:pStyle w:val="ListParagraph"/>
              <w:numPr>
                <w:ilvl w:val="0"/>
                <w:numId w:val="13"/>
              </w:numPr>
              <w:ind w:left="322" w:hanging="328"/>
              <w:rPr>
                <w:rFonts w:ascii="Arial" w:hAnsi="Arial" w:cs="Arial"/>
              </w:rPr>
            </w:pPr>
            <w:r w:rsidRPr="00D972FE">
              <w:rPr>
                <w:rFonts w:ascii="Arial" w:hAnsi="Arial" w:cs="Arial"/>
              </w:rPr>
              <w:t>Develop and implement a flow chart for clear guidance on escalation process for bed availability to support medical and nursing staff in timely transfer.</w:t>
            </w:r>
          </w:p>
          <w:p w14:paraId="2CF7C2FD" w14:textId="4F17A017" w:rsidR="00D972FE" w:rsidRPr="00D972FE" w:rsidRDefault="00D972FE" w:rsidP="007A49FD">
            <w:pPr>
              <w:pStyle w:val="ListParagraph"/>
              <w:numPr>
                <w:ilvl w:val="0"/>
                <w:numId w:val="13"/>
              </w:numPr>
              <w:ind w:left="322" w:hanging="328"/>
              <w:rPr>
                <w:rFonts w:ascii="Arial" w:hAnsi="Arial" w:cs="Arial"/>
                <w:b/>
              </w:rPr>
            </w:pPr>
            <w:r w:rsidRPr="00D972FE">
              <w:rPr>
                <w:rFonts w:ascii="Arial" w:hAnsi="Arial" w:cs="Arial"/>
              </w:rPr>
              <w:t xml:space="preserve">Introduce daily consultant-led review of patient whereupon earlier or subtle signs of deterioration may have been appreciated and acted </w:t>
            </w:r>
            <w:proofErr w:type="gramStart"/>
            <w:r w:rsidRPr="00D972FE">
              <w:rPr>
                <w:rFonts w:ascii="Arial" w:hAnsi="Arial" w:cs="Arial"/>
              </w:rPr>
              <w:t>upon</w:t>
            </w:r>
            <w:proofErr w:type="gramEnd"/>
            <w:r w:rsidRPr="00D972FE">
              <w:rPr>
                <w:rFonts w:ascii="Arial" w:hAnsi="Arial" w:cs="Arial"/>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3775" w14:textId="42854EB9" w:rsidR="00EC6011" w:rsidRPr="008638CB" w:rsidRDefault="00EC6011" w:rsidP="00EC6011">
            <w:pPr>
              <w:rPr>
                <w:rFonts w:ascii="Arial" w:hAnsi="Arial" w:cs="Arial"/>
              </w:rPr>
            </w:pPr>
            <w:r w:rsidRPr="008638CB">
              <w:rPr>
                <w:rFonts w:ascii="Arial" w:hAnsi="Arial" w:cs="Arial"/>
                <w:sz w:val="22"/>
                <w:szCs w:val="22"/>
              </w:rPr>
              <w:t> </w:t>
            </w:r>
            <w:r w:rsidR="00D972FE">
              <w:rPr>
                <w:rFonts w:ascii="Arial" w:hAnsi="Arial" w:cs="Arial"/>
                <w:sz w:val="22"/>
                <w:szCs w:val="22"/>
              </w:rPr>
              <w:t>Partially completed</w:t>
            </w:r>
          </w:p>
        </w:tc>
      </w:tr>
      <w:tr w:rsidR="007A49FD" w:rsidRPr="00EC6011" w14:paraId="679056FE"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109CF" w14:textId="77777777" w:rsidR="007A49FD" w:rsidRPr="008638CB" w:rsidRDefault="007A49FD" w:rsidP="00EC6011">
            <w:pPr>
              <w:rPr>
                <w:rFonts w:ascii="Arial" w:hAnsi="Arial" w:cs="Arial"/>
              </w:rPr>
            </w:pPr>
            <w:r w:rsidRPr="008638CB">
              <w:rPr>
                <w:rFonts w:ascii="Arial" w:hAnsi="Arial" w:cs="Arial"/>
                <w:sz w:val="22"/>
                <w:szCs w:val="22"/>
              </w:rPr>
              <w:t>DW-9224</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6EA21F64" w14:textId="77777777" w:rsidR="007A49FD" w:rsidRPr="008638CB" w:rsidRDefault="007A49FD" w:rsidP="00EC6011">
            <w:pPr>
              <w:rPr>
                <w:rFonts w:ascii="Arial" w:hAnsi="Arial" w:cs="Arial"/>
              </w:rPr>
            </w:pPr>
            <w:r w:rsidRPr="008638CB">
              <w:rPr>
                <w:rFonts w:ascii="Arial" w:hAnsi="Arial" w:cs="Arial"/>
                <w:sz w:val="22"/>
                <w:szCs w:val="22"/>
              </w:rPr>
              <w:t>October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C9B2D52"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48269581" w14:textId="77777777" w:rsidR="007A49FD" w:rsidRPr="008638CB" w:rsidRDefault="007A49FD" w:rsidP="00EC6011">
            <w:pPr>
              <w:rPr>
                <w:rFonts w:ascii="Arial" w:hAnsi="Arial" w:cs="Arial"/>
              </w:rPr>
            </w:pPr>
            <w:r w:rsidRPr="008638CB">
              <w:rPr>
                <w:rFonts w:ascii="Arial" w:hAnsi="Arial" w:cs="Arial"/>
                <w:sz w:val="22"/>
                <w:szCs w:val="22"/>
              </w:rPr>
              <w:t>Death in CCU - D&amp;G transfer</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B42533A" w14:textId="77777777" w:rsidR="007A49FD" w:rsidRPr="008638CB" w:rsidRDefault="007A49FD" w:rsidP="00EC6011">
            <w:pPr>
              <w:rPr>
                <w:rFonts w:ascii="Arial" w:hAnsi="Arial" w:cs="Arial"/>
              </w:rPr>
            </w:pPr>
            <w:r w:rsidRPr="008638CB">
              <w:rPr>
                <w:rFonts w:ascii="Arial" w:hAnsi="Arial" w:cs="Arial"/>
                <w:sz w:val="22"/>
                <w:szCs w:val="22"/>
              </w:rPr>
              <w:t>Review complete - progressing via CG forums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A7F97FD" w14:textId="77777777" w:rsidR="007A49FD" w:rsidRPr="008638CB" w:rsidRDefault="007A49FD" w:rsidP="008638CB">
            <w:pPr>
              <w:jc w:val="center"/>
              <w:rPr>
                <w:rFonts w:ascii="Arial" w:hAnsi="Arial" w:cs="Arial"/>
              </w:rPr>
            </w:pPr>
            <w:r w:rsidRPr="008638CB">
              <w:rPr>
                <w:rFonts w:ascii="Arial" w:hAnsi="Arial" w:cs="Arial"/>
                <w:sz w:val="22"/>
                <w:szCs w:val="22"/>
              </w:rPr>
              <w:t>4</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3419165A" w14:textId="77777777" w:rsidR="007A49FD" w:rsidRPr="004F2A4E" w:rsidRDefault="007A49FD" w:rsidP="004F2A4E">
            <w:pPr>
              <w:jc w:val="center"/>
              <w:rPr>
                <w:rFonts w:ascii="Arial" w:hAnsi="Arial" w:cs="Arial"/>
              </w:rPr>
            </w:pPr>
            <w:r w:rsidRPr="004F2A4E">
              <w:rPr>
                <w:rFonts w:ascii="Arial" w:hAnsi="Arial" w:cs="Arial"/>
                <w:szCs w:val="22"/>
              </w:rPr>
              <w:t>Action plan under development</w:t>
            </w:r>
          </w:p>
          <w:p w14:paraId="191C23A6" w14:textId="7FB6711F" w:rsidR="007A49FD" w:rsidRPr="004F2A4E" w:rsidRDefault="007A49FD" w:rsidP="004F2A4E">
            <w:pPr>
              <w:jc w:val="center"/>
              <w:rPr>
                <w:rFonts w:ascii="Arial" w:hAnsi="Arial" w:cs="Arial"/>
              </w:rPr>
            </w:pPr>
          </w:p>
        </w:tc>
      </w:tr>
      <w:tr w:rsidR="007A49FD" w:rsidRPr="00EC6011" w14:paraId="18D11A08"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63740" w14:textId="77777777" w:rsidR="007A49FD" w:rsidRPr="008638CB" w:rsidRDefault="007A49FD" w:rsidP="00EC6011">
            <w:pPr>
              <w:rPr>
                <w:rFonts w:ascii="Arial" w:hAnsi="Arial" w:cs="Arial"/>
              </w:rPr>
            </w:pPr>
            <w:r w:rsidRPr="008638CB">
              <w:rPr>
                <w:rFonts w:ascii="Arial" w:hAnsi="Arial" w:cs="Arial"/>
                <w:sz w:val="22"/>
                <w:szCs w:val="22"/>
              </w:rPr>
              <w:t>DW-9263</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17625816" w14:textId="77777777" w:rsidR="007A49FD" w:rsidRPr="008638CB" w:rsidRDefault="007A49FD" w:rsidP="00EC6011">
            <w:pPr>
              <w:rPr>
                <w:rFonts w:ascii="Arial" w:hAnsi="Arial" w:cs="Arial"/>
              </w:rPr>
            </w:pPr>
            <w:r w:rsidRPr="008638CB">
              <w:rPr>
                <w:rFonts w:ascii="Arial" w:hAnsi="Arial" w:cs="Arial"/>
                <w:sz w:val="22"/>
                <w:szCs w:val="22"/>
              </w:rPr>
              <w:t>October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2DA028F"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70A0F51F" w14:textId="77777777" w:rsidR="007A49FD" w:rsidRPr="008638CB" w:rsidRDefault="007A49FD" w:rsidP="00EC6011">
            <w:pPr>
              <w:rPr>
                <w:rFonts w:ascii="Arial" w:hAnsi="Arial" w:cs="Arial"/>
              </w:rPr>
            </w:pPr>
            <w:r w:rsidRPr="008638CB">
              <w:rPr>
                <w:rFonts w:ascii="Arial" w:hAnsi="Arial" w:cs="Arial"/>
                <w:sz w:val="22"/>
                <w:szCs w:val="22"/>
              </w:rPr>
              <w:t xml:space="preserve">Lost documentation - e-Health concerns </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9E8A9E9" w14:textId="77777777" w:rsidR="007A49FD" w:rsidRPr="008638CB" w:rsidRDefault="007A49FD" w:rsidP="00EC6011">
            <w:pPr>
              <w:rPr>
                <w:rFonts w:ascii="Arial" w:hAnsi="Arial" w:cs="Arial"/>
              </w:rPr>
            </w:pPr>
            <w:r w:rsidRPr="008638CB">
              <w:rPr>
                <w:rFonts w:ascii="Arial" w:hAnsi="Arial" w:cs="Arial"/>
                <w:sz w:val="22"/>
                <w:szCs w:val="22"/>
              </w:rPr>
              <w:t>Review complete - progressing via CG forums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DCB2F08" w14:textId="77777777" w:rsidR="007A49FD" w:rsidRPr="008638CB" w:rsidRDefault="007A49FD" w:rsidP="008638CB">
            <w:pPr>
              <w:jc w:val="center"/>
              <w:rPr>
                <w:rFonts w:ascii="Arial" w:hAnsi="Arial" w:cs="Arial"/>
              </w:rPr>
            </w:pPr>
            <w:r w:rsidRPr="008638CB">
              <w:rPr>
                <w:rFonts w:ascii="Arial" w:hAnsi="Arial" w:cs="Arial"/>
                <w:sz w:val="22"/>
                <w:szCs w:val="22"/>
              </w:rPr>
              <w:t>4</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4FFC0E3F" w14:textId="77777777" w:rsidR="007A49FD" w:rsidRPr="004F2A4E" w:rsidRDefault="007A49FD" w:rsidP="004F2A4E">
            <w:pPr>
              <w:jc w:val="center"/>
              <w:rPr>
                <w:rFonts w:ascii="Arial" w:hAnsi="Arial" w:cs="Arial"/>
                <w:b/>
              </w:rPr>
            </w:pPr>
            <w:r w:rsidRPr="004F2A4E">
              <w:rPr>
                <w:rFonts w:ascii="Arial" w:hAnsi="Arial" w:cs="Arial"/>
                <w:szCs w:val="22"/>
              </w:rPr>
              <w:t>Action plan under development</w:t>
            </w:r>
          </w:p>
          <w:p w14:paraId="77D74724" w14:textId="151EA3A2" w:rsidR="007A49FD" w:rsidRPr="004F2A4E" w:rsidRDefault="007A49FD" w:rsidP="004F2A4E">
            <w:pPr>
              <w:jc w:val="center"/>
              <w:rPr>
                <w:rFonts w:ascii="Arial" w:hAnsi="Arial" w:cs="Arial"/>
              </w:rPr>
            </w:pPr>
          </w:p>
        </w:tc>
      </w:tr>
      <w:tr w:rsidR="007A49FD" w:rsidRPr="00EC6011" w14:paraId="68BF3A3B"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05264" w14:textId="77777777" w:rsidR="007A49FD" w:rsidRPr="008638CB" w:rsidRDefault="007A49FD" w:rsidP="00EC6011">
            <w:pPr>
              <w:rPr>
                <w:rFonts w:ascii="Arial" w:hAnsi="Arial" w:cs="Arial"/>
              </w:rPr>
            </w:pPr>
            <w:r w:rsidRPr="008638CB">
              <w:rPr>
                <w:rFonts w:ascii="Arial" w:hAnsi="Arial" w:cs="Arial"/>
                <w:sz w:val="22"/>
                <w:szCs w:val="22"/>
              </w:rPr>
              <w:t>DW-9354</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40C5839F" w14:textId="77777777" w:rsidR="007A49FD" w:rsidRPr="008638CB" w:rsidRDefault="007A49FD" w:rsidP="00EC6011">
            <w:pPr>
              <w:rPr>
                <w:rFonts w:ascii="Arial" w:hAnsi="Arial" w:cs="Arial"/>
              </w:rPr>
            </w:pPr>
            <w:r w:rsidRPr="008638CB">
              <w:rPr>
                <w:rFonts w:ascii="Arial" w:hAnsi="Arial" w:cs="Arial"/>
                <w:sz w:val="22"/>
                <w:szCs w:val="22"/>
              </w:rPr>
              <w:t>July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4573490"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5088754B" w14:textId="77777777" w:rsidR="007A49FD" w:rsidRPr="008638CB" w:rsidRDefault="007A49FD" w:rsidP="00EC6011">
            <w:pPr>
              <w:rPr>
                <w:rFonts w:ascii="Arial" w:hAnsi="Arial" w:cs="Arial"/>
              </w:rPr>
            </w:pPr>
            <w:r w:rsidRPr="008638CB">
              <w:rPr>
                <w:rFonts w:ascii="Arial" w:hAnsi="Arial" w:cs="Arial"/>
                <w:sz w:val="22"/>
                <w:szCs w:val="22"/>
              </w:rPr>
              <w:t>Cardiology patient death - GGC and private sector involvement</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E089730" w14:textId="77777777" w:rsidR="007A49FD" w:rsidRPr="008638CB" w:rsidRDefault="007A49FD" w:rsidP="00EC6011">
            <w:pPr>
              <w:rPr>
                <w:rFonts w:ascii="Arial" w:hAnsi="Arial" w:cs="Arial"/>
              </w:rPr>
            </w:pPr>
            <w:r w:rsidRPr="008638CB">
              <w:rPr>
                <w:rFonts w:ascii="Arial" w:hAnsi="Arial" w:cs="Arial"/>
                <w:sz w:val="22"/>
                <w:szCs w:val="22"/>
              </w:rPr>
              <w:t>Review complete - NHSGG&amp;C leading on SAER</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A9CD737" w14:textId="6623308D" w:rsidR="007A49FD" w:rsidRPr="008638CB" w:rsidRDefault="007A49FD" w:rsidP="008638CB">
            <w:pPr>
              <w:jc w:val="center"/>
              <w:rPr>
                <w:rFonts w:ascii="Arial" w:hAnsi="Arial" w:cs="Arial"/>
              </w:rPr>
            </w:pP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31B17EE4" w14:textId="77777777" w:rsidR="007A49FD" w:rsidRPr="004F2A4E" w:rsidRDefault="007A49FD" w:rsidP="004F2A4E">
            <w:pPr>
              <w:jc w:val="center"/>
              <w:rPr>
                <w:rFonts w:ascii="Arial" w:hAnsi="Arial" w:cs="Arial"/>
                <w:b/>
              </w:rPr>
            </w:pPr>
            <w:r w:rsidRPr="004F2A4E">
              <w:rPr>
                <w:rFonts w:ascii="Arial" w:hAnsi="Arial" w:cs="Arial"/>
                <w:szCs w:val="22"/>
              </w:rPr>
              <w:t>Action plan under development</w:t>
            </w:r>
          </w:p>
          <w:p w14:paraId="5DB7A198" w14:textId="53782A95" w:rsidR="007A49FD" w:rsidRPr="004F2A4E" w:rsidRDefault="007A49FD" w:rsidP="004F2A4E">
            <w:pPr>
              <w:jc w:val="center"/>
              <w:rPr>
                <w:rFonts w:ascii="Arial" w:hAnsi="Arial" w:cs="Arial"/>
              </w:rPr>
            </w:pPr>
          </w:p>
        </w:tc>
      </w:tr>
      <w:tr w:rsidR="007A49FD" w:rsidRPr="00EC6011" w14:paraId="2B9ADD29"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9C680" w14:textId="77777777" w:rsidR="007A49FD" w:rsidRPr="008638CB" w:rsidRDefault="007A49FD" w:rsidP="00EC6011">
            <w:pPr>
              <w:rPr>
                <w:rFonts w:ascii="Arial" w:hAnsi="Arial" w:cs="Arial"/>
              </w:rPr>
            </w:pPr>
            <w:r w:rsidRPr="008638CB">
              <w:rPr>
                <w:rFonts w:ascii="Arial" w:hAnsi="Arial" w:cs="Arial"/>
                <w:sz w:val="22"/>
                <w:szCs w:val="22"/>
              </w:rPr>
              <w:t>DW-9394</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5CB0C08A" w14:textId="77777777" w:rsidR="007A49FD" w:rsidRPr="008638CB" w:rsidRDefault="007A49FD" w:rsidP="00EC6011">
            <w:pPr>
              <w:rPr>
                <w:rFonts w:ascii="Arial" w:hAnsi="Arial" w:cs="Arial"/>
              </w:rPr>
            </w:pPr>
            <w:r w:rsidRPr="008638CB">
              <w:rPr>
                <w:rFonts w:ascii="Arial" w:hAnsi="Arial" w:cs="Arial"/>
                <w:sz w:val="22"/>
                <w:szCs w:val="22"/>
              </w:rPr>
              <w:t>November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3D75623"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771034AF" w14:textId="77777777" w:rsidR="007A49FD" w:rsidRPr="008638CB" w:rsidRDefault="007A49FD" w:rsidP="00EC6011">
            <w:pPr>
              <w:rPr>
                <w:rFonts w:ascii="Arial" w:hAnsi="Arial" w:cs="Arial"/>
              </w:rPr>
            </w:pPr>
            <w:r w:rsidRPr="008638CB">
              <w:rPr>
                <w:rFonts w:ascii="Arial" w:hAnsi="Arial" w:cs="Arial"/>
                <w:sz w:val="22"/>
                <w:szCs w:val="22"/>
              </w:rPr>
              <w:t>Post op bed availability issue (CCU/ICU)</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3C211B7" w14:textId="77777777" w:rsidR="007A49FD" w:rsidRPr="008638CB" w:rsidRDefault="007A49FD" w:rsidP="00EC6011">
            <w:pPr>
              <w:rPr>
                <w:rFonts w:ascii="Arial" w:hAnsi="Arial" w:cs="Arial"/>
              </w:rPr>
            </w:pPr>
            <w:r w:rsidRPr="008638CB">
              <w:rPr>
                <w:rFonts w:ascii="Arial" w:hAnsi="Arial" w:cs="Arial"/>
                <w:sz w:val="22"/>
                <w:szCs w:val="22"/>
              </w:rPr>
              <w:t>Review complete - progressing via CG forums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72E61F1" w14:textId="77777777" w:rsidR="007A49FD" w:rsidRPr="008638CB" w:rsidRDefault="007A49FD" w:rsidP="008638CB">
            <w:pPr>
              <w:jc w:val="center"/>
              <w:rPr>
                <w:rFonts w:ascii="Arial" w:hAnsi="Arial" w:cs="Arial"/>
              </w:rPr>
            </w:pPr>
            <w:r w:rsidRPr="008638CB">
              <w:rPr>
                <w:rFonts w:ascii="Arial" w:hAnsi="Arial" w:cs="Arial"/>
                <w:sz w:val="22"/>
                <w:szCs w:val="22"/>
              </w:rPr>
              <w:t>3</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1B781AE0" w14:textId="77777777" w:rsidR="007A49FD" w:rsidRPr="004F2A4E" w:rsidRDefault="007A49FD" w:rsidP="004F2A4E">
            <w:pPr>
              <w:jc w:val="center"/>
              <w:rPr>
                <w:rFonts w:ascii="Arial" w:hAnsi="Arial" w:cs="Arial"/>
                <w:b/>
              </w:rPr>
            </w:pPr>
            <w:r w:rsidRPr="004F2A4E">
              <w:rPr>
                <w:rFonts w:ascii="Arial" w:hAnsi="Arial" w:cs="Arial"/>
                <w:szCs w:val="22"/>
              </w:rPr>
              <w:t>Action plan under development</w:t>
            </w:r>
          </w:p>
          <w:p w14:paraId="78CEAB9F" w14:textId="440680D4" w:rsidR="007A49FD" w:rsidRPr="004F2A4E" w:rsidRDefault="007A49FD" w:rsidP="004F2A4E">
            <w:pPr>
              <w:jc w:val="center"/>
              <w:rPr>
                <w:rFonts w:ascii="Arial" w:hAnsi="Arial" w:cs="Arial"/>
              </w:rPr>
            </w:pPr>
          </w:p>
        </w:tc>
      </w:tr>
      <w:tr w:rsidR="007A49FD" w:rsidRPr="00EC6011" w14:paraId="5539911E"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34509" w14:textId="77777777" w:rsidR="007A49FD" w:rsidRPr="008638CB" w:rsidRDefault="007A49FD" w:rsidP="00EC6011">
            <w:pPr>
              <w:rPr>
                <w:rFonts w:ascii="Arial" w:hAnsi="Arial" w:cs="Arial"/>
              </w:rPr>
            </w:pPr>
            <w:r w:rsidRPr="008638CB">
              <w:rPr>
                <w:rFonts w:ascii="Arial" w:hAnsi="Arial" w:cs="Arial"/>
                <w:sz w:val="22"/>
                <w:szCs w:val="22"/>
              </w:rPr>
              <w:t>DW-9447</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371C4DA0" w14:textId="77777777" w:rsidR="007A49FD" w:rsidRPr="008638CB" w:rsidRDefault="007A49FD" w:rsidP="00EC6011">
            <w:pPr>
              <w:rPr>
                <w:rFonts w:ascii="Arial" w:hAnsi="Arial" w:cs="Arial"/>
              </w:rPr>
            </w:pPr>
            <w:r w:rsidRPr="008638CB">
              <w:rPr>
                <w:rFonts w:ascii="Arial" w:hAnsi="Arial" w:cs="Arial"/>
                <w:sz w:val="22"/>
                <w:szCs w:val="22"/>
              </w:rPr>
              <w:t>December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3DAC791"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0B26FAB8" w14:textId="77777777" w:rsidR="007A49FD" w:rsidRPr="008638CB" w:rsidRDefault="007A49FD" w:rsidP="00EC6011">
            <w:pPr>
              <w:rPr>
                <w:rFonts w:ascii="Arial" w:hAnsi="Arial" w:cs="Arial"/>
              </w:rPr>
            </w:pPr>
            <w:r w:rsidRPr="008638CB">
              <w:rPr>
                <w:rFonts w:ascii="Arial" w:hAnsi="Arial" w:cs="Arial"/>
                <w:sz w:val="22"/>
                <w:szCs w:val="22"/>
              </w:rPr>
              <w:t>NSD patient - transferred to ICU</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16D0DAD" w14:textId="77777777" w:rsidR="007A49FD" w:rsidRPr="008638CB" w:rsidRDefault="007A49FD" w:rsidP="00EC6011">
            <w:pPr>
              <w:rPr>
                <w:rFonts w:ascii="Arial" w:hAnsi="Arial" w:cs="Arial"/>
              </w:rPr>
            </w:pPr>
            <w:r w:rsidRPr="008638CB">
              <w:rPr>
                <w:rFonts w:ascii="Arial" w:hAnsi="Arial" w:cs="Arial"/>
                <w:sz w:val="22"/>
                <w:szCs w:val="22"/>
              </w:rPr>
              <w:t>Review complete - progressing via CG forums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FB2A5D2" w14:textId="77777777" w:rsidR="007A49FD" w:rsidRPr="008638CB" w:rsidRDefault="007A49FD" w:rsidP="008638CB">
            <w:pPr>
              <w:jc w:val="center"/>
              <w:rPr>
                <w:rFonts w:ascii="Arial" w:hAnsi="Arial" w:cs="Arial"/>
              </w:rPr>
            </w:pPr>
            <w:r w:rsidRPr="008638CB">
              <w:rPr>
                <w:rFonts w:ascii="Arial" w:hAnsi="Arial" w:cs="Arial"/>
                <w:sz w:val="22"/>
                <w:szCs w:val="22"/>
              </w:rPr>
              <w:t>3</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27CDF6FF" w14:textId="77777777" w:rsidR="007A49FD" w:rsidRPr="004F2A4E" w:rsidRDefault="007A49FD" w:rsidP="004F2A4E">
            <w:pPr>
              <w:jc w:val="center"/>
              <w:rPr>
                <w:rFonts w:ascii="Arial" w:hAnsi="Arial" w:cs="Arial"/>
                <w:b/>
              </w:rPr>
            </w:pPr>
            <w:r w:rsidRPr="004F2A4E">
              <w:rPr>
                <w:rFonts w:ascii="Arial" w:hAnsi="Arial" w:cs="Arial"/>
                <w:szCs w:val="22"/>
              </w:rPr>
              <w:t>Action plan under development</w:t>
            </w:r>
          </w:p>
          <w:p w14:paraId="5790487C" w14:textId="488911AB" w:rsidR="007A49FD" w:rsidRPr="004F2A4E" w:rsidRDefault="007A49FD" w:rsidP="004F2A4E">
            <w:pPr>
              <w:jc w:val="center"/>
              <w:rPr>
                <w:rFonts w:ascii="Arial" w:hAnsi="Arial" w:cs="Arial"/>
              </w:rPr>
            </w:pPr>
          </w:p>
        </w:tc>
      </w:tr>
      <w:tr w:rsidR="007A49FD" w:rsidRPr="00EC6011" w14:paraId="5233423A"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0FE19" w14:textId="77777777" w:rsidR="007A49FD" w:rsidRPr="008638CB" w:rsidRDefault="007A49FD" w:rsidP="00EC6011">
            <w:pPr>
              <w:rPr>
                <w:rFonts w:ascii="Arial" w:hAnsi="Arial" w:cs="Arial"/>
              </w:rPr>
            </w:pPr>
            <w:r w:rsidRPr="008638CB">
              <w:rPr>
                <w:rFonts w:ascii="Arial" w:hAnsi="Arial" w:cs="Arial"/>
                <w:sz w:val="22"/>
                <w:szCs w:val="22"/>
              </w:rPr>
              <w:t>DW-9536</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1BA0C287" w14:textId="77777777" w:rsidR="007A49FD" w:rsidRPr="008638CB" w:rsidRDefault="007A49FD" w:rsidP="00EC6011">
            <w:pPr>
              <w:rPr>
                <w:rFonts w:ascii="Arial" w:hAnsi="Arial" w:cs="Arial"/>
              </w:rPr>
            </w:pPr>
            <w:r w:rsidRPr="008638CB">
              <w:rPr>
                <w:rFonts w:ascii="Arial" w:hAnsi="Arial" w:cs="Arial"/>
                <w:sz w:val="22"/>
                <w:szCs w:val="22"/>
              </w:rPr>
              <w:t>January 2023</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153666D"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778D0B9B" w14:textId="77777777" w:rsidR="007A49FD" w:rsidRPr="008638CB" w:rsidRDefault="007A49FD" w:rsidP="00EC6011">
            <w:pPr>
              <w:rPr>
                <w:rFonts w:ascii="Arial" w:hAnsi="Arial" w:cs="Arial"/>
              </w:rPr>
            </w:pPr>
            <w:r w:rsidRPr="008638CB">
              <w:rPr>
                <w:rFonts w:ascii="Arial" w:hAnsi="Arial" w:cs="Arial"/>
                <w:sz w:val="22"/>
                <w:szCs w:val="22"/>
              </w:rPr>
              <w:t>SACCS patient death following cardiac surgery</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903395C" w14:textId="77777777" w:rsidR="007A49FD" w:rsidRPr="008638CB" w:rsidRDefault="007A49FD" w:rsidP="00EC6011">
            <w:pPr>
              <w:rPr>
                <w:rFonts w:ascii="Arial" w:hAnsi="Arial" w:cs="Arial"/>
              </w:rPr>
            </w:pPr>
            <w:r w:rsidRPr="008638CB">
              <w:rPr>
                <w:rFonts w:ascii="Arial" w:hAnsi="Arial" w:cs="Arial"/>
                <w:sz w:val="22"/>
                <w:szCs w:val="22"/>
              </w:rPr>
              <w:t>Review complete - progressing via CG forums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BBC7423" w14:textId="77777777" w:rsidR="007A49FD" w:rsidRPr="008638CB" w:rsidRDefault="007A49FD" w:rsidP="008638CB">
            <w:pPr>
              <w:jc w:val="center"/>
              <w:rPr>
                <w:rFonts w:ascii="Arial" w:hAnsi="Arial" w:cs="Arial"/>
              </w:rPr>
            </w:pPr>
            <w:r w:rsidRPr="008638CB">
              <w:rPr>
                <w:rFonts w:ascii="Arial" w:hAnsi="Arial" w:cs="Arial"/>
                <w:sz w:val="22"/>
                <w:szCs w:val="22"/>
              </w:rPr>
              <w:t>3</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3BF2E162" w14:textId="77777777" w:rsidR="007A49FD" w:rsidRPr="004F2A4E" w:rsidRDefault="007A49FD" w:rsidP="004F2A4E">
            <w:pPr>
              <w:jc w:val="center"/>
              <w:rPr>
                <w:rFonts w:ascii="Arial" w:hAnsi="Arial" w:cs="Arial"/>
                <w:b/>
              </w:rPr>
            </w:pPr>
            <w:r w:rsidRPr="004F2A4E">
              <w:rPr>
                <w:rFonts w:ascii="Arial" w:hAnsi="Arial" w:cs="Arial"/>
                <w:szCs w:val="22"/>
              </w:rPr>
              <w:t>Action plan under development</w:t>
            </w:r>
          </w:p>
          <w:p w14:paraId="01310FAE" w14:textId="4D779FFE" w:rsidR="007A49FD" w:rsidRPr="004F2A4E" w:rsidRDefault="007A49FD" w:rsidP="004F2A4E">
            <w:pPr>
              <w:jc w:val="center"/>
              <w:rPr>
                <w:rFonts w:ascii="Arial" w:hAnsi="Arial" w:cs="Arial"/>
              </w:rPr>
            </w:pPr>
          </w:p>
        </w:tc>
      </w:tr>
      <w:tr w:rsidR="007A49FD" w:rsidRPr="00EC6011" w14:paraId="7E31670B"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097DF" w14:textId="77777777" w:rsidR="007A49FD" w:rsidRPr="008638CB" w:rsidRDefault="007A49FD" w:rsidP="00EC6011">
            <w:pPr>
              <w:rPr>
                <w:rFonts w:ascii="Arial" w:hAnsi="Arial" w:cs="Arial"/>
              </w:rPr>
            </w:pPr>
            <w:r w:rsidRPr="008638CB">
              <w:rPr>
                <w:rFonts w:ascii="Arial" w:hAnsi="Arial" w:cs="Arial"/>
                <w:sz w:val="22"/>
                <w:szCs w:val="22"/>
              </w:rPr>
              <w:t>DW-9576</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474EFB10" w14:textId="77777777" w:rsidR="007A49FD" w:rsidRPr="008638CB" w:rsidRDefault="007A49FD" w:rsidP="00EC6011">
            <w:pPr>
              <w:rPr>
                <w:rFonts w:ascii="Arial" w:hAnsi="Arial" w:cs="Arial"/>
              </w:rPr>
            </w:pPr>
            <w:r w:rsidRPr="008638CB">
              <w:rPr>
                <w:rFonts w:ascii="Arial" w:hAnsi="Arial" w:cs="Arial"/>
                <w:sz w:val="22"/>
                <w:szCs w:val="22"/>
              </w:rPr>
              <w:t>January 2023</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C025F5E"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421168B9" w14:textId="77777777" w:rsidR="007A49FD" w:rsidRPr="008638CB" w:rsidRDefault="007A49FD" w:rsidP="00EC6011">
            <w:pPr>
              <w:rPr>
                <w:rFonts w:ascii="Arial" w:hAnsi="Arial" w:cs="Arial"/>
              </w:rPr>
            </w:pPr>
            <w:r w:rsidRPr="008638CB">
              <w:rPr>
                <w:rFonts w:ascii="Arial" w:hAnsi="Arial" w:cs="Arial"/>
                <w:sz w:val="22"/>
                <w:szCs w:val="22"/>
              </w:rPr>
              <w:t>Unavailable equipment during Cardiac Arrest call</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0EB574D" w14:textId="77777777" w:rsidR="007A49FD" w:rsidRPr="008638CB" w:rsidRDefault="007A49FD" w:rsidP="00EC6011">
            <w:pPr>
              <w:rPr>
                <w:rFonts w:ascii="Arial" w:hAnsi="Arial" w:cs="Arial"/>
              </w:rPr>
            </w:pPr>
            <w:r w:rsidRPr="008638CB">
              <w:rPr>
                <w:rFonts w:ascii="Arial" w:hAnsi="Arial" w:cs="Arial"/>
                <w:sz w:val="22"/>
                <w:szCs w:val="22"/>
              </w:rPr>
              <w:t>Review complete - NHSGG&amp;C leading on SAER</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F80F37F" w14:textId="77777777" w:rsidR="007A49FD" w:rsidRPr="008638CB" w:rsidRDefault="007A49FD" w:rsidP="008638CB">
            <w:pPr>
              <w:jc w:val="center"/>
              <w:rPr>
                <w:rFonts w:ascii="Arial" w:hAnsi="Arial" w:cs="Arial"/>
              </w:rPr>
            </w:pPr>
            <w:r w:rsidRPr="008638CB">
              <w:rPr>
                <w:rFonts w:ascii="Arial" w:hAnsi="Arial" w:cs="Arial"/>
                <w:sz w:val="22"/>
                <w:szCs w:val="22"/>
              </w:rPr>
              <w:t>2</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43049D1B" w14:textId="77777777" w:rsidR="007A49FD" w:rsidRPr="004F2A4E" w:rsidRDefault="007A49FD" w:rsidP="004F2A4E">
            <w:pPr>
              <w:jc w:val="center"/>
              <w:rPr>
                <w:rFonts w:ascii="Arial" w:hAnsi="Arial" w:cs="Arial"/>
                <w:b/>
              </w:rPr>
            </w:pPr>
            <w:r w:rsidRPr="004F2A4E">
              <w:rPr>
                <w:rFonts w:ascii="Arial" w:hAnsi="Arial" w:cs="Arial"/>
                <w:szCs w:val="22"/>
              </w:rPr>
              <w:t>Action plan under development</w:t>
            </w:r>
          </w:p>
          <w:p w14:paraId="1FE3B8B3" w14:textId="0141A912" w:rsidR="007A49FD" w:rsidRPr="004F2A4E" w:rsidRDefault="007A49FD" w:rsidP="004F2A4E">
            <w:pPr>
              <w:jc w:val="center"/>
              <w:rPr>
                <w:rFonts w:ascii="Arial" w:hAnsi="Arial" w:cs="Arial"/>
              </w:rPr>
            </w:pPr>
          </w:p>
        </w:tc>
      </w:tr>
      <w:tr w:rsidR="007A49FD" w:rsidRPr="00EC6011" w14:paraId="4E4EA5AC"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AFDCB" w14:textId="77777777" w:rsidR="007A49FD" w:rsidRPr="008638CB" w:rsidRDefault="007A49FD" w:rsidP="00EC6011">
            <w:pPr>
              <w:rPr>
                <w:rFonts w:ascii="Arial" w:hAnsi="Arial" w:cs="Arial"/>
              </w:rPr>
            </w:pPr>
            <w:r w:rsidRPr="008638CB">
              <w:rPr>
                <w:rFonts w:ascii="Arial" w:hAnsi="Arial" w:cs="Arial"/>
                <w:sz w:val="22"/>
                <w:szCs w:val="22"/>
              </w:rPr>
              <w:t>DW-9577</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7FF724B1" w14:textId="77777777" w:rsidR="007A49FD" w:rsidRPr="008638CB" w:rsidRDefault="007A49FD" w:rsidP="00EC6011">
            <w:pPr>
              <w:rPr>
                <w:rFonts w:ascii="Arial" w:hAnsi="Arial" w:cs="Arial"/>
              </w:rPr>
            </w:pPr>
            <w:r w:rsidRPr="008638CB">
              <w:rPr>
                <w:rFonts w:ascii="Arial" w:hAnsi="Arial" w:cs="Arial"/>
                <w:sz w:val="22"/>
                <w:szCs w:val="22"/>
              </w:rPr>
              <w:t>December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747933C"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1FE8453B" w14:textId="77777777" w:rsidR="007A49FD" w:rsidRPr="008638CB" w:rsidRDefault="007A49FD" w:rsidP="00EC6011">
            <w:pPr>
              <w:rPr>
                <w:rFonts w:ascii="Arial" w:hAnsi="Arial" w:cs="Arial"/>
              </w:rPr>
            </w:pPr>
            <w:r w:rsidRPr="008638CB">
              <w:rPr>
                <w:rFonts w:ascii="Arial" w:hAnsi="Arial" w:cs="Arial"/>
                <w:sz w:val="22"/>
                <w:szCs w:val="22"/>
              </w:rPr>
              <w:t>SACCS patient - neurological injury</w:t>
            </w:r>
          </w:p>
        </w:tc>
        <w:tc>
          <w:tcPr>
            <w:tcW w:w="9214" w:type="dxa"/>
            <w:gridSpan w:val="4"/>
            <w:tcBorders>
              <w:top w:val="single" w:sz="4" w:space="0" w:color="000000"/>
              <w:left w:val="nil"/>
              <w:bottom w:val="single" w:sz="4" w:space="0" w:color="000000"/>
              <w:right w:val="single" w:sz="4" w:space="0" w:color="auto"/>
            </w:tcBorders>
            <w:shd w:val="clear" w:color="auto" w:fill="auto"/>
            <w:vAlign w:val="center"/>
            <w:hideMark/>
          </w:tcPr>
          <w:p w14:paraId="18F3C00D" w14:textId="77777777" w:rsidR="007A49FD" w:rsidRPr="008638CB" w:rsidRDefault="007A49FD" w:rsidP="00EC6011">
            <w:pPr>
              <w:rPr>
                <w:rFonts w:ascii="Arial" w:hAnsi="Arial" w:cs="Arial"/>
              </w:rPr>
            </w:pPr>
            <w:r w:rsidRPr="008638CB">
              <w:rPr>
                <w:rFonts w:ascii="Arial" w:hAnsi="Arial" w:cs="Arial"/>
                <w:sz w:val="22"/>
                <w:szCs w:val="22"/>
              </w:rPr>
              <w:t>Review not complete</w:t>
            </w:r>
          </w:p>
          <w:p w14:paraId="58C6B6B5" w14:textId="5A5C108C" w:rsidR="007A49FD" w:rsidRPr="008638CB" w:rsidRDefault="007A49FD" w:rsidP="00EC6011">
            <w:pPr>
              <w:rPr>
                <w:rFonts w:ascii="Arial" w:hAnsi="Arial" w:cs="Arial"/>
                <w:b/>
              </w:rPr>
            </w:pPr>
            <w:r w:rsidRPr="008638CB">
              <w:rPr>
                <w:rFonts w:ascii="Arial" w:hAnsi="Arial" w:cs="Arial"/>
                <w:b/>
                <w:sz w:val="22"/>
                <w:szCs w:val="22"/>
              </w:rPr>
              <w:t> </w:t>
            </w:r>
          </w:p>
          <w:p w14:paraId="534D0F3E" w14:textId="2F1F2477" w:rsidR="007A49FD" w:rsidRPr="008638CB" w:rsidRDefault="007A49FD" w:rsidP="00EC6011">
            <w:pPr>
              <w:rPr>
                <w:rFonts w:ascii="Arial" w:hAnsi="Arial" w:cs="Arial"/>
              </w:rPr>
            </w:pPr>
            <w:r w:rsidRPr="008638CB">
              <w:rPr>
                <w:rFonts w:ascii="Arial" w:hAnsi="Arial" w:cs="Arial"/>
                <w:sz w:val="22"/>
                <w:szCs w:val="22"/>
              </w:rPr>
              <w:t> </w:t>
            </w:r>
          </w:p>
        </w:tc>
      </w:tr>
      <w:tr w:rsidR="007A49FD" w:rsidRPr="00EC6011" w14:paraId="14665418"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6A3C2" w14:textId="77777777" w:rsidR="007A49FD" w:rsidRPr="008638CB" w:rsidRDefault="007A49FD" w:rsidP="00EC6011">
            <w:pPr>
              <w:rPr>
                <w:rFonts w:ascii="Arial" w:hAnsi="Arial" w:cs="Arial"/>
              </w:rPr>
            </w:pPr>
            <w:r w:rsidRPr="008638CB">
              <w:rPr>
                <w:rFonts w:ascii="Arial" w:hAnsi="Arial" w:cs="Arial"/>
                <w:sz w:val="22"/>
                <w:szCs w:val="22"/>
              </w:rPr>
              <w:t>DW-9693</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5D350F02" w14:textId="77777777" w:rsidR="007A49FD" w:rsidRPr="008638CB" w:rsidRDefault="007A49FD" w:rsidP="00EC6011">
            <w:pPr>
              <w:rPr>
                <w:rFonts w:ascii="Arial" w:hAnsi="Arial" w:cs="Arial"/>
              </w:rPr>
            </w:pPr>
            <w:r w:rsidRPr="008638CB">
              <w:rPr>
                <w:rFonts w:ascii="Arial" w:hAnsi="Arial" w:cs="Arial"/>
                <w:sz w:val="22"/>
                <w:szCs w:val="22"/>
              </w:rPr>
              <w:t>December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78DAF25"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7184FC19" w14:textId="77777777" w:rsidR="007A49FD" w:rsidRPr="008638CB" w:rsidRDefault="007A49FD" w:rsidP="00EC6011">
            <w:pPr>
              <w:rPr>
                <w:rFonts w:ascii="Arial" w:hAnsi="Arial" w:cs="Arial"/>
              </w:rPr>
            </w:pPr>
            <w:r w:rsidRPr="008638CB">
              <w:rPr>
                <w:rFonts w:ascii="Arial" w:hAnsi="Arial" w:cs="Arial"/>
                <w:sz w:val="22"/>
                <w:szCs w:val="22"/>
              </w:rPr>
              <w:t>SACCS patient complication following cardiac surgery</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5C84D3C" w14:textId="77777777" w:rsidR="007A49FD" w:rsidRPr="008638CB" w:rsidRDefault="007A49FD" w:rsidP="00EC6011">
            <w:pPr>
              <w:rPr>
                <w:rFonts w:ascii="Arial" w:hAnsi="Arial" w:cs="Arial"/>
              </w:rPr>
            </w:pPr>
            <w:r w:rsidRPr="008638CB">
              <w:rPr>
                <w:rFonts w:ascii="Arial" w:hAnsi="Arial" w:cs="Arial"/>
                <w:sz w:val="22"/>
                <w:szCs w:val="22"/>
              </w:rPr>
              <w:t>Review complete - progressing via CG forums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047BDE7" w14:textId="77777777" w:rsidR="007A49FD" w:rsidRPr="008638CB" w:rsidRDefault="007A49FD" w:rsidP="008638CB">
            <w:pPr>
              <w:jc w:val="center"/>
              <w:rPr>
                <w:rFonts w:ascii="Arial" w:hAnsi="Arial" w:cs="Arial"/>
              </w:rPr>
            </w:pPr>
            <w:r w:rsidRPr="008638CB">
              <w:rPr>
                <w:rFonts w:ascii="Arial" w:hAnsi="Arial" w:cs="Arial"/>
                <w:sz w:val="22"/>
                <w:szCs w:val="22"/>
              </w:rPr>
              <w:t>2</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62DD3F02" w14:textId="4EFFCA31" w:rsidR="007A49FD" w:rsidRPr="004F2A4E" w:rsidRDefault="007A49FD" w:rsidP="004F2A4E">
            <w:pPr>
              <w:jc w:val="center"/>
              <w:rPr>
                <w:rFonts w:ascii="Arial" w:hAnsi="Arial" w:cs="Arial"/>
                <w:b/>
              </w:rPr>
            </w:pPr>
            <w:r w:rsidRPr="004F2A4E">
              <w:rPr>
                <w:rFonts w:ascii="Arial" w:hAnsi="Arial" w:cs="Arial"/>
                <w:szCs w:val="22"/>
              </w:rPr>
              <w:t>Action plan under development</w:t>
            </w:r>
          </w:p>
          <w:p w14:paraId="7B194B2F" w14:textId="45FC8B8C" w:rsidR="007A49FD" w:rsidRPr="004F2A4E" w:rsidRDefault="007A49FD" w:rsidP="004F2A4E">
            <w:pPr>
              <w:jc w:val="center"/>
              <w:rPr>
                <w:rFonts w:ascii="Arial" w:hAnsi="Arial" w:cs="Arial"/>
              </w:rPr>
            </w:pPr>
          </w:p>
        </w:tc>
      </w:tr>
      <w:tr w:rsidR="007A49FD" w:rsidRPr="00EC6011" w14:paraId="1140C943" w14:textId="77777777" w:rsidTr="0053409F">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4E6AD" w14:textId="77777777" w:rsidR="007A49FD" w:rsidRPr="008638CB" w:rsidRDefault="007A49FD" w:rsidP="00EC6011">
            <w:pPr>
              <w:rPr>
                <w:rFonts w:ascii="Arial" w:hAnsi="Arial" w:cs="Arial"/>
              </w:rPr>
            </w:pPr>
            <w:r w:rsidRPr="008638CB">
              <w:rPr>
                <w:rFonts w:ascii="Arial" w:hAnsi="Arial" w:cs="Arial"/>
                <w:sz w:val="22"/>
                <w:szCs w:val="22"/>
              </w:rPr>
              <w:t>DW-9813</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1B02390A" w14:textId="77777777" w:rsidR="007A49FD" w:rsidRPr="008638CB" w:rsidRDefault="007A49FD" w:rsidP="00EC6011">
            <w:pPr>
              <w:rPr>
                <w:rFonts w:ascii="Arial" w:hAnsi="Arial" w:cs="Arial"/>
              </w:rPr>
            </w:pPr>
            <w:r w:rsidRPr="008638CB">
              <w:rPr>
                <w:rFonts w:ascii="Arial" w:hAnsi="Arial" w:cs="Arial"/>
                <w:sz w:val="22"/>
                <w:szCs w:val="22"/>
              </w:rPr>
              <w:t>March 2023</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F530555" w14:textId="77777777" w:rsidR="007A49FD" w:rsidRPr="008638CB" w:rsidRDefault="007A49FD" w:rsidP="00EC6011">
            <w:pPr>
              <w:rPr>
                <w:rFonts w:ascii="Arial" w:hAnsi="Arial" w:cs="Arial"/>
              </w:rPr>
            </w:pPr>
            <w:r w:rsidRPr="008638CB">
              <w:rPr>
                <w:rFonts w:ascii="Arial" w:hAnsi="Arial" w:cs="Arial"/>
                <w:sz w:val="22"/>
                <w:szCs w:val="22"/>
              </w:rPr>
              <w:t>HLD</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6F005967" w14:textId="77777777" w:rsidR="007A49FD" w:rsidRPr="008638CB" w:rsidRDefault="007A49FD" w:rsidP="00EC6011">
            <w:pPr>
              <w:rPr>
                <w:rFonts w:ascii="Arial" w:hAnsi="Arial" w:cs="Arial"/>
              </w:rPr>
            </w:pPr>
            <w:r w:rsidRPr="008638CB">
              <w:rPr>
                <w:rFonts w:ascii="Arial" w:hAnsi="Arial" w:cs="Arial"/>
                <w:sz w:val="22"/>
                <w:szCs w:val="22"/>
              </w:rPr>
              <w:t>Transplant patient death Mar 2023</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B72C837" w14:textId="77777777" w:rsidR="007A49FD" w:rsidRPr="008638CB" w:rsidRDefault="007A49FD" w:rsidP="00EC6011">
            <w:pPr>
              <w:rPr>
                <w:rFonts w:ascii="Arial" w:hAnsi="Arial" w:cs="Arial"/>
              </w:rPr>
            </w:pPr>
            <w:r w:rsidRPr="008638CB">
              <w:rPr>
                <w:rFonts w:ascii="Arial" w:hAnsi="Arial" w:cs="Arial"/>
                <w:sz w:val="22"/>
                <w:szCs w:val="22"/>
              </w:rPr>
              <w:t>Review complete - progressing via CG forums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D77D34C" w14:textId="77777777" w:rsidR="007A49FD" w:rsidRPr="008638CB" w:rsidRDefault="007A49FD" w:rsidP="008638CB">
            <w:pPr>
              <w:jc w:val="center"/>
              <w:rPr>
                <w:rFonts w:ascii="Arial" w:hAnsi="Arial" w:cs="Arial"/>
              </w:rPr>
            </w:pPr>
            <w:r w:rsidRPr="008638CB">
              <w:rPr>
                <w:rFonts w:ascii="Arial" w:hAnsi="Arial" w:cs="Arial"/>
                <w:sz w:val="22"/>
                <w:szCs w:val="22"/>
              </w:rPr>
              <w:t>3</w:t>
            </w:r>
          </w:p>
        </w:tc>
        <w:tc>
          <w:tcPr>
            <w:tcW w:w="5954" w:type="dxa"/>
            <w:gridSpan w:val="2"/>
            <w:tcBorders>
              <w:top w:val="single" w:sz="4" w:space="0" w:color="000000"/>
              <w:left w:val="nil"/>
              <w:bottom w:val="single" w:sz="4" w:space="0" w:color="000000"/>
              <w:right w:val="single" w:sz="4" w:space="0" w:color="auto"/>
            </w:tcBorders>
            <w:shd w:val="clear" w:color="auto" w:fill="auto"/>
            <w:vAlign w:val="center"/>
            <w:hideMark/>
          </w:tcPr>
          <w:p w14:paraId="587B51EA" w14:textId="048265AF" w:rsidR="007A49FD" w:rsidRPr="004F2A4E" w:rsidRDefault="007A49FD" w:rsidP="004F2A4E">
            <w:pPr>
              <w:jc w:val="center"/>
              <w:rPr>
                <w:rFonts w:ascii="Arial" w:hAnsi="Arial" w:cs="Arial"/>
                <w:b/>
              </w:rPr>
            </w:pPr>
            <w:r w:rsidRPr="004F2A4E">
              <w:rPr>
                <w:rFonts w:ascii="Arial" w:hAnsi="Arial" w:cs="Arial"/>
                <w:szCs w:val="22"/>
              </w:rPr>
              <w:t>Action plan under development</w:t>
            </w:r>
          </w:p>
          <w:p w14:paraId="78AC9E46" w14:textId="1983ACAA" w:rsidR="007A49FD" w:rsidRPr="004F2A4E" w:rsidRDefault="007A49FD" w:rsidP="004F2A4E">
            <w:pPr>
              <w:jc w:val="center"/>
              <w:rPr>
                <w:rFonts w:ascii="Arial" w:hAnsi="Arial" w:cs="Arial"/>
              </w:rPr>
            </w:pPr>
          </w:p>
        </w:tc>
      </w:tr>
      <w:tr w:rsidR="00EC6011" w:rsidRPr="00EC6011" w14:paraId="02FAAF49" w14:textId="77777777" w:rsidTr="008638CB">
        <w:trPr>
          <w:trHeight w:val="6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5BD1E" w14:textId="77777777" w:rsidR="00EC6011" w:rsidRPr="008638CB" w:rsidRDefault="00EC6011" w:rsidP="00EC6011">
            <w:pPr>
              <w:rPr>
                <w:rFonts w:ascii="Arial" w:hAnsi="Arial" w:cs="Arial"/>
              </w:rPr>
            </w:pPr>
            <w:r w:rsidRPr="008638CB">
              <w:rPr>
                <w:rFonts w:ascii="Arial" w:hAnsi="Arial" w:cs="Arial"/>
                <w:sz w:val="22"/>
                <w:szCs w:val="22"/>
              </w:rPr>
              <w:t>DW-8882</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14:paraId="28E5276E" w14:textId="77777777" w:rsidR="00EC6011" w:rsidRPr="008638CB" w:rsidRDefault="00EC6011" w:rsidP="00EC6011">
            <w:pPr>
              <w:rPr>
                <w:rFonts w:ascii="Arial" w:hAnsi="Arial" w:cs="Arial"/>
              </w:rPr>
            </w:pPr>
            <w:r w:rsidRPr="008638CB">
              <w:rPr>
                <w:rFonts w:ascii="Arial" w:hAnsi="Arial" w:cs="Arial"/>
                <w:sz w:val="22"/>
                <w:szCs w:val="22"/>
              </w:rPr>
              <w:t>July 2022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A26606D" w14:textId="77777777" w:rsidR="00EC6011" w:rsidRPr="008638CB" w:rsidRDefault="00EC6011" w:rsidP="00EC6011">
            <w:pPr>
              <w:rPr>
                <w:rFonts w:ascii="Arial" w:hAnsi="Arial" w:cs="Arial"/>
              </w:rPr>
            </w:pPr>
            <w:r w:rsidRPr="008638CB">
              <w:rPr>
                <w:rFonts w:ascii="Arial" w:hAnsi="Arial" w:cs="Arial"/>
                <w:sz w:val="22"/>
                <w:szCs w:val="22"/>
              </w:rPr>
              <w:t>NES</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14:paraId="2D4E4204" w14:textId="77777777" w:rsidR="00EC6011" w:rsidRPr="008638CB" w:rsidRDefault="00EC6011" w:rsidP="00EC6011">
            <w:pPr>
              <w:rPr>
                <w:rFonts w:ascii="Arial" w:hAnsi="Arial" w:cs="Arial"/>
              </w:rPr>
            </w:pPr>
            <w:r w:rsidRPr="008638CB">
              <w:rPr>
                <w:rFonts w:ascii="Arial" w:hAnsi="Arial" w:cs="Arial"/>
                <w:sz w:val="22"/>
                <w:szCs w:val="22"/>
              </w:rPr>
              <w:t>Allergic reaction to Midazolam</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E475637" w14:textId="77777777" w:rsidR="00EC6011" w:rsidRPr="008638CB" w:rsidRDefault="00EC6011" w:rsidP="00EC6011">
            <w:pPr>
              <w:rPr>
                <w:rFonts w:ascii="Arial" w:hAnsi="Arial" w:cs="Arial"/>
              </w:rPr>
            </w:pPr>
            <w:r w:rsidRPr="008638CB">
              <w:rPr>
                <w:rFonts w:ascii="Arial" w:hAnsi="Arial" w:cs="Arial"/>
                <w:sz w:val="22"/>
                <w:szCs w:val="22"/>
              </w:rPr>
              <w:t>Completed in May 2023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1C34FC1" w14:textId="77777777" w:rsidR="00EC6011" w:rsidRPr="008638CB" w:rsidRDefault="00EC6011" w:rsidP="008638CB">
            <w:pPr>
              <w:jc w:val="center"/>
              <w:rPr>
                <w:rFonts w:ascii="Arial" w:hAnsi="Arial" w:cs="Arial"/>
              </w:rPr>
            </w:pPr>
            <w:r w:rsidRPr="008638CB">
              <w:rPr>
                <w:rFonts w:ascii="Arial" w:hAnsi="Arial" w:cs="Arial"/>
                <w:sz w:val="22"/>
                <w:szCs w:val="22"/>
              </w:rPr>
              <w:t>3</w:t>
            </w:r>
          </w:p>
        </w:tc>
        <w:tc>
          <w:tcPr>
            <w:tcW w:w="2977" w:type="dxa"/>
            <w:tcBorders>
              <w:top w:val="single" w:sz="4" w:space="0" w:color="000000"/>
              <w:left w:val="nil"/>
              <w:bottom w:val="single" w:sz="4" w:space="0" w:color="000000"/>
              <w:right w:val="nil"/>
            </w:tcBorders>
            <w:shd w:val="clear" w:color="auto" w:fill="auto"/>
            <w:vAlign w:val="center"/>
            <w:hideMark/>
          </w:tcPr>
          <w:p w14:paraId="65CA75AD" w14:textId="22172101" w:rsidR="00EC6011" w:rsidRPr="007A49FD" w:rsidRDefault="007A49FD" w:rsidP="007A49FD">
            <w:pPr>
              <w:pStyle w:val="ListParagraph"/>
              <w:numPr>
                <w:ilvl w:val="0"/>
                <w:numId w:val="14"/>
              </w:numPr>
              <w:ind w:left="322"/>
              <w:rPr>
                <w:rFonts w:ascii="Arial" w:hAnsi="Arial" w:cs="Arial"/>
              </w:rPr>
            </w:pPr>
            <w:r w:rsidRPr="007A49FD">
              <w:rPr>
                <w:rFonts w:ascii="Arial" w:hAnsi="Arial" w:cs="Arial"/>
              </w:rPr>
              <w:t>Clear communication between relevant groups of staff administering medication and caring for patients in the pre-op area</w:t>
            </w:r>
          </w:p>
          <w:p w14:paraId="4A91ADDB" w14:textId="609F5F7B" w:rsidR="007A49FD" w:rsidRPr="007A49FD" w:rsidRDefault="007A49FD" w:rsidP="007A49FD">
            <w:pPr>
              <w:pStyle w:val="ListParagraph"/>
              <w:numPr>
                <w:ilvl w:val="0"/>
                <w:numId w:val="14"/>
              </w:numPr>
              <w:ind w:left="322"/>
              <w:rPr>
                <w:rFonts w:ascii="Arial" w:hAnsi="Arial" w:cs="Arial"/>
              </w:rPr>
            </w:pPr>
            <w:r w:rsidRPr="007A49FD">
              <w:rPr>
                <w:rFonts w:ascii="Arial" w:hAnsi="Arial" w:cs="Arial"/>
              </w:rPr>
              <w:t xml:space="preserve">Reinstatement of the emergency buzzer system within the PACU area. Ensure the necessary drugs available in the </w:t>
            </w:r>
            <w:r w:rsidR="00EB5ADC" w:rsidRPr="007A49FD">
              <w:rPr>
                <w:rFonts w:ascii="Arial" w:hAnsi="Arial" w:cs="Arial"/>
              </w:rPr>
              <w:t>pre-operative</w:t>
            </w:r>
            <w:r w:rsidRPr="007A49FD">
              <w:rPr>
                <w:rFonts w:ascii="Arial" w:hAnsi="Arial" w:cs="Arial"/>
              </w:rPr>
              <w:t xml:space="preserve"> area  </w:t>
            </w:r>
          </w:p>
          <w:p w14:paraId="3CD75570" w14:textId="1DA584FE" w:rsidR="007A49FD" w:rsidRPr="007A49FD" w:rsidRDefault="007A49FD" w:rsidP="007A49FD">
            <w:pPr>
              <w:pStyle w:val="ListParagraph"/>
              <w:numPr>
                <w:ilvl w:val="0"/>
                <w:numId w:val="14"/>
              </w:numPr>
              <w:ind w:left="322"/>
              <w:rPr>
                <w:rFonts w:ascii="Arial" w:hAnsi="Arial" w:cs="Arial"/>
              </w:rPr>
            </w:pPr>
            <w:r w:rsidRPr="007A49FD">
              <w:rPr>
                <w:rFonts w:ascii="Arial" w:hAnsi="Arial" w:cs="Arial"/>
              </w:rPr>
              <w:t xml:space="preserve">SLWG to be set up </w:t>
            </w:r>
            <w:r w:rsidR="00EB5ADC" w:rsidRPr="007A49FD">
              <w:rPr>
                <w:rFonts w:ascii="Arial" w:hAnsi="Arial" w:cs="Arial"/>
              </w:rPr>
              <w:t>a review the</w:t>
            </w:r>
            <w:r w:rsidRPr="007A49FD">
              <w:rPr>
                <w:rFonts w:ascii="Arial" w:hAnsi="Arial" w:cs="Arial"/>
              </w:rPr>
              <w:t xml:space="preserve"> safe sedation policy within the perioperative area.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779E" w14:textId="6E9B7580" w:rsidR="00EC6011" w:rsidRPr="008638CB" w:rsidRDefault="00EC6011" w:rsidP="00EC6011">
            <w:pPr>
              <w:rPr>
                <w:rFonts w:ascii="Arial" w:hAnsi="Arial" w:cs="Arial"/>
              </w:rPr>
            </w:pPr>
            <w:r w:rsidRPr="008638CB">
              <w:rPr>
                <w:rFonts w:ascii="Arial" w:hAnsi="Arial" w:cs="Arial"/>
                <w:sz w:val="22"/>
                <w:szCs w:val="22"/>
              </w:rPr>
              <w:t> </w:t>
            </w:r>
            <w:r w:rsidR="007A49FD">
              <w:rPr>
                <w:rFonts w:ascii="Arial" w:hAnsi="Arial" w:cs="Arial"/>
                <w:sz w:val="22"/>
                <w:szCs w:val="22"/>
              </w:rPr>
              <w:t>Partially complete</w:t>
            </w:r>
          </w:p>
        </w:tc>
      </w:tr>
    </w:tbl>
    <w:p w14:paraId="01A1968B" w14:textId="77777777" w:rsidR="001B0E26" w:rsidRDefault="001B0E26" w:rsidP="001B0E26"/>
    <w:sectPr w:rsidR="001B0E26" w:rsidSect="008067E0">
      <w:pgSz w:w="16838" w:h="11906" w:orient="landscape"/>
      <w:pgMar w:top="851" w:right="1440" w:bottom="70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B32B" w14:textId="77777777" w:rsidR="00FC3925" w:rsidRDefault="00FC3925" w:rsidP="00944495">
      <w:r>
        <w:separator/>
      </w:r>
    </w:p>
  </w:endnote>
  <w:endnote w:type="continuationSeparator" w:id="0">
    <w:p w14:paraId="42C33C0E" w14:textId="77777777" w:rsidR="00FC3925" w:rsidRDefault="00FC3925" w:rsidP="009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A9F92" w14:textId="77777777" w:rsidR="00FC3925" w:rsidRDefault="00FC3925" w:rsidP="00944495">
      <w:r>
        <w:separator/>
      </w:r>
    </w:p>
  </w:footnote>
  <w:footnote w:type="continuationSeparator" w:id="0">
    <w:p w14:paraId="6938C7C3" w14:textId="77777777" w:rsidR="00FC3925" w:rsidRDefault="00FC3925" w:rsidP="0094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FA8C" w14:textId="61B5E9A1" w:rsidR="002340DE" w:rsidRDefault="00290C08">
    <w:pPr>
      <w:pStyle w:val="Header"/>
    </w:pPr>
    <w:r>
      <w:tab/>
    </w:r>
    <w:r>
      <w:tab/>
    </w:r>
    <w:r>
      <w:tab/>
      <w:t>Item 4.4</w:t>
    </w:r>
  </w:p>
  <w:p w14:paraId="32BBC26F" w14:textId="77777777" w:rsidR="002340DE" w:rsidRDefault="00234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479"/>
    <w:multiLevelType w:val="hybridMultilevel"/>
    <w:tmpl w:val="77C6835A"/>
    <w:lvl w:ilvl="0" w:tplc="A31881F8">
      <w:start w:val="1"/>
      <w:numFmt w:val="bullet"/>
      <w:lvlText w:val=""/>
      <w:lvlJc w:val="left"/>
      <w:pPr>
        <w:tabs>
          <w:tab w:val="num" w:pos="720"/>
        </w:tabs>
        <w:ind w:left="720" w:hanging="360"/>
      </w:pPr>
      <w:rPr>
        <w:rFonts w:ascii="Wingdings" w:hAnsi="Wingdings" w:hint="default"/>
      </w:rPr>
    </w:lvl>
    <w:lvl w:ilvl="1" w:tplc="98C2C494" w:tentative="1">
      <w:start w:val="1"/>
      <w:numFmt w:val="bullet"/>
      <w:lvlText w:val=""/>
      <w:lvlJc w:val="left"/>
      <w:pPr>
        <w:tabs>
          <w:tab w:val="num" w:pos="1440"/>
        </w:tabs>
        <w:ind w:left="1440" w:hanging="360"/>
      </w:pPr>
      <w:rPr>
        <w:rFonts w:ascii="Wingdings" w:hAnsi="Wingdings" w:hint="default"/>
      </w:rPr>
    </w:lvl>
    <w:lvl w:ilvl="2" w:tplc="17D48002" w:tentative="1">
      <w:start w:val="1"/>
      <w:numFmt w:val="bullet"/>
      <w:lvlText w:val=""/>
      <w:lvlJc w:val="left"/>
      <w:pPr>
        <w:tabs>
          <w:tab w:val="num" w:pos="2160"/>
        </w:tabs>
        <w:ind w:left="2160" w:hanging="360"/>
      </w:pPr>
      <w:rPr>
        <w:rFonts w:ascii="Wingdings" w:hAnsi="Wingdings" w:hint="default"/>
      </w:rPr>
    </w:lvl>
    <w:lvl w:ilvl="3" w:tplc="3056AA1E" w:tentative="1">
      <w:start w:val="1"/>
      <w:numFmt w:val="bullet"/>
      <w:lvlText w:val=""/>
      <w:lvlJc w:val="left"/>
      <w:pPr>
        <w:tabs>
          <w:tab w:val="num" w:pos="2880"/>
        </w:tabs>
        <w:ind w:left="2880" w:hanging="360"/>
      </w:pPr>
      <w:rPr>
        <w:rFonts w:ascii="Wingdings" w:hAnsi="Wingdings" w:hint="default"/>
      </w:rPr>
    </w:lvl>
    <w:lvl w:ilvl="4" w:tplc="ACEA210E" w:tentative="1">
      <w:start w:val="1"/>
      <w:numFmt w:val="bullet"/>
      <w:lvlText w:val=""/>
      <w:lvlJc w:val="left"/>
      <w:pPr>
        <w:tabs>
          <w:tab w:val="num" w:pos="3600"/>
        </w:tabs>
        <w:ind w:left="3600" w:hanging="360"/>
      </w:pPr>
      <w:rPr>
        <w:rFonts w:ascii="Wingdings" w:hAnsi="Wingdings" w:hint="default"/>
      </w:rPr>
    </w:lvl>
    <w:lvl w:ilvl="5" w:tplc="91ACFC84" w:tentative="1">
      <w:start w:val="1"/>
      <w:numFmt w:val="bullet"/>
      <w:lvlText w:val=""/>
      <w:lvlJc w:val="left"/>
      <w:pPr>
        <w:tabs>
          <w:tab w:val="num" w:pos="4320"/>
        </w:tabs>
        <w:ind w:left="4320" w:hanging="360"/>
      </w:pPr>
      <w:rPr>
        <w:rFonts w:ascii="Wingdings" w:hAnsi="Wingdings" w:hint="default"/>
      </w:rPr>
    </w:lvl>
    <w:lvl w:ilvl="6" w:tplc="D660BD0E" w:tentative="1">
      <w:start w:val="1"/>
      <w:numFmt w:val="bullet"/>
      <w:lvlText w:val=""/>
      <w:lvlJc w:val="left"/>
      <w:pPr>
        <w:tabs>
          <w:tab w:val="num" w:pos="5040"/>
        </w:tabs>
        <w:ind w:left="5040" w:hanging="360"/>
      </w:pPr>
      <w:rPr>
        <w:rFonts w:ascii="Wingdings" w:hAnsi="Wingdings" w:hint="default"/>
      </w:rPr>
    </w:lvl>
    <w:lvl w:ilvl="7" w:tplc="4A2A8322" w:tentative="1">
      <w:start w:val="1"/>
      <w:numFmt w:val="bullet"/>
      <w:lvlText w:val=""/>
      <w:lvlJc w:val="left"/>
      <w:pPr>
        <w:tabs>
          <w:tab w:val="num" w:pos="5760"/>
        </w:tabs>
        <w:ind w:left="5760" w:hanging="360"/>
      </w:pPr>
      <w:rPr>
        <w:rFonts w:ascii="Wingdings" w:hAnsi="Wingdings" w:hint="default"/>
      </w:rPr>
    </w:lvl>
    <w:lvl w:ilvl="8" w:tplc="3468F0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015CA"/>
    <w:multiLevelType w:val="hybridMultilevel"/>
    <w:tmpl w:val="F84AC8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3F07C0"/>
    <w:multiLevelType w:val="hybridMultilevel"/>
    <w:tmpl w:val="9E6C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361E9"/>
    <w:multiLevelType w:val="hybridMultilevel"/>
    <w:tmpl w:val="940AB946"/>
    <w:lvl w:ilvl="0" w:tplc="42C280F6">
      <w:start w:val="1"/>
      <w:numFmt w:val="decimal"/>
      <w:lvlText w:val="%1."/>
      <w:lvlJc w:val="left"/>
      <w:pPr>
        <w:ind w:left="502"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A44A66"/>
    <w:multiLevelType w:val="hybridMultilevel"/>
    <w:tmpl w:val="D7AEBB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305A8D"/>
    <w:multiLevelType w:val="hybridMultilevel"/>
    <w:tmpl w:val="9800B17C"/>
    <w:lvl w:ilvl="0" w:tplc="870C66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10B7B"/>
    <w:multiLevelType w:val="hybridMultilevel"/>
    <w:tmpl w:val="3B92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B0D09"/>
    <w:multiLevelType w:val="hybridMultilevel"/>
    <w:tmpl w:val="8B1AF4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2CB0171"/>
    <w:multiLevelType w:val="hybridMultilevel"/>
    <w:tmpl w:val="F418D626"/>
    <w:lvl w:ilvl="0" w:tplc="1E003780">
      <w:start w:val="1"/>
      <w:numFmt w:val="decimal"/>
      <w:lvlText w:val="%1."/>
      <w:lvlJc w:val="left"/>
      <w:pPr>
        <w:ind w:left="72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C4BB9"/>
    <w:multiLevelType w:val="hybridMultilevel"/>
    <w:tmpl w:val="700C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774A9"/>
    <w:multiLevelType w:val="hybridMultilevel"/>
    <w:tmpl w:val="78BE99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E4E2C2D"/>
    <w:multiLevelType w:val="multilevel"/>
    <w:tmpl w:val="EBEC560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9" w15:restartNumberingAfterBreak="0">
    <w:nsid w:val="68CE61D2"/>
    <w:multiLevelType w:val="hybridMultilevel"/>
    <w:tmpl w:val="0E9A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0299C"/>
    <w:multiLevelType w:val="hybridMultilevel"/>
    <w:tmpl w:val="1BF6FB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1A0CFE"/>
    <w:multiLevelType w:val="hybridMultilevel"/>
    <w:tmpl w:val="3156FE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7B1514C2"/>
    <w:multiLevelType w:val="hybridMultilevel"/>
    <w:tmpl w:val="F788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
  </w:num>
  <w:num w:numId="4">
    <w:abstractNumId w:val="7"/>
  </w:num>
  <w:num w:numId="5">
    <w:abstractNumId w:val="19"/>
  </w:num>
  <w:num w:numId="6">
    <w:abstractNumId w:val="3"/>
  </w:num>
  <w:num w:numId="7">
    <w:abstractNumId w:val="0"/>
  </w:num>
  <w:num w:numId="8">
    <w:abstractNumId w:val="9"/>
  </w:num>
  <w:num w:numId="9">
    <w:abstractNumId w:val="15"/>
  </w:num>
  <w:num w:numId="10">
    <w:abstractNumId w:val="4"/>
  </w:num>
  <w:num w:numId="11">
    <w:abstractNumId w:val="16"/>
  </w:num>
  <w:num w:numId="12">
    <w:abstractNumId w:val="20"/>
  </w:num>
  <w:num w:numId="13">
    <w:abstractNumId w:val="1"/>
  </w:num>
  <w:num w:numId="14">
    <w:abstractNumId w:val="10"/>
  </w:num>
  <w:num w:numId="15">
    <w:abstractNumId w:val="23"/>
  </w:num>
  <w:num w:numId="16">
    <w:abstractNumId w:val="18"/>
  </w:num>
  <w:num w:numId="17">
    <w:abstractNumId w:val="11"/>
  </w:num>
  <w:num w:numId="18">
    <w:abstractNumId w:val="5"/>
  </w:num>
  <w:num w:numId="19">
    <w:abstractNumId w:val="14"/>
  </w:num>
  <w:num w:numId="20">
    <w:abstractNumId w:val="6"/>
  </w:num>
  <w:num w:numId="21">
    <w:abstractNumId w:val="12"/>
  </w:num>
  <w:num w:numId="22">
    <w:abstractNumId w:val="22"/>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B0E26"/>
    <w:rsid w:val="0000254B"/>
    <w:rsid w:val="000067F3"/>
    <w:rsid w:val="0000708D"/>
    <w:rsid w:val="00007978"/>
    <w:rsid w:val="00011F72"/>
    <w:rsid w:val="00017D25"/>
    <w:rsid w:val="000237FE"/>
    <w:rsid w:val="00023E55"/>
    <w:rsid w:val="0002597D"/>
    <w:rsid w:val="00025CDD"/>
    <w:rsid w:val="00026CA0"/>
    <w:rsid w:val="00030D64"/>
    <w:rsid w:val="0003218D"/>
    <w:rsid w:val="00032AD1"/>
    <w:rsid w:val="00033F25"/>
    <w:rsid w:val="00043AEE"/>
    <w:rsid w:val="00046B19"/>
    <w:rsid w:val="00052465"/>
    <w:rsid w:val="00052764"/>
    <w:rsid w:val="000544E9"/>
    <w:rsid w:val="00054F72"/>
    <w:rsid w:val="000609AF"/>
    <w:rsid w:val="00063F0B"/>
    <w:rsid w:val="00064EFF"/>
    <w:rsid w:val="000657C2"/>
    <w:rsid w:val="000659E1"/>
    <w:rsid w:val="0007061D"/>
    <w:rsid w:val="00070F1C"/>
    <w:rsid w:val="00071ED8"/>
    <w:rsid w:val="00073055"/>
    <w:rsid w:val="000765BD"/>
    <w:rsid w:val="00077802"/>
    <w:rsid w:val="00077D72"/>
    <w:rsid w:val="000811A3"/>
    <w:rsid w:val="0008506E"/>
    <w:rsid w:val="00086813"/>
    <w:rsid w:val="000872D5"/>
    <w:rsid w:val="0008784C"/>
    <w:rsid w:val="000924AD"/>
    <w:rsid w:val="00097AB2"/>
    <w:rsid w:val="000A2F0D"/>
    <w:rsid w:val="000A3DF5"/>
    <w:rsid w:val="000A45CA"/>
    <w:rsid w:val="000A4B73"/>
    <w:rsid w:val="000A5B0C"/>
    <w:rsid w:val="000A7872"/>
    <w:rsid w:val="000C19F7"/>
    <w:rsid w:val="000C1A1F"/>
    <w:rsid w:val="000C1B20"/>
    <w:rsid w:val="000D10E3"/>
    <w:rsid w:val="000D1B4D"/>
    <w:rsid w:val="000D7FDC"/>
    <w:rsid w:val="000E3E1C"/>
    <w:rsid w:val="000E42D8"/>
    <w:rsid w:val="000E554C"/>
    <w:rsid w:val="000E5FA6"/>
    <w:rsid w:val="000E6A56"/>
    <w:rsid w:val="000F029D"/>
    <w:rsid w:val="000F12E8"/>
    <w:rsid w:val="000F15F3"/>
    <w:rsid w:val="000F4D77"/>
    <w:rsid w:val="00101880"/>
    <w:rsid w:val="001053C9"/>
    <w:rsid w:val="00111AD5"/>
    <w:rsid w:val="00111BF6"/>
    <w:rsid w:val="00111CE2"/>
    <w:rsid w:val="001127A3"/>
    <w:rsid w:val="00113CA2"/>
    <w:rsid w:val="001156D6"/>
    <w:rsid w:val="00115FE5"/>
    <w:rsid w:val="00117CB9"/>
    <w:rsid w:val="00120903"/>
    <w:rsid w:val="00125148"/>
    <w:rsid w:val="00126249"/>
    <w:rsid w:val="00127DC2"/>
    <w:rsid w:val="00132729"/>
    <w:rsid w:val="00132931"/>
    <w:rsid w:val="001347E9"/>
    <w:rsid w:val="00142464"/>
    <w:rsid w:val="00142BAC"/>
    <w:rsid w:val="00145658"/>
    <w:rsid w:val="00145F26"/>
    <w:rsid w:val="001467B0"/>
    <w:rsid w:val="0015151D"/>
    <w:rsid w:val="001542C0"/>
    <w:rsid w:val="0015498D"/>
    <w:rsid w:val="00156491"/>
    <w:rsid w:val="001618F6"/>
    <w:rsid w:val="0016214A"/>
    <w:rsid w:val="00164081"/>
    <w:rsid w:val="001666CE"/>
    <w:rsid w:val="00170386"/>
    <w:rsid w:val="00171B82"/>
    <w:rsid w:val="00172537"/>
    <w:rsid w:val="0017368F"/>
    <w:rsid w:val="001744F0"/>
    <w:rsid w:val="00174F25"/>
    <w:rsid w:val="00175289"/>
    <w:rsid w:val="0017561A"/>
    <w:rsid w:val="00177572"/>
    <w:rsid w:val="00182DF9"/>
    <w:rsid w:val="001830EF"/>
    <w:rsid w:val="00183597"/>
    <w:rsid w:val="001904B6"/>
    <w:rsid w:val="001920EF"/>
    <w:rsid w:val="001926BE"/>
    <w:rsid w:val="00195621"/>
    <w:rsid w:val="001968E7"/>
    <w:rsid w:val="00196D78"/>
    <w:rsid w:val="001A2875"/>
    <w:rsid w:val="001A2950"/>
    <w:rsid w:val="001A530D"/>
    <w:rsid w:val="001B0E26"/>
    <w:rsid w:val="001B1977"/>
    <w:rsid w:val="001B1DC6"/>
    <w:rsid w:val="001C1CAC"/>
    <w:rsid w:val="001C2C73"/>
    <w:rsid w:val="001C3B8E"/>
    <w:rsid w:val="001C53C0"/>
    <w:rsid w:val="001C6C19"/>
    <w:rsid w:val="001D3A85"/>
    <w:rsid w:val="001D6422"/>
    <w:rsid w:val="001D6906"/>
    <w:rsid w:val="001D691E"/>
    <w:rsid w:val="001E33C2"/>
    <w:rsid w:val="001F691A"/>
    <w:rsid w:val="001F6DD9"/>
    <w:rsid w:val="001F74E3"/>
    <w:rsid w:val="001F7697"/>
    <w:rsid w:val="00204349"/>
    <w:rsid w:val="00205D9F"/>
    <w:rsid w:val="00205FFA"/>
    <w:rsid w:val="00206EAB"/>
    <w:rsid w:val="00210CA6"/>
    <w:rsid w:val="00211F7D"/>
    <w:rsid w:val="00212666"/>
    <w:rsid w:val="0021458B"/>
    <w:rsid w:val="00214B66"/>
    <w:rsid w:val="00221906"/>
    <w:rsid w:val="00221C50"/>
    <w:rsid w:val="002236B7"/>
    <w:rsid w:val="00223905"/>
    <w:rsid w:val="002248B2"/>
    <w:rsid w:val="00227B06"/>
    <w:rsid w:val="002314F8"/>
    <w:rsid w:val="00232928"/>
    <w:rsid w:val="00232D28"/>
    <w:rsid w:val="00234040"/>
    <w:rsid w:val="002340DE"/>
    <w:rsid w:val="0023588B"/>
    <w:rsid w:val="002362A5"/>
    <w:rsid w:val="00247A1C"/>
    <w:rsid w:val="002531B7"/>
    <w:rsid w:val="002532C0"/>
    <w:rsid w:val="00253FDF"/>
    <w:rsid w:val="00257326"/>
    <w:rsid w:val="00260C20"/>
    <w:rsid w:val="002615AC"/>
    <w:rsid w:val="0027095C"/>
    <w:rsid w:val="00271260"/>
    <w:rsid w:val="00271314"/>
    <w:rsid w:val="002717A0"/>
    <w:rsid w:val="0027639B"/>
    <w:rsid w:val="0027697F"/>
    <w:rsid w:val="00277652"/>
    <w:rsid w:val="00277998"/>
    <w:rsid w:val="00280752"/>
    <w:rsid w:val="0028134F"/>
    <w:rsid w:val="002828D7"/>
    <w:rsid w:val="00287885"/>
    <w:rsid w:val="00290C08"/>
    <w:rsid w:val="00291D38"/>
    <w:rsid w:val="00294461"/>
    <w:rsid w:val="00294AD7"/>
    <w:rsid w:val="00297BF4"/>
    <w:rsid w:val="002A14BD"/>
    <w:rsid w:val="002A4EF5"/>
    <w:rsid w:val="002A6915"/>
    <w:rsid w:val="002A7FDD"/>
    <w:rsid w:val="002B007B"/>
    <w:rsid w:val="002B3629"/>
    <w:rsid w:val="002B472C"/>
    <w:rsid w:val="002B5AA0"/>
    <w:rsid w:val="002B6097"/>
    <w:rsid w:val="002C1BC6"/>
    <w:rsid w:val="002C21C5"/>
    <w:rsid w:val="002C39FC"/>
    <w:rsid w:val="002C3CFA"/>
    <w:rsid w:val="002C54FA"/>
    <w:rsid w:val="002C5F9D"/>
    <w:rsid w:val="002C6013"/>
    <w:rsid w:val="002C70A9"/>
    <w:rsid w:val="002D0486"/>
    <w:rsid w:val="002D5A34"/>
    <w:rsid w:val="002D7D0D"/>
    <w:rsid w:val="002D7E51"/>
    <w:rsid w:val="002E0195"/>
    <w:rsid w:val="002E144F"/>
    <w:rsid w:val="002E156E"/>
    <w:rsid w:val="002E4654"/>
    <w:rsid w:val="002E6811"/>
    <w:rsid w:val="002F0503"/>
    <w:rsid w:val="002F3BF1"/>
    <w:rsid w:val="002F6FA3"/>
    <w:rsid w:val="0030306A"/>
    <w:rsid w:val="00304A3C"/>
    <w:rsid w:val="0031477F"/>
    <w:rsid w:val="00317076"/>
    <w:rsid w:val="00320CBB"/>
    <w:rsid w:val="00321C6B"/>
    <w:rsid w:val="00322066"/>
    <w:rsid w:val="00324D36"/>
    <w:rsid w:val="003254C5"/>
    <w:rsid w:val="003260C8"/>
    <w:rsid w:val="00330BA9"/>
    <w:rsid w:val="003313BE"/>
    <w:rsid w:val="00335378"/>
    <w:rsid w:val="0033765A"/>
    <w:rsid w:val="00340587"/>
    <w:rsid w:val="00340D26"/>
    <w:rsid w:val="00341BA2"/>
    <w:rsid w:val="00345681"/>
    <w:rsid w:val="0034708F"/>
    <w:rsid w:val="00347573"/>
    <w:rsid w:val="00347DD7"/>
    <w:rsid w:val="003507F2"/>
    <w:rsid w:val="00350E7B"/>
    <w:rsid w:val="003511AD"/>
    <w:rsid w:val="00352AD8"/>
    <w:rsid w:val="00353535"/>
    <w:rsid w:val="00357557"/>
    <w:rsid w:val="00360E7E"/>
    <w:rsid w:val="00361061"/>
    <w:rsid w:val="00363EDA"/>
    <w:rsid w:val="003661B9"/>
    <w:rsid w:val="0036627F"/>
    <w:rsid w:val="0036732C"/>
    <w:rsid w:val="00367593"/>
    <w:rsid w:val="00367B94"/>
    <w:rsid w:val="00371106"/>
    <w:rsid w:val="003729B9"/>
    <w:rsid w:val="00372B4E"/>
    <w:rsid w:val="0037313D"/>
    <w:rsid w:val="003751C3"/>
    <w:rsid w:val="00380A22"/>
    <w:rsid w:val="00380C5E"/>
    <w:rsid w:val="003815ED"/>
    <w:rsid w:val="00381F7A"/>
    <w:rsid w:val="00382151"/>
    <w:rsid w:val="003857CB"/>
    <w:rsid w:val="00385C92"/>
    <w:rsid w:val="00386CF5"/>
    <w:rsid w:val="00393516"/>
    <w:rsid w:val="00394814"/>
    <w:rsid w:val="00394AD4"/>
    <w:rsid w:val="00394C06"/>
    <w:rsid w:val="00395407"/>
    <w:rsid w:val="003956D7"/>
    <w:rsid w:val="003A0B5F"/>
    <w:rsid w:val="003A400B"/>
    <w:rsid w:val="003A5528"/>
    <w:rsid w:val="003B0192"/>
    <w:rsid w:val="003B3B14"/>
    <w:rsid w:val="003B444F"/>
    <w:rsid w:val="003C0192"/>
    <w:rsid w:val="003C15FE"/>
    <w:rsid w:val="003C2CBD"/>
    <w:rsid w:val="003C64A7"/>
    <w:rsid w:val="003C6C1F"/>
    <w:rsid w:val="003D24B9"/>
    <w:rsid w:val="003D2FD6"/>
    <w:rsid w:val="003D3C93"/>
    <w:rsid w:val="003D43E7"/>
    <w:rsid w:val="003E187D"/>
    <w:rsid w:val="003E37FC"/>
    <w:rsid w:val="003E40B1"/>
    <w:rsid w:val="003F353D"/>
    <w:rsid w:val="003F5BE3"/>
    <w:rsid w:val="00402729"/>
    <w:rsid w:val="00404FC2"/>
    <w:rsid w:val="00405951"/>
    <w:rsid w:val="00405DEC"/>
    <w:rsid w:val="00407937"/>
    <w:rsid w:val="00412A97"/>
    <w:rsid w:val="004133F4"/>
    <w:rsid w:val="0041510F"/>
    <w:rsid w:val="0041563A"/>
    <w:rsid w:val="0041651C"/>
    <w:rsid w:val="00417328"/>
    <w:rsid w:val="00420514"/>
    <w:rsid w:val="00420B8A"/>
    <w:rsid w:val="00421CBA"/>
    <w:rsid w:val="00422082"/>
    <w:rsid w:val="0042218C"/>
    <w:rsid w:val="00426C99"/>
    <w:rsid w:val="00430144"/>
    <w:rsid w:val="00431F9D"/>
    <w:rsid w:val="00433EE5"/>
    <w:rsid w:val="0044117E"/>
    <w:rsid w:val="0044126A"/>
    <w:rsid w:val="00441CDE"/>
    <w:rsid w:val="00445A0C"/>
    <w:rsid w:val="00445CB1"/>
    <w:rsid w:val="00445FB2"/>
    <w:rsid w:val="00450FC6"/>
    <w:rsid w:val="00451536"/>
    <w:rsid w:val="0045325F"/>
    <w:rsid w:val="004548A8"/>
    <w:rsid w:val="00460369"/>
    <w:rsid w:val="00461FBC"/>
    <w:rsid w:val="004734C7"/>
    <w:rsid w:val="00473D1A"/>
    <w:rsid w:val="00475151"/>
    <w:rsid w:val="0047617A"/>
    <w:rsid w:val="00476DE9"/>
    <w:rsid w:val="004773AC"/>
    <w:rsid w:val="00477E19"/>
    <w:rsid w:val="004800D4"/>
    <w:rsid w:val="004824C9"/>
    <w:rsid w:val="00483943"/>
    <w:rsid w:val="00490427"/>
    <w:rsid w:val="00495B77"/>
    <w:rsid w:val="0049665A"/>
    <w:rsid w:val="004A12F9"/>
    <w:rsid w:val="004A22EF"/>
    <w:rsid w:val="004A3D85"/>
    <w:rsid w:val="004A5686"/>
    <w:rsid w:val="004B094A"/>
    <w:rsid w:val="004B106F"/>
    <w:rsid w:val="004B10CF"/>
    <w:rsid w:val="004B4043"/>
    <w:rsid w:val="004B4B38"/>
    <w:rsid w:val="004B65EF"/>
    <w:rsid w:val="004B6CB3"/>
    <w:rsid w:val="004B7C05"/>
    <w:rsid w:val="004C4644"/>
    <w:rsid w:val="004C6D50"/>
    <w:rsid w:val="004D06A0"/>
    <w:rsid w:val="004D1DFF"/>
    <w:rsid w:val="004D248B"/>
    <w:rsid w:val="004D4908"/>
    <w:rsid w:val="004D72ED"/>
    <w:rsid w:val="004D7511"/>
    <w:rsid w:val="004F2A4E"/>
    <w:rsid w:val="004F3195"/>
    <w:rsid w:val="004F376E"/>
    <w:rsid w:val="004F4A15"/>
    <w:rsid w:val="005024F4"/>
    <w:rsid w:val="005039B5"/>
    <w:rsid w:val="00503B03"/>
    <w:rsid w:val="00503D03"/>
    <w:rsid w:val="00507942"/>
    <w:rsid w:val="00510F9F"/>
    <w:rsid w:val="00512A50"/>
    <w:rsid w:val="00515097"/>
    <w:rsid w:val="00520225"/>
    <w:rsid w:val="0052040A"/>
    <w:rsid w:val="0052126D"/>
    <w:rsid w:val="00527241"/>
    <w:rsid w:val="0053409F"/>
    <w:rsid w:val="0053448A"/>
    <w:rsid w:val="00534D7C"/>
    <w:rsid w:val="0053562A"/>
    <w:rsid w:val="00536026"/>
    <w:rsid w:val="005372D6"/>
    <w:rsid w:val="0054118C"/>
    <w:rsid w:val="005411D6"/>
    <w:rsid w:val="00543BF7"/>
    <w:rsid w:val="005456ED"/>
    <w:rsid w:val="005478AD"/>
    <w:rsid w:val="00550B03"/>
    <w:rsid w:val="00551B9B"/>
    <w:rsid w:val="005525D9"/>
    <w:rsid w:val="00553021"/>
    <w:rsid w:val="0055593D"/>
    <w:rsid w:val="00556EAD"/>
    <w:rsid w:val="0055789F"/>
    <w:rsid w:val="0056089C"/>
    <w:rsid w:val="00561FD2"/>
    <w:rsid w:val="00565197"/>
    <w:rsid w:val="00571296"/>
    <w:rsid w:val="00572A39"/>
    <w:rsid w:val="0058085A"/>
    <w:rsid w:val="00581F9B"/>
    <w:rsid w:val="0058414B"/>
    <w:rsid w:val="0058523D"/>
    <w:rsid w:val="00586B04"/>
    <w:rsid w:val="0059153B"/>
    <w:rsid w:val="00592B02"/>
    <w:rsid w:val="00594C5D"/>
    <w:rsid w:val="00594E84"/>
    <w:rsid w:val="005A1096"/>
    <w:rsid w:val="005A1B6D"/>
    <w:rsid w:val="005A26B7"/>
    <w:rsid w:val="005A26D3"/>
    <w:rsid w:val="005A2A44"/>
    <w:rsid w:val="005A321A"/>
    <w:rsid w:val="005A50F4"/>
    <w:rsid w:val="005A72A4"/>
    <w:rsid w:val="005B12D6"/>
    <w:rsid w:val="005B370C"/>
    <w:rsid w:val="005B3D3B"/>
    <w:rsid w:val="005B4399"/>
    <w:rsid w:val="005B5ABA"/>
    <w:rsid w:val="005B7D78"/>
    <w:rsid w:val="005C0BF9"/>
    <w:rsid w:val="005C23D1"/>
    <w:rsid w:val="005C25A7"/>
    <w:rsid w:val="005C5131"/>
    <w:rsid w:val="005C5BBD"/>
    <w:rsid w:val="005D004E"/>
    <w:rsid w:val="005D10D7"/>
    <w:rsid w:val="005D7F74"/>
    <w:rsid w:val="005E3F82"/>
    <w:rsid w:val="005E4842"/>
    <w:rsid w:val="005E5966"/>
    <w:rsid w:val="005F387C"/>
    <w:rsid w:val="005F394E"/>
    <w:rsid w:val="005F3B6B"/>
    <w:rsid w:val="005F3BAB"/>
    <w:rsid w:val="005F4A26"/>
    <w:rsid w:val="005F65D3"/>
    <w:rsid w:val="0060099C"/>
    <w:rsid w:val="006013EA"/>
    <w:rsid w:val="006031C3"/>
    <w:rsid w:val="00605DF8"/>
    <w:rsid w:val="00612D40"/>
    <w:rsid w:val="00612F01"/>
    <w:rsid w:val="00614820"/>
    <w:rsid w:val="0061514C"/>
    <w:rsid w:val="0062100D"/>
    <w:rsid w:val="00623732"/>
    <w:rsid w:val="00624AE2"/>
    <w:rsid w:val="00625997"/>
    <w:rsid w:val="00626344"/>
    <w:rsid w:val="006307E9"/>
    <w:rsid w:val="00632683"/>
    <w:rsid w:val="0063389D"/>
    <w:rsid w:val="006342E7"/>
    <w:rsid w:val="006346F4"/>
    <w:rsid w:val="00636A18"/>
    <w:rsid w:val="006403C4"/>
    <w:rsid w:val="00640710"/>
    <w:rsid w:val="00641C5F"/>
    <w:rsid w:val="00647288"/>
    <w:rsid w:val="00653953"/>
    <w:rsid w:val="00653B1B"/>
    <w:rsid w:val="00662F08"/>
    <w:rsid w:val="00663A84"/>
    <w:rsid w:val="006705A5"/>
    <w:rsid w:val="00670EDC"/>
    <w:rsid w:val="006718A8"/>
    <w:rsid w:val="006722AB"/>
    <w:rsid w:val="0067440F"/>
    <w:rsid w:val="006761A0"/>
    <w:rsid w:val="006762A0"/>
    <w:rsid w:val="00677A50"/>
    <w:rsid w:val="0068043B"/>
    <w:rsid w:val="00682A8F"/>
    <w:rsid w:val="00683060"/>
    <w:rsid w:val="006834DF"/>
    <w:rsid w:val="006840BC"/>
    <w:rsid w:val="00685596"/>
    <w:rsid w:val="006866BF"/>
    <w:rsid w:val="00687317"/>
    <w:rsid w:val="00690404"/>
    <w:rsid w:val="00693198"/>
    <w:rsid w:val="0069366B"/>
    <w:rsid w:val="006942B5"/>
    <w:rsid w:val="00695505"/>
    <w:rsid w:val="00696B22"/>
    <w:rsid w:val="006A042C"/>
    <w:rsid w:val="006A085B"/>
    <w:rsid w:val="006A1A05"/>
    <w:rsid w:val="006A3B96"/>
    <w:rsid w:val="006B01C6"/>
    <w:rsid w:val="006B01D8"/>
    <w:rsid w:val="006B1349"/>
    <w:rsid w:val="006B2E53"/>
    <w:rsid w:val="006B3331"/>
    <w:rsid w:val="006B6BC2"/>
    <w:rsid w:val="006C0B42"/>
    <w:rsid w:val="006C1F57"/>
    <w:rsid w:val="006C46EB"/>
    <w:rsid w:val="006D2567"/>
    <w:rsid w:val="006D4978"/>
    <w:rsid w:val="006D52CF"/>
    <w:rsid w:val="006D5C59"/>
    <w:rsid w:val="006D61D7"/>
    <w:rsid w:val="006D64C0"/>
    <w:rsid w:val="006E39E7"/>
    <w:rsid w:val="006E469D"/>
    <w:rsid w:val="006E5302"/>
    <w:rsid w:val="006E56DB"/>
    <w:rsid w:val="006F0444"/>
    <w:rsid w:val="0070241F"/>
    <w:rsid w:val="0070481F"/>
    <w:rsid w:val="00706C71"/>
    <w:rsid w:val="0070765C"/>
    <w:rsid w:val="007076BF"/>
    <w:rsid w:val="007077A8"/>
    <w:rsid w:val="0071435D"/>
    <w:rsid w:val="00717059"/>
    <w:rsid w:val="007227F7"/>
    <w:rsid w:val="00724867"/>
    <w:rsid w:val="007320ED"/>
    <w:rsid w:val="00732AEB"/>
    <w:rsid w:val="007403EC"/>
    <w:rsid w:val="00740538"/>
    <w:rsid w:val="0074106A"/>
    <w:rsid w:val="0074336B"/>
    <w:rsid w:val="00743D32"/>
    <w:rsid w:val="00744C23"/>
    <w:rsid w:val="00750183"/>
    <w:rsid w:val="007513F9"/>
    <w:rsid w:val="00751AD7"/>
    <w:rsid w:val="00751DB1"/>
    <w:rsid w:val="0075327B"/>
    <w:rsid w:val="007544FE"/>
    <w:rsid w:val="0075601F"/>
    <w:rsid w:val="007561D9"/>
    <w:rsid w:val="00756B07"/>
    <w:rsid w:val="007627F6"/>
    <w:rsid w:val="00763C74"/>
    <w:rsid w:val="00763CE1"/>
    <w:rsid w:val="0076605E"/>
    <w:rsid w:val="007671DA"/>
    <w:rsid w:val="00770703"/>
    <w:rsid w:val="00771D61"/>
    <w:rsid w:val="00771D9D"/>
    <w:rsid w:val="00776976"/>
    <w:rsid w:val="00777E33"/>
    <w:rsid w:val="00780CDB"/>
    <w:rsid w:val="0078285F"/>
    <w:rsid w:val="0078350C"/>
    <w:rsid w:val="00791F73"/>
    <w:rsid w:val="00794439"/>
    <w:rsid w:val="007951C4"/>
    <w:rsid w:val="007A05EF"/>
    <w:rsid w:val="007A49FD"/>
    <w:rsid w:val="007A521A"/>
    <w:rsid w:val="007A542C"/>
    <w:rsid w:val="007A63CF"/>
    <w:rsid w:val="007B1B4E"/>
    <w:rsid w:val="007B3E59"/>
    <w:rsid w:val="007B48CB"/>
    <w:rsid w:val="007B5349"/>
    <w:rsid w:val="007B615B"/>
    <w:rsid w:val="007C02A8"/>
    <w:rsid w:val="007C3362"/>
    <w:rsid w:val="007C6AA3"/>
    <w:rsid w:val="007C74F9"/>
    <w:rsid w:val="007D1595"/>
    <w:rsid w:val="007D3D2B"/>
    <w:rsid w:val="007D5389"/>
    <w:rsid w:val="007D58FC"/>
    <w:rsid w:val="007D785F"/>
    <w:rsid w:val="007E0175"/>
    <w:rsid w:val="007E11C2"/>
    <w:rsid w:val="007E1C4D"/>
    <w:rsid w:val="007E2179"/>
    <w:rsid w:val="007E355D"/>
    <w:rsid w:val="007E4DE9"/>
    <w:rsid w:val="007E4EF4"/>
    <w:rsid w:val="007E547E"/>
    <w:rsid w:val="007E612C"/>
    <w:rsid w:val="007E6BFD"/>
    <w:rsid w:val="007E7E4B"/>
    <w:rsid w:val="007F02C0"/>
    <w:rsid w:val="007F12BE"/>
    <w:rsid w:val="007F22D1"/>
    <w:rsid w:val="007F3167"/>
    <w:rsid w:val="007F6FE0"/>
    <w:rsid w:val="008009B1"/>
    <w:rsid w:val="00802BA9"/>
    <w:rsid w:val="008067E0"/>
    <w:rsid w:val="0081110B"/>
    <w:rsid w:val="008150A6"/>
    <w:rsid w:val="00815F8C"/>
    <w:rsid w:val="00817CE3"/>
    <w:rsid w:val="00826426"/>
    <w:rsid w:val="00830E13"/>
    <w:rsid w:val="00832063"/>
    <w:rsid w:val="00832844"/>
    <w:rsid w:val="00832B66"/>
    <w:rsid w:val="008356CF"/>
    <w:rsid w:val="00836501"/>
    <w:rsid w:val="00837D4C"/>
    <w:rsid w:val="00841495"/>
    <w:rsid w:val="008429D0"/>
    <w:rsid w:val="008466C0"/>
    <w:rsid w:val="00847BEE"/>
    <w:rsid w:val="00847EE6"/>
    <w:rsid w:val="00850883"/>
    <w:rsid w:val="00850E26"/>
    <w:rsid w:val="008527D2"/>
    <w:rsid w:val="008534C1"/>
    <w:rsid w:val="008549C0"/>
    <w:rsid w:val="00854E34"/>
    <w:rsid w:val="00855B11"/>
    <w:rsid w:val="008566A0"/>
    <w:rsid w:val="00857056"/>
    <w:rsid w:val="00857542"/>
    <w:rsid w:val="008603A4"/>
    <w:rsid w:val="008619F4"/>
    <w:rsid w:val="008638CB"/>
    <w:rsid w:val="00866ED0"/>
    <w:rsid w:val="008843A1"/>
    <w:rsid w:val="0088498B"/>
    <w:rsid w:val="00895B66"/>
    <w:rsid w:val="00897343"/>
    <w:rsid w:val="008973D8"/>
    <w:rsid w:val="008A4700"/>
    <w:rsid w:val="008A6040"/>
    <w:rsid w:val="008B0594"/>
    <w:rsid w:val="008B18FE"/>
    <w:rsid w:val="008B5481"/>
    <w:rsid w:val="008B6071"/>
    <w:rsid w:val="008B698F"/>
    <w:rsid w:val="008B742A"/>
    <w:rsid w:val="008C0964"/>
    <w:rsid w:val="008C0FA1"/>
    <w:rsid w:val="008C25F5"/>
    <w:rsid w:val="008C2E62"/>
    <w:rsid w:val="008C7719"/>
    <w:rsid w:val="008C7975"/>
    <w:rsid w:val="008D0EE4"/>
    <w:rsid w:val="008D2A49"/>
    <w:rsid w:val="008D2BF8"/>
    <w:rsid w:val="008D3719"/>
    <w:rsid w:val="008D4D28"/>
    <w:rsid w:val="008E05F0"/>
    <w:rsid w:val="008E10E2"/>
    <w:rsid w:val="008E133C"/>
    <w:rsid w:val="008E223D"/>
    <w:rsid w:val="008E2418"/>
    <w:rsid w:val="008E25C1"/>
    <w:rsid w:val="008E3284"/>
    <w:rsid w:val="008E3BF4"/>
    <w:rsid w:val="008E40AB"/>
    <w:rsid w:val="008E57AA"/>
    <w:rsid w:val="008E79C0"/>
    <w:rsid w:val="008F3796"/>
    <w:rsid w:val="009001AF"/>
    <w:rsid w:val="00900DE0"/>
    <w:rsid w:val="00902EC7"/>
    <w:rsid w:val="00903228"/>
    <w:rsid w:val="00904297"/>
    <w:rsid w:val="009054B8"/>
    <w:rsid w:val="00906B34"/>
    <w:rsid w:val="00906E78"/>
    <w:rsid w:val="00910D70"/>
    <w:rsid w:val="00910E09"/>
    <w:rsid w:val="00911F53"/>
    <w:rsid w:val="00914B4D"/>
    <w:rsid w:val="00916899"/>
    <w:rsid w:val="009203B8"/>
    <w:rsid w:val="00923819"/>
    <w:rsid w:val="00925237"/>
    <w:rsid w:val="00936064"/>
    <w:rsid w:val="009365CA"/>
    <w:rsid w:val="009405B8"/>
    <w:rsid w:val="00941365"/>
    <w:rsid w:val="00944495"/>
    <w:rsid w:val="009464C0"/>
    <w:rsid w:val="0094747A"/>
    <w:rsid w:val="00950401"/>
    <w:rsid w:val="0095245B"/>
    <w:rsid w:val="009558A8"/>
    <w:rsid w:val="00955D83"/>
    <w:rsid w:val="00960161"/>
    <w:rsid w:val="00960577"/>
    <w:rsid w:val="00962B94"/>
    <w:rsid w:val="009709F7"/>
    <w:rsid w:val="00973B1C"/>
    <w:rsid w:val="00974968"/>
    <w:rsid w:val="0097754C"/>
    <w:rsid w:val="00977E6B"/>
    <w:rsid w:val="00981EB3"/>
    <w:rsid w:val="00982178"/>
    <w:rsid w:val="00982191"/>
    <w:rsid w:val="00982BA4"/>
    <w:rsid w:val="0098334C"/>
    <w:rsid w:val="00984309"/>
    <w:rsid w:val="00985D9E"/>
    <w:rsid w:val="00987D2B"/>
    <w:rsid w:val="00987D97"/>
    <w:rsid w:val="00995110"/>
    <w:rsid w:val="0099646F"/>
    <w:rsid w:val="009A00C6"/>
    <w:rsid w:val="009A1AE9"/>
    <w:rsid w:val="009A2B9F"/>
    <w:rsid w:val="009A3D73"/>
    <w:rsid w:val="009A55B3"/>
    <w:rsid w:val="009A7CC6"/>
    <w:rsid w:val="009B1A96"/>
    <w:rsid w:val="009B3195"/>
    <w:rsid w:val="009B4832"/>
    <w:rsid w:val="009B572B"/>
    <w:rsid w:val="009B6457"/>
    <w:rsid w:val="009C0528"/>
    <w:rsid w:val="009C2F86"/>
    <w:rsid w:val="009C4FEC"/>
    <w:rsid w:val="009C77F3"/>
    <w:rsid w:val="009D2B3D"/>
    <w:rsid w:val="009D30DD"/>
    <w:rsid w:val="009D5EE9"/>
    <w:rsid w:val="009D7493"/>
    <w:rsid w:val="009E05A8"/>
    <w:rsid w:val="009E0F96"/>
    <w:rsid w:val="009E3501"/>
    <w:rsid w:val="009E4484"/>
    <w:rsid w:val="009E4DF6"/>
    <w:rsid w:val="009E69EE"/>
    <w:rsid w:val="009E7D41"/>
    <w:rsid w:val="00A029FB"/>
    <w:rsid w:val="00A0392A"/>
    <w:rsid w:val="00A050E9"/>
    <w:rsid w:val="00A072B3"/>
    <w:rsid w:val="00A1001D"/>
    <w:rsid w:val="00A1631A"/>
    <w:rsid w:val="00A17021"/>
    <w:rsid w:val="00A1799D"/>
    <w:rsid w:val="00A24A71"/>
    <w:rsid w:val="00A252DD"/>
    <w:rsid w:val="00A26446"/>
    <w:rsid w:val="00A30C17"/>
    <w:rsid w:val="00A31FEF"/>
    <w:rsid w:val="00A3395E"/>
    <w:rsid w:val="00A35256"/>
    <w:rsid w:val="00A36D13"/>
    <w:rsid w:val="00A40FB1"/>
    <w:rsid w:val="00A41205"/>
    <w:rsid w:val="00A44B1B"/>
    <w:rsid w:val="00A51C55"/>
    <w:rsid w:val="00A53FA1"/>
    <w:rsid w:val="00A54C00"/>
    <w:rsid w:val="00A567FB"/>
    <w:rsid w:val="00A61428"/>
    <w:rsid w:val="00A63752"/>
    <w:rsid w:val="00A655B9"/>
    <w:rsid w:val="00A677F2"/>
    <w:rsid w:val="00A67EF7"/>
    <w:rsid w:val="00A716C9"/>
    <w:rsid w:val="00A71926"/>
    <w:rsid w:val="00A72DAB"/>
    <w:rsid w:val="00A74678"/>
    <w:rsid w:val="00A75ECC"/>
    <w:rsid w:val="00A80D78"/>
    <w:rsid w:val="00A8125E"/>
    <w:rsid w:val="00A81676"/>
    <w:rsid w:val="00A8167C"/>
    <w:rsid w:val="00A8241D"/>
    <w:rsid w:val="00A82999"/>
    <w:rsid w:val="00A83811"/>
    <w:rsid w:val="00A843E4"/>
    <w:rsid w:val="00A8467A"/>
    <w:rsid w:val="00A87110"/>
    <w:rsid w:val="00A87569"/>
    <w:rsid w:val="00A87FDE"/>
    <w:rsid w:val="00A9303B"/>
    <w:rsid w:val="00A9477F"/>
    <w:rsid w:val="00A96A21"/>
    <w:rsid w:val="00AA0C4D"/>
    <w:rsid w:val="00AA2374"/>
    <w:rsid w:val="00AA3A5C"/>
    <w:rsid w:val="00AA584B"/>
    <w:rsid w:val="00AA75BB"/>
    <w:rsid w:val="00AB3794"/>
    <w:rsid w:val="00AB56A0"/>
    <w:rsid w:val="00AB5F85"/>
    <w:rsid w:val="00AB74E4"/>
    <w:rsid w:val="00AC0421"/>
    <w:rsid w:val="00AC1335"/>
    <w:rsid w:val="00AC1DAA"/>
    <w:rsid w:val="00AC3E9B"/>
    <w:rsid w:val="00AC4F5D"/>
    <w:rsid w:val="00AC600D"/>
    <w:rsid w:val="00AC7071"/>
    <w:rsid w:val="00AC7615"/>
    <w:rsid w:val="00AC7683"/>
    <w:rsid w:val="00AD0065"/>
    <w:rsid w:val="00AD24A6"/>
    <w:rsid w:val="00AD383F"/>
    <w:rsid w:val="00AD3DFC"/>
    <w:rsid w:val="00AD45E7"/>
    <w:rsid w:val="00AD7D8E"/>
    <w:rsid w:val="00AE0B24"/>
    <w:rsid w:val="00AE4A51"/>
    <w:rsid w:val="00AE4F97"/>
    <w:rsid w:val="00AE52A0"/>
    <w:rsid w:val="00AE5F22"/>
    <w:rsid w:val="00AF052B"/>
    <w:rsid w:val="00AF0D8C"/>
    <w:rsid w:val="00AF118F"/>
    <w:rsid w:val="00AF2EB9"/>
    <w:rsid w:val="00AF32ED"/>
    <w:rsid w:val="00AF4AB4"/>
    <w:rsid w:val="00AF7470"/>
    <w:rsid w:val="00B00256"/>
    <w:rsid w:val="00B03EC0"/>
    <w:rsid w:val="00B06E9D"/>
    <w:rsid w:val="00B102B6"/>
    <w:rsid w:val="00B16136"/>
    <w:rsid w:val="00B21827"/>
    <w:rsid w:val="00B21E82"/>
    <w:rsid w:val="00B255DF"/>
    <w:rsid w:val="00B266B7"/>
    <w:rsid w:val="00B27EB9"/>
    <w:rsid w:val="00B3040D"/>
    <w:rsid w:val="00B30714"/>
    <w:rsid w:val="00B30AFB"/>
    <w:rsid w:val="00B30B02"/>
    <w:rsid w:val="00B3281F"/>
    <w:rsid w:val="00B34152"/>
    <w:rsid w:val="00B34C6B"/>
    <w:rsid w:val="00B352BE"/>
    <w:rsid w:val="00B370E4"/>
    <w:rsid w:val="00B37CB0"/>
    <w:rsid w:val="00B42338"/>
    <w:rsid w:val="00B46925"/>
    <w:rsid w:val="00B47ABD"/>
    <w:rsid w:val="00B509CA"/>
    <w:rsid w:val="00B5147F"/>
    <w:rsid w:val="00B52AF1"/>
    <w:rsid w:val="00B55918"/>
    <w:rsid w:val="00B56892"/>
    <w:rsid w:val="00B6447E"/>
    <w:rsid w:val="00B65E20"/>
    <w:rsid w:val="00B66A0B"/>
    <w:rsid w:val="00B66E3A"/>
    <w:rsid w:val="00B66E7F"/>
    <w:rsid w:val="00B67149"/>
    <w:rsid w:val="00B7062D"/>
    <w:rsid w:val="00B709BB"/>
    <w:rsid w:val="00B70AE5"/>
    <w:rsid w:val="00B71BCE"/>
    <w:rsid w:val="00B72C7B"/>
    <w:rsid w:val="00B7378A"/>
    <w:rsid w:val="00B74DC5"/>
    <w:rsid w:val="00B77913"/>
    <w:rsid w:val="00B80FE6"/>
    <w:rsid w:val="00B829C8"/>
    <w:rsid w:val="00B8315C"/>
    <w:rsid w:val="00B8398C"/>
    <w:rsid w:val="00B912FD"/>
    <w:rsid w:val="00B92F65"/>
    <w:rsid w:val="00B94FDD"/>
    <w:rsid w:val="00B95205"/>
    <w:rsid w:val="00B9667B"/>
    <w:rsid w:val="00B96AA4"/>
    <w:rsid w:val="00B97F87"/>
    <w:rsid w:val="00BA0E88"/>
    <w:rsid w:val="00BA4728"/>
    <w:rsid w:val="00BA4C53"/>
    <w:rsid w:val="00BA5B1D"/>
    <w:rsid w:val="00BA6717"/>
    <w:rsid w:val="00BA6820"/>
    <w:rsid w:val="00BA7C2D"/>
    <w:rsid w:val="00BB2E74"/>
    <w:rsid w:val="00BB4E84"/>
    <w:rsid w:val="00BB5895"/>
    <w:rsid w:val="00BC0709"/>
    <w:rsid w:val="00BC0E2B"/>
    <w:rsid w:val="00BC1558"/>
    <w:rsid w:val="00BC20AF"/>
    <w:rsid w:val="00BC46A7"/>
    <w:rsid w:val="00BD21D4"/>
    <w:rsid w:val="00BD2527"/>
    <w:rsid w:val="00BD4E34"/>
    <w:rsid w:val="00BD519A"/>
    <w:rsid w:val="00BD65F0"/>
    <w:rsid w:val="00BD73E9"/>
    <w:rsid w:val="00BE0EA6"/>
    <w:rsid w:val="00BE289B"/>
    <w:rsid w:val="00BF2216"/>
    <w:rsid w:val="00C0198B"/>
    <w:rsid w:val="00C03873"/>
    <w:rsid w:val="00C03AF7"/>
    <w:rsid w:val="00C03CC7"/>
    <w:rsid w:val="00C051B2"/>
    <w:rsid w:val="00C054A7"/>
    <w:rsid w:val="00C11222"/>
    <w:rsid w:val="00C1479A"/>
    <w:rsid w:val="00C14F1E"/>
    <w:rsid w:val="00C17EEB"/>
    <w:rsid w:val="00C2001A"/>
    <w:rsid w:val="00C22561"/>
    <w:rsid w:val="00C25720"/>
    <w:rsid w:val="00C3175A"/>
    <w:rsid w:val="00C32564"/>
    <w:rsid w:val="00C34FCC"/>
    <w:rsid w:val="00C37ACA"/>
    <w:rsid w:val="00C407AA"/>
    <w:rsid w:val="00C40C44"/>
    <w:rsid w:val="00C446CE"/>
    <w:rsid w:val="00C45D2B"/>
    <w:rsid w:val="00C50A6C"/>
    <w:rsid w:val="00C50D55"/>
    <w:rsid w:val="00C542AC"/>
    <w:rsid w:val="00C579C9"/>
    <w:rsid w:val="00C621FD"/>
    <w:rsid w:val="00C63D5A"/>
    <w:rsid w:val="00C64774"/>
    <w:rsid w:val="00C64B2D"/>
    <w:rsid w:val="00C658AA"/>
    <w:rsid w:val="00C65BBA"/>
    <w:rsid w:val="00C660E1"/>
    <w:rsid w:val="00C67E62"/>
    <w:rsid w:val="00C70F47"/>
    <w:rsid w:val="00C7412C"/>
    <w:rsid w:val="00C74146"/>
    <w:rsid w:val="00C747EC"/>
    <w:rsid w:val="00C75CB5"/>
    <w:rsid w:val="00C77B28"/>
    <w:rsid w:val="00C836C5"/>
    <w:rsid w:val="00C853B2"/>
    <w:rsid w:val="00C85D1C"/>
    <w:rsid w:val="00C86A56"/>
    <w:rsid w:val="00C8767C"/>
    <w:rsid w:val="00C9019E"/>
    <w:rsid w:val="00C909DC"/>
    <w:rsid w:val="00C92D02"/>
    <w:rsid w:val="00C96E91"/>
    <w:rsid w:val="00C973E0"/>
    <w:rsid w:val="00CA2651"/>
    <w:rsid w:val="00CA273A"/>
    <w:rsid w:val="00CA38DE"/>
    <w:rsid w:val="00CA478F"/>
    <w:rsid w:val="00CA6BD3"/>
    <w:rsid w:val="00CA7B44"/>
    <w:rsid w:val="00CB01A7"/>
    <w:rsid w:val="00CB0D2E"/>
    <w:rsid w:val="00CB15ED"/>
    <w:rsid w:val="00CB1641"/>
    <w:rsid w:val="00CB1781"/>
    <w:rsid w:val="00CB2B0E"/>
    <w:rsid w:val="00CB37F6"/>
    <w:rsid w:val="00CB71FD"/>
    <w:rsid w:val="00CC06C4"/>
    <w:rsid w:val="00CC1BE8"/>
    <w:rsid w:val="00CC3D37"/>
    <w:rsid w:val="00CC473D"/>
    <w:rsid w:val="00CC4C81"/>
    <w:rsid w:val="00CC597C"/>
    <w:rsid w:val="00CC79A8"/>
    <w:rsid w:val="00CC7E15"/>
    <w:rsid w:val="00CD04A8"/>
    <w:rsid w:val="00CD0CB1"/>
    <w:rsid w:val="00CD2454"/>
    <w:rsid w:val="00CE0E15"/>
    <w:rsid w:val="00CE3B35"/>
    <w:rsid w:val="00CE7C5E"/>
    <w:rsid w:val="00CF0542"/>
    <w:rsid w:val="00CF0A59"/>
    <w:rsid w:val="00CF3524"/>
    <w:rsid w:val="00CF3F2F"/>
    <w:rsid w:val="00CF6C3E"/>
    <w:rsid w:val="00CF7F2E"/>
    <w:rsid w:val="00D01FAF"/>
    <w:rsid w:val="00D02285"/>
    <w:rsid w:val="00D03CCB"/>
    <w:rsid w:val="00D048B6"/>
    <w:rsid w:val="00D04C82"/>
    <w:rsid w:val="00D10646"/>
    <w:rsid w:val="00D10EFC"/>
    <w:rsid w:val="00D110BE"/>
    <w:rsid w:val="00D12B08"/>
    <w:rsid w:val="00D134E8"/>
    <w:rsid w:val="00D141AC"/>
    <w:rsid w:val="00D169C7"/>
    <w:rsid w:val="00D22E25"/>
    <w:rsid w:val="00D30313"/>
    <w:rsid w:val="00D35FED"/>
    <w:rsid w:val="00D369AA"/>
    <w:rsid w:val="00D37B62"/>
    <w:rsid w:val="00D37E50"/>
    <w:rsid w:val="00D40496"/>
    <w:rsid w:val="00D4067D"/>
    <w:rsid w:val="00D41D3B"/>
    <w:rsid w:val="00D42B5F"/>
    <w:rsid w:val="00D47F84"/>
    <w:rsid w:val="00D5081A"/>
    <w:rsid w:val="00D53A08"/>
    <w:rsid w:val="00D548E8"/>
    <w:rsid w:val="00D54942"/>
    <w:rsid w:val="00D5515B"/>
    <w:rsid w:val="00D571D7"/>
    <w:rsid w:val="00D60FEB"/>
    <w:rsid w:val="00D6106D"/>
    <w:rsid w:val="00D61AAA"/>
    <w:rsid w:val="00D63BC5"/>
    <w:rsid w:val="00D655AF"/>
    <w:rsid w:val="00D66B45"/>
    <w:rsid w:val="00D6731A"/>
    <w:rsid w:val="00D730C8"/>
    <w:rsid w:val="00D7458E"/>
    <w:rsid w:val="00D74AC2"/>
    <w:rsid w:val="00D74E78"/>
    <w:rsid w:val="00D76C95"/>
    <w:rsid w:val="00D803CB"/>
    <w:rsid w:val="00D81891"/>
    <w:rsid w:val="00D84ADF"/>
    <w:rsid w:val="00D8559E"/>
    <w:rsid w:val="00D86072"/>
    <w:rsid w:val="00D90303"/>
    <w:rsid w:val="00D91FA7"/>
    <w:rsid w:val="00D93E6E"/>
    <w:rsid w:val="00D965AD"/>
    <w:rsid w:val="00D972FE"/>
    <w:rsid w:val="00D97A4E"/>
    <w:rsid w:val="00DA0DD2"/>
    <w:rsid w:val="00DA119A"/>
    <w:rsid w:val="00DA2885"/>
    <w:rsid w:val="00DA3514"/>
    <w:rsid w:val="00DA706C"/>
    <w:rsid w:val="00DB0391"/>
    <w:rsid w:val="00DB0E21"/>
    <w:rsid w:val="00DB18DF"/>
    <w:rsid w:val="00DB3FDA"/>
    <w:rsid w:val="00DB41F0"/>
    <w:rsid w:val="00DB704C"/>
    <w:rsid w:val="00DB75B0"/>
    <w:rsid w:val="00DB76EB"/>
    <w:rsid w:val="00DC2314"/>
    <w:rsid w:val="00DC3728"/>
    <w:rsid w:val="00DC47B0"/>
    <w:rsid w:val="00DC4BD0"/>
    <w:rsid w:val="00DC648E"/>
    <w:rsid w:val="00DC6864"/>
    <w:rsid w:val="00DC6B2E"/>
    <w:rsid w:val="00DC6D0C"/>
    <w:rsid w:val="00DD0866"/>
    <w:rsid w:val="00DD6DFF"/>
    <w:rsid w:val="00DD7412"/>
    <w:rsid w:val="00DD753A"/>
    <w:rsid w:val="00DE2C39"/>
    <w:rsid w:val="00DF1BA3"/>
    <w:rsid w:val="00DF650F"/>
    <w:rsid w:val="00E01154"/>
    <w:rsid w:val="00E04304"/>
    <w:rsid w:val="00E15FDF"/>
    <w:rsid w:val="00E2276A"/>
    <w:rsid w:val="00E23941"/>
    <w:rsid w:val="00E25389"/>
    <w:rsid w:val="00E2723D"/>
    <w:rsid w:val="00E32513"/>
    <w:rsid w:val="00E32A40"/>
    <w:rsid w:val="00E32BDD"/>
    <w:rsid w:val="00E33C68"/>
    <w:rsid w:val="00E345EA"/>
    <w:rsid w:val="00E40EFC"/>
    <w:rsid w:val="00E4656D"/>
    <w:rsid w:val="00E468AE"/>
    <w:rsid w:val="00E4757A"/>
    <w:rsid w:val="00E521A2"/>
    <w:rsid w:val="00E52F31"/>
    <w:rsid w:val="00E5439A"/>
    <w:rsid w:val="00E54832"/>
    <w:rsid w:val="00E55206"/>
    <w:rsid w:val="00E56684"/>
    <w:rsid w:val="00E60C4B"/>
    <w:rsid w:val="00E61BB6"/>
    <w:rsid w:val="00E6216B"/>
    <w:rsid w:val="00E65862"/>
    <w:rsid w:val="00E66D30"/>
    <w:rsid w:val="00E769DA"/>
    <w:rsid w:val="00E82878"/>
    <w:rsid w:val="00E82D64"/>
    <w:rsid w:val="00E83F47"/>
    <w:rsid w:val="00E85E5F"/>
    <w:rsid w:val="00E92FF5"/>
    <w:rsid w:val="00E953D0"/>
    <w:rsid w:val="00EA7E1E"/>
    <w:rsid w:val="00EB089A"/>
    <w:rsid w:val="00EB2DFB"/>
    <w:rsid w:val="00EB3516"/>
    <w:rsid w:val="00EB4AE2"/>
    <w:rsid w:val="00EB5ADC"/>
    <w:rsid w:val="00EB63A2"/>
    <w:rsid w:val="00EC1210"/>
    <w:rsid w:val="00EC139B"/>
    <w:rsid w:val="00EC2BF0"/>
    <w:rsid w:val="00EC52C3"/>
    <w:rsid w:val="00EC6011"/>
    <w:rsid w:val="00ED103F"/>
    <w:rsid w:val="00ED45A5"/>
    <w:rsid w:val="00ED5171"/>
    <w:rsid w:val="00ED78E7"/>
    <w:rsid w:val="00EE0E68"/>
    <w:rsid w:val="00EE49A6"/>
    <w:rsid w:val="00EE5C84"/>
    <w:rsid w:val="00EE6385"/>
    <w:rsid w:val="00EE63EF"/>
    <w:rsid w:val="00EE6B95"/>
    <w:rsid w:val="00EF1165"/>
    <w:rsid w:val="00EF11FE"/>
    <w:rsid w:val="00EF1DF1"/>
    <w:rsid w:val="00EF35E4"/>
    <w:rsid w:val="00EF38C5"/>
    <w:rsid w:val="00EF55B0"/>
    <w:rsid w:val="00F02964"/>
    <w:rsid w:val="00F03853"/>
    <w:rsid w:val="00F0663D"/>
    <w:rsid w:val="00F11F47"/>
    <w:rsid w:val="00F137A3"/>
    <w:rsid w:val="00F15F35"/>
    <w:rsid w:val="00F162E3"/>
    <w:rsid w:val="00F1652B"/>
    <w:rsid w:val="00F16F69"/>
    <w:rsid w:val="00F1703A"/>
    <w:rsid w:val="00F17B8D"/>
    <w:rsid w:val="00F21FEF"/>
    <w:rsid w:val="00F228C0"/>
    <w:rsid w:val="00F243D7"/>
    <w:rsid w:val="00F306B1"/>
    <w:rsid w:val="00F3096B"/>
    <w:rsid w:val="00F31E18"/>
    <w:rsid w:val="00F37774"/>
    <w:rsid w:val="00F37C79"/>
    <w:rsid w:val="00F40374"/>
    <w:rsid w:val="00F405F1"/>
    <w:rsid w:val="00F405FB"/>
    <w:rsid w:val="00F45562"/>
    <w:rsid w:val="00F52EEC"/>
    <w:rsid w:val="00F54D38"/>
    <w:rsid w:val="00F56191"/>
    <w:rsid w:val="00F601CE"/>
    <w:rsid w:val="00F60658"/>
    <w:rsid w:val="00F6298E"/>
    <w:rsid w:val="00F659A7"/>
    <w:rsid w:val="00F7056C"/>
    <w:rsid w:val="00F71E7B"/>
    <w:rsid w:val="00F722B9"/>
    <w:rsid w:val="00F73A7D"/>
    <w:rsid w:val="00F73ED6"/>
    <w:rsid w:val="00F80A2C"/>
    <w:rsid w:val="00F839D0"/>
    <w:rsid w:val="00F842AA"/>
    <w:rsid w:val="00F862D0"/>
    <w:rsid w:val="00F91A69"/>
    <w:rsid w:val="00F9357D"/>
    <w:rsid w:val="00F95EFA"/>
    <w:rsid w:val="00F96385"/>
    <w:rsid w:val="00FA0AAE"/>
    <w:rsid w:val="00FA1221"/>
    <w:rsid w:val="00FA12D1"/>
    <w:rsid w:val="00FA2260"/>
    <w:rsid w:val="00FA258D"/>
    <w:rsid w:val="00FA5244"/>
    <w:rsid w:val="00FA62B5"/>
    <w:rsid w:val="00FB0929"/>
    <w:rsid w:val="00FB1A8B"/>
    <w:rsid w:val="00FB3B50"/>
    <w:rsid w:val="00FB59CD"/>
    <w:rsid w:val="00FC1675"/>
    <w:rsid w:val="00FC1EC3"/>
    <w:rsid w:val="00FC3925"/>
    <w:rsid w:val="00FC4F3D"/>
    <w:rsid w:val="00FC7E9C"/>
    <w:rsid w:val="00FD3AED"/>
    <w:rsid w:val="00FD7476"/>
    <w:rsid w:val="00FE00C7"/>
    <w:rsid w:val="00FE0CEA"/>
    <w:rsid w:val="00FE2C9F"/>
    <w:rsid w:val="00FE440B"/>
    <w:rsid w:val="00FF00A8"/>
    <w:rsid w:val="00FF20BF"/>
    <w:rsid w:val="00FF3B95"/>
    <w:rsid w:val="00FF3FA9"/>
    <w:rsid w:val="00FF47D2"/>
    <w:rsid w:val="00FF49AF"/>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82FB2B8"/>
  <w15:chartTrackingRefBased/>
  <w15:docId w15:val="{469D1651-6821-4AB3-91E1-941192B2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E2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162E3"/>
    <w:pPr>
      <w:keepNext/>
      <w:outlineLvl w:val="0"/>
    </w:pPr>
    <w:rPr>
      <w:b/>
      <w:lang w:eastAsia="en-US"/>
    </w:rPr>
  </w:style>
  <w:style w:type="paragraph" w:styleId="Heading2">
    <w:name w:val="heading 2"/>
    <w:basedOn w:val="Normal"/>
    <w:next w:val="Normal"/>
    <w:link w:val="Heading2Char"/>
    <w:uiPriority w:val="9"/>
    <w:semiHidden/>
    <w:unhideWhenUsed/>
    <w:qFormat/>
    <w:rsid w:val="00363E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63E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1B0E26"/>
    <w:pPr>
      <w:jc w:val="center"/>
    </w:pPr>
    <w:rPr>
      <w:rFonts w:ascii="Arial" w:hAnsi="Arial" w:cs="Arial"/>
      <w:b/>
      <w:bCs/>
      <w:color w:val="FF0000"/>
      <w:lang w:eastAsia="en-US"/>
    </w:rPr>
  </w:style>
  <w:style w:type="character" w:customStyle="1" w:styleId="SubtitleChar">
    <w:name w:val="Subtitle Char"/>
    <w:basedOn w:val="DefaultParagraphFont"/>
    <w:link w:val="Subtitle"/>
    <w:uiPriority w:val="99"/>
    <w:rsid w:val="001B0E26"/>
    <w:rPr>
      <w:rFonts w:ascii="Arial" w:eastAsia="Times New Roman" w:hAnsi="Arial" w:cs="Arial"/>
      <w:b/>
      <w:bCs/>
      <w:color w:val="FF0000"/>
      <w:sz w:val="24"/>
      <w:szCs w:val="24"/>
    </w:rPr>
  </w:style>
  <w:style w:type="table" w:styleId="TableGrid">
    <w:name w:val="Table Grid"/>
    <w:basedOn w:val="TableNormal"/>
    <w:uiPriority w:val="59"/>
    <w:rsid w:val="001B0E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B0E26"/>
    <w:rPr>
      <w:rFonts w:cs="Times New Roman"/>
      <w:color w:val="0000FF"/>
      <w:u w:val="single"/>
    </w:rPr>
  </w:style>
  <w:style w:type="paragraph" w:styleId="ListParagraph">
    <w:name w:val="List Paragraph"/>
    <w:basedOn w:val="Normal"/>
    <w:uiPriority w:val="34"/>
    <w:qFormat/>
    <w:rsid w:val="001B0E26"/>
    <w:pPr>
      <w:ind w:left="720"/>
    </w:pPr>
  </w:style>
  <w:style w:type="paragraph" w:customStyle="1" w:styleId="Default">
    <w:name w:val="Default"/>
    <w:rsid w:val="001B0E2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93198"/>
    <w:rPr>
      <w:sz w:val="16"/>
      <w:szCs w:val="16"/>
    </w:rPr>
  </w:style>
  <w:style w:type="paragraph" w:styleId="CommentText">
    <w:name w:val="annotation text"/>
    <w:basedOn w:val="Normal"/>
    <w:link w:val="CommentTextChar"/>
    <w:uiPriority w:val="99"/>
    <w:semiHidden/>
    <w:unhideWhenUsed/>
    <w:rsid w:val="00693198"/>
    <w:rPr>
      <w:sz w:val="20"/>
      <w:szCs w:val="20"/>
    </w:rPr>
  </w:style>
  <w:style w:type="character" w:customStyle="1" w:styleId="CommentTextChar">
    <w:name w:val="Comment Text Char"/>
    <w:basedOn w:val="DefaultParagraphFont"/>
    <w:link w:val="CommentText"/>
    <w:uiPriority w:val="99"/>
    <w:semiHidden/>
    <w:rsid w:val="0069319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3198"/>
    <w:rPr>
      <w:b/>
      <w:bCs/>
    </w:rPr>
  </w:style>
  <w:style w:type="character" w:customStyle="1" w:styleId="CommentSubjectChar">
    <w:name w:val="Comment Subject Char"/>
    <w:basedOn w:val="CommentTextChar"/>
    <w:link w:val="CommentSubject"/>
    <w:uiPriority w:val="99"/>
    <w:semiHidden/>
    <w:rsid w:val="0069319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93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98"/>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9"/>
    <w:rsid w:val="00F162E3"/>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944495"/>
    <w:pPr>
      <w:tabs>
        <w:tab w:val="center" w:pos="4513"/>
        <w:tab w:val="right" w:pos="9026"/>
      </w:tabs>
    </w:pPr>
  </w:style>
  <w:style w:type="character" w:customStyle="1" w:styleId="HeaderChar">
    <w:name w:val="Header Char"/>
    <w:basedOn w:val="DefaultParagraphFont"/>
    <w:link w:val="Header"/>
    <w:uiPriority w:val="99"/>
    <w:rsid w:val="0094449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4495"/>
    <w:pPr>
      <w:tabs>
        <w:tab w:val="center" w:pos="4513"/>
        <w:tab w:val="right" w:pos="9026"/>
      </w:tabs>
    </w:pPr>
  </w:style>
  <w:style w:type="character" w:customStyle="1" w:styleId="FooterChar">
    <w:name w:val="Footer Char"/>
    <w:basedOn w:val="DefaultParagraphFont"/>
    <w:link w:val="Footer"/>
    <w:uiPriority w:val="99"/>
    <w:rsid w:val="00944495"/>
    <w:rPr>
      <w:rFonts w:ascii="Times New Roman" w:eastAsia="Times New Roman" w:hAnsi="Times New Roman" w:cs="Times New Roman"/>
      <w:sz w:val="24"/>
      <w:szCs w:val="24"/>
      <w:lang w:eastAsia="en-GB"/>
    </w:rPr>
  </w:style>
  <w:style w:type="paragraph" w:styleId="Revision">
    <w:name w:val="Revision"/>
    <w:hidden/>
    <w:uiPriority w:val="99"/>
    <w:semiHidden/>
    <w:rsid w:val="008638CB"/>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363EDA"/>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363EDA"/>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08878">
      <w:bodyDiv w:val="1"/>
      <w:marLeft w:val="0"/>
      <w:marRight w:val="0"/>
      <w:marTop w:val="0"/>
      <w:marBottom w:val="0"/>
      <w:divBdr>
        <w:top w:val="none" w:sz="0" w:space="0" w:color="auto"/>
        <w:left w:val="none" w:sz="0" w:space="0" w:color="auto"/>
        <w:bottom w:val="none" w:sz="0" w:space="0" w:color="auto"/>
        <w:right w:val="none" w:sz="0" w:space="0" w:color="auto"/>
      </w:divBdr>
    </w:div>
    <w:div w:id="995062837">
      <w:bodyDiv w:val="1"/>
      <w:marLeft w:val="0"/>
      <w:marRight w:val="0"/>
      <w:marTop w:val="0"/>
      <w:marBottom w:val="0"/>
      <w:divBdr>
        <w:top w:val="none" w:sz="0" w:space="0" w:color="auto"/>
        <w:left w:val="none" w:sz="0" w:space="0" w:color="auto"/>
        <w:bottom w:val="none" w:sz="0" w:space="0" w:color="auto"/>
        <w:right w:val="none" w:sz="0" w:space="0" w:color="auto"/>
      </w:divBdr>
    </w:div>
    <w:div w:id="1328971645">
      <w:bodyDiv w:val="1"/>
      <w:marLeft w:val="0"/>
      <w:marRight w:val="0"/>
      <w:marTop w:val="0"/>
      <w:marBottom w:val="0"/>
      <w:divBdr>
        <w:top w:val="none" w:sz="0" w:space="0" w:color="auto"/>
        <w:left w:val="none" w:sz="0" w:space="0" w:color="auto"/>
        <w:bottom w:val="none" w:sz="0" w:space="0" w:color="auto"/>
        <w:right w:val="none" w:sz="0" w:space="0" w:color="auto"/>
      </w:divBdr>
      <w:divsChild>
        <w:div w:id="773552991">
          <w:marLeft w:val="504"/>
          <w:marRight w:val="0"/>
          <w:marTop w:val="140"/>
          <w:marBottom w:val="0"/>
          <w:divBdr>
            <w:top w:val="none" w:sz="0" w:space="0" w:color="auto"/>
            <w:left w:val="none" w:sz="0" w:space="0" w:color="auto"/>
            <w:bottom w:val="none" w:sz="0" w:space="0" w:color="auto"/>
            <w:right w:val="none" w:sz="0" w:space="0" w:color="auto"/>
          </w:divBdr>
        </w:div>
        <w:div w:id="681905505">
          <w:marLeft w:val="504"/>
          <w:marRight w:val="0"/>
          <w:marTop w:val="140"/>
          <w:marBottom w:val="0"/>
          <w:divBdr>
            <w:top w:val="none" w:sz="0" w:space="0" w:color="auto"/>
            <w:left w:val="none" w:sz="0" w:space="0" w:color="auto"/>
            <w:bottom w:val="none" w:sz="0" w:space="0" w:color="auto"/>
            <w:right w:val="none" w:sz="0" w:space="0" w:color="auto"/>
          </w:divBdr>
        </w:div>
        <w:div w:id="593780454">
          <w:marLeft w:val="504"/>
          <w:marRight w:val="0"/>
          <w:marTop w:val="140"/>
          <w:marBottom w:val="0"/>
          <w:divBdr>
            <w:top w:val="none" w:sz="0" w:space="0" w:color="auto"/>
            <w:left w:val="none" w:sz="0" w:space="0" w:color="auto"/>
            <w:bottom w:val="none" w:sz="0" w:space="0" w:color="auto"/>
            <w:right w:val="none" w:sz="0" w:space="0" w:color="auto"/>
          </w:divBdr>
        </w:div>
        <w:div w:id="1066955976">
          <w:marLeft w:val="504"/>
          <w:marRight w:val="0"/>
          <w:marTop w:val="140"/>
          <w:marBottom w:val="0"/>
          <w:divBdr>
            <w:top w:val="none" w:sz="0" w:space="0" w:color="auto"/>
            <w:left w:val="none" w:sz="0" w:space="0" w:color="auto"/>
            <w:bottom w:val="none" w:sz="0" w:space="0" w:color="auto"/>
            <w:right w:val="none" w:sz="0" w:space="0" w:color="auto"/>
          </w:divBdr>
        </w:div>
        <w:div w:id="633759533">
          <w:marLeft w:val="504"/>
          <w:marRight w:val="0"/>
          <w:marTop w:val="140"/>
          <w:marBottom w:val="0"/>
          <w:divBdr>
            <w:top w:val="none" w:sz="0" w:space="0" w:color="auto"/>
            <w:left w:val="none" w:sz="0" w:space="0" w:color="auto"/>
            <w:bottom w:val="none" w:sz="0" w:space="0" w:color="auto"/>
            <w:right w:val="none" w:sz="0" w:space="0" w:color="auto"/>
          </w:divBdr>
        </w:div>
        <w:div w:id="440220344">
          <w:marLeft w:val="504"/>
          <w:marRight w:val="0"/>
          <w:marTop w:val="140"/>
          <w:marBottom w:val="0"/>
          <w:divBdr>
            <w:top w:val="none" w:sz="0" w:space="0" w:color="auto"/>
            <w:left w:val="none" w:sz="0" w:space="0" w:color="auto"/>
            <w:bottom w:val="none" w:sz="0" w:space="0" w:color="auto"/>
            <w:right w:val="none" w:sz="0" w:space="0" w:color="auto"/>
          </w:divBdr>
        </w:div>
        <w:div w:id="1370883198">
          <w:marLeft w:val="504"/>
          <w:marRight w:val="0"/>
          <w:marTop w:val="140"/>
          <w:marBottom w:val="0"/>
          <w:divBdr>
            <w:top w:val="none" w:sz="0" w:space="0" w:color="auto"/>
            <w:left w:val="none" w:sz="0" w:space="0" w:color="auto"/>
            <w:bottom w:val="none" w:sz="0" w:space="0" w:color="auto"/>
            <w:right w:val="none" w:sz="0" w:space="0" w:color="auto"/>
          </w:divBdr>
        </w:div>
      </w:divsChild>
    </w:div>
    <w:div w:id="1582979755">
      <w:bodyDiv w:val="1"/>
      <w:marLeft w:val="0"/>
      <w:marRight w:val="0"/>
      <w:marTop w:val="0"/>
      <w:marBottom w:val="0"/>
      <w:divBdr>
        <w:top w:val="none" w:sz="0" w:space="0" w:color="auto"/>
        <w:left w:val="none" w:sz="0" w:space="0" w:color="auto"/>
        <w:bottom w:val="none" w:sz="0" w:space="0" w:color="auto"/>
        <w:right w:val="none" w:sz="0" w:space="0" w:color="auto"/>
      </w:divBdr>
    </w:div>
    <w:div w:id="17186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image" Target="media/image11.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0.jpeg"/><Relationship Id="rId33" Type="http://schemas.openxmlformats.org/officeDocument/2006/relationships/chart" Target="charts/chart8.xml"/><Relationship Id="rId38" Type="http://schemas.openxmlformats.org/officeDocument/2006/relationships/hyperlink" Target="javascript:if(CheckChange())%7bSendTo('http://nwtc-datix01/datix/LiveAD/index.php?action=action&amp;module=ACT&amp;recordid=1243&amp;frommainrecord=1%27);%7d"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chart" Target="charts/chart3.xml"/><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hyperlink" Target="javascript:if(CheckChange())%7bSendTo('http://nwtc-datix01/datix/LiveAD/index.php?action=action&amp;module=ACT&amp;recordid=1246&amp;frommainrecord=1%27);%7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8.png"/><Relationship Id="rId28" Type="http://schemas.openxmlformats.org/officeDocument/2006/relationships/chart" Target="charts/chart7.xml"/><Relationship Id="rId36" Type="http://schemas.openxmlformats.org/officeDocument/2006/relationships/hyperlink" Target="javascript:if(CheckChange())%7bSendTo('http://nwtc-datix01/datix/LiveAD/index.php?action=action&amp;module=ACT&amp;recordid=1238&amp;frommainrecord=1%27);%7d" TargetMode="Externa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5.xml"/><Relationship Id="rId27" Type="http://schemas.openxmlformats.org/officeDocument/2006/relationships/chart" Target="charts/chart6.xml"/><Relationship Id="rId30" Type="http://schemas.openxmlformats.org/officeDocument/2006/relationships/image" Target="media/image13.jpeg"/><Relationship Id="rId35"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ccardd\AppData\Local\Temp\MicrosoftEdgeDownloads\86fa02fe-8a90-4133-9cec-7bdd8990405a\DatixWebReport%20(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ccardd\Desktop\Feedback%20charts%20-%20themes%20-%20all.xlsx" TargetMode="External"/><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ccardd\AppData\Local\Temp\MicrosoftEdgeDownloads\4ed1166b-679f-4b6c-8f44-8156cf34898a\DatixWeb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ccardd\AppData\Local\Temp\MicrosoftEdgeDownloads\09f89e6b-c9b1-4a86-a8af-d73e9ccc65ac\DatixWeb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ccardd\Desktop\ALS%20charts%20-%20incident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mccardd\AppData\Local\Temp\MicrosoftEdgeDownloads\6d025f96-da47-47fe-b5cc-f18211403f79\DatixWebReport.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mccardd\AppData\Local\Temp\MicrosoftEdgeDownloads\4b2bef21-e645-4945-bb24-ec0f4175c842\DatixWebRepo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ccardd\AppData\Local\Temp\MicrosoftEdgeDownloads\2c1db70d-134c-4bdb-b694-2d8ea45e687a\DatixWebReport.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CRAIGR\AppData\Local\Temp\MicrosoftEdgeDownloads\d1f360df-f55c-458f-922b-b3b69d70156d\DatixWebReport.xlsx" TargetMode="External"/><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mccardd\AppData\Local\Temp\MicrosoftEdgeDownloads\933afdbd-f2c3-49a9-8278-72102da849eb\DatixWeb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Data!$A$1</c:f>
              <c:strCache>
                <c:ptCount val="1"/>
                <c:pt idx="0">
                  <c:v>X-axis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Data!$A$2:$A$6</c:f>
              <c:strCache>
                <c:ptCount val="5"/>
                <c:pt idx="0">
                  <c:v>Therapeutic Processes/Procedures</c:v>
                </c:pt>
                <c:pt idx="1">
                  <c:v>Medication/Biologics/Fluids</c:v>
                </c:pt>
                <c:pt idx="2">
                  <c:v>Accidents/Falls</c:v>
                </c:pt>
                <c:pt idx="3">
                  <c:v>Patient Accidents/Falls</c:v>
                </c:pt>
                <c:pt idx="4">
                  <c:v>Diagnostic Processes/Procedures</c:v>
                </c:pt>
              </c:strCache>
            </c:strRef>
          </c:cat>
          <c:val>
            <c:numRef>
              <c:f>Data!$B$2:$B$6</c:f>
              <c:numCache>
                <c:formatCode>General</c:formatCode>
                <c:ptCount val="5"/>
                <c:pt idx="0">
                  <c:v>83</c:v>
                </c:pt>
                <c:pt idx="1">
                  <c:v>86</c:v>
                </c:pt>
                <c:pt idx="2">
                  <c:v>106</c:v>
                </c:pt>
                <c:pt idx="3">
                  <c:v>138</c:v>
                </c:pt>
                <c:pt idx="4">
                  <c:v>159</c:v>
                </c:pt>
              </c:numCache>
            </c:numRef>
          </c:val>
          <c:extLst>
            <c:ext xmlns:c16="http://schemas.microsoft.com/office/drawing/2014/chart" uri="{C3380CC4-5D6E-409C-BE32-E72D297353CC}">
              <c16:uniqueId val="{00000000-34BC-451E-8CDD-9DD1990FD379}"/>
            </c:ext>
          </c:extLst>
        </c:ser>
        <c:dLbls>
          <c:dLblPos val="outEnd"/>
          <c:showLegendKey val="0"/>
          <c:showVal val="1"/>
          <c:showCatName val="0"/>
          <c:showSerName val="0"/>
          <c:showPercent val="0"/>
          <c:showBubbleSize val="0"/>
        </c:dLbls>
        <c:gapWidth val="150"/>
        <c:axId val="75091328"/>
        <c:axId val="75089408"/>
      </c:barChart>
      <c:catAx>
        <c:axId val="75091328"/>
        <c:scaling>
          <c:orientation val="minMax"/>
        </c:scaling>
        <c:delete val="0"/>
        <c:axPos val="l"/>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b"/>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4.656084656084656E-2"/>
          <c:w val="0.90286351706036749"/>
          <c:h val="0.38392034329042202"/>
        </c:manualLayout>
      </c:layout>
      <c:barChart>
        <c:barDir val="col"/>
        <c:grouping val="clustered"/>
        <c:varyColors val="0"/>
        <c:ser>
          <c:idx val="0"/>
          <c:order val="0"/>
          <c:tx>
            <c:strRef>
              <c:f>Data!$B$1</c:f>
              <c:strCache>
                <c:ptCount val="1"/>
                <c:pt idx="0">
                  <c:v>2021-2022</c:v>
                </c:pt>
              </c:strCache>
            </c:strRef>
          </c:tx>
          <c:spPr>
            <a:solidFill>
              <a:schemeClr val="accent1"/>
            </a:solidFill>
            <a:ln>
              <a:noFill/>
            </a:ln>
            <a:effectLst/>
          </c:spPr>
          <c:invertIfNegative val="0"/>
          <c:cat>
            <c:strRef>
              <c:f>Data!$A$2:$A$7</c:f>
              <c:strCache>
                <c:ptCount val="6"/>
                <c:pt idx="0">
                  <c:v>Clinical Treatment</c:v>
                </c:pt>
                <c:pt idx="1">
                  <c:v>Cancellation of surgery/procedure</c:v>
                </c:pt>
                <c:pt idx="2">
                  <c:v>Waiting List</c:v>
                </c:pt>
                <c:pt idx="3">
                  <c:v>Staff Attitude</c:v>
                </c:pt>
                <c:pt idx="4">
                  <c:v>Patient Journey</c:v>
                </c:pt>
                <c:pt idx="5">
                  <c:v>Communication</c:v>
                </c:pt>
              </c:strCache>
            </c:strRef>
          </c:cat>
          <c:val>
            <c:numRef>
              <c:f>Data!$B$2:$B$7</c:f>
              <c:numCache>
                <c:formatCode>General</c:formatCode>
                <c:ptCount val="6"/>
                <c:pt idx="0">
                  <c:v>38</c:v>
                </c:pt>
                <c:pt idx="1">
                  <c:v>15</c:v>
                </c:pt>
                <c:pt idx="2">
                  <c:v>19</c:v>
                </c:pt>
                <c:pt idx="3">
                  <c:v>10</c:v>
                </c:pt>
                <c:pt idx="4">
                  <c:v>10</c:v>
                </c:pt>
                <c:pt idx="5">
                  <c:v>11</c:v>
                </c:pt>
              </c:numCache>
            </c:numRef>
          </c:val>
          <c:extLst>
            <c:ext xmlns:c16="http://schemas.microsoft.com/office/drawing/2014/chart" uri="{C3380CC4-5D6E-409C-BE32-E72D297353CC}">
              <c16:uniqueId val="{00000000-BD65-4A95-B501-D12F45CA6D7D}"/>
            </c:ext>
          </c:extLst>
        </c:ser>
        <c:ser>
          <c:idx val="1"/>
          <c:order val="1"/>
          <c:tx>
            <c:strRef>
              <c:f>Data!$C$1</c:f>
              <c:strCache>
                <c:ptCount val="1"/>
                <c:pt idx="0">
                  <c:v>2022-2023</c:v>
                </c:pt>
              </c:strCache>
            </c:strRef>
          </c:tx>
          <c:spPr>
            <a:solidFill>
              <a:schemeClr val="accent2"/>
            </a:solidFill>
            <a:ln>
              <a:noFill/>
            </a:ln>
            <a:effectLst/>
          </c:spPr>
          <c:invertIfNegative val="0"/>
          <c:cat>
            <c:strRef>
              <c:f>Data!$A$2:$A$7</c:f>
              <c:strCache>
                <c:ptCount val="6"/>
                <c:pt idx="0">
                  <c:v>Clinical Treatment</c:v>
                </c:pt>
                <c:pt idx="1">
                  <c:v>Cancellation of surgery/procedure</c:v>
                </c:pt>
                <c:pt idx="2">
                  <c:v>Waiting List</c:v>
                </c:pt>
                <c:pt idx="3">
                  <c:v>Staff Attitude</c:v>
                </c:pt>
                <c:pt idx="4">
                  <c:v>Patient Journey</c:v>
                </c:pt>
                <c:pt idx="5">
                  <c:v>Communication</c:v>
                </c:pt>
              </c:strCache>
            </c:strRef>
          </c:cat>
          <c:val>
            <c:numRef>
              <c:f>Data!$C$2:$C$7</c:f>
              <c:numCache>
                <c:formatCode>General</c:formatCode>
                <c:ptCount val="6"/>
                <c:pt idx="0">
                  <c:v>30</c:v>
                </c:pt>
                <c:pt idx="1">
                  <c:v>20</c:v>
                </c:pt>
                <c:pt idx="2">
                  <c:v>19</c:v>
                </c:pt>
                <c:pt idx="3">
                  <c:v>15</c:v>
                </c:pt>
                <c:pt idx="4">
                  <c:v>15</c:v>
                </c:pt>
                <c:pt idx="5">
                  <c:v>7</c:v>
                </c:pt>
              </c:numCache>
            </c:numRef>
          </c:val>
          <c:extLst>
            <c:ext xmlns:c16="http://schemas.microsoft.com/office/drawing/2014/chart" uri="{C3380CC4-5D6E-409C-BE32-E72D297353CC}">
              <c16:uniqueId val="{00000001-BD65-4A95-B501-D12F45CA6D7D}"/>
            </c:ext>
          </c:extLst>
        </c:ser>
        <c:dLbls>
          <c:showLegendKey val="0"/>
          <c:showVal val="0"/>
          <c:showCatName val="0"/>
          <c:showSerName val="0"/>
          <c:showPercent val="0"/>
          <c:showBubbleSize val="0"/>
        </c:dLbls>
        <c:gapWidth val="219"/>
        <c:overlap val="-27"/>
        <c:axId val="571102928"/>
        <c:axId val="571103256"/>
      </c:barChart>
      <c:catAx>
        <c:axId val="57110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1103256"/>
        <c:crosses val="autoZero"/>
        <c:auto val="1"/>
        <c:lblAlgn val="ctr"/>
        <c:lblOffset val="100"/>
        <c:noMultiLvlLbl val="0"/>
      </c:catAx>
      <c:valAx>
        <c:axId val="571103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10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'[ALS charts - incidents.xlsx]Top 5 locations data'!$A$1</c:f>
              <c:strCache>
                <c:ptCount val="1"/>
                <c:pt idx="0">
                  <c:v>X-axis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'[1]Top 5 locations data'!$A$2:$A$6</c:f>
              <c:strCache>
                <c:ptCount val="5"/>
                <c:pt idx="0">
                  <c:v>Orthopaedic Enhanced Recovery Ward</c:v>
                </c:pt>
                <c:pt idx="1">
                  <c:v>Labs Department</c:v>
                </c:pt>
                <c:pt idx="2">
                  <c:v>4 East Orthopaedic</c:v>
                </c:pt>
                <c:pt idx="3">
                  <c:v>ICU2</c:v>
                </c:pt>
                <c:pt idx="4">
                  <c:v>3 East</c:v>
                </c:pt>
              </c:strCache>
            </c:strRef>
          </c:cat>
          <c:val>
            <c:numRef>
              <c:f>'[1]Top 5 locations data'!$B$2:$B$6</c:f>
              <c:numCache>
                <c:formatCode>General</c:formatCode>
                <c:ptCount val="5"/>
                <c:pt idx="0">
                  <c:v>54</c:v>
                </c:pt>
                <c:pt idx="1">
                  <c:v>72</c:v>
                </c:pt>
                <c:pt idx="2">
                  <c:v>73</c:v>
                </c:pt>
                <c:pt idx="3">
                  <c:v>78</c:v>
                </c:pt>
                <c:pt idx="4">
                  <c:v>87</c:v>
                </c:pt>
              </c:numCache>
            </c:numRef>
          </c:val>
          <c:extLst>
            <c:ext xmlns:c16="http://schemas.microsoft.com/office/drawing/2014/chart" uri="{C3380CC4-5D6E-409C-BE32-E72D297353CC}">
              <c16:uniqueId val="{00000000-C102-40E3-B6CE-173B80426377}"/>
            </c:ext>
          </c:extLst>
        </c:ser>
        <c:dLbls>
          <c:dLblPos val="outEnd"/>
          <c:showLegendKey val="0"/>
          <c:showVal val="1"/>
          <c:showCatName val="0"/>
          <c:showSerName val="0"/>
          <c:showPercent val="0"/>
          <c:showBubbleSize val="0"/>
        </c:dLbls>
        <c:gapWidth val="150"/>
        <c:axId val="75091328"/>
        <c:axId val="75089408"/>
      </c:barChart>
      <c:catAx>
        <c:axId val="75091328"/>
        <c:scaling>
          <c:orientation val="minMax"/>
        </c:scaling>
        <c:delete val="0"/>
        <c:axPos val="l"/>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b"/>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'[ALS charts - incidents.xlsx]Service data'!$A$1</c:f>
              <c:strCache>
                <c:ptCount val="1"/>
                <c:pt idx="0">
                  <c:v>X-axis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'[1]Service data'!$A$2:$A$6</c:f>
              <c:strCache>
                <c:ptCount val="5"/>
                <c:pt idx="0">
                  <c:v>Thoracic Services</c:v>
                </c:pt>
                <c:pt idx="1">
                  <c:v>Critical Care</c:v>
                </c:pt>
                <c:pt idx="2">
                  <c:v>Cardiac Services</c:v>
                </c:pt>
                <c:pt idx="3">
                  <c:v>Interventional Cardiology</c:v>
                </c:pt>
                <c:pt idx="4">
                  <c:v>Orthopaedic</c:v>
                </c:pt>
              </c:strCache>
            </c:strRef>
          </c:cat>
          <c:val>
            <c:numRef>
              <c:f>'[1]Service data'!$B$2:$B$6</c:f>
              <c:numCache>
                <c:formatCode>General</c:formatCode>
                <c:ptCount val="5"/>
                <c:pt idx="0">
                  <c:v>90</c:v>
                </c:pt>
                <c:pt idx="1">
                  <c:v>154</c:v>
                </c:pt>
                <c:pt idx="2">
                  <c:v>154</c:v>
                </c:pt>
                <c:pt idx="3">
                  <c:v>173</c:v>
                </c:pt>
                <c:pt idx="4">
                  <c:v>240</c:v>
                </c:pt>
              </c:numCache>
            </c:numRef>
          </c:val>
          <c:extLst>
            <c:ext xmlns:c16="http://schemas.microsoft.com/office/drawing/2014/chart" uri="{C3380CC4-5D6E-409C-BE32-E72D297353CC}">
              <c16:uniqueId val="{00000000-9BA2-4267-83D1-57E2846BCC15}"/>
            </c:ext>
          </c:extLst>
        </c:ser>
        <c:dLbls>
          <c:dLblPos val="outEnd"/>
          <c:showLegendKey val="0"/>
          <c:showVal val="1"/>
          <c:showCatName val="0"/>
          <c:showSerName val="0"/>
          <c:showPercent val="0"/>
          <c:showBubbleSize val="0"/>
        </c:dLbls>
        <c:gapWidth val="150"/>
        <c:axId val="75091328"/>
        <c:axId val="75089408"/>
      </c:barChart>
      <c:catAx>
        <c:axId val="75091328"/>
        <c:scaling>
          <c:orientation val="minMax"/>
        </c:scaling>
        <c:delete val="0"/>
        <c:axPos val="l"/>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b"/>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1"/>
        <c:ser>
          <c:idx val="0"/>
          <c:order val="0"/>
          <c:tx>
            <c:strRef>
              <c:f>'Severity data'!$B$1</c:f>
              <c:strCache>
                <c:ptCount val="1"/>
                <c:pt idx="0">
                  <c:v>Negligible</c:v>
                </c:pt>
              </c:strCache>
            </c:strRef>
          </c:tx>
          <c:invertIfNegative val="0"/>
          <c:cat>
            <c:strRef>
              <c:f>'Severity data'!$A$2:$A$5</c:f>
              <c:strCache>
                <c:ptCount val="4"/>
                <c:pt idx="0">
                  <c:v>2019-2020</c:v>
                </c:pt>
                <c:pt idx="1">
                  <c:v>2020-2021</c:v>
                </c:pt>
                <c:pt idx="2">
                  <c:v>2021-2022</c:v>
                </c:pt>
                <c:pt idx="3">
                  <c:v>2022-2023</c:v>
                </c:pt>
              </c:strCache>
            </c:strRef>
          </c:cat>
          <c:val>
            <c:numRef>
              <c:f>'Severity data'!$B$2:$B$5</c:f>
              <c:numCache>
                <c:formatCode>General</c:formatCode>
                <c:ptCount val="4"/>
                <c:pt idx="0">
                  <c:v>328</c:v>
                </c:pt>
                <c:pt idx="1">
                  <c:v>340</c:v>
                </c:pt>
                <c:pt idx="2">
                  <c:v>378</c:v>
                </c:pt>
                <c:pt idx="3">
                  <c:v>371</c:v>
                </c:pt>
              </c:numCache>
            </c:numRef>
          </c:val>
          <c:extLst>
            <c:ext xmlns:c16="http://schemas.microsoft.com/office/drawing/2014/chart" uri="{C3380CC4-5D6E-409C-BE32-E72D297353CC}">
              <c16:uniqueId val="{00000000-634E-49AC-9BEC-ABC1D46B814A}"/>
            </c:ext>
          </c:extLst>
        </c:ser>
        <c:ser>
          <c:idx val="1"/>
          <c:order val="1"/>
          <c:tx>
            <c:strRef>
              <c:f>'Severity data'!$C$1</c:f>
              <c:strCache>
                <c:ptCount val="1"/>
                <c:pt idx="0">
                  <c:v>Minor</c:v>
                </c:pt>
              </c:strCache>
            </c:strRef>
          </c:tx>
          <c:invertIfNegative val="0"/>
          <c:val>
            <c:numRef>
              <c:f>'Severity data'!$C$2:$C$5</c:f>
              <c:numCache>
                <c:formatCode>General</c:formatCode>
                <c:ptCount val="4"/>
                <c:pt idx="0">
                  <c:v>621</c:v>
                </c:pt>
                <c:pt idx="1">
                  <c:v>561</c:v>
                </c:pt>
                <c:pt idx="2">
                  <c:v>706</c:v>
                </c:pt>
                <c:pt idx="3">
                  <c:v>692</c:v>
                </c:pt>
              </c:numCache>
            </c:numRef>
          </c:val>
          <c:extLst>
            <c:ext xmlns:c16="http://schemas.microsoft.com/office/drawing/2014/chart" uri="{C3380CC4-5D6E-409C-BE32-E72D297353CC}">
              <c16:uniqueId val="{00000001-634E-49AC-9BEC-ABC1D46B814A}"/>
            </c:ext>
          </c:extLst>
        </c:ser>
        <c:ser>
          <c:idx val="2"/>
          <c:order val="2"/>
          <c:tx>
            <c:strRef>
              <c:f>'Severity data'!$D$1</c:f>
              <c:strCache>
                <c:ptCount val="1"/>
                <c:pt idx="0">
                  <c:v>Moderate</c:v>
                </c:pt>
              </c:strCache>
            </c:strRef>
          </c:tx>
          <c:invertIfNegative val="0"/>
          <c:val>
            <c:numRef>
              <c:f>'Severity data'!$D$2:$D$5</c:f>
              <c:numCache>
                <c:formatCode>General</c:formatCode>
                <c:ptCount val="4"/>
                <c:pt idx="0">
                  <c:v>171</c:v>
                </c:pt>
                <c:pt idx="1">
                  <c:v>173</c:v>
                </c:pt>
                <c:pt idx="2">
                  <c:v>229</c:v>
                </c:pt>
                <c:pt idx="3">
                  <c:v>173</c:v>
                </c:pt>
              </c:numCache>
            </c:numRef>
          </c:val>
          <c:extLst>
            <c:ext xmlns:c16="http://schemas.microsoft.com/office/drawing/2014/chart" uri="{C3380CC4-5D6E-409C-BE32-E72D297353CC}">
              <c16:uniqueId val="{00000002-634E-49AC-9BEC-ABC1D46B814A}"/>
            </c:ext>
          </c:extLst>
        </c:ser>
        <c:ser>
          <c:idx val="3"/>
          <c:order val="3"/>
          <c:tx>
            <c:strRef>
              <c:f>'Severity data'!$E$1</c:f>
              <c:strCache>
                <c:ptCount val="1"/>
                <c:pt idx="0">
                  <c:v>Major</c:v>
                </c:pt>
              </c:strCache>
            </c:strRef>
          </c:tx>
          <c:invertIfNegative val="0"/>
          <c:val>
            <c:numRef>
              <c:f>'Severity data'!$E$2:$E$5</c:f>
              <c:numCache>
                <c:formatCode>General</c:formatCode>
                <c:ptCount val="4"/>
                <c:pt idx="0">
                  <c:v>9</c:v>
                </c:pt>
                <c:pt idx="1">
                  <c:v>15</c:v>
                </c:pt>
                <c:pt idx="2">
                  <c:v>29</c:v>
                </c:pt>
                <c:pt idx="3">
                  <c:v>36</c:v>
                </c:pt>
              </c:numCache>
            </c:numRef>
          </c:val>
          <c:extLst>
            <c:ext xmlns:c16="http://schemas.microsoft.com/office/drawing/2014/chart" uri="{C3380CC4-5D6E-409C-BE32-E72D297353CC}">
              <c16:uniqueId val="{00000003-634E-49AC-9BEC-ABC1D46B814A}"/>
            </c:ext>
          </c:extLst>
        </c:ser>
        <c:ser>
          <c:idx val="4"/>
          <c:order val="4"/>
          <c:tx>
            <c:strRef>
              <c:f>'Severity data'!$F$1</c:f>
              <c:strCache>
                <c:ptCount val="1"/>
                <c:pt idx="0">
                  <c:v>Extreme</c:v>
                </c:pt>
              </c:strCache>
            </c:strRef>
          </c:tx>
          <c:invertIfNegative val="0"/>
          <c:val>
            <c:numRef>
              <c:f>'Severity data'!$F$2:$F$5</c:f>
              <c:numCache>
                <c:formatCode>General</c:formatCode>
                <c:ptCount val="4"/>
                <c:pt idx="0">
                  <c:v>2</c:v>
                </c:pt>
                <c:pt idx="1">
                  <c:v>3</c:v>
                </c:pt>
                <c:pt idx="2">
                  <c:v>0</c:v>
                </c:pt>
                <c:pt idx="3">
                  <c:v>2</c:v>
                </c:pt>
              </c:numCache>
            </c:numRef>
          </c:val>
          <c:extLst>
            <c:ext xmlns:c16="http://schemas.microsoft.com/office/drawing/2014/chart" uri="{C3380CC4-5D6E-409C-BE32-E72D297353CC}">
              <c16:uniqueId val="{00000004-634E-49AC-9BEC-ABC1D46B814A}"/>
            </c:ext>
          </c:extLst>
        </c:ser>
        <c:dLbls>
          <c:showLegendKey val="0"/>
          <c:showVal val="0"/>
          <c:showCatName val="0"/>
          <c:showSerName val="0"/>
          <c:showPercent val="0"/>
          <c:showBubbleSize val="0"/>
        </c:dLbls>
        <c:gapWidth val="150"/>
        <c:overlap val="10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Sheet2!$B$1</c:f>
              <c:strCache>
                <c:ptCount val="1"/>
                <c:pt idx="0">
                  <c:v>No of incidents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Sheet2!$A$2:$A$9</c:f>
              <c:strCache>
                <c:ptCount val="8"/>
                <c:pt idx="0">
                  <c:v>Diagnostic Conclusions</c:v>
                </c:pt>
                <c:pt idx="1">
                  <c:v>Other Investigations/Interpretations</c:v>
                </c:pt>
                <c:pt idx="2">
                  <c:v>Historical Assessment/Evaluation </c:v>
                </c:pt>
                <c:pt idx="3">
                  <c:v>Other Diagnostic Incident</c:v>
                </c:pt>
                <c:pt idx="4">
                  <c:v>Physical Diagnostic Assessment/Evaluation/Examination</c:v>
                </c:pt>
                <c:pt idx="5">
                  <c:v>Monitoring/On-going Assessment of Patient Status</c:v>
                </c:pt>
                <c:pt idx="6">
                  <c:v>Radiological/Imaging Investigations/Interpretations</c:v>
                </c:pt>
                <c:pt idx="7">
                  <c:v>Laboratory Investigations/Interpretations</c:v>
                </c:pt>
              </c:strCache>
            </c:strRef>
          </c:cat>
          <c:val>
            <c:numRef>
              <c:f>Sheet2!$B$2:$B$9</c:f>
              <c:numCache>
                <c:formatCode>General</c:formatCode>
                <c:ptCount val="8"/>
                <c:pt idx="0">
                  <c:v>1</c:v>
                </c:pt>
                <c:pt idx="1">
                  <c:v>1</c:v>
                </c:pt>
                <c:pt idx="2">
                  <c:v>2</c:v>
                </c:pt>
                <c:pt idx="3">
                  <c:v>2</c:v>
                </c:pt>
                <c:pt idx="4">
                  <c:v>2</c:v>
                </c:pt>
                <c:pt idx="5">
                  <c:v>4</c:v>
                </c:pt>
                <c:pt idx="6">
                  <c:v>49</c:v>
                </c:pt>
                <c:pt idx="7">
                  <c:v>138</c:v>
                </c:pt>
              </c:numCache>
            </c:numRef>
          </c:val>
          <c:extLst>
            <c:ext xmlns:c16="http://schemas.microsoft.com/office/drawing/2014/chart" uri="{C3380CC4-5D6E-409C-BE32-E72D297353CC}">
              <c16:uniqueId val="{00000000-BD7D-4063-AF98-1363E39630F6}"/>
            </c:ext>
          </c:extLst>
        </c:ser>
        <c:dLbls>
          <c:dLblPos val="outEnd"/>
          <c:showLegendKey val="0"/>
          <c:showVal val="1"/>
          <c:showCatName val="0"/>
          <c:showSerName val="0"/>
          <c:showPercent val="0"/>
          <c:showBubbleSize val="0"/>
        </c:dLbls>
        <c:gapWidth val="182"/>
        <c:axId val="688316664"/>
        <c:axId val="688316992"/>
      </c:barChart>
      <c:catAx>
        <c:axId val="688316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316992"/>
        <c:crosses val="autoZero"/>
        <c:auto val="1"/>
        <c:lblAlgn val="ctr"/>
        <c:lblOffset val="100"/>
        <c:noMultiLvlLbl val="0"/>
      </c:catAx>
      <c:valAx>
        <c:axId val="688316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316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Data!$A$1</c:f>
              <c:strCache>
                <c:ptCount val="1"/>
                <c:pt idx="0">
                  <c:v>X-axis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Data!$A$2:$A$7</c:f>
              <c:strCache>
                <c:ptCount val="6"/>
                <c:pt idx="0">
                  <c:v>Contact with Sharps</c:v>
                </c:pt>
                <c:pt idx="1">
                  <c:v>Contact/Collision with Objects/Animals (not sharps)</c:v>
                </c:pt>
                <c:pt idx="2">
                  <c:v>Slip/Trip or Fall </c:v>
                </c:pt>
                <c:pt idx="3">
                  <c:v>Lifting/Manual handling</c:v>
                </c:pt>
                <c:pt idx="4">
                  <c:v>Contact with Potentially Infectious Materials </c:v>
                </c:pt>
                <c:pt idx="5">
                  <c:v>Other</c:v>
                </c:pt>
              </c:strCache>
            </c:strRef>
          </c:cat>
          <c:val>
            <c:numRef>
              <c:f>Data!$B$2:$B$7</c:f>
              <c:numCache>
                <c:formatCode>General</c:formatCode>
                <c:ptCount val="6"/>
                <c:pt idx="0">
                  <c:v>32</c:v>
                </c:pt>
                <c:pt idx="1">
                  <c:v>31</c:v>
                </c:pt>
                <c:pt idx="2">
                  <c:v>20</c:v>
                </c:pt>
                <c:pt idx="3">
                  <c:v>14</c:v>
                </c:pt>
                <c:pt idx="4">
                  <c:v>8</c:v>
                </c:pt>
                <c:pt idx="5">
                  <c:v>1</c:v>
                </c:pt>
              </c:numCache>
            </c:numRef>
          </c:val>
          <c:extLst>
            <c:ext xmlns:c16="http://schemas.microsoft.com/office/drawing/2014/chart" uri="{C3380CC4-5D6E-409C-BE32-E72D297353CC}">
              <c16:uniqueId val="{00000000-8C93-4D3F-8D5D-520ECAC5B199}"/>
            </c:ext>
          </c:extLst>
        </c:ser>
        <c:dLbls>
          <c:dLblPos val="outEnd"/>
          <c:showLegendKey val="0"/>
          <c:showVal val="1"/>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txPr>
          <a:bodyPr rot="-5400000" vert="horz"/>
          <a:lstStyle/>
          <a:p>
            <a:pPr>
              <a:defRPr sz="900"/>
            </a:pPr>
            <a:endParaRPr lang="en-US"/>
          </a:p>
        </c:txPr>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b="1" i="0" u="none" strike="noStrike">
                <a:latin typeface="Calibri"/>
              </a:rPr>
              <a:t>Adverse Events by Severity</a:t>
            </a:r>
          </a:p>
        </c:rich>
      </c:tx>
      <c:overlay val="0"/>
    </c:title>
    <c:autoTitleDeleted val="0"/>
    <c:plotArea>
      <c:layout>
        <c:manualLayout>
          <c:layoutTarget val="inner"/>
          <c:xMode val="edge"/>
          <c:yMode val="edge"/>
          <c:x val="0.19271770989715781"/>
          <c:y val="0.1476694436942084"/>
          <c:w val="0.59993504702962719"/>
          <c:h val="0.81363222736999563"/>
        </c:manualLayout>
      </c:layout>
      <c:pieChart>
        <c:varyColors val="1"/>
        <c:ser>
          <c:idx val="0"/>
          <c:order val="0"/>
          <c:tx>
            <c:strRef>
              <c:f>Data!$A$1</c:f>
              <c:strCache>
                <c:ptCount val="1"/>
                <c:pt idx="0">
                  <c:v>X-axis</c:v>
                </c:pt>
              </c:strCache>
            </c:strRef>
          </c:tx>
          <c:dPt>
            <c:idx val="3"/>
            <c:bubble3D val="0"/>
            <c:spPr>
              <a:solidFill>
                <a:srgbClr val="FF9900"/>
              </a:solidFill>
            </c:spPr>
            <c:extLst>
              <c:ext xmlns:c16="http://schemas.microsoft.com/office/drawing/2014/chart" uri="{C3380CC4-5D6E-409C-BE32-E72D297353CC}">
                <c16:uniqueId val="{00000001-D342-427C-8716-4E58F20BBF59}"/>
              </c:ext>
            </c:extLst>
          </c:dPt>
          <c:dLbls>
            <c:delete val="1"/>
          </c:dLbls>
          <c:cat>
            <c:strRef>
              <c:f>Data!$A$2:$A$4</c:f>
              <c:strCache>
                <c:ptCount val="3"/>
                <c:pt idx="0">
                  <c:v>Moderate</c:v>
                </c:pt>
                <c:pt idx="1">
                  <c:v>Major</c:v>
                </c:pt>
                <c:pt idx="2">
                  <c:v>Extreme</c:v>
                </c:pt>
              </c:strCache>
            </c:strRef>
          </c:cat>
          <c:val>
            <c:numRef>
              <c:f>Data!$B$2:$B$4</c:f>
              <c:numCache>
                <c:formatCode>General</c:formatCode>
                <c:ptCount val="3"/>
                <c:pt idx="0">
                  <c:v>5</c:v>
                </c:pt>
                <c:pt idx="1">
                  <c:v>6</c:v>
                </c:pt>
                <c:pt idx="2">
                  <c:v>1</c:v>
                </c:pt>
              </c:numCache>
            </c:numRef>
          </c:val>
          <c:extLst>
            <c:ext xmlns:c16="http://schemas.microsoft.com/office/drawing/2014/chart" uri="{C3380CC4-5D6E-409C-BE32-E72D297353CC}">
              <c16:uniqueId val="{00000002-D342-427C-8716-4E58F20BBF59}"/>
            </c:ext>
          </c:extLst>
        </c:ser>
        <c:dLbls>
          <c:showLegendKey val="0"/>
          <c:showVal val="0"/>
          <c:showCatName val="1"/>
          <c:showSerName val="0"/>
          <c:showPercent val="0"/>
          <c:showBubbleSize val="0"/>
          <c:showLeaderLines val="1"/>
        </c:dLbls>
        <c:firstSliceAng val="0"/>
      </c:pieChart>
    </c:plotArea>
    <c:legend>
      <c:legendPos val="r"/>
      <c:overlay val="0"/>
      <c:txPr>
        <a:bodyPr/>
        <a:lstStyle/>
        <a:p>
          <a:pPr>
            <a:defRPr sz="900"/>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Data!$A$1</c:f>
              <c:strCache>
                <c:ptCount val="1"/>
                <c:pt idx="0">
                  <c:v>X-axis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572-4D6D-909A-4346660615C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572-4D6D-909A-4346660615C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572-4D6D-909A-4346660615C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572-4D6D-909A-4346660615C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strRef>
              <c:f>Data!$A$2:$A$5</c:f>
              <c:strCache>
                <c:ptCount val="4"/>
                <c:pt idx="0">
                  <c:v>Outcome 1</c:v>
                </c:pt>
                <c:pt idx="1">
                  <c:v>Outcome 2</c:v>
                </c:pt>
                <c:pt idx="2">
                  <c:v>Outcome 3</c:v>
                </c:pt>
                <c:pt idx="3">
                  <c:v>Outcome 4</c:v>
                </c:pt>
              </c:strCache>
            </c:strRef>
          </c:cat>
          <c:val>
            <c:numRef>
              <c:f>Data!$B$2:$B$5</c:f>
              <c:numCache>
                <c:formatCode>General</c:formatCode>
                <c:ptCount val="4"/>
                <c:pt idx="0">
                  <c:v>1</c:v>
                </c:pt>
                <c:pt idx="1">
                  <c:v>4</c:v>
                </c:pt>
                <c:pt idx="2">
                  <c:v>8</c:v>
                </c:pt>
                <c:pt idx="3">
                  <c:v>4</c:v>
                </c:pt>
              </c:numCache>
            </c:numRef>
          </c:val>
          <c:extLst>
            <c:ext xmlns:c16="http://schemas.microsoft.com/office/drawing/2014/chart" uri="{C3380CC4-5D6E-409C-BE32-E72D297353CC}">
              <c16:uniqueId val="{00000008-D572-4D6D-909A-4346660615CB}"/>
            </c:ext>
          </c:extLst>
        </c:ser>
        <c:dLbls>
          <c:dLblPos val="inEnd"/>
          <c:showLegendKey val="0"/>
          <c:showVal val="0"/>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Data!$A$1</c:f>
              <c:strCache>
                <c:ptCount val="1"/>
                <c:pt idx="0">
                  <c:v>X-axis</c:v>
                </c:pt>
              </c:strCache>
            </c:strRef>
          </c:tx>
          <c:invertIfNegative val="0"/>
          <c:cat>
            <c:strRef>
              <c:f>Data!$A$2:$A$8</c:f>
              <c:strCache>
                <c:ptCount val="7"/>
                <c:pt idx="0">
                  <c:v>General Surgery</c:v>
                </c:pt>
                <c:pt idx="1">
                  <c:v>Thoracic Services</c:v>
                </c:pt>
                <c:pt idx="2">
                  <c:v>Radiology</c:v>
                </c:pt>
                <c:pt idx="3">
                  <c:v>Ophthalmology</c:v>
                </c:pt>
                <c:pt idx="4">
                  <c:v>Interventional Cardiology</c:v>
                </c:pt>
                <c:pt idx="5">
                  <c:v>Cardiac Services</c:v>
                </c:pt>
                <c:pt idx="6">
                  <c:v>Orthopaedic</c:v>
                </c:pt>
              </c:strCache>
            </c:strRef>
          </c:cat>
          <c:val>
            <c:numRef>
              <c:f>Data!$B$2:$B$8</c:f>
              <c:numCache>
                <c:formatCode>General</c:formatCode>
                <c:ptCount val="7"/>
                <c:pt idx="0">
                  <c:v>8</c:v>
                </c:pt>
                <c:pt idx="1">
                  <c:v>8</c:v>
                </c:pt>
                <c:pt idx="2">
                  <c:v>10</c:v>
                </c:pt>
                <c:pt idx="3">
                  <c:v>12</c:v>
                </c:pt>
                <c:pt idx="4">
                  <c:v>15</c:v>
                </c:pt>
                <c:pt idx="5">
                  <c:v>19</c:v>
                </c:pt>
                <c:pt idx="6">
                  <c:v>28</c:v>
                </c:pt>
              </c:numCache>
            </c:numRef>
          </c:val>
          <c:extLst>
            <c:ext xmlns:c16="http://schemas.microsoft.com/office/drawing/2014/chart" uri="{C3380CC4-5D6E-409C-BE32-E72D297353CC}">
              <c16:uniqueId val="{00000000-EC18-4032-9214-F90A21C8B8C6}"/>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l"/>
        <c:numFmt formatCode="General" sourceLinked="1"/>
        <c:majorTickMark val="out"/>
        <c:minorTickMark val="none"/>
        <c:tickLblPos val="nextTo"/>
        <c:txPr>
          <a:bodyPr rot="0" vert="horz"/>
          <a:lstStyle/>
          <a:p>
            <a:pPr>
              <a:defRPr/>
            </a:pPr>
            <a:endParaRPr lang="en-US"/>
          </a:p>
        </c:txPr>
        <c:crossAx val="75089408"/>
        <c:crosses val="autoZero"/>
        <c:auto val="1"/>
        <c:lblAlgn val="ctr"/>
        <c:lblOffset val="100"/>
        <c:noMultiLvlLbl val="0"/>
      </c:catAx>
      <c:valAx>
        <c:axId val="75089408"/>
        <c:scaling>
          <c:orientation val="minMax"/>
        </c:scaling>
        <c:delete val="0"/>
        <c:axPos val="b"/>
        <c:majorGridlines/>
        <c:numFmt formatCode="General" sourceLinked="1"/>
        <c:majorTickMark val="out"/>
        <c:minorTickMark val="none"/>
        <c:tickLblPos val="nextTo"/>
        <c:crossAx val="75091328"/>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D9C543F58B54589ACFCAAAEF9F75E" ma:contentTypeVersion="0" ma:contentTypeDescription="Create a new document." ma:contentTypeScope="" ma:versionID="d1156b08efc13842014ce920d9d94fd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9060-81B8-424D-AD8E-4DE08002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E465C2-3D99-4350-A8FE-A00944A2A3D4}">
  <ds:schemaRefs>
    <ds:schemaRef ds:uri="http://schemas.microsoft.com/sharepoint/v3/contenttype/forms"/>
  </ds:schemaRefs>
</ds:datastoreItem>
</file>

<file path=customXml/itemProps3.xml><?xml version="1.0" encoding="utf-8"?>
<ds:datastoreItem xmlns:ds="http://schemas.openxmlformats.org/officeDocument/2006/customXml" ds:itemID="{C8382E34-E1A4-458E-A555-855477A25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82373-4734-432B-BDCC-A8798C6A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5622</Words>
  <Characters>32050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mccardd</dc:creator>
  <cp:keywords/>
  <dc:description/>
  <cp:lastModifiedBy>Denise Cameron (NHS GOLDEN JUBILEE)</cp:lastModifiedBy>
  <cp:revision>3</cp:revision>
  <cp:lastPrinted>2021-07-28T08:58:00Z</cp:lastPrinted>
  <dcterms:created xsi:type="dcterms:W3CDTF">2023-09-15T13:55:00Z</dcterms:created>
  <dcterms:modified xsi:type="dcterms:W3CDTF">2023-09-15T14:11:00Z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0x010100AB7D9C543F58B54589ACFCAAAEF9F75E</vt:lpwstr>
  </property>
</Properties>
</file>