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02E" w:rsidRPr="00402CB3" w:rsidRDefault="00C273FB" w:rsidP="0012002E">
      <w:pPr>
        <w:jc w:val="center"/>
        <w:rPr>
          <w:rFonts w:ascii="Arial" w:hAnsi="Arial" w:cs="Arial"/>
          <w:b/>
          <w:u w:val="single"/>
        </w:rPr>
      </w:pPr>
      <w:r>
        <w:rPr>
          <w:rFonts w:ascii="Arial" w:hAnsi="Arial" w:cs="Arial"/>
          <w:b/>
          <w:color w:val="000000"/>
          <w:u w:val="single"/>
        </w:rPr>
        <w:t>D</w:t>
      </w:r>
      <w:r w:rsidR="00402CB3" w:rsidRPr="00402CB3">
        <w:rPr>
          <w:rFonts w:ascii="Arial" w:hAnsi="Arial" w:cs="Arial"/>
          <w:b/>
          <w:color w:val="000000"/>
          <w:u w:val="single"/>
        </w:rPr>
        <w:t>igital &amp;</w:t>
      </w:r>
      <w:r w:rsidR="00402CB3" w:rsidRPr="00402CB3">
        <w:rPr>
          <w:rFonts w:ascii="Arial" w:hAnsi="Arial" w:cs="Arial"/>
          <w:color w:val="000000"/>
          <w:u w:val="single"/>
        </w:rPr>
        <w:t xml:space="preserve"> </w:t>
      </w:r>
      <w:r w:rsidR="0012002E" w:rsidRPr="00402CB3">
        <w:rPr>
          <w:rFonts w:ascii="Arial" w:hAnsi="Arial" w:cs="Arial"/>
          <w:b/>
          <w:u w:val="single"/>
        </w:rPr>
        <w:t>Information Governance</w:t>
      </w:r>
    </w:p>
    <w:p w:rsidR="0012002E" w:rsidRPr="00675666" w:rsidRDefault="0012002E" w:rsidP="0012002E">
      <w:pPr>
        <w:jc w:val="both"/>
        <w:rPr>
          <w:rFonts w:ascii="Arial" w:hAnsi="Arial" w:cs="Arial"/>
          <w:b/>
        </w:rPr>
      </w:pPr>
    </w:p>
    <w:p w:rsidR="0012002E" w:rsidRDefault="0012002E" w:rsidP="0012002E">
      <w:pPr>
        <w:jc w:val="both"/>
      </w:pPr>
      <w:bookmarkStart w:id="0" w:name="_GoBack"/>
      <w:bookmarkEnd w:id="0"/>
    </w:p>
    <w:p w:rsidR="00451B37" w:rsidRDefault="00402CB3">
      <w:pPr>
        <w:rPr>
          <w:rFonts w:ascii="Arial" w:hAnsi="Arial" w:cs="Arial"/>
        </w:rPr>
      </w:pPr>
      <w:r>
        <w:rPr>
          <w:rFonts w:ascii="Arial" w:hAnsi="Arial" w:cs="Arial"/>
        </w:rPr>
        <w:t xml:space="preserve">Digital &amp; </w:t>
      </w:r>
      <w:r w:rsidR="0012002E" w:rsidRPr="00675666">
        <w:rPr>
          <w:rFonts w:ascii="Arial" w:hAnsi="Arial" w:cs="Arial"/>
        </w:rPr>
        <w:t>Information Governance ensures necessary saf</w:t>
      </w:r>
      <w:r>
        <w:rPr>
          <w:rFonts w:ascii="Arial" w:hAnsi="Arial" w:cs="Arial"/>
        </w:rPr>
        <w:t>eguards for, and appropriate processing</w:t>
      </w:r>
      <w:r w:rsidR="0012002E" w:rsidRPr="00675666">
        <w:rPr>
          <w:rFonts w:ascii="Arial" w:hAnsi="Arial" w:cs="Arial"/>
        </w:rPr>
        <w:t xml:space="preserve"> of, patient and personal information. The nature of healthcare is that NHS staff encounter on a day to day basis</w:t>
      </w:r>
      <w:r w:rsidR="0012002E">
        <w:rPr>
          <w:rFonts w:ascii="Arial" w:hAnsi="Arial" w:cs="Arial"/>
        </w:rPr>
        <w:t>,</w:t>
      </w:r>
      <w:r w:rsidR="0012002E" w:rsidRPr="00675666">
        <w:rPr>
          <w:rFonts w:ascii="Arial" w:hAnsi="Arial" w:cs="Arial"/>
        </w:rPr>
        <w:t xml:space="preserve"> information which is both confidential and sensitive in nature.</w:t>
      </w:r>
      <w:r w:rsidR="0012002E">
        <w:rPr>
          <w:rFonts w:ascii="Arial" w:hAnsi="Arial" w:cs="Arial"/>
        </w:rPr>
        <w:t xml:space="preserve"> The usage of this information</w:t>
      </w:r>
      <w:r>
        <w:rPr>
          <w:rFonts w:ascii="Arial" w:hAnsi="Arial" w:cs="Arial"/>
        </w:rPr>
        <w:t xml:space="preserve"> and the security of the systems the information reside in,</w:t>
      </w:r>
      <w:r w:rsidR="0012002E">
        <w:rPr>
          <w:rFonts w:ascii="Arial" w:hAnsi="Arial" w:cs="Arial"/>
        </w:rPr>
        <w:t xml:space="preserve"> is essential for the effective functioning of the health service as a public body</w:t>
      </w:r>
      <w:r>
        <w:rPr>
          <w:rFonts w:ascii="Arial" w:hAnsi="Arial" w:cs="Arial"/>
        </w:rPr>
        <w:t>,</w:t>
      </w:r>
      <w:r w:rsidR="0012002E">
        <w:rPr>
          <w:rFonts w:ascii="Arial" w:hAnsi="Arial" w:cs="Arial"/>
        </w:rPr>
        <w:t xml:space="preserve"> however w</w:t>
      </w:r>
      <w:r w:rsidR="0012002E" w:rsidRPr="00675666">
        <w:rPr>
          <w:rFonts w:ascii="Arial" w:hAnsi="Arial" w:cs="Arial"/>
        </w:rPr>
        <w:t>ith</w:t>
      </w:r>
      <w:r w:rsidR="0012002E">
        <w:rPr>
          <w:rFonts w:ascii="Arial" w:hAnsi="Arial" w:cs="Arial"/>
        </w:rPr>
        <w:t>in</w:t>
      </w:r>
      <w:r w:rsidR="0012002E" w:rsidRPr="00675666">
        <w:rPr>
          <w:rFonts w:ascii="Arial" w:hAnsi="Arial" w:cs="Arial"/>
        </w:rPr>
        <w:t xml:space="preserve"> the governmental environment of the NHS there are number of key pieces of legislation which affect the </w:t>
      </w:r>
      <w:r w:rsidR="0012002E">
        <w:rPr>
          <w:rFonts w:ascii="Arial" w:hAnsi="Arial" w:cs="Arial"/>
        </w:rPr>
        <w:t>everyday</w:t>
      </w:r>
      <w:r w:rsidR="0012002E" w:rsidRPr="00675666">
        <w:rPr>
          <w:rFonts w:ascii="Arial" w:hAnsi="Arial" w:cs="Arial"/>
        </w:rPr>
        <w:t xml:space="preserve"> workings of the health board</w:t>
      </w:r>
      <w:r w:rsidR="0012002E">
        <w:rPr>
          <w:rFonts w:ascii="Arial" w:hAnsi="Arial" w:cs="Arial"/>
        </w:rPr>
        <w:t xml:space="preserve"> and the usage of this sensitive information. </w:t>
      </w:r>
      <w:r w:rsidR="0012002E" w:rsidRPr="00675666">
        <w:rPr>
          <w:rFonts w:ascii="Arial" w:hAnsi="Arial" w:cs="Arial"/>
        </w:rPr>
        <w:t xml:space="preserve"> </w:t>
      </w:r>
      <w:r w:rsidR="0012002E">
        <w:rPr>
          <w:rFonts w:ascii="Arial" w:hAnsi="Arial" w:cs="Arial"/>
        </w:rPr>
        <w:t>S</w:t>
      </w:r>
      <w:r w:rsidR="0012002E" w:rsidRPr="00675666">
        <w:rPr>
          <w:rFonts w:ascii="Arial" w:hAnsi="Arial" w:cs="Arial"/>
        </w:rPr>
        <w:t>ome of these</w:t>
      </w:r>
      <w:r w:rsidR="0012002E">
        <w:rPr>
          <w:rFonts w:ascii="Arial" w:hAnsi="Arial" w:cs="Arial"/>
        </w:rPr>
        <w:t xml:space="preserve"> key</w:t>
      </w:r>
      <w:r w:rsidR="0012002E" w:rsidRPr="00675666">
        <w:rPr>
          <w:rFonts w:ascii="Arial" w:hAnsi="Arial" w:cs="Arial"/>
        </w:rPr>
        <w:t xml:space="preserve"> pieces of legislation </w:t>
      </w:r>
      <w:r w:rsidR="0012002E">
        <w:rPr>
          <w:rFonts w:ascii="Arial" w:hAnsi="Arial" w:cs="Arial"/>
        </w:rPr>
        <w:t>include</w:t>
      </w:r>
      <w:r w:rsidR="007E61FE">
        <w:rPr>
          <w:rFonts w:ascii="Arial" w:hAnsi="Arial" w:cs="Arial"/>
        </w:rPr>
        <w:t>:</w:t>
      </w:r>
    </w:p>
    <w:p w:rsidR="00451B37" w:rsidRDefault="0012002E">
      <w:pPr>
        <w:rPr>
          <w:rFonts w:ascii="Arial" w:hAnsi="Arial" w:cs="Arial"/>
        </w:rPr>
      </w:pPr>
      <w:r>
        <w:rPr>
          <w:rFonts w:ascii="Arial" w:hAnsi="Arial" w:cs="Arial"/>
        </w:rPr>
        <w:t xml:space="preserve"> </w:t>
      </w:r>
    </w:p>
    <w:p w:rsidR="00451B37" w:rsidRDefault="0012002E" w:rsidP="001F235B">
      <w:pPr>
        <w:numPr>
          <w:ilvl w:val="0"/>
          <w:numId w:val="3"/>
        </w:numPr>
        <w:rPr>
          <w:rFonts w:ascii="Arial" w:hAnsi="Arial" w:cs="Arial"/>
        </w:rPr>
      </w:pPr>
      <w:r>
        <w:rPr>
          <w:rFonts w:ascii="Arial" w:hAnsi="Arial" w:cs="Arial"/>
        </w:rPr>
        <w:t xml:space="preserve">Data Protection </w:t>
      </w:r>
      <w:r w:rsidR="004A5F00">
        <w:rPr>
          <w:rFonts w:ascii="Arial" w:hAnsi="Arial" w:cs="Arial"/>
        </w:rPr>
        <w:t>Act 2018</w:t>
      </w:r>
    </w:p>
    <w:p w:rsidR="004A5F00" w:rsidRDefault="004A5F00" w:rsidP="001F235B">
      <w:pPr>
        <w:numPr>
          <w:ilvl w:val="0"/>
          <w:numId w:val="3"/>
        </w:numPr>
        <w:rPr>
          <w:rFonts w:ascii="Arial" w:hAnsi="Arial" w:cs="Arial"/>
        </w:rPr>
      </w:pPr>
      <w:r>
        <w:rPr>
          <w:rFonts w:ascii="Arial" w:hAnsi="Arial" w:cs="Arial"/>
        </w:rPr>
        <w:t>UKGDPR</w:t>
      </w:r>
    </w:p>
    <w:p w:rsidR="004A5F00" w:rsidRDefault="004A5F00" w:rsidP="001F235B">
      <w:pPr>
        <w:numPr>
          <w:ilvl w:val="0"/>
          <w:numId w:val="3"/>
        </w:numPr>
        <w:rPr>
          <w:rFonts w:ascii="Arial" w:hAnsi="Arial" w:cs="Arial"/>
        </w:rPr>
      </w:pPr>
      <w:r>
        <w:rPr>
          <w:rFonts w:ascii="Arial" w:hAnsi="Arial" w:cs="Arial"/>
        </w:rPr>
        <w:t>NIS Directive</w:t>
      </w:r>
    </w:p>
    <w:p w:rsidR="00402CB3" w:rsidRDefault="00402CB3" w:rsidP="001F235B">
      <w:pPr>
        <w:numPr>
          <w:ilvl w:val="0"/>
          <w:numId w:val="3"/>
        </w:numPr>
        <w:rPr>
          <w:rFonts w:ascii="Arial" w:hAnsi="Arial" w:cs="Arial"/>
        </w:rPr>
      </w:pPr>
      <w:r>
        <w:rPr>
          <w:rFonts w:ascii="Arial" w:hAnsi="Arial" w:cs="Arial"/>
        </w:rPr>
        <w:t>Public Sector Cyber Resilience Framework</w:t>
      </w:r>
    </w:p>
    <w:p w:rsidR="00451B37" w:rsidRDefault="0012002E" w:rsidP="001F235B">
      <w:pPr>
        <w:numPr>
          <w:ilvl w:val="0"/>
          <w:numId w:val="3"/>
        </w:numPr>
        <w:rPr>
          <w:rFonts w:ascii="Arial" w:hAnsi="Arial" w:cs="Arial"/>
        </w:rPr>
      </w:pPr>
      <w:r>
        <w:rPr>
          <w:rFonts w:ascii="Arial" w:hAnsi="Arial" w:cs="Arial"/>
        </w:rPr>
        <w:t>Freedom of Information (</w:t>
      </w:r>
      <w:smartTag w:uri="urn:schemas-microsoft-com:office:smarttags" w:element="place">
        <w:smartTag w:uri="urn:schemas-microsoft-com:office:smarttags" w:element="country-region">
          <w:r w:rsidRPr="001F235B">
            <w:rPr>
              <w:rFonts w:ascii="Arial" w:hAnsi="Arial" w:cs="Arial"/>
            </w:rPr>
            <w:t>Scotland</w:t>
          </w:r>
        </w:smartTag>
      </w:smartTag>
      <w:r w:rsidRPr="001F235B">
        <w:rPr>
          <w:rFonts w:ascii="Arial" w:hAnsi="Arial" w:cs="Arial"/>
        </w:rPr>
        <w:t>) Act 2002</w:t>
      </w:r>
    </w:p>
    <w:p w:rsidR="00451B37" w:rsidRDefault="00402CB3" w:rsidP="001F235B">
      <w:pPr>
        <w:numPr>
          <w:ilvl w:val="0"/>
          <w:numId w:val="3"/>
        </w:numPr>
        <w:rPr>
          <w:rFonts w:ascii="Arial" w:hAnsi="Arial" w:cs="Arial"/>
        </w:rPr>
      </w:pPr>
      <w:r>
        <w:rPr>
          <w:rFonts w:ascii="Arial" w:hAnsi="Arial" w:cs="Arial"/>
        </w:rPr>
        <w:t xml:space="preserve">Public Records </w:t>
      </w:r>
      <w:r w:rsidR="0012002E">
        <w:rPr>
          <w:rFonts w:ascii="Arial" w:hAnsi="Arial" w:cs="Arial"/>
        </w:rPr>
        <w:t>Scotland</w:t>
      </w:r>
      <w:r>
        <w:rPr>
          <w:rFonts w:ascii="Arial" w:hAnsi="Arial" w:cs="Arial"/>
        </w:rPr>
        <w:t xml:space="preserve"> Act</w:t>
      </w:r>
      <w:r w:rsidR="0012002E">
        <w:rPr>
          <w:rFonts w:ascii="Arial" w:hAnsi="Arial" w:cs="Arial"/>
        </w:rPr>
        <w:t xml:space="preserve"> 2011</w:t>
      </w:r>
    </w:p>
    <w:p w:rsidR="00451B37" w:rsidRDefault="0012002E" w:rsidP="001F235B">
      <w:pPr>
        <w:numPr>
          <w:ilvl w:val="0"/>
          <w:numId w:val="3"/>
        </w:numPr>
        <w:rPr>
          <w:rFonts w:ascii="Arial" w:hAnsi="Arial" w:cs="Arial"/>
        </w:rPr>
      </w:pPr>
      <w:r>
        <w:rPr>
          <w:rFonts w:ascii="Arial" w:hAnsi="Arial" w:cs="Arial"/>
        </w:rPr>
        <w:t>Caldicott Report (1997)</w:t>
      </w:r>
    </w:p>
    <w:p w:rsidR="00451B37" w:rsidRDefault="0012002E" w:rsidP="001F235B">
      <w:pPr>
        <w:numPr>
          <w:ilvl w:val="0"/>
          <w:numId w:val="3"/>
        </w:numPr>
        <w:rPr>
          <w:rFonts w:ascii="Arial" w:hAnsi="Arial" w:cs="Arial"/>
        </w:rPr>
      </w:pPr>
      <w:r>
        <w:rPr>
          <w:rFonts w:ascii="Arial" w:hAnsi="Arial" w:cs="Arial"/>
        </w:rPr>
        <w:t xml:space="preserve">Common law of Confidentiality </w:t>
      </w:r>
    </w:p>
    <w:p w:rsidR="00451B37" w:rsidRDefault="00451B37">
      <w:pPr>
        <w:rPr>
          <w:rFonts w:ascii="Arial" w:hAnsi="Arial" w:cs="Arial"/>
        </w:rPr>
      </w:pPr>
    </w:p>
    <w:p w:rsidR="00451B37" w:rsidRDefault="00402CB3">
      <w:pPr>
        <w:rPr>
          <w:rFonts w:ascii="Arial" w:hAnsi="Arial" w:cs="Arial"/>
        </w:rPr>
      </w:pPr>
      <w:r>
        <w:rPr>
          <w:rFonts w:ascii="Arial" w:hAnsi="Arial" w:cs="Arial"/>
        </w:rPr>
        <w:t xml:space="preserve">Digital &amp; </w:t>
      </w:r>
      <w:r w:rsidR="004A5F00">
        <w:rPr>
          <w:rFonts w:ascii="Arial" w:hAnsi="Arial" w:cs="Arial"/>
        </w:rPr>
        <w:t>Information G</w:t>
      </w:r>
      <w:r w:rsidR="0012002E">
        <w:rPr>
          <w:rFonts w:ascii="Arial" w:hAnsi="Arial" w:cs="Arial"/>
        </w:rPr>
        <w:t xml:space="preserve">overnance aims to help support the NHS Scotland Quality strategy to become safe, effective and person centred organisation and to do this we must ensure that we are maintaining confidentiality and upholding the data protection principles whilst also allowing access to information where appropriate to deliver the best possible care in an effective manner. Within the </w:t>
      </w:r>
      <w:r w:rsidR="007123B9">
        <w:rPr>
          <w:rFonts w:ascii="Arial" w:hAnsi="Arial" w:cs="Arial"/>
        </w:rPr>
        <w:t>Board,</w:t>
      </w:r>
      <w:r w:rsidR="0012002E">
        <w:rPr>
          <w:rFonts w:ascii="Arial" w:hAnsi="Arial" w:cs="Arial"/>
        </w:rPr>
        <w:t xml:space="preserve"> </w:t>
      </w:r>
      <w:r w:rsidR="0012002E" w:rsidRPr="00675666">
        <w:rPr>
          <w:rFonts w:ascii="Arial" w:hAnsi="Arial" w:cs="Arial"/>
        </w:rPr>
        <w:t xml:space="preserve">there are specific measures and </w:t>
      </w:r>
      <w:r w:rsidR="0012002E">
        <w:rPr>
          <w:rFonts w:ascii="Arial" w:hAnsi="Arial" w:cs="Arial"/>
        </w:rPr>
        <w:t xml:space="preserve">actions </w:t>
      </w:r>
      <w:r w:rsidR="0012002E" w:rsidRPr="00675666">
        <w:rPr>
          <w:rFonts w:ascii="Arial" w:hAnsi="Arial" w:cs="Arial"/>
        </w:rPr>
        <w:t>undertaken by the board in order to man</w:t>
      </w:r>
      <w:r w:rsidR="0012002E">
        <w:rPr>
          <w:rFonts w:ascii="Arial" w:hAnsi="Arial" w:cs="Arial"/>
        </w:rPr>
        <w:t>age the risk and ensure that we can function effectively</w:t>
      </w:r>
    </w:p>
    <w:p w:rsidR="00451B37" w:rsidRDefault="00451B37">
      <w:pPr>
        <w:rPr>
          <w:rFonts w:ascii="Arial" w:hAnsi="Arial" w:cs="Arial"/>
        </w:rPr>
      </w:pPr>
    </w:p>
    <w:p w:rsidR="00451B37" w:rsidRDefault="0012002E">
      <w:pPr>
        <w:rPr>
          <w:rFonts w:ascii="Arial" w:hAnsi="Arial" w:cs="Arial"/>
          <w:b/>
        </w:rPr>
      </w:pPr>
      <w:r w:rsidRPr="003C7092">
        <w:rPr>
          <w:rFonts w:ascii="Arial" w:hAnsi="Arial" w:cs="Arial"/>
          <w:b/>
        </w:rPr>
        <w:t>Reporting</w:t>
      </w:r>
    </w:p>
    <w:p w:rsidR="00451B37" w:rsidRDefault="00451B37">
      <w:pPr>
        <w:rPr>
          <w:rFonts w:ascii="Arial" w:hAnsi="Arial" w:cs="Arial"/>
        </w:rPr>
      </w:pPr>
    </w:p>
    <w:p w:rsidR="00451B37" w:rsidRDefault="0012002E">
      <w:pPr>
        <w:rPr>
          <w:rFonts w:ascii="Arial" w:hAnsi="Arial" w:cs="Arial"/>
        </w:rPr>
      </w:pPr>
      <w:r>
        <w:rPr>
          <w:rFonts w:ascii="Arial" w:hAnsi="Arial" w:cs="Arial"/>
        </w:rPr>
        <w:t xml:space="preserve">Within the board there is </w:t>
      </w:r>
      <w:r w:rsidR="00633A95">
        <w:rPr>
          <w:rFonts w:ascii="Arial" w:hAnsi="Arial" w:cs="Arial"/>
        </w:rPr>
        <w:t xml:space="preserve">expertise </w:t>
      </w:r>
      <w:r>
        <w:rPr>
          <w:rFonts w:ascii="Arial" w:hAnsi="Arial" w:cs="Arial"/>
        </w:rPr>
        <w:t xml:space="preserve">for all of the aforementioned legislation </w:t>
      </w:r>
      <w:r w:rsidR="00800AB9">
        <w:rPr>
          <w:rFonts w:ascii="Arial" w:hAnsi="Arial" w:cs="Arial"/>
        </w:rPr>
        <w:t xml:space="preserve">within the </w:t>
      </w:r>
      <w:r w:rsidR="00402CB3">
        <w:rPr>
          <w:rFonts w:ascii="Arial" w:hAnsi="Arial" w:cs="Arial"/>
        </w:rPr>
        <w:t xml:space="preserve">Digital &amp; </w:t>
      </w:r>
      <w:r w:rsidR="00800AB9">
        <w:rPr>
          <w:rFonts w:ascii="Arial" w:hAnsi="Arial" w:cs="Arial"/>
        </w:rPr>
        <w:t>eH</w:t>
      </w:r>
      <w:r w:rsidR="00E35B2E">
        <w:rPr>
          <w:rFonts w:ascii="Arial" w:hAnsi="Arial" w:cs="Arial"/>
        </w:rPr>
        <w:t xml:space="preserve">ealth department </w:t>
      </w:r>
      <w:r>
        <w:rPr>
          <w:rFonts w:ascii="Arial" w:hAnsi="Arial" w:cs="Arial"/>
        </w:rPr>
        <w:t xml:space="preserve">in order to provide advice and assistance, identify risks and actions to mitigate risks and recognise opportunities for development and increased security and safety for our information. </w:t>
      </w:r>
    </w:p>
    <w:p w:rsidR="00451B37" w:rsidRDefault="00451B37">
      <w:pPr>
        <w:rPr>
          <w:rFonts w:ascii="Arial" w:hAnsi="Arial" w:cs="Arial"/>
        </w:rPr>
      </w:pPr>
    </w:p>
    <w:p w:rsidR="00451B37" w:rsidRDefault="00800AB9">
      <w:pPr>
        <w:rPr>
          <w:rFonts w:ascii="Arial" w:hAnsi="Arial" w:cs="Arial"/>
        </w:rPr>
      </w:pPr>
      <w:r>
        <w:rPr>
          <w:rFonts w:ascii="Arial" w:hAnsi="Arial" w:cs="Arial"/>
        </w:rPr>
        <w:t xml:space="preserve">The Medical Director </w:t>
      </w:r>
      <w:r w:rsidR="0012002E">
        <w:rPr>
          <w:rFonts w:ascii="Arial" w:hAnsi="Arial" w:cs="Arial"/>
        </w:rPr>
        <w:t>acts as C</w:t>
      </w:r>
      <w:r w:rsidR="00633A95">
        <w:rPr>
          <w:rFonts w:ascii="Arial" w:hAnsi="Arial" w:cs="Arial"/>
        </w:rPr>
        <w:t xml:space="preserve">aldicott Guardian for the </w:t>
      </w:r>
      <w:r>
        <w:rPr>
          <w:rFonts w:ascii="Arial" w:hAnsi="Arial" w:cs="Arial"/>
        </w:rPr>
        <w:t>B</w:t>
      </w:r>
      <w:r w:rsidR="00633A95">
        <w:rPr>
          <w:rFonts w:ascii="Arial" w:hAnsi="Arial" w:cs="Arial"/>
        </w:rPr>
        <w:t>oard</w:t>
      </w:r>
      <w:r w:rsidR="007E0D2D">
        <w:rPr>
          <w:rFonts w:ascii="Arial" w:hAnsi="Arial" w:cs="Arial"/>
        </w:rPr>
        <w:t xml:space="preserve"> and has regular monthly meetings with th</w:t>
      </w:r>
      <w:r w:rsidR="00402CB3">
        <w:rPr>
          <w:rFonts w:ascii="Arial" w:hAnsi="Arial" w:cs="Arial"/>
        </w:rPr>
        <w:t>e Head of Digital Governance/DPO</w:t>
      </w:r>
      <w:r w:rsidR="007E0D2D">
        <w:rPr>
          <w:rFonts w:ascii="Arial" w:hAnsi="Arial" w:cs="Arial"/>
        </w:rPr>
        <w:t xml:space="preserve">.  These meetings allow for discussions and updates around all aspects of </w:t>
      </w:r>
      <w:r w:rsidR="00402CB3">
        <w:rPr>
          <w:rFonts w:ascii="Arial" w:hAnsi="Arial" w:cs="Arial"/>
        </w:rPr>
        <w:t xml:space="preserve">digital and </w:t>
      </w:r>
      <w:r w:rsidR="007E0D2D">
        <w:rPr>
          <w:rFonts w:ascii="Arial" w:hAnsi="Arial" w:cs="Arial"/>
        </w:rPr>
        <w:t>information governance and is also a platform for highlighting areas of concern that need to be addressed.</w:t>
      </w:r>
    </w:p>
    <w:p w:rsidR="00451B37" w:rsidRDefault="00451B37">
      <w:pPr>
        <w:rPr>
          <w:rFonts w:ascii="Arial" w:hAnsi="Arial" w:cs="Arial"/>
        </w:rPr>
      </w:pPr>
    </w:p>
    <w:p w:rsidR="0087130D" w:rsidRDefault="0087130D" w:rsidP="001B44BD">
      <w:pPr>
        <w:rPr>
          <w:rFonts w:ascii="Arial" w:hAnsi="Arial" w:cs="Arial"/>
        </w:rPr>
      </w:pPr>
      <w:r>
        <w:rPr>
          <w:rFonts w:ascii="Arial" w:hAnsi="Arial" w:cs="Arial"/>
        </w:rPr>
        <w:t xml:space="preserve">The role of </w:t>
      </w:r>
      <w:r w:rsidRPr="00CA5D5C">
        <w:rPr>
          <w:rFonts w:ascii="Arial" w:hAnsi="Arial" w:cs="Arial"/>
        </w:rPr>
        <w:t>SIRO (Senior Information Risk Owner) within the Board</w:t>
      </w:r>
      <w:r>
        <w:rPr>
          <w:rFonts w:ascii="Arial" w:hAnsi="Arial" w:cs="Arial"/>
        </w:rPr>
        <w:t xml:space="preserve"> has been undertaken by the </w:t>
      </w:r>
      <w:r w:rsidRPr="00CA5D5C">
        <w:rPr>
          <w:rFonts w:ascii="Arial" w:hAnsi="Arial" w:cs="Arial"/>
        </w:rPr>
        <w:t>Director of Finance</w:t>
      </w:r>
      <w:r>
        <w:rPr>
          <w:rFonts w:ascii="Arial" w:hAnsi="Arial" w:cs="Arial"/>
        </w:rPr>
        <w:t>.</w:t>
      </w:r>
      <w:r w:rsidR="006260C6">
        <w:rPr>
          <w:rFonts w:ascii="Arial" w:hAnsi="Arial" w:cs="Arial"/>
        </w:rPr>
        <w:t xml:space="preserve">  </w:t>
      </w:r>
      <w:r w:rsidR="00C000D6">
        <w:rPr>
          <w:rFonts w:ascii="Arial" w:hAnsi="Arial" w:cs="Arial"/>
        </w:rPr>
        <w:t>Th</w:t>
      </w:r>
      <w:r w:rsidR="008621C3">
        <w:rPr>
          <w:rFonts w:ascii="Arial" w:hAnsi="Arial" w:cs="Arial"/>
        </w:rPr>
        <w:t>e Head of Digital</w:t>
      </w:r>
      <w:r w:rsidR="00A71ABC">
        <w:rPr>
          <w:rFonts w:ascii="Arial" w:hAnsi="Arial" w:cs="Arial"/>
        </w:rPr>
        <w:t xml:space="preserve"> Governance</w:t>
      </w:r>
      <w:r w:rsidR="00C000D6">
        <w:rPr>
          <w:rFonts w:ascii="Arial" w:hAnsi="Arial" w:cs="Arial"/>
        </w:rPr>
        <w:t xml:space="preserve"> has a dotted line reporting to the SIRO.  The role of SIRO</w:t>
      </w:r>
      <w:r w:rsidR="006260C6" w:rsidRPr="006260C6">
        <w:rPr>
          <w:rFonts w:ascii="Arial" w:hAnsi="Arial" w:cs="Arial"/>
        </w:rPr>
        <w:t xml:space="preserve"> was created to provide board-level accountability and greater assurance that </w:t>
      </w:r>
      <w:r w:rsidR="003B715A">
        <w:rPr>
          <w:rFonts w:ascii="Arial" w:hAnsi="Arial" w:cs="Arial"/>
        </w:rPr>
        <w:t xml:space="preserve">digital and </w:t>
      </w:r>
      <w:r w:rsidR="006260C6" w:rsidRPr="006260C6">
        <w:rPr>
          <w:rFonts w:ascii="Arial" w:hAnsi="Arial" w:cs="Arial"/>
        </w:rPr>
        <w:t xml:space="preserve">information risks are addressed. The SIRO ensures that </w:t>
      </w:r>
      <w:r w:rsidR="003B715A">
        <w:rPr>
          <w:rFonts w:ascii="Arial" w:hAnsi="Arial" w:cs="Arial"/>
        </w:rPr>
        <w:t xml:space="preserve">digital and </w:t>
      </w:r>
      <w:r w:rsidR="006260C6" w:rsidRPr="006260C6">
        <w:rPr>
          <w:rFonts w:ascii="Arial" w:hAnsi="Arial" w:cs="Arial"/>
        </w:rPr>
        <w:t>information risks are treated as a priority for business outcomes.</w:t>
      </w:r>
    </w:p>
    <w:p w:rsidR="00D27619" w:rsidRDefault="00D27619" w:rsidP="001B44BD">
      <w:pPr>
        <w:rPr>
          <w:rFonts w:ascii="Arial" w:hAnsi="Arial" w:cs="Arial"/>
        </w:rPr>
      </w:pPr>
    </w:p>
    <w:p w:rsidR="00D27619" w:rsidRPr="00596915" w:rsidRDefault="00D27619" w:rsidP="00D27619">
      <w:pPr>
        <w:rPr>
          <w:rFonts w:ascii="Arial" w:hAnsi="Arial" w:cs="Arial"/>
        </w:rPr>
      </w:pPr>
      <w:r>
        <w:rPr>
          <w:rFonts w:ascii="Arial" w:hAnsi="Arial" w:cs="Arial"/>
        </w:rPr>
        <w:lastRenderedPageBreak/>
        <w:t>The introduction of t</w:t>
      </w:r>
      <w:r w:rsidR="00A93D8B">
        <w:rPr>
          <w:rFonts w:ascii="Arial" w:hAnsi="Arial" w:cs="Arial"/>
        </w:rPr>
        <w:t>he EU</w:t>
      </w:r>
      <w:r w:rsidRPr="00596915">
        <w:rPr>
          <w:rFonts w:ascii="Arial" w:hAnsi="Arial" w:cs="Arial"/>
        </w:rPr>
        <w:t xml:space="preserve"> General Data Protection Regulation (GDPR)</w:t>
      </w:r>
      <w:r w:rsidR="004A5F00">
        <w:rPr>
          <w:rFonts w:ascii="Arial" w:hAnsi="Arial" w:cs="Arial"/>
        </w:rPr>
        <w:t>, in May 2018 and the subsequent UKGDPR, introduced on 1</w:t>
      </w:r>
      <w:r w:rsidR="004A5F00" w:rsidRPr="004A5F00">
        <w:rPr>
          <w:rFonts w:ascii="Arial" w:hAnsi="Arial" w:cs="Arial"/>
          <w:vertAlign w:val="superscript"/>
        </w:rPr>
        <w:t>st</w:t>
      </w:r>
      <w:r w:rsidR="004A5F00">
        <w:rPr>
          <w:rFonts w:ascii="Arial" w:hAnsi="Arial" w:cs="Arial"/>
        </w:rPr>
        <w:t xml:space="preserve"> January 2021, following the UK exit of the </w:t>
      </w:r>
      <w:r w:rsidR="00A93D8B">
        <w:rPr>
          <w:rFonts w:ascii="Arial" w:hAnsi="Arial" w:cs="Arial"/>
        </w:rPr>
        <w:t>EU, strengthens</w:t>
      </w:r>
      <w:r>
        <w:rPr>
          <w:rFonts w:ascii="Arial" w:hAnsi="Arial" w:cs="Arial"/>
        </w:rPr>
        <w:t xml:space="preserve"> the obligations on organisations.  One of which is to appoint a Data Protection Of</w:t>
      </w:r>
      <w:r w:rsidR="00FC19DA">
        <w:rPr>
          <w:rFonts w:ascii="Arial" w:hAnsi="Arial" w:cs="Arial"/>
        </w:rPr>
        <w:t xml:space="preserve">ficer (DPO).  This role has been </w:t>
      </w:r>
      <w:r w:rsidR="003B715A">
        <w:rPr>
          <w:rFonts w:ascii="Arial" w:hAnsi="Arial" w:cs="Arial"/>
        </w:rPr>
        <w:t>undertaken by the Head of Digital Governance</w:t>
      </w:r>
      <w:r>
        <w:rPr>
          <w:rFonts w:ascii="Arial" w:hAnsi="Arial" w:cs="Arial"/>
        </w:rPr>
        <w:t xml:space="preserve"> </w:t>
      </w:r>
      <w:r w:rsidR="004A5F00">
        <w:rPr>
          <w:rFonts w:ascii="Arial" w:hAnsi="Arial" w:cs="Arial"/>
        </w:rPr>
        <w:t>within NHS Golden Jubilee</w:t>
      </w:r>
      <w:r>
        <w:rPr>
          <w:rFonts w:ascii="Arial" w:hAnsi="Arial" w:cs="Arial"/>
        </w:rPr>
        <w:t>.</w:t>
      </w:r>
    </w:p>
    <w:p w:rsidR="0087130D" w:rsidRDefault="0087130D" w:rsidP="001B44BD">
      <w:pPr>
        <w:rPr>
          <w:rFonts w:ascii="Arial" w:hAnsi="Arial" w:cs="Arial"/>
        </w:rPr>
      </w:pPr>
    </w:p>
    <w:p w:rsidR="001B44BD" w:rsidRDefault="0012002E" w:rsidP="001B44BD">
      <w:pPr>
        <w:rPr>
          <w:rFonts w:ascii="Arial" w:hAnsi="Arial" w:cs="Arial"/>
        </w:rPr>
      </w:pPr>
      <w:r>
        <w:rPr>
          <w:rFonts w:ascii="Arial" w:hAnsi="Arial" w:cs="Arial"/>
        </w:rPr>
        <w:t>The iss</w:t>
      </w:r>
      <w:r w:rsidR="00632ADE">
        <w:rPr>
          <w:rFonts w:ascii="Arial" w:hAnsi="Arial" w:cs="Arial"/>
        </w:rPr>
        <w:t xml:space="preserve">ues and decision making around </w:t>
      </w:r>
      <w:r w:rsidR="00A71ABC">
        <w:rPr>
          <w:rFonts w:ascii="Arial" w:hAnsi="Arial" w:cs="Arial"/>
        </w:rPr>
        <w:t xml:space="preserve">Digital &amp; </w:t>
      </w:r>
      <w:r w:rsidR="00632ADE">
        <w:rPr>
          <w:rFonts w:ascii="Arial" w:hAnsi="Arial" w:cs="Arial"/>
        </w:rPr>
        <w:t>Information G</w:t>
      </w:r>
      <w:r>
        <w:rPr>
          <w:rFonts w:ascii="Arial" w:hAnsi="Arial" w:cs="Arial"/>
        </w:rPr>
        <w:t xml:space="preserve">overnance </w:t>
      </w:r>
      <w:r w:rsidR="00691CDC">
        <w:rPr>
          <w:rFonts w:ascii="Arial" w:hAnsi="Arial" w:cs="Arial"/>
        </w:rPr>
        <w:t xml:space="preserve">are </w:t>
      </w:r>
      <w:r>
        <w:rPr>
          <w:rFonts w:ascii="Arial" w:hAnsi="Arial" w:cs="Arial"/>
        </w:rPr>
        <w:t xml:space="preserve">reported through </w:t>
      </w:r>
      <w:r w:rsidR="00157197">
        <w:rPr>
          <w:rFonts w:ascii="Arial" w:hAnsi="Arial" w:cs="Arial"/>
        </w:rPr>
        <w:t xml:space="preserve">the </w:t>
      </w:r>
      <w:r w:rsidR="00A71ABC">
        <w:rPr>
          <w:rFonts w:ascii="Arial" w:hAnsi="Arial" w:cs="Arial"/>
        </w:rPr>
        <w:t>Digital</w:t>
      </w:r>
      <w:r w:rsidR="00F7338E">
        <w:rPr>
          <w:rFonts w:ascii="Arial" w:hAnsi="Arial" w:cs="Arial"/>
        </w:rPr>
        <w:t xml:space="preserve"> Governance </w:t>
      </w:r>
      <w:r w:rsidR="00D715DC">
        <w:rPr>
          <w:rFonts w:ascii="Arial" w:hAnsi="Arial" w:cs="Arial"/>
        </w:rPr>
        <w:t>Group</w:t>
      </w:r>
      <w:r w:rsidR="0060134D">
        <w:rPr>
          <w:rFonts w:ascii="Arial" w:hAnsi="Arial" w:cs="Arial"/>
        </w:rPr>
        <w:t xml:space="preserve"> which reports directly to the Clinical Governance Committee of the Board</w:t>
      </w:r>
      <w:r w:rsidR="00632ADE">
        <w:rPr>
          <w:rFonts w:ascii="Arial" w:hAnsi="Arial" w:cs="Arial"/>
        </w:rPr>
        <w:t xml:space="preserve">.  An </w:t>
      </w:r>
      <w:r w:rsidR="00632ADE">
        <w:rPr>
          <w:rFonts w:ascii="Arial" w:hAnsi="Arial" w:cs="Arial"/>
          <w:bCs/>
          <w:lang w:eastAsia="en-GB"/>
        </w:rPr>
        <w:t xml:space="preserve">annual </w:t>
      </w:r>
      <w:r w:rsidR="00A71ABC">
        <w:rPr>
          <w:rFonts w:ascii="Arial" w:hAnsi="Arial" w:cs="Arial"/>
          <w:bCs/>
          <w:lang w:eastAsia="en-GB"/>
        </w:rPr>
        <w:t xml:space="preserve">Digital &amp; </w:t>
      </w:r>
      <w:r w:rsidR="00632ADE">
        <w:rPr>
          <w:rFonts w:ascii="Arial" w:hAnsi="Arial" w:cs="Arial"/>
          <w:bCs/>
          <w:lang w:eastAsia="en-GB"/>
        </w:rPr>
        <w:t>Information Governance Report will be produced and submitted to the Clinical Governance Committee.</w:t>
      </w:r>
    </w:p>
    <w:p w:rsidR="001B44BD" w:rsidRDefault="001B44BD" w:rsidP="001B44BD">
      <w:pPr>
        <w:rPr>
          <w:rFonts w:ascii="Arial" w:hAnsi="Arial" w:cs="Arial"/>
        </w:rPr>
      </w:pPr>
    </w:p>
    <w:p w:rsidR="001B44BD" w:rsidRDefault="00FC19DA" w:rsidP="001B44BD">
      <w:pPr>
        <w:rPr>
          <w:rFonts w:ascii="Arial" w:hAnsi="Arial" w:cs="Arial"/>
        </w:rPr>
      </w:pPr>
      <w:r>
        <w:rPr>
          <w:rFonts w:ascii="Arial" w:hAnsi="Arial" w:cs="Arial"/>
        </w:rPr>
        <w:t xml:space="preserve">The </w:t>
      </w:r>
      <w:r w:rsidR="00A71ABC">
        <w:rPr>
          <w:rFonts w:ascii="Arial" w:hAnsi="Arial" w:cs="Arial"/>
        </w:rPr>
        <w:t>Digital</w:t>
      </w:r>
      <w:r w:rsidR="001B44BD">
        <w:rPr>
          <w:rFonts w:ascii="Arial" w:hAnsi="Arial" w:cs="Arial"/>
        </w:rPr>
        <w:t xml:space="preserve"> Governance Group meets </w:t>
      </w:r>
      <w:r>
        <w:rPr>
          <w:rFonts w:ascii="Arial" w:hAnsi="Arial" w:cs="Arial"/>
        </w:rPr>
        <w:t>every</w:t>
      </w:r>
      <w:r w:rsidR="0060134D">
        <w:rPr>
          <w:rFonts w:ascii="Arial" w:hAnsi="Arial" w:cs="Arial"/>
        </w:rPr>
        <w:t xml:space="preserve"> quarter</w:t>
      </w:r>
      <w:r w:rsidR="001B44BD">
        <w:rPr>
          <w:rFonts w:ascii="Arial" w:hAnsi="Arial" w:cs="Arial"/>
        </w:rPr>
        <w:t xml:space="preserve"> and is attended </w:t>
      </w:r>
      <w:r w:rsidR="00632ADE">
        <w:rPr>
          <w:rFonts w:ascii="Arial" w:hAnsi="Arial" w:cs="Arial"/>
        </w:rPr>
        <w:t>by representation</w:t>
      </w:r>
      <w:r w:rsidR="001B44BD">
        <w:rPr>
          <w:rFonts w:ascii="Arial" w:hAnsi="Arial" w:cs="Arial"/>
        </w:rPr>
        <w:t xml:space="preserve"> from across the organisation including </w:t>
      </w:r>
      <w:r w:rsidR="00632ADE">
        <w:rPr>
          <w:rFonts w:ascii="Arial" w:hAnsi="Arial" w:cs="Arial"/>
        </w:rPr>
        <w:t>Executive Directors, Heads</w:t>
      </w:r>
      <w:r w:rsidR="001B44BD">
        <w:rPr>
          <w:rFonts w:ascii="Arial" w:hAnsi="Arial" w:cs="Arial"/>
        </w:rPr>
        <w:t xml:space="preserve"> of Service and Service Managers.  This group is c</w:t>
      </w:r>
      <w:r>
        <w:rPr>
          <w:rFonts w:ascii="Arial" w:hAnsi="Arial" w:cs="Arial"/>
        </w:rPr>
        <w:t>haired by the SIRO</w:t>
      </w:r>
      <w:r w:rsidR="00A71ABC">
        <w:rPr>
          <w:rFonts w:ascii="Arial" w:hAnsi="Arial" w:cs="Arial"/>
        </w:rPr>
        <w:t xml:space="preserve"> and co-chaired by the Caldicott Guardian</w:t>
      </w:r>
      <w:r w:rsidR="001201BB">
        <w:rPr>
          <w:rFonts w:ascii="Arial" w:hAnsi="Arial" w:cs="Arial"/>
        </w:rPr>
        <w:t>.</w:t>
      </w:r>
      <w:r w:rsidR="001B44BD">
        <w:rPr>
          <w:rFonts w:ascii="Arial" w:hAnsi="Arial" w:cs="Arial"/>
        </w:rPr>
        <w:t xml:space="preserve">  The group has remit to ensure that </w:t>
      </w:r>
      <w:r w:rsidR="007123B9">
        <w:rPr>
          <w:rFonts w:ascii="Arial" w:hAnsi="Arial" w:cs="Arial"/>
        </w:rPr>
        <w:t>the Board</w:t>
      </w:r>
      <w:r w:rsidR="001B44BD">
        <w:rPr>
          <w:rFonts w:ascii="Arial" w:hAnsi="Arial" w:cs="Arial"/>
        </w:rPr>
        <w:t xml:space="preserve"> has a robust </w:t>
      </w:r>
      <w:r w:rsidR="00A71ABC">
        <w:rPr>
          <w:rFonts w:ascii="Arial" w:hAnsi="Arial" w:cs="Arial"/>
        </w:rPr>
        <w:t xml:space="preserve">Digital &amp; </w:t>
      </w:r>
      <w:r w:rsidR="001B44BD">
        <w:rPr>
          <w:rFonts w:ascii="Arial" w:hAnsi="Arial" w:cs="Arial"/>
        </w:rPr>
        <w:t xml:space="preserve">Information Governance framework in place and offer opportunity to discuss </w:t>
      </w:r>
      <w:r w:rsidR="00A71ABC">
        <w:rPr>
          <w:rFonts w:ascii="Arial" w:hAnsi="Arial" w:cs="Arial"/>
        </w:rPr>
        <w:t xml:space="preserve">digital and </w:t>
      </w:r>
      <w:r w:rsidR="001B44BD">
        <w:rPr>
          <w:rFonts w:ascii="Arial" w:hAnsi="Arial" w:cs="Arial"/>
        </w:rPr>
        <w:t>information governance issues.  This group also offers peer support across the organisation, answering any information</w:t>
      </w:r>
      <w:r w:rsidR="00A71ABC">
        <w:rPr>
          <w:rFonts w:ascii="Arial" w:hAnsi="Arial" w:cs="Arial"/>
        </w:rPr>
        <w:t xml:space="preserve"> digital and</w:t>
      </w:r>
      <w:r w:rsidR="001B44BD">
        <w:rPr>
          <w:rFonts w:ascii="Arial" w:hAnsi="Arial" w:cs="Arial"/>
        </w:rPr>
        <w:t xml:space="preserve"> governance questions and sharing good practice.  An up</w:t>
      </w:r>
      <w:r w:rsidR="00A71ABC">
        <w:rPr>
          <w:rFonts w:ascii="Arial" w:hAnsi="Arial" w:cs="Arial"/>
        </w:rPr>
        <w:t>date report from the Digital</w:t>
      </w:r>
      <w:r w:rsidR="001B44BD">
        <w:rPr>
          <w:rFonts w:ascii="Arial" w:hAnsi="Arial" w:cs="Arial"/>
        </w:rPr>
        <w:t xml:space="preserve"> Governance Group is submitt</w:t>
      </w:r>
      <w:r w:rsidR="00A11B87">
        <w:rPr>
          <w:rFonts w:ascii="Arial" w:hAnsi="Arial" w:cs="Arial"/>
        </w:rPr>
        <w:t xml:space="preserve">ed to the </w:t>
      </w:r>
      <w:r w:rsidR="00D715DC">
        <w:rPr>
          <w:rFonts w:ascii="Arial" w:hAnsi="Arial" w:cs="Arial"/>
        </w:rPr>
        <w:t xml:space="preserve">Audit </w:t>
      </w:r>
      <w:r w:rsidR="00A11B87">
        <w:rPr>
          <w:rFonts w:ascii="Arial" w:hAnsi="Arial" w:cs="Arial"/>
        </w:rPr>
        <w:t xml:space="preserve">and </w:t>
      </w:r>
      <w:r w:rsidR="00D715DC">
        <w:rPr>
          <w:rFonts w:ascii="Arial" w:hAnsi="Arial" w:cs="Arial"/>
        </w:rPr>
        <w:t xml:space="preserve">Risk </w:t>
      </w:r>
      <w:r w:rsidR="00A11B87">
        <w:rPr>
          <w:rFonts w:ascii="Arial" w:hAnsi="Arial" w:cs="Arial"/>
        </w:rPr>
        <w:t>committee</w:t>
      </w:r>
      <w:r w:rsidR="00A71ABC">
        <w:rPr>
          <w:rFonts w:ascii="Arial" w:hAnsi="Arial" w:cs="Arial"/>
        </w:rPr>
        <w:t xml:space="preserve"> on an</w:t>
      </w:r>
      <w:r w:rsidR="00632ADE">
        <w:rPr>
          <w:rFonts w:ascii="Arial" w:hAnsi="Arial" w:cs="Arial"/>
        </w:rPr>
        <w:t xml:space="preserve"> annual</w:t>
      </w:r>
      <w:r w:rsidR="001B44BD">
        <w:rPr>
          <w:rFonts w:ascii="Arial" w:hAnsi="Arial" w:cs="Arial"/>
        </w:rPr>
        <w:t xml:space="preserve"> basis. This report which includes details of </w:t>
      </w:r>
      <w:r w:rsidR="00A11B87">
        <w:rPr>
          <w:rFonts w:ascii="Arial" w:hAnsi="Arial" w:cs="Arial"/>
        </w:rPr>
        <w:t xml:space="preserve">any </w:t>
      </w:r>
      <w:r w:rsidR="00A71ABC">
        <w:rPr>
          <w:rFonts w:ascii="Arial" w:hAnsi="Arial" w:cs="Arial"/>
        </w:rPr>
        <w:t xml:space="preserve">digital and </w:t>
      </w:r>
      <w:r w:rsidR="00A11B87">
        <w:rPr>
          <w:rFonts w:ascii="Arial" w:hAnsi="Arial" w:cs="Arial"/>
        </w:rPr>
        <w:t>information</w:t>
      </w:r>
      <w:r w:rsidR="001B44BD">
        <w:rPr>
          <w:rFonts w:ascii="Arial" w:hAnsi="Arial" w:cs="Arial"/>
        </w:rPr>
        <w:t xml:space="preserve"> governance incidents which may have occu</w:t>
      </w:r>
      <w:r w:rsidR="00A71ABC">
        <w:rPr>
          <w:rFonts w:ascii="Arial" w:hAnsi="Arial" w:cs="Arial"/>
        </w:rPr>
        <w:t>rred</w:t>
      </w:r>
      <w:r w:rsidR="001B44BD">
        <w:rPr>
          <w:rFonts w:ascii="Arial" w:hAnsi="Arial" w:cs="Arial"/>
        </w:rPr>
        <w:t xml:space="preserve"> and the action</w:t>
      </w:r>
      <w:r w:rsidR="00A71ABC">
        <w:rPr>
          <w:rFonts w:ascii="Arial" w:hAnsi="Arial" w:cs="Arial"/>
        </w:rPr>
        <w:t>s</w:t>
      </w:r>
      <w:r w:rsidR="001B44BD">
        <w:rPr>
          <w:rFonts w:ascii="Arial" w:hAnsi="Arial" w:cs="Arial"/>
        </w:rPr>
        <w:t xml:space="preserve"> taken to </w:t>
      </w:r>
      <w:r w:rsidR="00A11B87">
        <w:rPr>
          <w:rFonts w:ascii="Arial" w:hAnsi="Arial" w:cs="Arial"/>
        </w:rPr>
        <w:t>remediate,</w:t>
      </w:r>
      <w:r w:rsidR="001B44BD">
        <w:rPr>
          <w:rFonts w:ascii="Arial" w:hAnsi="Arial" w:cs="Arial"/>
        </w:rPr>
        <w:t xml:space="preserve"> also contains details of FOI compliance which is in addition reported quarterly to the </w:t>
      </w:r>
      <w:r w:rsidR="00D715DC">
        <w:rPr>
          <w:rFonts w:ascii="Arial" w:hAnsi="Arial" w:cs="Arial"/>
        </w:rPr>
        <w:t>S</w:t>
      </w:r>
      <w:r w:rsidR="001B44BD">
        <w:rPr>
          <w:rFonts w:ascii="Arial" w:hAnsi="Arial" w:cs="Arial"/>
        </w:rPr>
        <w:t xml:space="preserve">enior </w:t>
      </w:r>
      <w:r w:rsidR="00D715DC">
        <w:rPr>
          <w:rFonts w:ascii="Arial" w:hAnsi="Arial" w:cs="Arial"/>
        </w:rPr>
        <w:t>M</w:t>
      </w:r>
      <w:r w:rsidR="001B44BD">
        <w:rPr>
          <w:rFonts w:ascii="Arial" w:hAnsi="Arial" w:cs="Arial"/>
        </w:rPr>
        <w:t xml:space="preserve">anagement </w:t>
      </w:r>
      <w:r w:rsidR="00D715DC">
        <w:rPr>
          <w:rFonts w:ascii="Arial" w:hAnsi="Arial" w:cs="Arial"/>
        </w:rPr>
        <w:t>T</w:t>
      </w:r>
      <w:r w:rsidR="001B44BD">
        <w:rPr>
          <w:rFonts w:ascii="Arial" w:hAnsi="Arial" w:cs="Arial"/>
        </w:rPr>
        <w:t>eam via the corporate FOI lead. The update also contains detail</w:t>
      </w:r>
      <w:r w:rsidR="00157197">
        <w:rPr>
          <w:rFonts w:ascii="Arial" w:hAnsi="Arial" w:cs="Arial"/>
        </w:rPr>
        <w:t>s</w:t>
      </w:r>
      <w:r w:rsidR="001B44BD">
        <w:rPr>
          <w:rFonts w:ascii="Arial" w:hAnsi="Arial" w:cs="Arial"/>
        </w:rPr>
        <w:t xml:space="preserve"> </w:t>
      </w:r>
      <w:r w:rsidR="001201BB">
        <w:rPr>
          <w:rFonts w:ascii="Arial" w:hAnsi="Arial" w:cs="Arial"/>
        </w:rPr>
        <w:t>of any</w:t>
      </w:r>
      <w:r w:rsidR="001B44BD">
        <w:rPr>
          <w:rFonts w:ascii="Arial" w:hAnsi="Arial" w:cs="Arial"/>
        </w:rPr>
        <w:t xml:space="preserve"> new developments</w:t>
      </w:r>
      <w:r w:rsidR="00157197">
        <w:rPr>
          <w:rFonts w:ascii="Arial" w:hAnsi="Arial" w:cs="Arial"/>
        </w:rPr>
        <w:t>,</w:t>
      </w:r>
      <w:r w:rsidR="001B44BD">
        <w:rPr>
          <w:rFonts w:ascii="Arial" w:hAnsi="Arial" w:cs="Arial"/>
        </w:rPr>
        <w:t xml:space="preserve"> </w:t>
      </w:r>
      <w:r w:rsidR="00157197">
        <w:rPr>
          <w:rFonts w:ascii="Arial" w:hAnsi="Arial" w:cs="Arial"/>
        </w:rPr>
        <w:t xml:space="preserve">legislative </w:t>
      </w:r>
      <w:r w:rsidR="001B44BD">
        <w:rPr>
          <w:rFonts w:ascii="Arial" w:hAnsi="Arial" w:cs="Arial"/>
        </w:rPr>
        <w:t>change</w:t>
      </w:r>
      <w:r w:rsidR="00157197">
        <w:rPr>
          <w:rFonts w:ascii="Arial" w:hAnsi="Arial" w:cs="Arial"/>
        </w:rPr>
        <w:t xml:space="preserve"> and service</w:t>
      </w:r>
      <w:r w:rsidR="001B44BD">
        <w:rPr>
          <w:rFonts w:ascii="Arial" w:hAnsi="Arial" w:cs="Arial"/>
        </w:rPr>
        <w:t xml:space="preserve"> initiatives within </w:t>
      </w:r>
      <w:r w:rsidR="00A71ABC">
        <w:rPr>
          <w:rFonts w:ascii="Arial" w:hAnsi="Arial" w:cs="Arial"/>
        </w:rPr>
        <w:t xml:space="preserve">digital and </w:t>
      </w:r>
      <w:r w:rsidR="001B44BD">
        <w:rPr>
          <w:rFonts w:ascii="Arial" w:hAnsi="Arial" w:cs="Arial"/>
        </w:rPr>
        <w:t xml:space="preserve">information governance to inform </w:t>
      </w:r>
      <w:r w:rsidR="00157197">
        <w:rPr>
          <w:rFonts w:ascii="Arial" w:hAnsi="Arial" w:cs="Arial"/>
        </w:rPr>
        <w:t>members</w:t>
      </w:r>
      <w:r w:rsidR="001B44BD">
        <w:rPr>
          <w:rFonts w:ascii="Arial" w:hAnsi="Arial" w:cs="Arial"/>
        </w:rPr>
        <w:t xml:space="preserve"> and for further dissemination and discussion throughout the </w:t>
      </w:r>
      <w:r w:rsidR="00157197">
        <w:rPr>
          <w:rFonts w:ascii="Arial" w:hAnsi="Arial" w:cs="Arial"/>
        </w:rPr>
        <w:t>Board</w:t>
      </w:r>
      <w:r w:rsidR="001B44BD">
        <w:rPr>
          <w:rFonts w:ascii="Arial" w:hAnsi="Arial" w:cs="Arial"/>
        </w:rPr>
        <w:t>.</w:t>
      </w:r>
    </w:p>
    <w:p w:rsidR="001B44BD" w:rsidRDefault="001B44BD">
      <w:pPr>
        <w:rPr>
          <w:rFonts w:ascii="Arial" w:hAnsi="Arial" w:cs="Arial"/>
        </w:rPr>
      </w:pPr>
    </w:p>
    <w:p w:rsidR="00451B37" w:rsidRDefault="0038021F" w:rsidP="00DC7284">
      <w:pPr>
        <w:rPr>
          <w:rFonts w:ascii="Arial" w:hAnsi="Arial" w:cs="Arial"/>
        </w:rPr>
      </w:pPr>
      <w:r w:rsidRPr="0029484F">
        <w:rPr>
          <w:rFonts w:ascii="Arial" w:hAnsi="Arial" w:cs="Arial"/>
        </w:rPr>
        <w:t>During</w:t>
      </w:r>
      <w:r w:rsidR="00FD0462" w:rsidRPr="0029484F">
        <w:rPr>
          <w:rFonts w:ascii="Arial" w:hAnsi="Arial" w:cs="Arial"/>
        </w:rPr>
        <w:t xml:space="preserve"> 20</w:t>
      </w:r>
      <w:r w:rsidR="003B1394">
        <w:rPr>
          <w:rFonts w:ascii="Arial" w:hAnsi="Arial" w:cs="Arial"/>
        </w:rPr>
        <w:t>22/23</w:t>
      </w:r>
      <w:r w:rsidRPr="0029484F">
        <w:rPr>
          <w:rFonts w:ascii="Arial" w:hAnsi="Arial" w:cs="Arial"/>
        </w:rPr>
        <w:t xml:space="preserve">, </w:t>
      </w:r>
      <w:r w:rsidR="00075761" w:rsidRPr="0029484F">
        <w:rPr>
          <w:rFonts w:ascii="Arial" w:hAnsi="Arial" w:cs="Arial"/>
        </w:rPr>
        <w:t xml:space="preserve">a total of </w:t>
      </w:r>
      <w:r w:rsidR="00FA042A">
        <w:rPr>
          <w:rFonts w:ascii="Arial" w:hAnsi="Arial" w:cs="Arial"/>
          <w:b/>
        </w:rPr>
        <w:t>35</w:t>
      </w:r>
      <w:r w:rsidR="002B559B" w:rsidRPr="0029484F">
        <w:rPr>
          <w:rFonts w:ascii="Arial" w:hAnsi="Arial" w:cs="Arial"/>
        </w:rPr>
        <w:t xml:space="preserve"> information</w:t>
      </w:r>
      <w:r w:rsidR="00CA5D5C" w:rsidRPr="0029484F">
        <w:rPr>
          <w:rFonts w:ascii="Arial" w:hAnsi="Arial" w:cs="Arial"/>
        </w:rPr>
        <w:t xml:space="preserve"> incidents have been recorded on</w:t>
      </w:r>
      <w:r w:rsidRPr="0029484F">
        <w:rPr>
          <w:rFonts w:ascii="Arial" w:hAnsi="Arial" w:cs="Arial"/>
        </w:rPr>
        <w:t xml:space="preserve"> Datix</w:t>
      </w:r>
      <w:r w:rsidR="00CA5D5C" w:rsidRPr="0029484F">
        <w:rPr>
          <w:rFonts w:ascii="Arial" w:hAnsi="Arial" w:cs="Arial"/>
        </w:rPr>
        <w:t xml:space="preserve"> risk management system</w:t>
      </w:r>
      <w:r w:rsidR="005F0842" w:rsidRPr="0029484F">
        <w:rPr>
          <w:rFonts w:ascii="Arial" w:hAnsi="Arial" w:cs="Arial"/>
        </w:rPr>
        <w:t xml:space="preserve">. </w:t>
      </w:r>
      <w:r w:rsidR="008036AE">
        <w:rPr>
          <w:rFonts w:ascii="Arial" w:hAnsi="Arial" w:cs="Arial"/>
          <w:b/>
        </w:rPr>
        <w:t>19</w:t>
      </w:r>
      <w:r w:rsidR="00CE106C">
        <w:rPr>
          <w:rFonts w:ascii="Arial" w:hAnsi="Arial" w:cs="Arial"/>
          <w:b/>
        </w:rPr>
        <w:t xml:space="preserve"> </w:t>
      </w:r>
      <w:r w:rsidR="00CE106C" w:rsidRPr="00CE106C">
        <w:rPr>
          <w:rFonts w:ascii="Arial" w:hAnsi="Arial" w:cs="Arial"/>
        </w:rPr>
        <w:t>of these incidents were categorised as minor</w:t>
      </w:r>
      <w:r w:rsidR="00075761" w:rsidRPr="0029484F">
        <w:rPr>
          <w:rFonts w:ascii="Arial" w:hAnsi="Arial" w:cs="Arial"/>
        </w:rPr>
        <w:t xml:space="preserve"> and </w:t>
      </w:r>
      <w:r w:rsidR="00CE106C">
        <w:rPr>
          <w:rFonts w:ascii="Arial" w:hAnsi="Arial" w:cs="Arial"/>
          <w:b/>
        </w:rPr>
        <w:t>4</w:t>
      </w:r>
      <w:r w:rsidR="005F0842" w:rsidRPr="0029484F">
        <w:rPr>
          <w:rFonts w:ascii="Arial" w:hAnsi="Arial" w:cs="Arial"/>
        </w:rPr>
        <w:t xml:space="preserve"> as negligible</w:t>
      </w:r>
      <w:r w:rsidR="00075761" w:rsidRPr="0029484F">
        <w:rPr>
          <w:rFonts w:ascii="Arial" w:hAnsi="Arial" w:cs="Arial"/>
        </w:rPr>
        <w:t xml:space="preserve">.  </w:t>
      </w:r>
      <w:r w:rsidR="00CE106C">
        <w:rPr>
          <w:rFonts w:ascii="Arial" w:hAnsi="Arial" w:cs="Arial"/>
        </w:rPr>
        <w:t>Of t</w:t>
      </w:r>
      <w:r w:rsidR="005F0842" w:rsidRPr="0029484F">
        <w:rPr>
          <w:rFonts w:ascii="Arial" w:hAnsi="Arial" w:cs="Arial"/>
        </w:rPr>
        <w:t>he remaining</w:t>
      </w:r>
      <w:r w:rsidR="0029484F" w:rsidRPr="0029484F">
        <w:rPr>
          <w:rFonts w:ascii="Arial" w:hAnsi="Arial" w:cs="Arial"/>
          <w:b/>
        </w:rPr>
        <w:t xml:space="preserve"> </w:t>
      </w:r>
      <w:r w:rsidR="00CE106C">
        <w:rPr>
          <w:rFonts w:ascii="Arial" w:hAnsi="Arial" w:cs="Arial"/>
          <w:b/>
        </w:rPr>
        <w:t>1</w:t>
      </w:r>
      <w:r w:rsidR="008036AE">
        <w:rPr>
          <w:rFonts w:ascii="Arial" w:hAnsi="Arial" w:cs="Arial"/>
          <w:b/>
        </w:rPr>
        <w:t>2</w:t>
      </w:r>
      <w:r w:rsidR="005F0842" w:rsidRPr="0029484F">
        <w:rPr>
          <w:rFonts w:ascii="Arial" w:hAnsi="Arial" w:cs="Arial"/>
        </w:rPr>
        <w:t xml:space="preserve"> incidents, </w:t>
      </w:r>
      <w:r w:rsidR="008036AE">
        <w:rPr>
          <w:rFonts w:ascii="Arial" w:hAnsi="Arial" w:cs="Arial"/>
          <w:b/>
        </w:rPr>
        <w:t>11</w:t>
      </w:r>
      <w:r w:rsidR="00CE106C">
        <w:rPr>
          <w:rFonts w:ascii="Arial" w:hAnsi="Arial" w:cs="Arial"/>
          <w:b/>
        </w:rPr>
        <w:t xml:space="preserve"> </w:t>
      </w:r>
      <w:r w:rsidR="00CE106C">
        <w:rPr>
          <w:rFonts w:ascii="Arial" w:hAnsi="Arial" w:cs="Arial"/>
        </w:rPr>
        <w:t>are</w:t>
      </w:r>
      <w:r w:rsidR="00FC3892">
        <w:rPr>
          <w:rFonts w:ascii="Arial" w:hAnsi="Arial" w:cs="Arial"/>
        </w:rPr>
        <w:t xml:space="preserve"> categorised as moderate and </w:t>
      </w:r>
      <w:r w:rsidR="00FC3892">
        <w:rPr>
          <w:rFonts w:ascii="Arial" w:hAnsi="Arial" w:cs="Arial"/>
          <w:b/>
        </w:rPr>
        <w:t xml:space="preserve">1 </w:t>
      </w:r>
      <w:r w:rsidR="00FC3892">
        <w:rPr>
          <w:rFonts w:ascii="Arial" w:hAnsi="Arial" w:cs="Arial"/>
        </w:rPr>
        <w:t>categorised as major</w:t>
      </w:r>
      <w:r w:rsidR="002E3638">
        <w:rPr>
          <w:rFonts w:ascii="Arial" w:hAnsi="Arial" w:cs="Arial"/>
        </w:rPr>
        <w:t xml:space="preserve"> and</w:t>
      </w:r>
      <w:r w:rsidR="00FC3892">
        <w:rPr>
          <w:rFonts w:ascii="Arial" w:hAnsi="Arial" w:cs="Arial"/>
          <w:b/>
        </w:rPr>
        <w:t xml:space="preserve"> </w:t>
      </w:r>
      <w:r w:rsidR="005F0842" w:rsidRPr="0029484F">
        <w:rPr>
          <w:rFonts w:ascii="Arial" w:hAnsi="Arial" w:cs="Arial"/>
        </w:rPr>
        <w:t>are listed below.</w:t>
      </w:r>
      <w:r w:rsidR="00C66AF2">
        <w:rPr>
          <w:rFonts w:ascii="Arial" w:hAnsi="Arial" w:cs="Arial"/>
        </w:rPr>
        <w:br/>
      </w:r>
    </w:p>
    <w:p w:rsidR="00DC7284" w:rsidRDefault="00DC7284" w:rsidP="00DC7284">
      <w:pPr>
        <w:rPr>
          <w:rFonts w:ascii="Arial" w:hAnsi="Arial" w:cs="Arial"/>
        </w:rPr>
      </w:pPr>
    </w:p>
    <w:tbl>
      <w:tblPr>
        <w:tblStyle w:val="TableGrid"/>
        <w:tblW w:w="9036" w:type="dxa"/>
        <w:tblInd w:w="250" w:type="dxa"/>
        <w:tblLook w:val="04A0" w:firstRow="1" w:lastRow="0" w:firstColumn="1" w:lastColumn="0" w:noHBand="0" w:noVBand="1"/>
      </w:tblPr>
      <w:tblGrid>
        <w:gridCol w:w="1284"/>
        <w:gridCol w:w="5686"/>
        <w:gridCol w:w="2066"/>
      </w:tblGrid>
      <w:tr w:rsidR="00BC2505" w:rsidRPr="004053DC" w:rsidTr="005821E8">
        <w:tc>
          <w:tcPr>
            <w:tcW w:w="1284" w:type="dxa"/>
          </w:tcPr>
          <w:p w:rsidR="00BC2505" w:rsidRPr="00075761" w:rsidRDefault="002B559B" w:rsidP="00DC7284">
            <w:pPr>
              <w:rPr>
                <w:rFonts w:ascii="Arial" w:hAnsi="Arial" w:cs="Arial"/>
                <w:b/>
              </w:rPr>
            </w:pPr>
            <w:r w:rsidRPr="00075761">
              <w:rPr>
                <w:rFonts w:ascii="Arial" w:hAnsi="Arial" w:cs="Arial"/>
                <w:b/>
              </w:rPr>
              <w:t>ID</w:t>
            </w:r>
          </w:p>
        </w:tc>
        <w:tc>
          <w:tcPr>
            <w:tcW w:w="5686" w:type="dxa"/>
          </w:tcPr>
          <w:p w:rsidR="00BC2505" w:rsidRPr="00075761" w:rsidRDefault="002B559B" w:rsidP="00DC7284">
            <w:pPr>
              <w:rPr>
                <w:rFonts w:ascii="Arial" w:hAnsi="Arial" w:cs="Arial"/>
                <w:b/>
              </w:rPr>
            </w:pPr>
            <w:r w:rsidRPr="00075761">
              <w:rPr>
                <w:rFonts w:ascii="Arial" w:hAnsi="Arial" w:cs="Arial"/>
                <w:b/>
              </w:rPr>
              <w:t>Incident description</w:t>
            </w:r>
          </w:p>
        </w:tc>
        <w:tc>
          <w:tcPr>
            <w:tcW w:w="2066" w:type="dxa"/>
          </w:tcPr>
          <w:p w:rsidR="00BC2505" w:rsidRPr="00075761" w:rsidRDefault="002B559B" w:rsidP="00DC7284">
            <w:pPr>
              <w:rPr>
                <w:rFonts w:ascii="Arial" w:hAnsi="Arial" w:cs="Arial"/>
                <w:b/>
              </w:rPr>
            </w:pPr>
            <w:r w:rsidRPr="00075761">
              <w:rPr>
                <w:rFonts w:ascii="Arial" w:hAnsi="Arial" w:cs="Arial"/>
                <w:b/>
              </w:rPr>
              <w:t>Severity Level</w:t>
            </w:r>
          </w:p>
        </w:tc>
      </w:tr>
      <w:tr w:rsidR="000B464D" w:rsidRPr="004053DC" w:rsidTr="005821E8">
        <w:tc>
          <w:tcPr>
            <w:tcW w:w="1284" w:type="dxa"/>
          </w:tcPr>
          <w:p w:rsidR="000B464D" w:rsidRDefault="00DA15FB" w:rsidP="000B464D">
            <w:pPr>
              <w:rPr>
                <w:rFonts w:ascii="Arial" w:hAnsi="Arial" w:cs="Arial"/>
              </w:rPr>
            </w:pPr>
            <w:r>
              <w:rPr>
                <w:rFonts w:ascii="Arial" w:hAnsi="Arial" w:cs="Arial"/>
              </w:rPr>
              <w:t>8540</w:t>
            </w:r>
          </w:p>
        </w:tc>
        <w:tc>
          <w:tcPr>
            <w:tcW w:w="5686" w:type="dxa"/>
          </w:tcPr>
          <w:p w:rsidR="000B464D" w:rsidRPr="00D55786" w:rsidRDefault="00DA15FB" w:rsidP="000B464D">
            <w:pPr>
              <w:rPr>
                <w:rFonts w:ascii="Arial" w:hAnsi="Arial" w:cs="Arial"/>
              </w:rPr>
            </w:pPr>
            <w:r w:rsidRPr="008D04FA">
              <w:rPr>
                <w:rFonts w:ascii="Arial" w:hAnsi="Arial" w:cs="Arial"/>
              </w:rPr>
              <w:t>Further investigation</w:t>
            </w:r>
            <w:r>
              <w:rPr>
                <w:rFonts w:ascii="Arial" w:hAnsi="Arial" w:cs="Arial"/>
              </w:rPr>
              <w:t xml:space="preserve"> of a quarantined email</w:t>
            </w:r>
            <w:r w:rsidRPr="008D04FA">
              <w:rPr>
                <w:rFonts w:ascii="Arial" w:hAnsi="Arial" w:cs="Arial"/>
              </w:rPr>
              <w:t xml:space="preserve"> highlighted that clinical staff were sending documents to transplant coordinators via personal mailboxes and also WhatsApp.  Although these documents do not contain patient identifiable information, they do contain enough information in relation to donor transplant that could potentially identify an individual.  They do include staff details, hospital details, details of transplant process.</w:t>
            </w:r>
            <w:r>
              <w:rPr>
                <w:rFonts w:ascii="Arial" w:hAnsi="Arial" w:cs="Arial"/>
              </w:rPr>
              <w:t xml:space="preserve">  IG attended department meeting to discuss the risks and highlighted the Board tools that are in place that will support this communication in a more secure manner.</w:t>
            </w:r>
          </w:p>
        </w:tc>
        <w:tc>
          <w:tcPr>
            <w:tcW w:w="2066" w:type="dxa"/>
          </w:tcPr>
          <w:p w:rsidR="000B464D" w:rsidRDefault="00DA15FB" w:rsidP="000B464D">
            <w:pPr>
              <w:rPr>
                <w:rFonts w:ascii="Arial" w:hAnsi="Arial" w:cs="Arial"/>
              </w:rPr>
            </w:pPr>
            <w:r>
              <w:rPr>
                <w:rFonts w:ascii="Arial" w:hAnsi="Arial" w:cs="Arial"/>
              </w:rPr>
              <w:t>Moderate</w:t>
            </w:r>
          </w:p>
        </w:tc>
      </w:tr>
      <w:tr w:rsidR="000B464D" w:rsidRPr="004053DC" w:rsidTr="005821E8">
        <w:tc>
          <w:tcPr>
            <w:tcW w:w="1284" w:type="dxa"/>
          </w:tcPr>
          <w:p w:rsidR="000B464D" w:rsidRPr="00075761" w:rsidDel="00BC2505" w:rsidRDefault="00DA15FB" w:rsidP="000B464D">
            <w:pPr>
              <w:rPr>
                <w:rFonts w:ascii="Arial" w:hAnsi="Arial" w:cs="Arial"/>
              </w:rPr>
            </w:pPr>
            <w:r>
              <w:rPr>
                <w:rFonts w:ascii="Arial" w:hAnsi="Arial" w:cs="Arial"/>
              </w:rPr>
              <w:t>8527</w:t>
            </w:r>
          </w:p>
        </w:tc>
        <w:tc>
          <w:tcPr>
            <w:tcW w:w="5686" w:type="dxa"/>
          </w:tcPr>
          <w:p w:rsidR="000B464D" w:rsidRPr="006A507D" w:rsidRDefault="00DA15FB" w:rsidP="000B464D">
            <w:pPr>
              <w:rPr>
                <w:rFonts w:ascii="Arial" w:hAnsi="Arial" w:cs="Arial"/>
              </w:rPr>
            </w:pPr>
            <w:r w:rsidRPr="00B11522">
              <w:rPr>
                <w:rFonts w:ascii="Arial" w:hAnsi="Arial" w:cs="Arial"/>
              </w:rPr>
              <w:t>Surgeon</w:t>
            </w:r>
            <w:r>
              <w:rPr>
                <w:rFonts w:ascii="Arial" w:hAnsi="Arial" w:cs="Arial"/>
              </w:rPr>
              <w:t xml:space="preserve"> accessing clinical systems under other </w:t>
            </w:r>
            <w:r>
              <w:rPr>
                <w:rFonts w:ascii="Arial" w:hAnsi="Arial" w:cs="Arial"/>
              </w:rPr>
              <w:lastRenderedPageBreak/>
              <w:t>staff members logins.  Caldicott Guardian sent a formal letter to the surgeon expressing this was against Board Policy and did not uphold appropriate and safe information handling.</w:t>
            </w:r>
          </w:p>
        </w:tc>
        <w:tc>
          <w:tcPr>
            <w:tcW w:w="2066" w:type="dxa"/>
          </w:tcPr>
          <w:p w:rsidR="000B464D" w:rsidRPr="00075761" w:rsidRDefault="00DA15FB" w:rsidP="000B464D">
            <w:pPr>
              <w:rPr>
                <w:rFonts w:ascii="Arial" w:hAnsi="Arial" w:cs="Arial"/>
              </w:rPr>
            </w:pPr>
            <w:r>
              <w:rPr>
                <w:rFonts w:ascii="Arial" w:hAnsi="Arial" w:cs="Arial"/>
              </w:rPr>
              <w:lastRenderedPageBreak/>
              <w:t>Moderate</w:t>
            </w:r>
          </w:p>
        </w:tc>
      </w:tr>
      <w:tr w:rsidR="000B464D" w:rsidRPr="004053DC" w:rsidTr="005821E8">
        <w:tc>
          <w:tcPr>
            <w:tcW w:w="1284" w:type="dxa"/>
          </w:tcPr>
          <w:p w:rsidR="000B464D" w:rsidRDefault="00DA15FB" w:rsidP="000B464D">
            <w:pPr>
              <w:rPr>
                <w:rFonts w:ascii="Arial" w:hAnsi="Arial" w:cs="Arial"/>
              </w:rPr>
            </w:pPr>
            <w:r>
              <w:rPr>
                <w:rFonts w:ascii="Arial" w:hAnsi="Arial" w:cs="Arial"/>
              </w:rPr>
              <w:t>8756</w:t>
            </w:r>
          </w:p>
        </w:tc>
        <w:tc>
          <w:tcPr>
            <w:tcW w:w="5686" w:type="dxa"/>
          </w:tcPr>
          <w:p w:rsidR="000B464D" w:rsidRPr="00D55786" w:rsidRDefault="00DA15FB" w:rsidP="000B464D">
            <w:pPr>
              <w:rPr>
                <w:rFonts w:ascii="Arial" w:hAnsi="Arial" w:cs="Arial"/>
              </w:rPr>
            </w:pPr>
            <w:r>
              <w:rPr>
                <w:rFonts w:ascii="Arial" w:hAnsi="Arial" w:cs="Arial"/>
              </w:rPr>
              <w:t>Manager sent an OH staff referral to an incorrect Board distribution group, disclosing patient confidential information.  Emailed was recalled</w:t>
            </w:r>
            <w:r w:rsidR="00C925E1">
              <w:rPr>
                <w:rFonts w:ascii="Arial" w:hAnsi="Arial" w:cs="Arial"/>
              </w:rPr>
              <w:t xml:space="preserve"> and/or deleted following a notification email</w:t>
            </w:r>
            <w:r>
              <w:rPr>
                <w:rFonts w:ascii="Arial" w:hAnsi="Arial" w:cs="Arial"/>
              </w:rPr>
              <w:t xml:space="preserve"> and staff member was made aware of the incident. </w:t>
            </w:r>
          </w:p>
        </w:tc>
        <w:tc>
          <w:tcPr>
            <w:tcW w:w="2066" w:type="dxa"/>
          </w:tcPr>
          <w:p w:rsidR="000B464D" w:rsidRDefault="00C925E1" w:rsidP="000B464D">
            <w:pPr>
              <w:rPr>
                <w:rFonts w:ascii="Arial" w:hAnsi="Arial" w:cs="Arial"/>
              </w:rPr>
            </w:pPr>
            <w:r>
              <w:rPr>
                <w:rFonts w:ascii="Arial" w:hAnsi="Arial" w:cs="Arial"/>
              </w:rPr>
              <w:t>Moderate</w:t>
            </w:r>
          </w:p>
        </w:tc>
      </w:tr>
      <w:tr w:rsidR="000B464D" w:rsidRPr="004053DC" w:rsidTr="005821E8">
        <w:tc>
          <w:tcPr>
            <w:tcW w:w="1284" w:type="dxa"/>
          </w:tcPr>
          <w:p w:rsidR="000B464D" w:rsidRDefault="00026DB2" w:rsidP="000B464D">
            <w:pPr>
              <w:rPr>
                <w:rFonts w:ascii="Arial" w:hAnsi="Arial" w:cs="Arial"/>
              </w:rPr>
            </w:pPr>
            <w:r w:rsidRPr="00302843">
              <w:rPr>
                <w:rFonts w:ascii="Arial" w:hAnsi="Arial" w:cs="Arial"/>
              </w:rPr>
              <w:t>8911</w:t>
            </w:r>
          </w:p>
        </w:tc>
        <w:tc>
          <w:tcPr>
            <w:tcW w:w="5686" w:type="dxa"/>
          </w:tcPr>
          <w:p w:rsidR="000B464D" w:rsidRPr="007845B6" w:rsidRDefault="00026DB2" w:rsidP="000B464D">
            <w:pPr>
              <w:rPr>
                <w:rFonts w:ascii="Arial" w:hAnsi="Arial" w:cs="Arial"/>
              </w:rPr>
            </w:pPr>
            <w:r w:rsidRPr="00302843">
              <w:rPr>
                <w:rFonts w:ascii="Arial" w:hAnsi="Arial" w:cs="Arial"/>
              </w:rPr>
              <w:t>Patient entered level 5 booking office to hand in mail.  This isn’t an isolated incident.  Both security doors, East and West on Level 5 are unsecured resulting in anyone being able to enter level 5 and access all areas.</w:t>
            </w:r>
            <w:r>
              <w:rPr>
                <w:rFonts w:ascii="Arial" w:hAnsi="Arial" w:cs="Arial"/>
              </w:rPr>
              <w:t xml:space="preserve">  Contractor immediately repaired doors and communication </w:t>
            </w:r>
            <w:r w:rsidRPr="00302843">
              <w:rPr>
                <w:rFonts w:ascii="Arial" w:hAnsi="Arial" w:cs="Arial"/>
                <w:lang w:val="en"/>
              </w:rPr>
              <w:t>to advise that no locations or names should be given out to patients where the department is in a staff only area and should be directed in</w:t>
            </w:r>
            <w:r>
              <w:rPr>
                <w:rFonts w:ascii="Arial" w:hAnsi="Arial" w:cs="Arial"/>
                <w:lang w:val="en"/>
              </w:rPr>
              <w:t>stead to reception for them</w:t>
            </w:r>
            <w:r w:rsidRPr="00302843">
              <w:rPr>
                <w:rFonts w:ascii="Arial" w:hAnsi="Arial" w:cs="Arial"/>
                <w:lang w:val="en"/>
              </w:rPr>
              <w:t xml:space="preserve"> t</w:t>
            </w:r>
            <w:r>
              <w:rPr>
                <w:rFonts w:ascii="Arial" w:hAnsi="Arial" w:cs="Arial"/>
                <w:lang w:val="en"/>
              </w:rPr>
              <w:t>o contact the department.</w:t>
            </w:r>
          </w:p>
        </w:tc>
        <w:tc>
          <w:tcPr>
            <w:tcW w:w="2066" w:type="dxa"/>
          </w:tcPr>
          <w:p w:rsidR="000B464D" w:rsidRDefault="00026DB2" w:rsidP="000B464D">
            <w:pPr>
              <w:rPr>
                <w:rFonts w:ascii="Arial" w:hAnsi="Arial" w:cs="Arial"/>
              </w:rPr>
            </w:pPr>
            <w:r>
              <w:rPr>
                <w:rFonts w:ascii="Arial" w:hAnsi="Arial" w:cs="Arial"/>
              </w:rPr>
              <w:t>Moderate</w:t>
            </w:r>
          </w:p>
        </w:tc>
      </w:tr>
      <w:tr w:rsidR="000B464D" w:rsidRPr="004053DC" w:rsidTr="005821E8">
        <w:tc>
          <w:tcPr>
            <w:tcW w:w="1284" w:type="dxa"/>
          </w:tcPr>
          <w:p w:rsidR="000B464D" w:rsidRDefault="00026DB2" w:rsidP="000B464D">
            <w:pPr>
              <w:rPr>
                <w:rFonts w:ascii="Arial" w:hAnsi="Arial" w:cs="Arial"/>
              </w:rPr>
            </w:pPr>
            <w:r w:rsidRPr="00871AC1">
              <w:rPr>
                <w:rFonts w:ascii="Arial" w:hAnsi="Arial" w:cs="Arial"/>
              </w:rPr>
              <w:t>9209</w:t>
            </w:r>
          </w:p>
        </w:tc>
        <w:tc>
          <w:tcPr>
            <w:tcW w:w="5686" w:type="dxa"/>
          </w:tcPr>
          <w:p w:rsidR="000B464D" w:rsidRPr="006A507D" w:rsidRDefault="00026DB2" w:rsidP="00026DB2">
            <w:pPr>
              <w:rPr>
                <w:rFonts w:ascii="Arial" w:hAnsi="Arial" w:cs="Arial"/>
              </w:rPr>
            </w:pPr>
            <w:r>
              <w:rPr>
                <w:rFonts w:ascii="Arial" w:hAnsi="Arial" w:cs="Arial"/>
              </w:rPr>
              <w:t>Employee sent a personal WhatsApp message to colleague in relation to spouse being taken in to A&amp;E at another Hospital and as a result would not be in work that day.</w:t>
            </w:r>
            <w:r w:rsidRPr="00871AC1">
              <w:rPr>
                <w:rFonts w:ascii="Arial" w:hAnsi="Arial" w:cs="Arial"/>
              </w:rPr>
              <w:t xml:space="preserve"> The colleague</w:t>
            </w:r>
            <w:r>
              <w:rPr>
                <w:rFonts w:ascii="Arial" w:hAnsi="Arial" w:cs="Arial"/>
              </w:rPr>
              <w:t xml:space="preserve"> (recipient of the WhatsApp message)</w:t>
            </w:r>
            <w:r w:rsidRPr="00871AC1">
              <w:rPr>
                <w:rFonts w:ascii="Arial" w:hAnsi="Arial" w:cs="Arial"/>
              </w:rPr>
              <w:t xml:space="preserve"> spoke to one of the </w:t>
            </w:r>
            <w:r>
              <w:rPr>
                <w:rFonts w:ascii="Arial" w:hAnsi="Arial" w:cs="Arial"/>
              </w:rPr>
              <w:t xml:space="preserve">GJ cardiologists </w:t>
            </w:r>
            <w:r w:rsidRPr="00871AC1">
              <w:rPr>
                <w:rFonts w:ascii="Arial" w:hAnsi="Arial" w:cs="Arial"/>
              </w:rPr>
              <w:t>and asked them to hav</w:t>
            </w:r>
            <w:r>
              <w:rPr>
                <w:rFonts w:ascii="Arial" w:hAnsi="Arial" w:cs="Arial"/>
              </w:rPr>
              <w:t>e a look at the scans at the receiving hospital. The employee</w:t>
            </w:r>
            <w:r w:rsidRPr="00871AC1">
              <w:rPr>
                <w:rFonts w:ascii="Arial" w:hAnsi="Arial" w:cs="Arial"/>
              </w:rPr>
              <w:t xml:space="preserve"> </w:t>
            </w:r>
            <w:r>
              <w:rPr>
                <w:rFonts w:ascii="Arial" w:hAnsi="Arial" w:cs="Arial"/>
              </w:rPr>
              <w:t xml:space="preserve">was made aware of this inappropriate request made by colleague. Staff reminded that this is breach of Board policy and data protection legislation.  Letter sent </w:t>
            </w:r>
            <w:r w:rsidRPr="00871AC1">
              <w:rPr>
                <w:rFonts w:ascii="Arial" w:hAnsi="Arial" w:cs="Arial"/>
              </w:rPr>
              <w:t>advising of the severity of their actions and what the process will be if a breach happens again.</w:t>
            </w:r>
          </w:p>
        </w:tc>
        <w:tc>
          <w:tcPr>
            <w:tcW w:w="2066" w:type="dxa"/>
          </w:tcPr>
          <w:p w:rsidR="000B464D" w:rsidRDefault="00026DB2" w:rsidP="000B464D">
            <w:pPr>
              <w:rPr>
                <w:rFonts w:ascii="Arial" w:hAnsi="Arial" w:cs="Arial"/>
              </w:rPr>
            </w:pPr>
            <w:r>
              <w:rPr>
                <w:rFonts w:ascii="Arial" w:hAnsi="Arial" w:cs="Arial"/>
              </w:rPr>
              <w:t>Moderate</w:t>
            </w:r>
          </w:p>
        </w:tc>
      </w:tr>
      <w:tr w:rsidR="005F1CAF" w:rsidRPr="004053DC" w:rsidTr="005821E8">
        <w:tc>
          <w:tcPr>
            <w:tcW w:w="1284" w:type="dxa"/>
          </w:tcPr>
          <w:p w:rsidR="005F1CAF" w:rsidRDefault="00AD5DA1" w:rsidP="005F1CAF">
            <w:pPr>
              <w:rPr>
                <w:rFonts w:ascii="Arial" w:hAnsi="Arial" w:cs="Arial"/>
              </w:rPr>
            </w:pPr>
            <w:r w:rsidRPr="00871AC1">
              <w:rPr>
                <w:rFonts w:ascii="Arial" w:hAnsi="Arial" w:cs="Arial"/>
              </w:rPr>
              <w:t>9233</w:t>
            </w:r>
          </w:p>
        </w:tc>
        <w:tc>
          <w:tcPr>
            <w:tcW w:w="5686" w:type="dxa"/>
          </w:tcPr>
          <w:p w:rsidR="005F1CAF" w:rsidRPr="000D49A0" w:rsidRDefault="00AD5DA1" w:rsidP="005F1CAF">
            <w:pPr>
              <w:rPr>
                <w:rFonts w:ascii="Arial" w:hAnsi="Arial" w:cs="Arial"/>
              </w:rPr>
            </w:pPr>
            <w:r w:rsidRPr="00871AC1">
              <w:rPr>
                <w:rFonts w:ascii="Arial" w:hAnsi="Arial" w:cs="Arial"/>
              </w:rPr>
              <w:t>A clinical</w:t>
            </w:r>
            <w:r>
              <w:rPr>
                <w:rFonts w:ascii="Arial" w:hAnsi="Arial" w:cs="Arial"/>
              </w:rPr>
              <w:t xml:space="preserve"> letter in relation to a consultant’s patient</w:t>
            </w:r>
            <w:r w:rsidRPr="00871AC1">
              <w:rPr>
                <w:rFonts w:ascii="Arial" w:hAnsi="Arial" w:cs="Arial"/>
              </w:rPr>
              <w:t xml:space="preserve"> was incorrectly copied to an</w:t>
            </w:r>
            <w:r>
              <w:rPr>
                <w:rFonts w:ascii="Arial" w:hAnsi="Arial" w:cs="Arial"/>
              </w:rPr>
              <w:t xml:space="preserve">other patient and verified by the consultant. Consultant was informed of this </w:t>
            </w:r>
            <w:r w:rsidRPr="00871AC1">
              <w:rPr>
                <w:rFonts w:ascii="Arial" w:hAnsi="Arial" w:cs="Arial"/>
              </w:rPr>
              <w:t>by the patient who incorrectly received the letter.</w:t>
            </w:r>
            <w:r>
              <w:rPr>
                <w:rFonts w:ascii="Arial" w:hAnsi="Arial" w:cs="Arial"/>
              </w:rPr>
              <w:t xml:space="preserve">  Consultant informed patient.  </w:t>
            </w:r>
            <w:r w:rsidRPr="00871AC1">
              <w:rPr>
                <w:rFonts w:ascii="Arial" w:hAnsi="Arial" w:cs="Arial"/>
              </w:rPr>
              <w:t>Increase vigilance when verifying clinical letters. Communicate issue within team as part of awareness raising.</w:t>
            </w:r>
            <w:r>
              <w:rPr>
                <w:rFonts w:ascii="Arial" w:hAnsi="Arial" w:cs="Arial"/>
              </w:rPr>
              <w:t xml:space="preserve"> </w:t>
            </w:r>
          </w:p>
        </w:tc>
        <w:tc>
          <w:tcPr>
            <w:tcW w:w="2066" w:type="dxa"/>
          </w:tcPr>
          <w:p w:rsidR="005F1CAF" w:rsidRDefault="00AD5DA1" w:rsidP="005F1CAF">
            <w:pPr>
              <w:rPr>
                <w:rFonts w:ascii="Arial" w:hAnsi="Arial" w:cs="Arial"/>
              </w:rPr>
            </w:pPr>
            <w:r>
              <w:rPr>
                <w:rFonts w:ascii="Arial" w:hAnsi="Arial" w:cs="Arial"/>
              </w:rPr>
              <w:t>Moderate</w:t>
            </w:r>
          </w:p>
        </w:tc>
      </w:tr>
      <w:tr w:rsidR="005F1CAF" w:rsidRPr="004053DC" w:rsidTr="005821E8">
        <w:tc>
          <w:tcPr>
            <w:tcW w:w="1284" w:type="dxa"/>
          </w:tcPr>
          <w:p w:rsidR="005F1CAF" w:rsidRDefault="00AD5DA1" w:rsidP="005F1CAF">
            <w:pPr>
              <w:rPr>
                <w:rFonts w:ascii="Arial" w:hAnsi="Arial" w:cs="Arial"/>
              </w:rPr>
            </w:pPr>
            <w:r w:rsidRPr="00871AC1">
              <w:rPr>
                <w:rFonts w:ascii="Arial" w:hAnsi="Arial" w:cs="Arial"/>
              </w:rPr>
              <w:t>9277</w:t>
            </w:r>
          </w:p>
        </w:tc>
        <w:tc>
          <w:tcPr>
            <w:tcW w:w="5686" w:type="dxa"/>
          </w:tcPr>
          <w:p w:rsidR="005F1CAF" w:rsidRPr="002D7E2C" w:rsidRDefault="00AD5DA1" w:rsidP="005F1CAF">
            <w:pPr>
              <w:rPr>
                <w:rFonts w:ascii="Arial" w:hAnsi="Arial" w:cs="Arial"/>
              </w:rPr>
            </w:pPr>
            <w:r>
              <w:rPr>
                <w:rFonts w:ascii="Arial" w:hAnsi="Arial" w:cs="Arial"/>
              </w:rPr>
              <w:t>Head of Department, with senior access permissions, logging onto PC and allowing</w:t>
            </w:r>
            <w:r w:rsidRPr="00871AC1">
              <w:rPr>
                <w:rFonts w:ascii="Arial" w:hAnsi="Arial" w:cs="Arial"/>
              </w:rPr>
              <w:t xml:space="preserve"> members</w:t>
            </w:r>
            <w:r>
              <w:rPr>
                <w:rFonts w:ascii="Arial" w:hAnsi="Arial" w:cs="Arial"/>
              </w:rPr>
              <w:t xml:space="preserve"> of </w:t>
            </w:r>
            <w:r w:rsidRPr="00871AC1">
              <w:rPr>
                <w:rFonts w:ascii="Arial" w:hAnsi="Arial" w:cs="Arial"/>
              </w:rPr>
              <w:t>de</w:t>
            </w:r>
            <w:r>
              <w:rPr>
                <w:rFonts w:ascii="Arial" w:hAnsi="Arial" w:cs="Arial"/>
              </w:rPr>
              <w:t xml:space="preserve">partment to use the PC under this login </w:t>
            </w:r>
            <w:r w:rsidRPr="00871AC1">
              <w:rPr>
                <w:rFonts w:ascii="Arial" w:hAnsi="Arial" w:cs="Arial"/>
              </w:rPr>
              <w:t>to log onto their emails.</w:t>
            </w:r>
            <w:r>
              <w:rPr>
                <w:rFonts w:ascii="Arial" w:hAnsi="Arial" w:cs="Arial"/>
              </w:rPr>
              <w:t xml:space="preserve">  Password changed and staff now have access to separate PC.</w:t>
            </w:r>
          </w:p>
        </w:tc>
        <w:tc>
          <w:tcPr>
            <w:tcW w:w="2066" w:type="dxa"/>
          </w:tcPr>
          <w:p w:rsidR="005F1CAF" w:rsidRDefault="00AD5DA1" w:rsidP="005F1CAF">
            <w:pPr>
              <w:rPr>
                <w:rFonts w:ascii="Arial" w:hAnsi="Arial" w:cs="Arial"/>
              </w:rPr>
            </w:pPr>
            <w:r>
              <w:rPr>
                <w:rFonts w:ascii="Arial" w:hAnsi="Arial" w:cs="Arial"/>
              </w:rPr>
              <w:t>Moderate</w:t>
            </w:r>
          </w:p>
        </w:tc>
      </w:tr>
      <w:tr w:rsidR="005F1CAF" w:rsidRPr="004053DC" w:rsidTr="005821E8">
        <w:tc>
          <w:tcPr>
            <w:tcW w:w="1284" w:type="dxa"/>
          </w:tcPr>
          <w:p w:rsidR="005F1CAF" w:rsidRDefault="00AD5DA1" w:rsidP="005F1CAF">
            <w:pPr>
              <w:rPr>
                <w:rFonts w:ascii="Arial" w:hAnsi="Arial" w:cs="Arial"/>
              </w:rPr>
            </w:pPr>
            <w:r w:rsidRPr="00871AC1">
              <w:rPr>
                <w:rFonts w:ascii="Arial" w:hAnsi="Arial" w:cs="Arial"/>
              </w:rPr>
              <w:t>9341</w:t>
            </w:r>
          </w:p>
        </w:tc>
        <w:tc>
          <w:tcPr>
            <w:tcW w:w="5686" w:type="dxa"/>
          </w:tcPr>
          <w:p w:rsidR="005F1CAF" w:rsidRPr="00B02BC5" w:rsidRDefault="00AD5DA1" w:rsidP="005F1CAF">
            <w:pPr>
              <w:rPr>
                <w:rFonts w:ascii="Arial" w:hAnsi="Arial" w:cs="Arial"/>
              </w:rPr>
            </w:pPr>
            <w:r>
              <w:rPr>
                <w:rFonts w:ascii="Arial" w:hAnsi="Arial" w:cs="Arial"/>
              </w:rPr>
              <w:t>Spoof email sent to HR acting as an Executive Director requesting update to bank details for payroll purposes.  This was prevented by a member of the HR team after confirming this request with the Executive Director.</w:t>
            </w:r>
            <w:r w:rsidR="00555330">
              <w:rPr>
                <w:rFonts w:ascii="Arial" w:hAnsi="Arial" w:cs="Arial"/>
              </w:rPr>
              <w:t xml:space="preserve">  Counter Fraud Services were notified and a Board wide </w:t>
            </w:r>
            <w:r w:rsidR="00555330">
              <w:rPr>
                <w:rFonts w:ascii="Arial" w:hAnsi="Arial" w:cs="Arial"/>
              </w:rPr>
              <w:lastRenderedPageBreak/>
              <w:t>Communication was circulated, making staff aware and to be cautious of spoofing emails.</w:t>
            </w:r>
          </w:p>
        </w:tc>
        <w:tc>
          <w:tcPr>
            <w:tcW w:w="2066" w:type="dxa"/>
          </w:tcPr>
          <w:p w:rsidR="005F1CAF" w:rsidRDefault="00555330" w:rsidP="005F1CAF">
            <w:pPr>
              <w:rPr>
                <w:rFonts w:ascii="Arial" w:hAnsi="Arial" w:cs="Arial"/>
              </w:rPr>
            </w:pPr>
            <w:r>
              <w:rPr>
                <w:rFonts w:ascii="Arial" w:hAnsi="Arial" w:cs="Arial"/>
              </w:rPr>
              <w:lastRenderedPageBreak/>
              <w:t>Moderate</w:t>
            </w:r>
          </w:p>
        </w:tc>
      </w:tr>
      <w:tr w:rsidR="005F1CAF" w:rsidRPr="004053DC" w:rsidTr="005821E8">
        <w:tc>
          <w:tcPr>
            <w:tcW w:w="1284" w:type="dxa"/>
          </w:tcPr>
          <w:p w:rsidR="005F1CAF" w:rsidRDefault="002E3638" w:rsidP="005F1CAF">
            <w:pPr>
              <w:rPr>
                <w:rFonts w:ascii="Arial" w:hAnsi="Arial" w:cs="Arial"/>
              </w:rPr>
            </w:pPr>
            <w:r>
              <w:rPr>
                <w:rFonts w:ascii="Arial" w:hAnsi="Arial" w:cs="Arial"/>
              </w:rPr>
              <w:t>9522</w:t>
            </w:r>
          </w:p>
        </w:tc>
        <w:tc>
          <w:tcPr>
            <w:tcW w:w="5686" w:type="dxa"/>
          </w:tcPr>
          <w:p w:rsidR="005F1CAF" w:rsidRDefault="002E3638" w:rsidP="005F1CAF">
            <w:pPr>
              <w:rPr>
                <w:rFonts w:ascii="Arial" w:hAnsi="Arial" w:cs="Arial"/>
              </w:rPr>
            </w:pPr>
            <w:r>
              <w:rPr>
                <w:rFonts w:ascii="Arial" w:hAnsi="Arial" w:cs="Arial"/>
              </w:rPr>
              <w:t>MS Teams Channel, containing patient sensitive information on the sharepoint site of the channel, had been made public resulting in all users across NHS Scotland being able to access this site and the information.  We were made aware of this by another Board.  Channel was immediately made private</w:t>
            </w:r>
            <w:r w:rsidR="005E2BD3">
              <w:rPr>
                <w:rFonts w:ascii="Arial" w:hAnsi="Arial" w:cs="Arial"/>
              </w:rPr>
              <w:t xml:space="preserve"> and communication circulated. Alerts are set up by the national team to make each Board’s IG lead if a Team has been made public.</w:t>
            </w:r>
            <w:r>
              <w:rPr>
                <w:rFonts w:ascii="Arial" w:hAnsi="Arial" w:cs="Arial"/>
              </w:rPr>
              <w:t xml:space="preserve"> </w:t>
            </w:r>
          </w:p>
        </w:tc>
        <w:tc>
          <w:tcPr>
            <w:tcW w:w="2066" w:type="dxa"/>
          </w:tcPr>
          <w:p w:rsidR="005F1CAF" w:rsidRDefault="005E2BD3" w:rsidP="005F1CAF">
            <w:pPr>
              <w:rPr>
                <w:rFonts w:ascii="Arial" w:hAnsi="Arial" w:cs="Arial"/>
              </w:rPr>
            </w:pPr>
            <w:r>
              <w:rPr>
                <w:rFonts w:ascii="Arial" w:hAnsi="Arial" w:cs="Arial"/>
              </w:rPr>
              <w:t>Moderate</w:t>
            </w:r>
          </w:p>
        </w:tc>
      </w:tr>
      <w:tr w:rsidR="005E2BD3" w:rsidRPr="004053DC" w:rsidTr="005821E8">
        <w:tc>
          <w:tcPr>
            <w:tcW w:w="1284" w:type="dxa"/>
          </w:tcPr>
          <w:p w:rsidR="005E2BD3" w:rsidRDefault="005E2BD3" w:rsidP="005F1CAF">
            <w:pPr>
              <w:rPr>
                <w:rFonts w:ascii="Arial" w:hAnsi="Arial" w:cs="Arial"/>
              </w:rPr>
            </w:pPr>
            <w:r>
              <w:rPr>
                <w:rFonts w:ascii="Arial" w:hAnsi="Arial" w:cs="Arial"/>
              </w:rPr>
              <w:t>9710</w:t>
            </w:r>
          </w:p>
        </w:tc>
        <w:tc>
          <w:tcPr>
            <w:tcW w:w="5686" w:type="dxa"/>
          </w:tcPr>
          <w:p w:rsidR="005E2BD3" w:rsidRDefault="005E2BD3" w:rsidP="00A97624">
            <w:pPr>
              <w:rPr>
                <w:rFonts w:ascii="Arial" w:hAnsi="Arial" w:cs="Arial"/>
              </w:rPr>
            </w:pPr>
            <w:r>
              <w:rPr>
                <w:rFonts w:ascii="Arial" w:hAnsi="Arial" w:cs="Arial"/>
              </w:rPr>
              <w:t>Discharge letters, generated by TrakCare, have been sent to an incorrect GP practice at another Board, this has happened across 10 NHS Scotland Boards to this same GP and practice.  It would seem that if a GP</w:t>
            </w:r>
            <w:r w:rsidR="00A97624">
              <w:rPr>
                <w:rFonts w:ascii="Arial" w:hAnsi="Arial" w:cs="Arial"/>
              </w:rPr>
              <w:t xml:space="preserve"> is not selected against the patient on TrakCare, when the discharge letter is being generated it </w:t>
            </w:r>
            <w:r>
              <w:rPr>
                <w:rFonts w:ascii="Arial" w:hAnsi="Arial" w:cs="Arial"/>
              </w:rPr>
              <w:t>will default to the first GP on the list, this GP</w:t>
            </w:r>
            <w:r w:rsidR="00A97624">
              <w:rPr>
                <w:rFonts w:ascii="Arial" w:hAnsi="Arial" w:cs="Arial"/>
              </w:rPr>
              <w:t>.  Review of patients and updates made to correct practice, notified Business Services Manager to ensure staff are aware of this and select appropriate GP.</w:t>
            </w:r>
            <w:r>
              <w:rPr>
                <w:rFonts w:ascii="Arial" w:hAnsi="Arial" w:cs="Arial"/>
              </w:rPr>
              <w:t xml:space="preserve"> </w:t>
            </w:r>
          </w:p>
        </w:tc>
        <w:tc>
          <w:tcPr>
            <w:tcW w:w="2066" w:type="dxa"/>
          </w:tcPr>
          <w:p w:rsidR="005E2BD3" w:rsidRDefault="00A97624" w:rsidP="005F1CAF">
            <w:pPr>
              <w:rPr>
                <w:rFonts w:ascii="Arial" w:hAnsi="Arial" w:cs="Arial"/>
              </w:rPr>
            </w:pPr>
            <w:r>
              <w:rPr>
                <w:rFonts w:ascii="Arial" w:hAnsi="Arial" w:cs="Arial"/>
              </w:rPr>
              <w:t>Moderate</w:t>
            </w:r>
          </w:p>
        </w:tc>
      </w:tr>
      <w:tr w:rsidR="00A97624" w:rsidRPr="004053DC" w:rsidTr="005821E8">
        <w:tc>
          <w:tcPr>
            <w:tcW w:w="1284" w:type="dxa"/>
          </w:tcPr>
          <w:p w:rsidR="00A97624" w:rsidRDefault="008036AE" w:rsidP="005F1CAF">
            <w:pPr>
              <w:rPr>
                <w:rFonts w:ascii="Arial" w:hAnsi="Arial" w:cs="Arial"/>
              </w:rPr>
            </w:pPr>
            <w:r>
              <w:rPr>
                <w:rFonts w:ascii="Arial" w:hAnsi="Arial" w:cs="Arial"/>
              </w:rPr>
              <w:t>9802</w:t>
            </w:r>
          </w:p>
        </w:tc>
        <w:tc>
          <w:tcPr>
            <w:tcW w:w="5686" w:type="dxa"/>
          </w:tcPr>
          <w:p w:rsidR="00A97624" w:rsidRDefault="008036AE" w:rsidP="00A97624">
            <w:pPr>
              <w:rPr>
                <w:rFonts w:ascii="Arial" w:hAnsi="Arial" w:cs="Arial"/>
              </w:rPr>
            </w:pPr>
            <w:r>
              <w:rPr>
                <w:rFonts w:ascii="Arial" w:hAnsi="Arial" w:cs="Arial"/>
              </w:rPr>
              <w:t>Theatre nurse returned to theatre during a procedure on a Face-Time call.  Turned the phone to show the theatre and all present.  Surgeon called out</w:t>
            </w:r>
            <w:r w:rsidRPr="003D0766">
              <w:rPr>
                <w:rFonts w:ascii="Arial" w:hAnsi="Arial" w:cs="Arial"/>
              </w:rPr>
              <w:t xml:space="preserve"> "That is a breach of patient confidentiality". Anaesthetist raised his head, statement heard by all in theatre Face-Time screen visible to Scrub and Surgeon.</w:t>
            </w:r>
            <w:r>
              <w:rPr>
                <w:rFonts w:ascii="Arial" w:hAnsi="Arial" w:cs="Arial"/>
              </w:rPr>
              <w:t xml:space="preserve">  Ongoing </w:t>
            </w:r>
            <w:r w:rsidRPr="003D0766">
              <w:rPr>
                <w:rFonts w:ascii="Arial" w:hAnsi="Arial" w:cs="Arial"/>
              </w:rPr>
              <w:t xml:space="preserve">Investigation to determine </w:t>
            </w:r>
            <w:r>
              <w:rPr>
                <w:rFonts w:ascii="Arial" w:hAnsi="Arial" w:cs="Arial"/>
              </w:rPr>
              <w:t>breach in policy/conduct.</w:t>
            </w:r>
          </w:p>
        </w:tc>
        <w:tc>
          <w:tcPr>
            <w:tcW w:w="2066" w:type="dxa"/>
          </w:tcPr>
          <w:p w:rsidR="00A97624" w:rsidRDefault="008036AE" w:rsidP="005F1CAF">
            <w:pPr>
              <w:rPr>
                <w:rFonts w:ascii="Arial" w:hAnsi="Arial" w:cs="Arial"/>
              </w:rPr>
            </w:pPr>
            <w:r>
              <w:rPr>
                <w:rFonts w:ascii="Arial" w:hAnsi="Arial" w:cs="Arial"/>
              </w:rPr>
              <w:t>Moderate</w:t>
            </w:r>
          </w:p>
        </w:tc>
      </w:tr>
      <w:tr w:rsidR="008036AE" w:rsidRPr="004053DC" w:rsidTr="005821E8">
        <w:tc>
          <w:tcPr>
            <w:tcW w:w="1284" w:type="dxa"/>
          </w:tcPr>
          <w:p w:rsidR="008036AE" w:rsidRDefault="008036AE" w:rsidP="005F1CAF">
            <w:pPr>
              <w:rPr>
                <w:rFonts w:ascii="Arial" w:hAnsi="Arial" w:cs="Arial"/>
              </w:rPr>
            </w:pPr>
            <w:r>
              <w:rPr>
                <w:rFonts w:ascii="Arial" w:hAnsi="Arial" w:cs="Arial"/>
              </w:rPr>
              <w:t>9839</w:t>
            </w:r>
          </w:p>
        </w:tc>
        <w:tc>
          <w:tcPr>
            <w:tcW w:w="5686" w:type="dxa"/>
          </w:tcPr>
          <w:p w:rsidR="008036AE" w:rsidRDefault="008036AE" w:rsidP="00A97624">
            <w:pPr>
              <w:rPr>
                <w:rFonts w:ascii="Arial" w:hAnsi="Arial" w:cs="Arial"/>
              </w:rPr>
            </w:pPr>
            <w:r>
              <w:rPr>
                <w:rFonts w:ascii="Arial" w:hAnsi="Arial" w:cs="Arial"/>
              </w:rPr>
              <w:t>S</w:t>
            </w:r>
            <w:r w:rsidRPr="0086663E">
              <w:rPr>
                <w:rFonts w:ascii="Arial" w:hAnsi="Arial" w:cs="Arial"/>
              </w:rPr>
              <w:t>uspicious activity was detected by IT staff on an end user device and central file share. As a precaution the end user account, those associated with said user and access to the file share by all was disabled to allow investigation work to be carried out and prevent further contagion spread. The investigation found the presence of malware on both the user device and file share</w:t>
            </w:r>
            <w:r>
              <w:rPr>
                <w:rFonts w:ascii="Arial" w:hAnsi="Arial" w:cs="Arial"/>
              </w:rPr>
              <w:t>, likely cause was an infected USB Drive.</w:t>
            </w:r>
            <w:r w:rsidR="002E2139">
              <w:rPr>
                <w:rFonts w:ascii="Arial" w:hAnsi="Arial" w:cs="Arial"/>
              </w:rPr>
              <w:t xml:space="preserve">  This has now been contained with no further compromise to network or systems.</w:t>
            </w:r>
            <w:r>
              <w:rPr>
                <w:rFonts w:ascii="Arial" w:hAnsi="Arial" w:cs="Arial"/>
              </w:rPr>
              <w:t xml:space="preserve">  F</w:t>
            </w:r>
            <w:r w:rsidR="002E2139">
              <w:rPr>
                <w:rFonts w:ascii="Arial" w:hAnsi="Arial" w:cs="Arial"/>
              </w:rPr>
              <w:t>urther review of content on devices</w:t>
            </w:r>
            <w:r>
              <w:rPr>
                <w:rFonts w:ascii="Arial" w:hAnsi="Arial" w:cs="Arial"/>
              </w:rPr>
              <w:t xml:space="preserve"> to ensure no </w:t>
            </w:r>
            <w:r w:rsidR="002E2139">
              <w:rPr>
                <w:rFonts w:ascii="Arial" w:hAnsi="Arial" w:cs="Arial"/>
              </w:rPr>
              <w:t>additional</w:t>
            </w:r>
            <w:r>
              <w:rPr>
                <w:rFonts w:ascii="Arial" w:hAnsi="Arial" w:cs="Arial"/>
              </w:rPr>
              <w:t xml:space="preserve"> infection</w:t>
            </w:r>
            <w:r w:rsidR="002E2139">
              <w:rPr>
                <w:rFonts w:ascii="Arial" w:hAnsi="Arial" w:cs="Arial"/>
              </w:rPr>
              <w:t>,</w:t>
            </w:r>
            <w:r>
              <w:rPr>
                <w:rFonts w:ascii="Arial" w:hAnsi="Arial" w:cs="Arial"/>
              </w:rPr>
              <w:t xml:space="preserve"> exposed personal private healthcare work being carried out utilising Board resources and staff to support this.</w:t>
            </w:r>
            <w:r w:rsidR="002E2139">
              <w:rPr>
                <w:rFonts w:ascii="Arial" w:hAnsi="Arial" w:cs="Arial"/>
              </w:rPr>
              <w:t xml:space="preserve">  Ongoing HR investigation </w:t>
            </w:r>
          </w:p>
        </w:tc>
        <w:tc>
          <w:tcPr>
            <w:tcW w:w="2066" w:type="dxa"/>
          </w:tcPr>
          <w:p w:rsidR="008036AE" w:rsidRDefault="002E2139" w:rsidP="005F1CAF">
            <w:pPr>
              <w:rPr>
                <w:rFonts w:ascii="Arial" w:hAnsi="Arial" w:cs="Arial"/>
              </w:rPr>
            </w:pPr>
            <w:r>
              <w:rPr>
                <w:rFonts w:ascii="Arial" w:hAnsi="Arial" w:cs="Arial"/>
              </w:rPr>
              <w:t>Major</w:t>
            </w:r>
          </w:p>
        </w:tc>
      </w:tr>
    </w:tbl>
    <w:p w:rsidR="00DC7284" w:rsidRDefault="00DC7284" w:rsidP="00DC7284">
      <w:pPr>
        <w:rPr>
          <w:rFonts w:ascii="Arial" w:hAnsi="Arial" w:cs="Arial"/>
        </w:rPr>
      </w:pPr>
    </w:p>
    <w:p w:rsidR="003977EB" w:rsidRDefault="007D469A">
      <w:pPr>
        <w:rPr>
          <w:rFonts w:ascii="Arial" w:hAnsi="Arial" w:cs="Arial"/>
        </w:rPr>
      </w:pPr>
      <w:r>
        <w:rPr>
          <w:rFonts w:ascii="Arial" w:hAnsi="Arial" w:cs="Arial"/>
          <w:bCs/>
        </w:rPr>
        <w:t>There is a fully documented p</w:t>
      </w:r>
      <w:r w:rsidRPr="00B74383">
        <w:rPr>
          <w:rFonts w:ascii="Arial" w:hAnsi="Arial" w:cs="Arial"/>
          <w:bCs/>
        </w:rPr>
        <w:t xml:space="preserve">rocess and reporting structure to manage </w:t>
      </w:r>
      <w:r>
        <w:rPr>
          <w:rFonts w:ascii="Arial" w:hAnsi="Arial" w:cs="Arial"/>
          <w:bCs/>
        </w:rPr>
        <w:t>any</w:t>
      </w:r>
      <w:r w:rsidR="00555330">
        <w:rPr>
          <w:rFonts w:ascii="Arial" w:hAnsi="Arial" w:cs="Arial"/>
          <w:bCs/>
        </w:rPr>
        <w:t xml:space="preserve"> Digital &amp;</w:t>
      </w:r>
      <w:r>
        <w:rPr>
          <w:rFonts w:ascii="Arial" w:hAnsi="Arial" w:cs="Arial"/>
          <w:bCs/>
        </w:rPr>
        <w:t xml:space="preserve"> Information Governance </w:t>
      </w:r>
      <w:r w:rsidRPr="00B74383">
        <w:rPr>
          <w:rFonts w:ascii="Arial" w:hAnsi="Arial" w:cs="Arial"/>
          <w:bCs/>
        </w:rPr>
        <w:t>incidents</w:t>
      </w:r>
      <w:r>
        <w:rPr>
          <w:rFonts w:ascii="Arial" w:hAnsi="Arial" w:cs="Arial"/>
          <w:bCs/>
        </w:rPr>
        <w:t xml:space="preserve"> within the Board which includes reporting to the</w:t>
      </w:r>
      <w:r w:rsidR="00555330">
        <w:rPr>
          <w:rFonts w:ascii="Arial" w:hAnsi="Arial" w:cs="Arial"/>
        </w:rPr>
        <w:t xml:space="preserve"> Digital</w:t>
      </w:r>
      <w:r w:rsidRPr="00B74383">
        <w:rPr>
          <w:rFonts w:ascii="Arial" w:hAnsi="Arial" w:cs="Arial"/>
        </w:rPr>
        <w:t xml:space="preserve"> Governance Gro</w:t>
      </w:r>
      <w:r w:rsidR="008D60F1">
        <w:rPr>
          <w:rFonts w:ascii="Arial" w:hAnsi="Arial" w:cs="Arial"/>
        </w:rPr>
        <w:t>up chaired by the SIRO</w:t>
      </w:r>
      <w:r>
        <w:rPr>
          <w:rFonts w:ascii="Arial" w:hAnsi="Arial" w:cs="Arial"/>
        </w:rPr>
        <w:t xml:space="preserve">. Any </w:t>
      </w:r>
      <w:r w:rsidRPr="00B74383">
        <w:rPr>
          <w:rFonts w:ascii="Arial" w:hAnsi="Arial" w:cs="Arial"/>
        </w:rPr>
        <w:t xml:space="preserve">significant </w:t>
      </w:r>
      <w:r w:rsidRPr="00B74383">
        <w:rPr>
          <w:rFonts w:ascii="Arial" w:hAnsi="Arial" w:cs="Arial"/>
        </w:rPr>
        <w:lastRenderedPageBreak/>
        <w:t xml:space="preserve">incidents </w:t>
      </w:r>
      <w:r>
        <w:rPr>
          <w:rFonts w:ascii="Arial" w:hAnsi="Arial" w:cs="Arial"/>
        </w:rPr>
        <w:t xml:space="preserve">(Ranked Major or Extreme) </w:t>
      </w:r>
      <w:r w:rsidRPr="00B74383">
        <w:rPr>
          <w:rFonts w:ascii="Arial" w:hAnsi="Arial" w:cs="Arial"/>
        </w:rPr>
        <w:t>must be reported to S</w:t>
      </w:r>
      <w:r>
        <w:rPr>
          <w:rFonts w:ascii="Arial" w:hAnsi="Arial" w:cs="Arial"/>
        </w:rPr>
        <w:t>cottish</w:t>
      </w:r>
      <w:r w:rsidR="00DB56F9">
        <w:rPr>
          <w:rFonts w:ascii="Arial" w:hAnsi="Arial" w:cs="Arial"/>
        </w:rPr>
        <w:t xml:space="preserve"> Government eHealth Directorate.</w:t>
      </w:r>
    </w:p>
    <w:p w:rsidR="00497DD4" w:rsidRDefault="00497DD4">
      <w:pPr>
        <w:rPr>
          <w:rFonts w:ascii="Arial" w:hAnsi="Arial" w:cs="Arial"/>
        </w:rPr>
      </w:pPr>
    </w:p>
    <w:p w:rsidR="00497DD4" w:rsidRDefault="00497DD4">
      <w:pPr>
        <w:rPr>
          <w:rFonts w:ascii="Arial" w:hAnsi="Arial" w:cs="Arial"/>
        </w:rPr>
      </w:pPr>
    </w:p>
    <w:p w:rsidR="00497DD4" w:rsidRPr="00497DD4" w:rsidRDefault="00497DD4" w:rsidP="00497DD4">
      <w:pPr>
        <w:pStyle w:val="ListParagraph"/>
        <w:ind w:left="0"/>
        <w:rPr>
          <w:rFonts w:ascii="Arial" w:hAnsi="Arial" w:cs="Arial"/>
          <w:b/>
        </w:rPr>
      </w:pPr>
      <w:r w:rsidRPr="00497DD4">
        <w:rPr>
          <w:rFonts w:ascii="Arial" w:hAnsi="Arial" w:cs="Arial"/>
          <w:b/>
        </w:rPr>
        <w:t>Requests for Information</w:t>
      </w:r>
    </w:p>
    <w:p w:rsidR="00497DD4" w:rsidRDefault="00497DD4" w:rsidP="00497DD4">
      <w:pPr>
        <w:rPr>
          <w:rFonts w:ascii="Arial" w:hAnsi="Arial" w:cs="Arial"/>
        </w:rPr>
      </w:pPr>
    </w:p>
    <w:p w:rsidR="00497DD4" w:rsidRDefault="00497DD4" w:rsidP="00497DD4">
      <w:pPr>
        <w:ind w:hanging="76"/>
        <w:rPr>
          <w:rFonts w:ascii="Arial" w:hAnsi="Arial" w:cs="Arial"/>
        </w:rPr>
      </w:pPr>
      <w:r>
        <w:rPr>
          <w:rFonts w:ascii="Arial" w:hAnsi="Arial" w:cs="Arial"/>
        </w:rPr>
        <w:tab/>
      </w:r>
      <w:r w:rsidRPr="005B0499">
        <w:rPr>
          <w:rFonts w:ascii="Arial" w:hAnsi="Arial" w:cs="Arial"/>
        </w:rPr>
        <w:t>In 20</w:t>
      </w:r>
      <w:r w:rsidR="00555330">
        <w:rPr>
          <w:rFonts w:ascii="Arial" w:hAnsi="Arial" w:cs="Arial"/>
        </w:rPr>
        <w:t>22/23</w:t>
      </w:r>
      <w:r w:rsidRPr="005B0499">
        <w:rPr>
          <w:rFonts w:ascii="Arial" w:hAnsi="Arial" w:cs="Arial"/>
        </w:rPr>
        <w:t xml:space="preserve">, there were </w:t>
      </w:r>
      <w:r w:rsidR="00DD1E58">
        <w:rPr>
          <w:rFonts w:ascii="Arial" w:hAnsi="Arial" w:cs="Arial"/>
          <w:b/>
        </w:rPr>
        <w:t>84</w:t>
      </w:r>
      <w:r w:rsidRPr="005B0499">
        <w:rPr>
          <w:rFonts w:ascii="Arial" w:hAnsi="Arial" w:cs="Arial"/>
        </w:rPr>
        <w:t xml:space="preserve"> FOI requests,</w:t>
      </w:r>
      <w:r w:rsidR="00DD1E58">
        <w:rPr>
          <w:rFonts w:ascii="Arial" w:hAnsi="Arial" w:cs="Arial"/>
        </w:rPr>
        <w:t xml:space="preserve"> an</w:t>
      </w:r>
      <w:r w:rsidR="001A69D5">
        <w:rPr>
          <w:rFonts w:ascii="Arial" w:hAnsi="Arial" w:cs="Arial"/>
        </w:rPr>
        <w:t xml:space="preserve"> almost double increase </w:t>
      </w:r>
      <w:r w:rsidR="00DD1E58">
        <w:rPr>
          <w:rFonts w:ascii="Arial" w:hAnsi="Arial" w:cs="Arial"/>
        </w:rPr>
        <w:t>from last year.</w:t>
      </w:r>
      <w:r w:rsidRPr="005B0499">
        <w:rPr>
          <w:rFonts w:ascii="Arial" w:hAnsi="Arial" w:cs="Arial"/>
          <w:b/>
        </w:rPr>
        <w:t xml:space="preserve"> </w:t>
      </w:r>
      <w:r w:rsidR="00DD1E58">
        <w:rPr>
          <w:rFonts w:ascii="Arial" w:hAnsi="Arial" w:cs="Arial"/>
          <w:b/>
        </w:rPr>
        <w:t>46</w:t>
      </w:r>
      <w:r w:rsidRPr="005B0499">
        <w:rPr>
          <w:rFonts w:ascii="Arial" w:hAnsi="Arial" w:cs="Arial"/>
        </w:rPr>
        <w:t xml:space="preserve"> of</w:t>
      </w:r>
      <w:r w:rsidR="00DD1E58">
        <w:rPr>
          <w:rFonts w:ascii="Arial" w:hAnsi="Arial" w:cs="Arial"/>
        </w:rPr>
        <w:t xml:space="preserve"> these requests </w:t>
      </w:r>
      <w:r w:rsidRPr="005B0499">
        <w:rPr>
          <w:rFonts w:ascii="Arial" w:hAnsi="Arial" w:cs="Arial"/>
        </w:rPr>
        <w:t xml:space="preserve">were responded to within the legislative timeframe.   </w:t>
      </w:r>
      <w:r w:rsidR="00DD1E58">
        <w:rPr>
          <w:rFonts w:ascii="Arial" w:hAnsi="Arial" w:cs="Arial"/>
          <w:b/>
        </w:rPr>
        <w:t xml:space="preserve">38 </w:t>
      </w:r>
      <w:r w:rsidRPr="005B0499">
        <w:rPr>
          <w:rFonts w:ascii="Arial" w:hAnsi="Arial" w:cs="Arial"/>
        </w:rPr>
        <w:t>were responded to out with the legislative timeframe, due to either the complexity of the requests or delays in receiving the information from the relevant department</w:t>
      </w:r>
      <w:r>
        <w:rPr>
          <w:rFonts w:ascii="Arial" w:hAnsi="Arial" w:cs="Arial"/>
        </w:rPr>
        <w:t>.</w:t>
      </w:r>
    </w:p>
    <w:p w:rsidR="00DD1E58" w:rsidRDefault="00DD1E58" w:rsidP="00497DD4">
      <w:pPr>
        <w:ind w:hanging="76"/>
        <w:rPr>
          <w:rFonts w:ascii="Arial" w:hAnsi="Arial" w:cs="Arial"/>
        </w:rPr>
      </w:pPr>
      <w:r>
        <w:rPr>
          <w:rFonts w:ascii="Arial" w:hAnsi="Arial" w:cs="Arial"/>
        </w:rPr>
        <w:t xml:space="preserve"> This is broken down as follows:</w:t>
      </w:r>
      <w:r>
        <w:rPr>
          <w:rFonts w:ascii="Arial" w:hAnsi="Arial" w:cs="Arial"/>
        </w:rPr>
        <w:br/>
      </w:r>
    </w:p>
    <w:p w:rsidR="00DD1E58" w:rsidRDefault="00DD1E58" w:rsidP="00DD1E58">
      <w:pPr>
        <w:pStyle w:val="ListParagraph"/>
        <w:numPr>
          <w:ilvl w:val="0"/>
          <w:numId w:val="21"/>
        </w:numPr>
        <w:rPr>
          <w:rFonts w:ascii="Arial" w:hAnsi="Arial" w:cs="Arial"/>
        </w:rPr>
      </w:pPr>
      <w:r>
        <w:rPr>
          <w:rFonts w:ascii="Arial" w:hAnsi="Arial" w:cs="Arial"/>
        </w:rPr>
        <w:t>Q1 – 11 requests.  9 responded on time, 2 late responses</w:t>
      </w:r>
    </w:p>
    <w:p w:rsidR="00DD1E58" w:rsidRDefault="00DD1E58" w:rsidP="00DD1E58">
      <w:pPr>
        <w:pStyle w:val="ListParagraph"/>
        <w:numPr>
          <w:ilvl w:val="0"/>
          <w:numId w:val="21"/>
        </w:numPr>
        <w:rPr>
          <w:rFonts w:ascii="Arial" w:hAnsi="Arial" w:cs="Arial"/>
        </w:rPr>
      </w:pPr>
      <w:r>
        <w:rPr>
          <w:rFonts w:ascii="Arial" w:hAnsi="Arial" w:cs="Arial"/>
        </w:rPr>
        <w:t>Q2 – 21 requests.  15 responded on time, 6 late responses</w:t>
      </w:r>
    </w:p>
    <w:p w:rsidR="00DD1E58" w:rsidRDefault="00DD1E58" w:rsidP="00DD1E58">
      <w:pPr>
        <w:pStyle w:val="ListParagraph"/>
        <w:numPr>
          <w:ilvl w:val="0"/>
          <w:numId w:val="21"/>
        </w:numPr>
        <w:rPr>
          <w:rFonts w:ascii="Arial" w:hAnsi="Arial" w:cs="Arial"/>
        </w:rPr>
      </w:pPr>
      <w:r>
        <w:rPr>
          <w:rFonts w:ascii="Arial" w:hAnsi="Arial" w:cs="Arial"/>
        </w:rPr>
        <w:t>Q3 – 22 requests.  16 responded on time, 6 late responses</w:t>
      </w:r>
    </w:p>
    <w:p w:rsidR="001A69D5" w:rsidRPr="001A69D5" w:rsidRDefault="00DD1E58" w:rsidP="001A69D5">
      <w:pPr>
        <w:pStyle w:val="ListParagraph"/>
        <w:numPr>
          <w:ilvl w:val="0"/>
          <w:numId w:val="21"/>
        </w:numPr>
        <w:rPr>
          <w:rFonts w:ascii="Arial" w:hAnsi="Arial" w:cs="Arial"/>
        </w:rPr>
      </w:pPr>
      <w:r>
        <w:rPr>
          <w:rFonts w:ascii="Arial" w:hAnsi="Arial" w:cs="Arial"/>
        </w:rPr>
        <w:t>Q4 – 30 requests.  6 responded on time.  24 late responses</w:t>
      </w:r>
    </w:p>
    <w:p w:rsidR="00497DD4" w:rsidRPr="005B0499" w:rsidRDefault="00497DD4" w:rsidP="00497DD4">
      <w:pPr>
        <w:rPr>
          <w:rFonts w:ascii="Arial" w:hAnsi="Arial" w:cs="Arial"/>
        </w:rPr>
      </w:pPr>
    </w:p>
    <w:p w:rsidR="00DD1E58" w:rsidRDefault="00DD1E58" w:rsidP="00497DD4">
      <w:pPr>
        <w:rPr>
          <w:rFonts w:ascii="Arial" w:hAnsi="Arial" w:cs="Arial"/>
        </w:rPr>
      </w:pPr>
      <w:r>
        <w:rPr>
          <w:rFonts w:ascii="Arial" w:hAnsi="Arial" w:cs="Arial"/>
        </w:rPr>
        <w:t>The following S</w:t>
      </w:r>
      <w:r w:rsidR="00497DD4" w:rsidRPr="005B0499">
        <w:rPr>
          <w:rFonts w:ascii="Arial" w:hAnsi="Arial" w:cs="Arial"/>
        </w:rPr>
        <w:t>ubject</w:t>
      </w:r>
      <w:r>
        <w:rPr>
          <w:rFonts w:ascii="Arial" w:hAnsi="Arial" w:cs="Arial"/>
        </w:rPr>
        <w:t xml:space="preserve"> Access R</w:t>
      </w:r>
      <w:r w:rsidR="00497DD4" w:rsidRPr="005B0499">
        <w:rPr>
          <w:rFonts w:ascii="Arial" w:hAnsi="Arial" w:cs="Arial"/>
        </w:rPr>
        <w:t>equests unde</w:t>
      </w:r>
      <w:r>
        <w:rPr>
          <w:rFonts w:ascii="Arial" w:hAnsi="Arial" w:cs="Arial"/>
        </w:rPr>
        <w:t xml:space="preserve">r the Data Protection Act </w:t>
      </w:r>
      <w:r w:rsidR="001A69D5">
        <w:rPr>
          <w:rFonts w:ascii="Arial" w:hAnsi="Arial" w:cs="Arial"/>
        </w:rPr>
        <w:t>2018, were received</w:t>
      </w:r>
      <w:r w:rsidR="00497DD4" w:rsidRPr="005B0499">
        <w:rPr>
          <w:rFonts w:ascii="Arial" w:hAnsi="Arial" w:cs="Arial"/>
        </w:rPr>
        <w:t xml:space="preserve">: </w:t>
      </w:r>
    </w:p>
    <w:p w:rsidR="00DD1E58" w:rsidRDefault="00DD1E58" w:rsidP="00DD1E58">
      <w:pPr>
        <w:pStyle w:val="ListParagraph"/>
        <w:numPr>
          <w:ilvl w:val="0"/>
          <w:numId w:val="22"/>
        </w:numPr>
        <w:rPr>
          <w:rFonts w:ascii="Arial" w:hAnsi="Arial" w:cs="Arial"/>
        </w:rPr>
      </w:pPr>
      <w:r>
        <w:rPr>
          <w:rFonts w:ascii="Arial" w:hAnsi="Arial" w:cs="Arial"/>
        </w:rPr>
        <w:t>Q1 – 186 requests</w:t>
      </w:r>
    </w:p>
    <w:p w:rsidR="00DD1E58" w:rsidRDefault="00DD1E58" w:rsidP="00DD1E58">
      <w:pPr>
        <w:pStyle w:val="ListParagraph"/>
        <w:numPr>
          <w:ilvl w:val="0"/>
          <w:numId w:val="22"/>
        </w:numPr>
        <w:rPr>
          <w:rFonts w:ascii="Arial" w:hAnsi="Arial" w:cs="Arial"/>
        </w:rPr>
      </w:pPr>
      <w:r>
        <w:rPr>
          <w:rFonts w:ascii="Arial" w:hAnsi="Arial" w:cs="Arial"/>
        </w:rPr>
        <w:t>Q2 – 178 requests</w:t>
      </w:r>
    </w:p>
    <w:p w:rsidR="00DD1E58" w:rsidRDefault="00DD1E58" w:rsidP="00DD1E58">
      <w:pPr>
        <w:pStyle w:val="ListParagraph"/>
        <w:numPr>
          <w:ilvl w:val="0"/>
          <w:numId w:val="22"/>
        </w:numPr>
        <w:rPr>
          <w:rFonts w:ascii="Arial" w:hAnsi="Arial" w:cs="Arial"/>
        </w:rPr>
      </w:pPr>
      <w:r>
        <w:rPr>
          <w:rFonts w:ascii="Arial" w:hAnsi="Arial" w:cs="Arial"/>
        </w:rPr>
        <w:t>Q3 – 110 requests</w:t>
      </w:r>
    </w:p>
    <w:p w:rsidR="00DD1E58" w:rsidRDefault="00DD1E58" w:rsidP="00DD1E58">
      <w:pPr>
        <w:pStyle w:val="ListParagraph"/>
        <w:numPr>
          <w:ilvl w:val="0"/>
          <w:numId w:val="22"/>
        </w:numPr>
        <w:rPr>
          <w:rFonts w:ascii="Arial" w:hAnsi="Arial" w:cs="Arial"/>
        </w:rPr>
      </w:pPr>
      <w:r>
        <w:rPr>
          <w:rFonts w:ascii="Arial" w:hAnsi="Arial" w:cs="Arial"/>
        </w:rPr>
        <w:t>Q4 – 218 requests</w:t>
      </w:r>
    </w:p>
    <w:p w:rsidR="00DD1E58" w:rsidRPr="00DD1E58" w:rsidRDefault="00DD1E58" w:rsidP="00DD1E58">
      <w:pPr>
        <w:pStyle w:val="ListParagraph"/>
        <w:rPr>
          <w:rFonts w:ascii="Arial" w:hAnsi="Arial" w:cs="Arial"/>
        </w:rPr>
      </w:pPr>
      <w:r w:rsidRPr="00DD1E58">
        <w:rPr>
          <w:rFonts w:ascii="Arial" w:hAnsi="Arial" w:cs="Arial"/>
        </w:rPr>
        <w:t>Total = 692 requests</w:t>
      </w:r>
    </w:p>
    <w:p w:rsidR="00497DD4" w:rsidRPr="005B0499" w:rsidRDefault="00497DD4" w:rsidP="00497DD4">
      <w:pPr>
        <w:rPr>
          <w:rFonts w:ascii="Arial" w:hAnsi="Arial" w:cs="Arial"/>
        </w:rPr>
      </w:pPr>
      <w:r w:rsidRPr="005B0499">
        <w:rPr>
          <w:rFonts w:ascii="Arial" w:hAnsi="Arial" w:cs="Arial"/>
        </w:rPr>
        <w:tab/>
      </w:r>
    </w:p>
    <w:p w:rsidR="00C66AF2" w:rsidRDefault="00C66AF2">
      <w:pPr>
        <w:rPr>
          <w:rFonts w:ascii="Arial" w:hAnsi="Arial" w:cs="Arial"/>
        </w:rPr>
      </w:pPr>
    </w:p>
    <w:p w:rsidR="00451B37" w:rsidRDefault="00451B37">
      <w:pPr>
        <w:rPr>
          <w:rFonts w:ascii="Arial" w:hAnsi="Arial" w:cs="Arial"/>
        </w:rPr>
      </w:pPr>
    </w:p>
    <w:p w:rsidR="00451B37" w:rsidRDefault="0012002E">
      <w:pPr>
        <w:rPr>
          <w:rFonts w:ascii="Arial" w:hAnsi="Arial" w:cs="Arial"/>
          <w:b/>
        </w:rPr>
      </w:pPr>
      <w:r w:rsidRPr="003432F0">
        <w:rPr>
          <w:rFonts w:ascii="Arial" w:hAnsi="Arial" w:cs="Arial"/>
          <w:b/>
        </w:rPr>
        <w:t>National and Local Developments</w:t>
      </w:r>
    </w:p>
    <w:p w:rsidR="00451B37" w:rsidRDefault="00451B37">
      <w:pPr>
        <w:rPr>
          <w:rFonts w:ascii="Arial" w:hAnsi="Arial" w:cs="Arial"/>
        </w:rPr>
      </w:pPr>
    </w:p>
    <w:p w:rsidR="00451B37" w:rsidRDefault="0012002E">
      <w:pPr>
        <w:rPr>
          <w:rFonts w:ascii="Arial" w:hAnsi="Arial" w:cs="Arial"/>
        </w:rPr>
      </w:pPr>
      <w:r>
        <w:rPr>
          <w:rFonts w:ascii="Arial" w:hAnsi="Arial" w:cs="Arial"/>
        </w:rPr>
        <w:t xml:space="preserve">Through the involvement in these groups and the inclusion of </w:t>
      </w:r>
      <w:r w:rsidR="001A69D5">
        <w:rPr>
          <w:rFonts w:ascii="Arial" w:hAnsi="Arial" w:cs="Arial"/>
        </w:rPr>
        <w:t xml:space="preserve">digital and </w:t>
      </w:r>
      <w:r>
        <w:rPr>
          <w:rFonts w:ascii="Arial" w:hAnsi="Arial" w:cs="Arial"/>
        </w:rPr>
        <w:t xml:space="preserve">information governance within the </w:t>
      </w:r>
      <w:r w:rsidR="0038021F">
        <w:rPr>
          <w:rFonts w:ascii="Arial" w:hAnsi="Arial" w:cs="Arial"/>
        </w:rPr>
        <w:t>Board’s</w:t>
      </w:r>
      <w:r>
        <w:rPr>
          <w:rFonts w:ascii="Arial" w:hAnsi="Arial" w:cs="Arial"/>
        </w:rPr>
        <w:t xml:space="preserve"> </w:t>
      </w:r>
      <w:r w:rsidR="001A69D5">
        <w:rPr>
          <w:rFonts w:ascii="Arial" w:hAnsi="Arial" w:cs="Arial"/>
        </w:rPr>
        <w:t>Digital S</w:t>
      </w:r>
      <w:r>
        <w:rPr>
          <w:rFonts w:ascii="Arial" w:hAnsi="Arial" w:cs="Arial"/>
        </w:rPr>
        <w:t>trateg</w:t>
      </w:r>
      <w:r w:rsidR="0038021F">
        <w:rPr>
          <w:rFonts w:ascii="Arial" w:hAnsi="Arial" w:cs="Arial"/>
        </w:rPr>
        <w:t xml:space="preserve">y and </w:t>
      </w:r>
      <w:r w:rsidR="001201BB">
        <w:rPr>
          <w:rFonts w:ascii="Arial" w:hAnsi="Arial" w:cs="Arial"/>
        </w:rPr>
        <w:t>delivery plan, there</w:t>
      </w:r>
      <w:r w:rsidR="00A73726">
        <w:rPr>
          <w:rFonts w:ascii="Arial" w:hAnsi="Arial" w:cs="Arial"/>
        </w:rPr>
        <w:t xml:space="preserve"> are a number of activities which were </w:t>
      </w:r>
      <w:r>
        <w:rPr>
          <w:rFonts w:ascii="Arial" w:hAnsi="Arial" w:cs="Arial"/>
        </w:rPr>
        <w:t xml:space="preserve">undertaken </w:t>
      </w:r>
      <w:r w:rsidR="00633A95">
        <w:rPr>
          <w:rFonts w:ascii="Arial" w:hAnsi="Arial" w:cs="Arial"/>
        </w:rPr>
        <w:t xml:space="preserve">in </w:t>
      </w:r>
      <w:r w:rsidR="008B5E44">
        <w:rPr>
          <w:rFonts w:ascii="Arial" w:hAnsi="Arial" w:cs="Arial"/>
        </w:rPr>
        <w:t>20</w:t>
      </w:r>
      <w:r w:rsidR="001A69D5">
        <w:rPr>
          <w:rFonts w:ascii="Arial" w:hAnsi="Arial" w:cs="Arial"/>
        </w:rPr>
        <w:t>22/23</w:t>
      </w:r>
      <w:r w:rsidR="000B36F5">
        <w:rPr>
          <w:rFonts w:ascii="Arial" w:hAnsi="Arial" w:cs="Arial"/>
        </w:rPr>
        <w:t>.</w:t>
      </w:r>
      <w:r w:rsidR="00653F0A">
        <w:rPr>
          <w:rFonts w:ascii="Arial" w:hAnsi="Arial" w:cs="Arial"/>
        </w:rPr>
        <w:t>These are described below.</w:t>
      </w:r>
    </w:p>
    <w:p w:rsidR="00B8543D" w:rsidRDefault="00B8543D">
      <w:pPr>
        <w:rPr>
          <w:rFonts w:ascii="Arial" w:hAnsi="Arial" w:cs="Arial"/>
        </w:rPr>
      </w:pPr>
    </w:p>
    <w:p w:rsidR="00B8543D" w:rsidRDefault="00B8543D">
      <w:pPr>
        <w:rPr>
          <w:rFonts w:ascii="Arial" w:hAnsi="Arial" w:cs="Arial"/>
        </w:rPr>
      </w:pPr>
    </w:p>
    <w:p w:rsidR="00F811CD" w:rsidRDefault="00B8543D" w:rsidP="002F5F2C">
      <w:pPr>
        <w:pStyle w:val="ListParagraph"/>
        <w:numPr>
          <w:ilvl w:val="0"/>
          <w:numId w:val="19"/>
        </w:numPr>
        <w:ind w:left="709"/>
        <w:rPr>
          <w:rFonts w:ascii="Arial" w:hAnsi="Arial" w:cs="Arial"/>
        </w:rPr>
      </w:pPr>
      <w:r w:rsidRPr="00C51BAB">
        <w:rPr>
          <w:rFonts w:ascii="Arial" w:hAnsi="Arial" w:cs="Arial"/>
          <w:b/>
        </w:rPr>
        <w:t>Cyber Resilience</w:t>
      </w:r>
      <w:r w:rsidR="00566986" w:rsidRPr="00C51BAB">
        <w:rPr>
          <w:rFonts w:ascii="Arial" w:hAnsi="Arial" w:cs="Arial"/>
          <w:b/>
        </w:rPr>
        <w:t>:</w:t>
      </w:r>
      <w:r w:rsidRPr="00C51BAB">
        <w:rPr>
          <w:rFonts w:ascii="Arial" w:hAnsi="Arial" w:cs="Arial"/>
          <w:b/>
        </w:rPr>
        <w:t xml:space="preserve"> </w:t>
      </w:r>
      <w:r w:rsidR="00617690" w:rsidRPr="00C51BAB">
        <w:rPr>
          <w:rFonts w:ascii="Arial" w:hAnsi="Arial" w:cs="Arial"/>
          <w:b/>
        </w:rPr>
        <w:br/>
      </w:r>
      <w:r w:rsidR="00617690" w:rsidRPr="00C51BAB">
        <w:rPr>
          <w:rFonts w:ascii="Arial" w:hAnsi="Arial" w:cs="Arial"/>
          <w:b/>
        </w:rPr>
        <w:br/>
        <w:t>NIS</w:t>
      </w:r>
      <w:r w:rsidR="00A972E2" w:rsidRPr="00C51BAB">
        <w:rPr>
          <w:rFonts w:ascii="Arial" w:hAnsi="Arial" w:cs="Arial"/>
          <w:b/>
        </w:rPr>
        <w:t xml:space="preserve"> Directive and Audit</w:t>
      </w:r>
      <w:r w:rsidR="00A972E2" w:rsidRPr="00C51BAB">
        <w:rPr>
          <w:rFonts w:ascii="Arial" w:hAnsi="Arial" w:cs="Arial"/>
        </w:rPr>
        <w:br/>
      </w:r>
      <w:r w:rsidR="008F018A" w:rsidRPr="00C51BAB">
        <w:rPr>
          <w:rFonts w:ascii="Arial" w:hAnsi="Arial" w:cs="Arial"/>
        </w:rPr>
        <w:br/>
      </w:r>
      <w:r w:rsidR="00F811CD">
        <w:rPr>
          <w:rFonts w:ascii="Arial" w:hAnsi="Arial" w:cs="Arial"/>
        </w:rPr>
        <w:t>NHSGJ underwent</w:t>
      </w:r>
      <w:r w:rsidR="002E6130" w:rsidRPr="002F5F2C">
        <w:rPr>
          <w:rFonts w:ascii="Arial" w:hAnsi="Arial" w:cs="Arial"/>
        </w:rPr>
        <w:t xml:space="preserve"> a review</w:t>
      </w:r>
      <w:r w:rsidR="00F811CD">
        <w:rPr>
          <w:rFonts w:ascii="Arial" w:hAnsi="Arial" w:cs="Arial"/>
        </w:rPr>
        <w:t xml:space="preserve"> of its compliance of the NIS Directive</w:t>
      </w:r>
      <w:r w:rsidR="002E6130" w:rsidRPr="002F5F2C">
        <w:rPr>
          <w:rFonts w:ascii="Arial" w:hAnsi="Arial" w:cs="Arial"/>
        </w:rPr>
        <w:t xml:space="preserve"> in October 2022, as part of the Scottish Health Competent Authority </w:t>
      </w:r>
      <w:r w:rsidR="00A10775" w:rsidRPr="002F5F2C">
        <w:rPr>
          <w:rFonts w:ascii="Arial" w:hAnsi="Arial" w:cs="Arial"/>
        </w:rPr>
        <w:t xml:space="preserve">three year </w:t>
      </w:r>
      <w:r w:rsidR="002E6130" w:rsidRPr="002F5F2C">
        <w:rPr>
          <w:rFonts w:ascii="Arial" w:hAnsi="Arial" w:cs="Arial"/>
        </w:rPr>
        <w:t>audit cycle</w:t>
      </w:r>
      <w:r w:rsidR="00F811CD">
        <w:rPr>
          <w:rFonts w:ascii="Arial" w:hAnsi="Arial" w:cs="Arial"/>
        </w:rPr>
        <w:t>, Year 1 audit (2020), Year 2 review (2021).  The report</w:t>
      </w:r>
      <w:r w:rsidR="00DB7BB2">
        <w:rPr>
          <w:rFonts w:ascii="Arial" w:hAnsi="Arial" w:cs="Arial"/>
        </w:rPr>
        <w:t>, detailing the findings of October 2022</w:t>
      </w:r>
      <w:r w:rsidR="00F811CD">
        <w:rPr>
          <w:rFonts w:ascii="Arial" w:hAnsi="Arial" w:cs="Arial"/>
        </w:rPr>
        <w:t xml:space="preserve"> review have been shared with the Digital </w:t>
      </w:r>
      <w:r w:rsidR="00A00216">
        <w:rPr>
          <w:rFonts w:ascii="Arial" w:hAnsi="Arial" w:cs="Arial"/>
        </w:rPr>
        <w:t xml:space="preserve">&amp; Information </w:t>
      </w:r>
      <w:r w:rsidR="00F811CD">
        <w:rPr>
          <w:rFonts w:ascii="Arial" w:hAnsi="Arial" w:cs="Arial"/>
        </w:rPr>
        <w:t>Governance Group, Audit and Risk Committee and also to the Board Committee.  A summary of this report is as follows;</w:t>
      </w:r>
    </w:p>
    <w:p w:rsidR="00DB7BB2" w:rsidRDefault="00DB7BB2" w:rsidP="00DB7BB2">
      <w:pPr>
        <w:rPr>
          <w:rFonts w:ascii="Arial" w:hAnsi="Arial" w:cs="Arial"/>
        </w:rPr>
      </w:pPr>
    </w:p>
    <w:p w:rsidR="00DB7BB2" w:rsidRDefault="00DB7BB2" w:rsidP="00DB7BB2">
      <w:pPr>
        <w:rPr>
          <w:rFonts w:ascii="Arial" w:hAnsi="Arial" w:cs="Arial"/>
        </w:rPr>
      </w:pPr>
    </w:p>
    <w:p w:rsidR="00DB7BB2" w:rsidRPr="00DB7BB2" w:rsidRDefault="00DB7BB2" w:rsidP="00DB7BB2">
      <w:pPr>
        <w:rPr>
          <w:rFonts w:ascii="Arial" w:hAnsi="Arial" w:cs="Arial"/>
        </w:rPr>
      </w:pPr>
    </w:p>
    <w:p w:rsidR="00DB7BB2" w:rsidRDefault="00DB7BB2" w:rsidP="00DB7BB2">
      <w:pPr>
        <w:pStyle w:val="ListParagraph"/>
        <w:ind w:left="709"/>
        <w:rPr>
          <w:rFonts w:ascii="Arial" w:hAnsi="Arial" w:cs="Arial"/>
          <w:b/>
        </w:rPr>
      </w:pPr>
    </w:p>
    <w:tbl>
      <w:tblPr>
        <w:tblStyle w:val="TableGrid"/>
        <w:tblW w:w="0" w:type="auto"/>
        <w:tblInd w:w="709" w:type="dxa"/>
        <w:tblLook w:val="04A0" w:firstRow="1" w:lastRow="0" w:firstColumn="1" w:lastColumn="0" w:noHBand="0" w:noVBand="1"/>
      </w:tblPr>
      <w:tblGrid>
        <w:gridCol w:w="3368"/>
        <w:gridCol w:w="2067"/>
        <w:gridCol w:w="2719"/>
      </w:tblGrid>
      <w:tr w:rsidR="00DB7BB2" w:rsidTr="00DB7BB2">
        <w:tc>
          <w:tcPr>
            <w:tcW w:w="3368" w:type="dxa"/>
            <w:vMerge w:val="restart"/>
          </w:tcPr>
          <w:p w:rsidR="00DB7BB2" w:rsidRPr="00DB7BB2" w:rsidRDefault="00DB7BB2" w:rsidP="00DB7BB2">
            <w:pPr>
              <w:pStyle w:val="ListParagraph"/>
              <w:ind w:left="0"/>
              <w:jc w:val="center"/>
              <w:rPr>
                <w:rFonts w:ascii="Arial" w:hAnsi="Arial" w:cs="Arial"/>
                <w:b/>
              </w:rPr>
            </w:pPr>
            <w:r w:rsidRPr="00DB7BB2">
              <w:rPr>
                <w:rFonts w:ascii="Arial" w:hAnsi="Arial" w:cs="Arial"/>
                <w:b/>
              </w:rPr>
              <w:lastRenderedPageBreak/>
              <w:t>Overall Compliance</w:t>
            </w:r>
          </w:p>
          <w:p w:rsidR="00DB7BB2" w:rsidRDefault="00DB7BB2" w:rsidP="00DB7BB2">
            <w:pPr>
              <w:pStyle w:val="ListParagraph"/>
              <w:ind w:left="0"/>
              <w:jc w:val="center"/>
              <w:rPr>
                <w:rFonts w:ascii="Arial" w:hAnsi="Arial" w:cs="Arial"/>
              </w:rPr>
            </w:pPr>
            <w:r w:rsidRPr="00DB7BB2">
              <w:rPr>
                <w:rFonts w:ascii="Arial" w:hAnsi="Arial" w:cs="Arial"/>
                <w:b/>
              </w:rPr>
              <w:t>Status</w:t>
            </w:r>
          </w:p>
        </w:tc>
        <w:tc>
          <w:tcPr>
            <w:tcW w:w="2067" w:type="dxa"/>
          </w:tcPr>
          <w:p w:rsidR="00DB7BB2" w:rsidRPr="00DB7BB2" w:rsidRDefault="00DB7BB2" w:rsidP="00DB7BB2">
            <w:pPr>
              <w:pStyle w:val="ListParagraph"/>
              <w:ind w:left="0"/>
              <w:jc w:val="center"/>
              <w:rPr>
                <w:rFonts w:ascii="Arial" w:hAnsi="Arial" w:cs="Arial"/>
                <w:b/>
              </w:rPr>
            </w:pPr>
            <w:r w:rsidRPr="00DB7BB2">
              <w:rPr>
                <w:rFonts w:ascii="Arial" w:hAnsi="Arial" w:cs="Arial"/>
                <w:b/>
              </w:rPr>
              <w:t>2022</w:t>
            </w:r>
          </w:p>
        </w:tc>
        <w:tc>
          <w:tcPr>
            <w:tcW w:w="2719" w:type="dxa"/>
            <w:shd w:val="clear" w:color="auto" w:fill="FFC000"/>
          </w:tcPr>
          <w:p w:rsidR="00DB7BB2" w:rsidRPr="00DB7BB2" w:rsidRDefault="00DB7BB2" w:rsidP="00DB7BB2">
            <w:pPr>
              <w:pStyle w:val="ListParagraph"/>
              <w:ind w:left="0"/>
              <w:jc w:val="center"/>
              <w:rPr>
                <w:rFonts w:ascii="Arial" w:hAnsi="Arial" w:cs="Arial"/>
                <w:b/>
              </w:rPr>
            </w:pPr>
            <w:r w:rsidRPr="00DB7BB2">
              <w:rPr>
                <w:rFonts w:ascii="Arial" w:hAnsi="Arial" w:cs="Arial"/>
                <w:b/>
              </w:rPr>
              <w:t>Amber 52%</w:t>
            </w:r>
          </w:p>
        </w:tc>
      </w:tr>
      <w:tr w:rsidR="00DB7BB2" w:rsidTr="00DB7BB2">
        <w:tc>
          <w:tcPr>
            <w:tcW w:w="3368" w:type="dxa"/>
            <w:vMerge/>
          </w:tcPr>
          <w:p w:rsidR="00DB7BB2" w:rsidRDefault="00DB7BB2" w:rsidP="00DB7BB2">
            <w:pPr>
              <w:pStyle w:val="ListParagraph"/>
              <w:ind w:left="0"/>
              <w:rPr>
                <w:rFonts w:ascii="Arial" w:hAnsi="Arial" w:cs="Arial"/>
              </w:rPr>
            </w:pPr>
          </w:p>
        </w:tc>
        <w:tc>
          <w:tcPr>
            <w:tcW w:w="2067" w:type="dxa"/>
          </w:tcPr>
          <w:p w:rsidR="00DB7BB2" w:rsidRPr="00DB7BB2" w:rsidRDefault="00DB7BB2" w:rsidP="00DB7BB2">
            <w:pPr>
              <w:pStyle w:val="ListParagraph"/>
              <w:ind w:left="0"/>
              <w:jc w:val="center"/>
              <w:rPr>
                <w:rFonts w:ascii="Arial" w:hAnsi="Arial" w:cs="Arial"/>
                <w:b/>
              </w:rPr>
            </w:pPr>
            <w:r w:rsidRPr="00DB7BB2">
              <w:rPr>
                <w:rFonts w:ascii="Arial" w:hAnsi="Arial" w:cs="Arial"/>
                <w:b/>
              </w:rPr>
              <w:t>2021</w:t>
            </w:r>
          </w:p>
        </w:tc>
        <w:tc>
          <w:tcPr>
            <w:tcW w:w="2719" w:type="dxa"/>
            <w:shd w:val="clear" w:color="auto" w:fill="FFC000"/>
          </w:tcPr>
          <w:p w:rsidR="00DB7BB2" w:rsidRPr="00DB7BB2" w:rsidRDefault="00DB7BB2" w:rsidP="00DB7BB2">
            <w:pPr>
              <w:pStyle w:val="ListParagraph"/>
              <w:ind w:left="0"/>
              <w:jc w:val="center"/>
              <w:rPr>
                <w:rFonts w:ascii="Arial" w:hAnsi="Arial" w:cs="Arial"/>
                <w:b/>
              </w:rPr>
            </w:pPr>
            <w:r w:rsidRPr="00DB7BB2">
              <w:rPr>
                <w:rFonts w:ascii="Arial" w:hAnsi="Arial" w:cs="Arial"/>
                <w:b/>
              </w:rPr>
              <w:t>Amber 44%</w:t>
            </w:r>
          </w:p>
        </w:tc>
      </w:tr>
      <w:tr w:rsidR="00DB7BB2" w:rsidTr="00DB7BB2">
        <w:tc>
          <w:tcPr>
            <w:tcW w:w="3368" w:type="dxa"/>
            <w:vMerge/>
          </w:tcPr>
          <w:p w:rsidR="00DB7BB2" w:rsidRDefault="00DB7BB2" w:rsidP="00DB7BB2">
            <w:pPr>
              <w:pStyle w:val="ListParagraph"/>
              <w:ind w:left="0"/>
              <w:rPr>
                <w:rFonts w:ascii="Arial" w:hAnsi="Arial" w:cs="Arial"/>
              </w:rPr>
            </w:pPr>
          </w:p>
        </w:tc>
        <w:tc>
          <w:tcPr>
            <w:tcW w:w="2067" w:type="dxa"/>
          </w:tcPr>
          <w:p w:rsidR="00DB7BB2" w:rsidRPr="00DB7BB2" w:rsidRDefault="00DB7BB2" w:rsidP="00DB7BB2">
            <w:pPr>
              <w:pStyle w:val="ListParagraph"/>
              <w:ind w:left="0"/>
              <w:jc w:val="center"/>
              <w:rPr>
                <w:rFonts w:ascii="Arial" w:hAnsi="Arial" w:cs="Arial"/>
                <w:b/>
              </w:rPr>
            </w:pPr>
            <w:r w:rsidRPr="00DB7BB2">
              <w:rPr>
                <w:rFonts w:ascii="Arial" w:hAnsi="Arial" w:cs="Arial"/>
                <w:b/>
              </w:rPr>
              <w:t>2020</w:t>
            </w:r>
          </w:p>
        </w:tc>
        <w:tc>
          <w:tcPr>
            <w:tcW w:w="2719" w:type="dxa"/>
            <w:shd w:val="clear" w:color="auto" w:fill="FFC000"/>
          </w:tcPr>
          <w:p w:rsidR="00DB7BB2" w:rsidRPr="00DB7BB2" w:rsidRDefault="00DB7BB2" w:rsidP="00DB7BB2">
            <w:pPr>
              <w:pStyle w:val="ListParagraph"/>
              <w:ind w:left="0"/>
              <w:jc w:val="center"/>
              <w:rPr>
                <w:rFonts w:ascii="Arial" w:hAnsi="Arial" w:cs="Arial"/>
                <w:b/>
              </w:rPr>
            </w:pPr>
            <w:r w:rsidRPr="00DB7BB2">
              <w:rPr>
                <w:rFonts w:ascii="Arial" w:hAnsi="Arial" w:cs="Arial"/>
                <w:b/>
              </w:rPr>
              <w:t>Amber 43%</w:t>
            </w:r>
          </w:p>
        </w:tc>
      </w:tr>
    </w:tbl>
    <w:p w:rsidR="00E3239B" w:rsidRPr="00E3239B" w:rsidRDefault="00E3239B" w:rsidP="00E3239B">
      <w:pPr>
        <w:autoSpaceDE w:val="0"/>
        <w:autoSpaceDN w:val="0"/>
        <w:adjustRightInd w:val="0"/>
        <w:rPr>
          <w:rFonts w:ascii="Calibri" w:hAnsi="Calibri" w:cs="Calibri"/>
          <w:lang w:eastAsia="en-GB"/>
        </w:rPr>
      </w:pPr>
    </w:p>
    <w:p w:rsidR="00E3239B" w:rsidRPr="00E3239B" w:rsidRDefault="00E3239B" w:rsidP="0006334B">
      <w:pPr>
        <w:pStyle w:val="Default"/>
        <w:ind w:left="567"/>
      </w:pPr>
      <w:r w:rsidRPr="00E3239B">
        <w:t xml:space="preserve">Overall this was an improved submission with good progress in the controls implementation with 60% achieved or partially achieved. </w:t>
      </w:r>
    </w:p>
    <w:p w:rsidR="00E3239B" w:rsidRPr="00E3239B" w:rsidRDefault="00E3239B" w:rsidP="0006334B">
      <w:pPr>
        <w:autoSpaceDE w:val="0"/>
        <w:autoSpaceDN w:val="0"/>
        <w:adjustRightInd w:val="0"/>
        <w:ind w:left="567"/>
        <w:rPr>
          <w:rFonts w:ascii="Arial" w:hAnsi="Arial" w:cs="Arial"/>
          <w:lang w:eastAsia="en-GB"/>
        </w:rPr>
      </w:pPr>
      <w:r w:rsidRPr="00E3239B">
        <w:rPr>
          <w:rFonts w:ascii="Arial" w:hAnsi="Arial" w:cs="Arial"/>
          <w:lang w:eastAsia="en-GB"/>
        </w:rPr>
        <w:t xml:space="preserve">Compliance status has been raised from 44% to 52%, </w:t>
      </w:r>
      <w:r w:rsidR="0006334B">
        <w:rPr>
          <w:rFonts w:ascii="Arial" w:hAnsi="Arial" w:cs="Arial"/>
          <w:lang w:eastAsia="en-GB"/>
        </w:rPr>
        <w:t>with the risk exposure at 25%.</w:t>
      </w:r>
      <w:r w:rsidRPr="00E3239B">
        <w:rPr>
          <w:rFonts w:ascii="Arial" w:hAnsi="Arial" w:cs="Arial"/>
          <w:lang w:eastAsia="en-GB"/>
        </w:rPr>
        <w:t xml:space="preserve"> </w:t>
      </w:r>
    </w:p>
    <w:p w:rsidR="00E3239B" w:rsidRPr="00E3239B" w:rsidRDefault="00E3239B" w:rsidP="0006334B">
      <w:pPr>
        <w:autoSpaceDE w:val="0"/>
        <w:autoSpaceDN w:val="0"/>
        <w:adjustRightInd w:val="0"/>
        <w:ind w:left="567"/>
        <w:rPr>
          <w:rFonts w:ascii="Arial" w:hAnsi="Arial" w:cs="Arial"/>
          <w:lang w:eastAsia="en-GB"/>
        </w:rPr>
      </w:pPr>
      <w:r w:rsidRPr="00E3239B">
        <w:rPr>
          <w:rFonts w:ascii="Arial" w:hAnsi="Arial" w:cs="Arial"/>
          <w:color w:val="000000"/>
          <w:lang w:eastAsia="en-GB"/>
        </w:rPr>
        <w:t xml:space="preserve">It was noted that </w:t>
      </w:r>
      <w:r w:rsidRPr="00E3239B">
        <w:rPr>
          <w:rFonts w:ascii="Arial" w:hAnsi="Arial" w:cs="Arial"/>
          <w:lang w:eastAsia="en-GB"/>
        </w:rPr>
        <w:t xml:space="preserve">the commitment of the board to cyber security is evident in the appointment of a </w:t>
      </w:r>
      <w:r w:rsidR="003A50F6">
        <w:rPr>
          <w:rFonts w:ascii="Arial" w:hAnsi="Arial" w:cs="Arial"/>
          <w:lang w:eastAsia="en-GB"/>
        </w:rPr>
        <w:t>Cyber-S</w:t>
      </w:r>
      <w:r w:rsidR="0006334B" w:rsidRPr="00E3239B">
        <w:rPr>
          <w:rFonts w:ascii="Arial" w:hAnsi="Arial" w:cs="Arial"/>
          <w:lang w:eastAsia="en-GB"/>
        </w:rPr>
        <w:t>ecurity</w:t>
      </w:r>
      <w:r w:rsidR="003A50F6">
        <w:rPr>
          <w:rFonts w:ascii="Arial" w:hAnsi="Arial" w:cs="Arial"/>
          <w:lang w:eastAsia="en-GB"/>
        </w:rPr>
        <w:t xml:space="preserve"> Operations Manager</w:t>
      </w:r>
      <w:r w:rsidRPr="00E3239B">
        <w:rPr>
          <w:rFonts w:ascii="Arial" w:hAnsi="Arial" w:cs="Arial"/>
          <w:lang w:eastAsia="en-GB"/>
        </w:rPr>
        <w:t xml:space="preserve"> and t</w:t>
      </w:r>
      <w:r w:rsidR="003A50F6">
        <w:rPr>
          <w:rFonts w:ascii="Arial" w:hAnsi="Arial" w:cs="Arial"/>
          <w:lang w:eastAsia="en-GB"/>
        </w:rPr>
        <w:t xml:space="preserve">he creation of additional posts, including the Cyber Security Compliance Officer, which is a post dedicated to manage the compliance of the NIS Directive and ensuring the controls within the NIS Directive Audit are owned and compliance met. </w:t>
      </w:r>
      <w:r w:rsidRPr="00E3239B">
        <w:rPr>
          <w:rFonts w:ascii="Arial" w:hAnsi="Arial" w:cs="Arial"/>
          <w:lang w:eastAsia="en-GB"/>
        </w:rPr>
        <w:t xml:space="preserve"> </w:t>
      </w:r>
    </w:p>
    <w:p w:rsidR="00E3239B" w:rsidRDefault="00E3239B" w:rsidP="00E3239B">
      <w:pPr>
        <w:autoSpaceDE w:val="0"/>
        <w:autoSpaceDN w:val="0"/>
        <w:adjustRightInd w:val="0"/>
        <w:ind w:left="567"/>
        <w:rPr>
          <w:rFonts w:ascii="Arial" w:hAnsi="Arial" w:cs="Arial"/>
          <w:lang w:eastAsia="en-GB"/>
        </w:rPr>
      </w:pPr>
      <w:r w:rsidRPr="00E3239B">
        <w:rPr>
          <w:rFonts w:ascii="Arial" w:hAnsi="Arial" w:cs="Arial"/>
          <w:color w:val="000000"/>
          <w:lang w:eastAsia="en-GB"/>
        </w:rPr>
        <w:t xml:space="preserve">It was also noted that </w:t>
      </w:r>
      <w:r w:rsidRPr="00E3239B">
        <w:rPr>
          <w:rFonts w:ascii="Arial" w:hAnsi="Arial" w:cs="Arial"/>
          <w:lang w:eastAsia="en-GB"/>
        </w:rPr>
        <w:t xml:space="preserve">the staff awareness programme in cyber security is a strength of the board, an example of good practice with initiatives that may be of interest to other boards. </w:t>
      </w:r>
    </w:p>
    <w:p w:rsidR="005D403A" w:rsidRDefault="005D403A" w:rsidP="00E3239B">
      <w:pPr>
        <w:autoSpaceDE w:val="0"/>
        <w:autoSpaceDN w:val="0"/>
        <w:adjustRightInd w:val="0"/>
        <w:ind w:left="567"/>
        <w:rPr>
          <w:rFonts w:ascii="Arial" w:hAnsi="Arial" w:cs="Arial"/>
          <w:lang w:eastAsia="en-GB"/>
        </w:rPr>
      </w:pPr>
    </w:p>
    <w:p w:rsidR="005D403A" w:rsidRDefault="005D403A" w:rsidP="00E3239B">
      <w:pPr>
        <w:autoSpaceDE w:val="0"/>
        <w:autoSpaceDN w:val="0"/>
        <w:adjustRightInd w:val="0"/>
        <w:ind w:left="567"/>
        <w:rPr>
          <w:rFonts w:ascii="Arial" w:hAnsi="Arial" w:cs="Arial"/>
          <w:lang w:eastAsia="en-GB"/>
        </w:rPr>
      </w:pPr>
      <w:r>
        <w:rPr>
          <w:rFonts w:ascii="Arial" w:hAnsi="Arial" w:cs="Arial"/>
          <w:lang w:eastAsia="en-GB"/>
        </w:rPr>
        <w:t xml:space="preserve">The second </w:t>
      </w:r>
      <w:r w:rsidR="0091210B">
        <w:rPr>
          <w:rFonts w:ascii="Arial" w:hAnsi="Arial" w:cs="Arial"/>
          <w:lang w:eastAsia="en-GB"/>
        </w:rPr>
        <w:t xml:space="preserve">3 year </w:t>
      </w:r>
      <w:r>
        <w:rPr>
          <w:rFonts w:ascii="Arial" w:hAnsi="Arial" w:cs="Arial"/>
          <w:lang w:eastAsia="en-GB"/>
        </w:rPr>
        <w:t>audit cycle has now commenced with the first year</w:t>
      </w:r>
      <w:r w:rsidR="007E611C">
        <w:rPr>
          <w:rFonts w:ascii="Arial" w:hAnsi="Arial" w:cs="Arial"/>
          <w:lang w:eastAsia="en-GB"/>
        </w:rPr>
        <w:t xml:space="preserve"> full</w:t>
      </w:r>
      <w:r>
        <w:rPr>
          <w:rFonts w:ascii="Arial" w:hAnsi="Arial" w:cs="Arial"/>
          <w:lang w:eastAsia="en-GB"/>
        </w:rPr>
        <w:t xml:space="preserve"> audit </w:t>
      </w:r>
      <w:r w:rsidR="007E611C">
        <w:rPr>
          <w:rFonts w:ascii="Arial" w:hAnsi="Arial" w:cs="Arial"/>
          <w:lang w:eastAsia="en-GB"/>
        </w:rPr>
        <w:t>over the following dates across 2023/24</w:t>
      </w:r>
    </w:p>
    <w:p w:rsidR="005D403A" w:rsidRDefault="005D403A" w:rsidP="00E3239B">
      <w:pPr>
        <w:autoSpaceDE w:val="0"/>
        <w:autoSpaceDN w:val="0"/>
        <w:adjustRightInd w:val="0"/>
        <w:ind w:left="567"/>
        <w:rPr>
          <w:rFonts w:ascii="Arial" w:hAnsi="Arial" w:cs="Arial"/>
          <w:lang w:eastAsia="en-GB"/>
        </w:rPr>
      </w:pPr>
    </w:p>
    <w:p w:rsidR="005D403A" w:rsidRDefault="005D403A" w:rsidP="005D403A">
      <w:pPr>
        <w:pStyle w:val="ListParagraph"/>
        <w:numPr>
          <w:ilvl w:val="0"/>
          <w:numId w:val="28"/>
        </w:numPr>
        <w:autoSpaceDE w:val="0"/>
        <w:autoSpaceDN w:val="0"/>
        <w:adjustRightInd w:val="0"/>
        <w:rPr>
          <w:rFonts w:ascii="Arial" w:hAnsi="Arial" w:cs="Arial"/>
          <w:lang w:eastAsia="en-GB"/>
        </w:rPr>
      </w:pPr>
      <w:r w:rsidRPr="005D403A">
        <w:rPr>
          <w:rFonts w:ascii="Arial" w:hAnsi="Arial" w:cs="Arial"/>
          <w:lang w:eastAsia="en-GB"/>
        </w:rPr>
        <w:t>24</w:t>
      </w:r>
      <w:r w:rsidRPr="005D403A">
        <w:rPr>
          <w:rFonts w:ascii="Arial" w:hAnsi="Arial" w:cs="Arial"/>
          <w:vertAlign w:val="superscript"/>
          <w:lang w:eastAsia="en-GB"/>
        </w:rPr>
        <w:t>th</w:t>
      </w:r>
      <w:r w:rsidRPr="005D403A">
        <w:rPr>
          <w:rFonts w:ascii="Arial" w:hAnsi="Arial" w:cs="Arial"/>
          <w:lang w:eastAsia="en-GB"/>
        </w:rPr>
        <w:t xml:space="preserve"> May 2023 </w:t>
      </w:r>
      <w:r>
        <w:rPr>
          <w:rFonts w:ascii="Arial" w:hAnsi="Arial" w:cs="Arial"/>
          <w:lang w:eastAsia="en-GB"/>
        </w:rPr>
        <w:t>–</w:t>
      </w:r>
      <w:r w:rsidRPr="005D403A">
        <w:rPr>
          <w:rFonts w:ascii="Arial" w:hAnsi="Arial" w:cs="Arial"/>
          <w:lang w:eastAsia="en-GB"/>
        </w:rPr>
        <w:t xml:space="preserve"> </w:t>
      </w:r>
      <w:r>
        <w:rPr>
          <w:rFonts w:ascii="Arial" w:hAnsi="Arial" w:cs="Arial"/>
          <w:lang w:eastAsia="en-GB"/>
        </w:rPr>
        <w:t>Onsite Audit</w:t>
      </w:r>
      <w:r w:rsidRPr="005D403A">
        <w:rPr>
          <w:rFonts w:ascii="Arial" w:hAnsi="Arial" w:cs="Arial"/>
          <w:lang w:eastAsia="en-GB"/>
        </w:rPr>
        <w:t xml:space="preserve"> – To review site security and restricted access areas.  Also an opportunity to demonstrate cyber and information security tools and applications.</w:t>
      </w:r>
    </w:p>
    <w:p w:rsidR="007E611C" w:rsidRDefault="007E611C" w:rsidP="005D403A">
      <w:pPr>
        <w:pStyle w:val="ListParagraph"/>
        <w:numPr>
          <w:ilvl w:val="0"/>
          <w:numId w:val="28"/>
        </w:numPr>
        <w:autoSpaceDE w:val="0"/>
        <w:autoSpaceDN w:val="0"/>
        <w:adjustRightInd w:val="0"/>
        <w:rPr>
          <w:rFonts w:ascii="Arial" w:hAnsi="Arial" w:cs="Arial"/>
          <w:lang w:eastAsia="en-GB"/>
        </w:rPr>
      </w:pPr>
      <w:r>
        <w:rPr>
          <w:rFonts w:ascii="Arial" w:hAnsi="Arial" w:cs="Arial"/>
          <w:lang w:eastAsia="en-GB"/>
        </w:rPr>
        <w:t>15</w:t>
      </w:r>
      <w:r w:rsidRPr="007E611C">
        <w:rPr>
          <w:rFonts w:ascii="Arial" w:hAnsi="Arial" w:cs="Arial"/>
          <w:vertAlign w:val="superscript"/>
          <w:lang w:eastAsia="en-GB"/>
        </w:rPr>
        <w:t>th</w:t>
      </w:r>
      <w:r>
        <w:rPr>
          <w:rFonts w:ascii="Arial" w:hAnsi="Arial" w:cs="Arial"/>
          <w:lang w:eastAsia="en-GB"/>
        </w:rPr>
        <w:t xml:space="preserve"> January 2024 – Evidence submission deadline to auditor.</w:t>
      </w:r>
    </w:p>
    <w:p w:rsidR="007E611C" w:rsidRDefault="007E611C" w:rsidP="005D403A">
      <w:pPr>
        <w:pStyle w:val="ListParagraph"/>
        <w:numPr>
          <w:ilvl w:val="0"/>
          <w:numId w:val="28"/>
        </w:numPr>
        <w:autoSpaceDE w:val="0"/>
        <w:autoSpaceDN w:val="0"/>
        <w:adjustRightInd w:val="0"/>
        <w:rPr>
          <w:rFonts w:ascii="Arial" w:hAnsi="Arial" w:cs="Arial"/>
          <w:lang w:eastAsia="en-GB"/>
        </w:rPr>
      </w:pPr>
      <w:r>
        <w:rPr>
          <w:rFonts w:ascii="Arial" w:hAnsi="Arial" w:cs="Arial"/>
          <w:lang w:eastAsia="en-GB"/>
        </w:rPr>
        <w:t>20</w:t>
      </w:r>
      <w:r w:rsidRPr="007E611C">
        <w:rPr>
          <w:rFonts w:ascii="Arial" w:hAnsi="Arial" w:cs="Arial"/>
          <w:vertAlign w:val="superscript"/>
          <w:lang w:eastAsia="en-GB"/>
        </w:rPr>
        <w:t>th</w:t>
      </w:r>
      <w:r>
        <w:rPr>
          <w:rFonts w:ascii="Arial" w:hAnsi="Arial" w:cs="Arial"/>
          <w:lang w:eastAsia="en-GB"/>
        </w:rPr>
        <w:t xml:space="preserve"> January 2024 – Staff meetings with key internal stakeholders.  To discuss areas of compliance with appropriate subject matter experts and an opportunity to provide further evidence.  </w:t>
      </w:r>
    </w:p>
    <w:p w:rsidR="007E611C" w:rsidRDefault="007E611C" w:rsidP="005D403A">
      <w:pPr>
        <w:pStyle w:val="ListParagraph"/>
        <w:numPr>
          <w:ilvl w:val="0"/>
          <w:numId w:val="28"/>
        </w:numPr>
        <w:autoSpaceDE w:val="0"/>
        <w:autoSpaceDN w:val="0"/>
        <w:adjustRightInd w:val="0"/>
        <w:rPr>
          <w:rFonts w:ascii="Arial" w:hAnsi="Arial" w:cs="Arial"/>
          <w:lang w:eastAsia="en-GB"/>
        </w:rPr>
      </w:pPr>
      <w:r>
        <w:rPr>
          <w:rFonts w:ascii="Arial" w:hAnsi="Arial" w:cs="Arial"/>
          <w:lang w:eastAsia="en-GB"/>
        </w:rPr>
        <w:t>26</w:t>
      </w:r>
      <w:r w:rsidRPr="007E611C">
        <w:rPr>
          <w:rFonts w:ascii="Arial" w:hAnsi="Arial" w:cs="Arial"/>
          <w:vertAlign w:val="superscript"/>
          <w:lang w:eastAsia="en-GB"/>
        </w:rPr>
        <w:t>th</w:t>
      </w:r>
      <w:r>
        <w:rPr>
          <w:rFonts w:ascii="Arial" w:hAnsi="Arial" w:cs="Arial"/>
          <w:lang w:eastAsia="en-GB"/>
        </w:rPr>
        <w:t xml:space="preserve"> February 2024 – Receive interim report from auditor.</w:t>
      </w:r>
    </w:p>
    <w:p w:rsidR="007E611C" w:rsidRDefault="007E611C" w:rsidP="005D403A">
      <w:pPr>
        <w:pStyle w:val="ListParagraph"/>
        <w:numPr>
          <w:ilvl w:val="0"/>
          <w:numId w:val="28"/>
        </w:numPr>
        <w:autoSpaceDE w:val="0"/>
        <w:autoSpaceDN w:val="0"/>
        <w:adjustRightInd w:val="0"/>
        <w:rPr>
          <w:rFonts w:ascii="Arial" w:hAnsi="Arial" w:cs="Arial"/>
          <w:lang w:eastAsia="en-GB"/>
        </w:rPr>
      </w:pPr>
      <w:r>
        <w:rPr>
          <w:rFonts w:ascii="Arial" w:hAnsi="Arial" w:cs="Arial"/>
          <w:lang w:eastAsia="en-GB"/>
        </w:rPr>
        <w:t>6</w:t>
      </w:r>
      <w:r w:rsidRPr="007E611C">
        <w:rPr>
          <w:rFonts w:ascii="Arial" w:hAnsi="Arial" w:cs="Arial"/>
          <w:vertAlign w:val="superscript"/>
          <w:lang w:eastAsia="en-GB"/>
        </w:rPr>
        <w:t>th</w:t>
      </w:r>
      <w:r>
        <w:rPr>
          <w:rFonts w:ascii="Arial" w:hAnsi="Arial" w:cs="Arial"/>
          <w:lang w:eastAsia="en-GB"/>
        </w:rPr>
        <w:t xml:space="preserve"> March 2024 – Management meeting to discuss content of interim report.  An opportunity to ensure the report captures all findings.</w:t>
      </w:r>
    </w:p>
    <w:p w:rsidR="005D403A" w:rsidRPr="005D403A" w:rsidRDefault="007E611C" w:rsidP="005D403A">
      <w:pPr>
        <w:pStyle w:val="ListParagraph"/>
        <w:numPr>
          <w:ilvl w:val="0"/>
          <w:numId w:val="28"/>
        </w:numPr>
        <w:autoSpaceDE w:val="0"/>
        <w:autoSpaceDN w:val="0"/>
        <w:adjustRightInd w:val="0"/>
        <w:rPr>
          <w:rFonts w:ascii="Arial" w:hAnsi="Arial" w:cs="Arial"/>
          <w:lang w:eastAsia="en-GB"/>
        </w:rPr>
      </w:pPr>
      <w:r>
        <w:rPr>
          <w:rFonts w:ascii="Arial" w:hAnsi="Arial" w:cs="Arial"/>
          <w:lang w:eastAsia="en-GB"/>
        </w:rPr>
        <w:t>11</w:t>
      </w:r>
      <w:r w:rsidRPr="007E611C">
        <w:rPr>
          <w:rFonts w:ascii="Arial" w:hAnsi="Arial" w:cs="Arial"/>
          <w:vertAlign w:val="superscript"/>
          <w:lang w:eastAsia="en-GB"/>
        </w:rPr>
        <w:t>th</w:t>
      </w:r>
      <w:r>
        <w:rPr>
          <w:rFonts w:ascii="Arial" w:hAnsi="Arial" w:cs="Arial"/>
          <w:lang w:eastAsia="en-GB"/>
        </w:rPr>
        <w:t xml:space="preserve"> March 2024 – Receive final report from auditor.  This will include recommendations and areas of priority to be addressed. </w:t>
      </w:r>
    </w:p>
    <w:p w:rsidR="0006334B" w:rsidRDefault="0006334B" w:rsidP="0006334B">
      <w:pPr>
        <w:ind w:left="567"/>
        <w:rPr>
          <w:rFonts w:ascii="Arial" w:hAnsi="Arial" w:cs="Arial"/>
        </w:rPr>
      </w:pPr>
    </w:p>
    <w:p w:rsidR="0006334B" w:rsidRDefault="000D453D" w:rsidP="0006334B">
      <w:pPr>
        <w:ind w:left="567"/>
        <w:rPr>
          <w:rFonts w:ascii="Arial" w:hAnsi="Arial" w:cs="Arial"/>
        </w:rPr>
      </w:pPr>
      <w:r>
        <w:rPr>
          <w:rFonts w:ascii="Arial" w:hAnsi="Arial" w:cs="Arial"/>
        </w:rPr>
        <w:t>Progress updates</w:t>
      </w:r>
      <w:r w:rsidR="006B137A">
        <w:rPr>
          <w:rFonts w:ascii="Arial" w:hAnsi="Arial" w:cs="Arial"/>
        </w:rPr>
        <w:t xml:space="preserve"> will be provided to</w:t>
      </w:r>
      <w:r>
        <w:rPr>
          <w:rFonts w:ascii="Arial" w:hAnsi="Arial" w:cs="Arial"/>
        </w:rPr>
        <w:t xml:space="preserve"> the Board’s </w:t>
      </w:r>
      <w:r w:rsidR="007E611C">
        <w:rPr>
          <w:rFonts w:ascii="Arial" w:hAnsi="Arial" w:cs="Arial"/>
        </w:rPr>
        <w:t xml:space="preserve">Digital &amp; </w:t>
      </w:r>
      <w:r>
        <w:rPr>
          <w:rFonts w:ascii="Arial" w:hAnsi="Arial" w:cs="Arial"/>
        </w:rPr>
        <w:t>Information Governance Group and to the Audit and Risk Committee.</w:t>
      </w:r>
      <w:r w:rsidR="00D76709">
        <w:rPr>
          <w:rFonts w:ascii="Arial" w:hAnsi="Arial" w:cs="Arial"/>
        </w:rPr>
        <w:t xml:space="preserve">  Cyber Security is also now a Board standing agenda item.</w:t>
      </w:r>
    </w:p>
    <w:p w:rsidR="0006334B" w:rsidRDefault="0006334B" w:rsidP="0006334B">
      <w:pPr>
        <w:ind w:left="567"/>
        <w:rPr>
          <w:rFonts w:ascii="Arial" w:hAnsi="Arial" w:cs="Arial"/>
        </w:rPr>
      </w:pPr>
    </w:p>
    <w:p w:rsidR="008F018A" w:rsidRPr="0006334B" w:rsidRDefault="008F018A" w:rsidP="0006334B">
      <w:pPr>
        <w:ind w:left="567"/>
        <w:rPr>
          <w:rFonts w:ascii="Arial" w:hAnsi="Arial" w:cs="Arial"/>
        </w:rPr>
      </w:pPr>
      <w:r w:rsidRPr="00033648">
        <w:rPr>
          <w:rFonts w:ascii="Arial" w:hAnsi="Arial" w:cs="Arial"/>
        </w:rPr>
        <w:t xml:space="preserve">Information/Cyber Security is highlighted as a risk on the Board’s risk register and taking into account the current intelligence on threat of </w:t>
      </w:r>
      <w:r w:rsidR="00D76709" w:rsidRPr="00033648">
        <w:rPr>
          <w:rFonts w:ascii="Arial" w:hAnsi="Arial" w:cs="Arial"/>
        </w:rPr>
        <w:t>cyber-attack</w:t>
      </w:r>
      <w:r w:rsidR="007E611C">
        <w:rPr>
          <w:rFonts w:ascii="Arial" w:hAnsi="Arial" w:cs="Arial"/>
        </w:rPr>
        <w:t xml:space="preserve"> </w:t>
      </w:r>
      <w:r w:rsidRPr="00033648">
        <w:rPr>
          <w:rFonts w:ascii="Arial" w:hAnsi="Arial" w:cs="Arial"/>
        </w:rPr>
        <w:t>and, in spite of the control measures and processes in place, it is recommended that the risk rating should remain as is currently recorded (12) within the Board risk register.</w:t>
      </w:r>
    </w:p>
    <w:p w:rsidR="00617690" w:rsidRPr="00617690" w:rsidRDefault="00617690" w:rsidP="00617690">
      <w:pPr>
        <w:rPr>
          <w:rFonts w:ascii="Arial" w:hAnsi="Arial" w:cs="Arial"/>
          <w:b/>
        </w:rPr>
      </w:pPr>
    </w:p>
    <w:p w:rsidR="00617690" w:rsidRDefault="00617690" w:rsidP="00617690">
      <w:pPr>
        <w:pStyle w:val="ListParagraph"/>
        <w:rPr>
          <w:rFonts w:ascii="Arial" w:hAnsi="Arial" w:cs="Arial"/>
          <w:b/>
        </w:rPr>
      </w:pPr>
    </w:p>
    <w:p w:rsidR="00566986" w:rsidRPr="00566986" w:rsidRDefault="00617690" w:rsidP="00566986">
      <w:pPr>
        <w:pStyle w:val="NormalWeb"/>
        <w:shd w:val="clear" w:color="auto" w:fill="FFFFFF"/>
        <w:ind w:left="709"/>
        <w:rPr>
          <w:rFonts w:ascii="Arial" w:hAnsi="Arial" w:cs="Arial"/>
          <w:color w:val="333333"/>
        </w:rPr>
      </w:pPr>
      <w:r w:rsidRPr="00566986">
        <w:rPr>
          <w:rFonts w:ascii="Arial" w:hAnsi="Arial" w:cs="Arial"/>
          <w:b/>
        </w:rPr>
        <w:t>SG Cyber Resilience Framework (CRF):</w:t>
      </w:r>
      <w:r w:rsidR="00D76709">
        <w:rPr>
          <w:rFonts w:ascii="Arial" w:hAnsi="Arial" w:cs="Arial"/>
        </w:rPr>
        <w:br/>
      </w:r>
      <w:r>
        <w:rPr>
          <w:rFonts w:ascii="Arial" w:hAnsi="Arial" w:cs="Arial"/>
        </w:rPr>
        <w:br/>
      </w:r>
      <w:r w:rsidR="00566986" w:rsidRPr="00566986">
        <w:rPr>
          <w:rFonts w:ascii="Arial" w:hAnsi="Arial" w:cs="Arial"/>
          <w:color w:val="333333"/>
        </w:rPr>
        <w:t>The </w:t>
      </w:r>
      <w:hyperlink r:id="rId8" w:history="1">
        <w:r w:rsidR="00566986" w:rsidRPr="00566986">
          <w:rPr>
            <w:rStyle w:val="Hyperlink"/>
            <w:rFonts w:ascii="Arial" w:hAnsi="Arial" w:cs="Arial"/>
            <w:color w:val="0065BD"/>
          </w:rPr>
          <w:t>Scottish public sector action plan on cyber resilience</w:t>
        </w:r>
      </w:hyperlink>
      <w:r w:rsidR="00566986" w:rsidRPr="00566986">
        <w:rPr>
          <w:rFonts w:ascii="Arial" w:hAnsi="Arial" w:cs="Arial"/>
          <w:color w:val="333333"/>
        </w:rPr>
        <w:t xml:space="preserve"> set out a commitment to develop a public sector </w:t>
      </w:r>
      <w:r w:rsidR="007E611C" w:rsidRPr="00566986">
        <w:rPr>
          <w:rFonts w:ascii="Arial" w:hAnsi="Arial" w:cs="Arial"/>
          <w:color w:val="333333"/>
        </w:rPr>
        <w:t>cyber-resilience</w:t>
      </w:r>
      <w:r w:rsidR="00566986" w:rsidRPr="00566986">
        <w:rPr>
          <w:rFonts w:ascii="Arial" w:hAnsi="Arial" w:cs="Arial"/>
          <w:color w:val="333333"/>
        </w:rPr>
        <w:t xml:space="preserve"> framework.</w:t>
      </w:r>
    </w:p>
    <w:p w:rsidR="00566986" w:rsidRPr="00566986" w:rsidRDefault="00566986" w:rsidP="00566986">
      <w:pPr>
        <w:pStyle w:val="NormalWeb"/>
        <w:shd w:val="clear" w:color="auto" w:fill="FFFFFF"/>
        <w:ind w:left="709"/>
        <w:rPr>
          <w:rFonts w:ascii="Arial" w:hAnsi="Arial" w:cs="Arial"/>
          <w:color w:val="333333"/>
        </w:rPr>
      </w:pPr>
      <w:r w:rsidRPr="00566986">
        <w:rPr>
          <w:rFonts w:ascii="Arial" w:hAnsi="Arial" w:cs="Arial"/>
          <w:color w:val="333333"/>
        </w:rPr>
        <w:lastRenderedPageBreak/>
        <w:t>This framework aims to provide a consistent way for Scottish public sector organisations to:</w:t>
      </w:r>
    </w:p>
    <w:p w:rsidR="00566986" w:rsidRPr="00566986" w:rsidRDefault="00566986" w:rsidP="00566986">
      <w:pPr>
        <w:numPr>
          <w:ilvl w:val="0"/>
          <w:numId w:val="17"/>
        </w:numPr>
        <w:shd w:val="clear" w:color="auto" w:fill="FFFFFF"/>
        <w:spacing w:before="100" w:beforeAutospacing="1" w:after="120"/>
        <w:ind w:left="1701"/>
        <w:rPr>
          <w:rFonts w:ascii="Arial" w:hAnsi="Arial" w:cs="Arial"/>
          <w:color w:val="333333"/>
        </w:rPr>
      </w:pPr>
      <w:r w:rsidRPr="00566986">
        <w:rPr>
          <w:rFonts w:ascii="Arial" w:hAnsi="Arial" w:cs="Arial"/>
          <w:color w:val="333333"/>
        </w:rPr>
        <w:t xml:space="preserve">assess their </w:t>
      </w:r>
      <w:r w:rsidR="003A50F6" w:rsidRPr="00566986">
        <w:rPr>
          <w:rFonts w:ascii="Arial" w:hAnsi="Arial" w:cs="Arial"/>
          <w:color w:val="333333"/>
        </w:rPr>
        <w:t>cyber-resilience</w:t>
      </w:r>
      <w:r w:rsidRPr="00566986">
        <w:rPr>
          <w:rFonts w:ascii="Arial" w:hAnsi="Arial" w:cs="Arial"/>
          <w:color w:val="333333"/>
        </w:rPr>
        <w:t xml:space="preserve"> arrangements</w:t>
      </w:r>
    </w:p>
    <w:p w:rsidR="00566986" w:rsidRPr="00566986" w:rsidRDefault="00566986" w:rsidP="00566986">
      <w:pPr>
        <w:numPr>
          <w:ilvl w:val="0"/>
          <w:numId w:val="17"/>
        </w:numPr>
        <w:shd w:val="clear" w:color="auto" w:fill="FFFFFF"/>
        <w:spacing w:before="100" w:beforeAutospacing="1" w:after="120"/>
        <w:ind w:left="1701"/>
        <w:rPr>
          <w:rFonts w:ascii="Arial" w:hAnsi="Arial" w:cs="Arial"/>
          <w:color w:val="333333"/>
        </w:rPr>
      </w:pPr>
      <w:r w:rsidRPr="00566986">
        <w:rPr>
          <w:rFonts w:ascii="Arial" w:hAnsi="Arial" w:cs="Arial"/>
          <w:color w:val="333333"/>
        </w:rPr>
        <w:t>identify areas of strength and weakness</w:t>
      </w:r>
    </w:p>
    <w:p w:rsidR="00566986" w:rsidRPr="00566986" w:rsidRDefault="00566986" w:rsidP="00566986">
      <w:pPr>
        <w:numPr>
          <w:ilvl w:val="0"/>
          <w:numId w:val="17"/>
        </w:numPr>
        <w:shd w:val="clear" w:color="auto" w:fill="FFFFFF"/>
        <w:spacing w:before="100" w:beforeAutospacing="1" w:after="120"/>
        <w:ind w:left="1701"/>
        <w:rPr>
          <w:rFonts w:ascii="Arial" w:hAnsi="Arial" w:cs="Arial"/>
          <w:color w:val="333333"/>
        </w:rPr>
      </w:pPr>
      <w:r w:rsidRPr="00566986">
        <w:rPr>
          <w:rFonts w:ascii="Arial" w:hAnsi="Arial" w:cs="Arial"/>
          <w:color w:val="333333"/>
        </w:rPr>
        <w:t xml:space="preserve">gain reasonable confidence that they are adhering to minimum </w:t>
      </w:r>
      <w:r w:rsidR="003A50F6" w:rsidRPr="00566986">
        <w:rPr>
          <w:rFonts w:ascii="Arial" w:hAnsi="Arial" w:cs="Arial"/>
          <w:color w:val="333333"/>
        </w:rPr>
        <w:t>cyber-resilience</w:t>
      </w:r>
      <w:r w:rsidRPr="00566986">
        <w:rPr>
          <w:rFonts w:ascii="Arial" w:hAnsi="Arial" w:cs="Arial"/>
          <w:color w:val="333333"/>
        </w:rPr>
        <w:t xml:space="preserve"> requirements</w:t>
      </w:r>
    </w:p>
    <w:p w:rsidR="00566986" w:rsidRPr="00566986" w:rsidRDefault="00566986" w:rsidP="00566986">
      <w:pPr>
        <w:numPr>
          <w:ilvl w:val="0"/>
          <w:numId w:val="17"/>
        </w:numPr>
        <w:shd w:val="clear" w:color="auto" w:fill="FFFFFF"/>
        <w:spacing w:before="100" w:beforeAutospacing="1"/>
        <w:ind w:left="1701"/>
        <w:rPr>
          <w:rFonts w:ascii="Arial" w:hAnsi="Arial" w:cs="Arial"/>
          <w:color w:val="333333"/>
        </w:rPr>
      </w:pPr>
      <w:r w:rsidRPr="00566986">
        <w:rPr>
          <w:rFonts w:ascii="Arial" w:hAnsi="Arial" w:cs="Arial"/>
          <w:color w:val="333333"/>
        </w:rPr>
        <w:t>take informed decisions on how/whether to achieve higher levels of cyber resilience on a risk-based and proportionate basis</w:t>
      </w:r>
    </w:p>
    <w:p w:rsidR="0050325B" w:rsidRPr="0050325B" w:rsidRDefault="0050325B" w:rsidP="0050325B">
      <w:pPr>
        <w:shd w:val="clear" w:color="auto" w:fill="FFFFFF"/>
        <w:spacing w:after="240"/>
        <w:ind w:left="709"/>
        <w:rPr>
          <w:rFonts w:ascii="Arial" w:hAnsi="Arial" w:cs="Arial"/>
          <w:color w:val="333333"/>
          <w:lang w:eastAsia="en-GB"/>
        </w:rPr>
      </w:pPr>
      <w:r>
        <w:rPr>
          <w:rFonts w:ascii="Helvetica" w:hAnsi="Helvetica"/>
          <w:color w:val="333333"/>
          <w:sz w:val="29"/>
          <w:szCs w:val="29"/>
          <w:lang w:eastAsia="en-GB"/>
        </w:rPr>
        <w:br/>
      </w:r>
      <w:r w:rsidRPr="0050325B">
        <w:rPr>
          <w:rFonts w:ascii="Arial" w:hAnsi="Arial" w:cs="Arial"/>
          <w:color w:val="333333"/>
          <w:lang w:eastAsia="en-GB"/>
        </w:rPr>
        <w:t>In doing so, the framework seeks to:</w:t>
      </w:r>
    </w:p>
    <w:p w:rsidR="0050325B" w:rsidRPr="0050325B" w:rsidRDefault="0050325B" w:rsidP="0050325B">
      <w:pPr>
        <w:numPr>
          <w:ilvl w:val="0"/>
          <w:numId w:val="18"/>
        </w:numPr>
        <w:shd w:val="clear" w:color="auto" w:fill="FFFFFF"/>
        <w:spacing w:before="100" w:beforeAutospacing="1" w:after="120"/>
        <w:ind w:left="1701"/>
        <w:rPr>
          <w:rFonts w:ascii="Arial" w:hAnsi="Arial" w:cs="Arial"/>
          <w:color w:val="333333"/>
          <w:lang w:eastAsia="en-GB"/>
        </w:rPr>
      </w:pPr>
      <w:r w:rsidRPr="0050325B">
        <w:rPr>
          <w:rFonts w:ascii="Arial" w:hAnsi="Arial" w:cs="Arial"/>
          <w:color w:val="333333"/>
          <w:lang w:eastAsia="en-GB"/>
        </w:rPr>
        <w:t xml:space="preserve">align with key wider cyber-related requirements under the </w:t>
      </w:r>
      <w:r w:rsidR="00E31077">
        <w:rPr>
          <w:rFonts w:ascii="Arial" w:hAnsi="Arial" w:cs="Arial"/>
          <w:color w:val="333333"/>
          <w:lang w:eastAsia="en-GB"/>
        </w:rPr>
        <w:t xml:space="preserve">UK </w:t>
      </w:r>
      <w:r w:rsidRPr="0050325B">
        <w:rPr>
          <w:rFonts w:ascii="Arial" w:hAnsi="Arial" w:cs="Arial"/>
          <w:color w:val="333333"/>
          <w:lang w:eastAsia="en-GB"/>
        </w:rPr>
        <w:t>General Data Protection Regulation (</w:t>
      </w:r>
      <w:r w:rsidR="00E31077">
        <w:rPr>
          <w:rFonts w:ascii="Arial" w:hAnsi="Arial" w:cs="Arial"/>
          <w:color w:val="333333"/>
          <w:lang w:eastAsia="en-GB"/>
        </w:rPr>
        <w:t xml:space="preserve">UK </w:t>
      </w:r>
      <w:r w:rsidRPr="0050325B">
        <w:rPr>
          <w:rFonts w:ascii="Arial" w:hAnsi="Arial" w:cs="Arial"/>
          <w:color w:val="333333"/>
          <w:lang w:eastAsia="en-GB"/>
        </w:rPr>
        <w:t>GDPR), the Security of Network and Information Systems (NIS) Directive and other standards</w:t>
      </w:r>
    </w:p>
    <w:p w:rsidR="0050325B" w:rsidRPr="0050325B" w:rsidRDefault="0050325B" w:rsidP="0050325B">
      <w:pPr>
        <w:numPr>
          <w:ilvl w:val="0"/>
          <w:numId w:val="18"/>
        </w:numPr>
        <w:shd w:val="clear" w:color="auto" w:fill="FFFFFF"/>
        <w:spacing w:before="100" w:beforeAutospacing="1" w:after="120"/>
        <w:ind w:left="1701"/>
        <w:rPr>
          <w:rFonts w:ascii="Arial" w:hAnsi="Arial" w:cs="Arial"/>
          <w:color w:val="333333"/>
          <w:lang w:eastAsia="en-GB"/>
        </w:rPr>
      </w:pPr>
      <w:r w:rsidRPr="0050325B">
        <w:rPr>
          <w:rFonts w:ascii="Arial" w:hAnsi="Arial" w:cs="Arial"/>
          <w:color w:val="333333"/>
          <w:lang w:eastAsia="en-GB"/>
        </w:rPr>
        <w:t>minimise any additional burdens on Scottish public sector organisations, including by making clear how the framework relates to existing standards or requirements, and taking account of these when providing guidance on compliance</w:t>
      </w:r>
    </w:p>
    <w:p w:rsidR="00F66821" w:rsidRDefault="0050325B" w:rsidP="00F66821">
      <w:pPr>
        <w:numPr>
          <w:ilvl w:val="0"/>
          <w:numId w:val="18"/>
        </w:numPr>
        <w:shd w:val="clear" w:color="auto" w:fill="FFFFFF"/>
        <w:spacing w:before="100" w:beforeAutospacing="1" w:after="120"/>
        <w:ind w:left="1701"/>
        <w:rPr>
          <w:rFonts w:ascii="Arial" w:hAnsi="Arial" w:cs="Arial"/>
          <w:color w:val="333333"/>
          <w:lang w:eastAsia="en-GB"/>
        </w:rPr>
      </w:pPr>
      <w:r w:rsidRPr="0050325B">
        <w:rPr>
          <w:rFonts w:ascii="Arial" w:hAnsi="Arial" w:cs="Arial"/>
          <w:color w:val="333333"/>
          <w:lang w:eastAsia="en-GB"/>
        </w:rPr>
        <w:t>provide a clear basis for internal and external audit and inspection activity, promoting greater consistency in the areas and issues covered by audit and inspection bodies when assessing Scottish public sector organisations</w:t>
      </w:r>
    </w:p>
    <w:p w:rsidR="00F66821" w:rsidRDefault="0050325B" w:rsidP="00F66821">
      <w:pPr>
        <w:numPr>
          <w:ilvl w:val="0"/>
          <w:numId w:val="18"/>
        </w:numPr>
        <w:shd w:val="clear" w:color="auto" w:fill="FFFFFF"/>
        <w:spacing w:before="100" w:beforeAutospacing="1" w:after="120"/>
        <w:ind w:left="1701"/>
        <w:rPr>
          <w:rFonts w:ascii="Arial" w:hAnsi="Arial" w:cs="Arial"/>
          <w:color w:val="333333"/>
          <w:lang w:eastAsia="en-GB"/>
        </w:rPr>
      </w:pPr>
      <w:r w:rsidRPr="0050325B">
        <w:rPr>
          <w:rFonts w:ascii="Arial" w:hAnsi="Arial" w:cs="Arial"/>
          <w:color w:val="333333"/>
          <w:lang w:eastAsia="en-GB"/>
        </w:rPr>
        <w:t>help to provide clarity and assurance to individual organisations, Ministers, the Scottish Parliament and the public that appropriate levels of cyber resilience are in place across the Scottish public sector and its individual subsectors</w:t>
      </w:r>
    </w:p>
    <w:p w:rsidR="00C36DA1" w:rsidRPr="003A50F6" w:rsidRDefault="00F66821" w:rsidP="003A50F6">
      <w:pPr>
        <w:ind w:left="709"/>
        <w:rPr>
          <w:rFonts w:ascii="Arial" w:hAnsi="Arial" w:cs="Arial"/>
        </w:rPr>
      </w:pPr>
      <w:r w:rsidRPr="00F66821">
        <w:rPr>
          <w:rFonts w:ascii="Arial" w:hAnsi="Arial" w:cs="Arial"/>
        </w:rPr>
        <w:t xml:space="preserve">These actions have been </w:t>
      </w:r>
      <w:r>
        <w:rPr>
          <w:rFonts w:ascii="Arial" w:hAnsi="Arial" w:cs="Arial"/>
        </w:rPr>
        <w:t>progressed and continue to be</w:t>
      </w:r>
      <w:r w:rsidRPr="00F66821">
        <w:rPr>
          <w:rFonts w:ascii="Arial" w:hAnsi="Arial" w:cs="Arial"/>
        </w:rPr>
        <w:t xml:space="preserve"> independently assessed</w:t>
      </w:r>
      <w:r>
        <w:rPr>
          <w:rFonts w:ascii="Arial" w:hAnsi="Arial" w:cs="Arial"/>
        </w:rPr>
        <w:t xml:space="preserve"> as part of the NIS Directive Audit.  The Board continues to meet the requirements of the Directive and the Framework through the Competent Authority audits.</w:t>
      </w:r>
    </w:p>
    <w:p w:rsidR="00C36DA1" w:rsidRDefault="00C36DA1" w:rsidP="00617690">
      <w:pPr>
        <w:pStyle w:val="ListParagraph"/>
        <w:rPr>
          <w:rFonts w:ascii="Arial" w:hAnsi="Arial" w:cs="Arial"/>
          <w:b/>
        </w:rPr>
      </w:pPr>
    </w:p>
    <w:p w:rsidR="00C36DA1" w:rsidRPr="00C36DA1" w:rsidRDefault="00C36DA1" w:rsidP="00617690">
      <w:pPr>
        <w:pStyle w:val="ListParagraph"/>
        <w:rPr>
          <w:rFonts w:ascii="Arial" w:hAnsi="Arial" w:cs="Arial"/>
          <w:b/>
        </w:rPr>
      </w:pPr>
    </w:p>
    <w:p w:rsidR="00617690" w:rsidRDefault="00617690" w:rsidP="00617690">
      <w:pPr>
        <w:pStyle w:val="ListParagraph"/>
        <w:rPr>
          <w:rFonts w:ascii="Arial" w:hAnsi="Arial" w:cs="Arial"/>
        </w:rPr>
      </w:pPr>
    </w:p>
    <w:p w:rsidR="00DA5B31" w:rsidRPr="00DA5B31" w:rsidRDefault="00617690" w:rsidP="00DA5B31">
      <w:pPr>
        <w:pStyle w:val="ListParagraph"/>
        <w:numPr>
          <w:ilvl w:val="0"/>
          <w:numId w:val="19"/>
        </w:numPr>
        <w:ind w:left="709"/>
        <w:rPr>
          <w:rFonts w:ascii="Arial" w:hAnsi="Arial" w:cs="Arial"/>
          <w:b/>
        </w:rPr>
      </w:pPr>
      <w:r w:rsidRPr="00DA5B31">
        <w:rPr>
          <w:rFonts w:ascii="Arial" w:hAnsi="Arial" w:cs="Arial"/>
          <w:b/>
        </w:rPr>
        <w:t>UK General Data Protection Regulation (UK GDPR)</w:t>
      </w:r>
      <w:r w:rsidR="00DA5B31" w:rsidRPr="00DA5B31">
        <w:rPr>
          <w:rFonts w:ascii="Arial" w:hAnsi="Arial" w:cs="Arial"/>
          <w:b/>
        </w:rPr>
        <w:br/>
      </w:r>
      <w:r w:rsidR="00DA5B31" w:rsidRPr="00DA5B31">
        <w:rPr>
          <w:rFonts w:ascii="Arial" w:hAnsi="Arial" w:cs="Arial"/>
          <w:b/>
        </w:rPr>
        <w:br/>
      </w:r>
      <w:r w:rsidR="00DA5B31" w:rsidRPr="00DA5B31">
        <w:rPr>
          <w:rFonts w:ascii="Arial" w:hAnsi="Arial" w:cs="Arial"/>
        </w:rPr>
        <w:t>The GDPR came into force on 25</w:t>
      </w:r>
      <w:r w:rsidR="00DA5B31" w:rsidRPr="00DA5B31">
        <w:rPr>
          <w:rFonts w:ascii="Arial" w:hAnsi="Arial" w:cs="Arial"/>
          <w:vertAlign w:val="superscript"/>
        </w:rPr>
        <w:t>th</w:t>
      </w:r>
      <w:r w:rsidR="00DA5B31" w:rsidRPr="00DA5B31">
        <w:rPr>
          <w:rFonts w:ascii="Arial" w:hAnsi="Arial" w:cs="Arial"/>
        </w:rPr>
        <w:t xml:space="preserve"> May 2018 alongside the update of the Data Protection Act 2018 and the subsequent UKGDPR, introduced on 1</w:t>
      </w:r>
      <w:r w:rsidR="00DA5B31" w:rsidRPr="00DA5B31">
        <w:rPr>
          <w:rFonts w:ascii="Arial" w:hAnsi="Arial" w:cs="Arial"/>
          <w:vertAlign w:val="superscript"/>
        </w:rPr>
        <w:t>st</w:t>
      </w:r>
      <w:r w:rsidR="00DA5B31" w:rsidRPr="00DA5B31">
        <w:rPr>
          <w:rFonts w:ascii="Arial" w:hAnsi="Arial" w:cs="Arial"/>
        </w:rPr>
        <w:t xml:space="preserve"> January 2021, following the UK exit of the EU and is the most significant changes to Data Protection legislation in over 20 years.</w:t>
      </w:r>
    </w:p>
    <w:p w:rsidR="00DA5B31" w:rsidRPr="004D3532" w:rsidRDefault="00DA5B31" w:rsidP="00DA5B31">
      <w:pPr>
        <w:rPr>
          <w:rFonts w:ascii="Arial" w:hAnsi="Arial" w:cs="Arial"/>
          <w:b/>
        </w:rPr>
      </w:pPr>
    </w:p>
    <w:p w:rsidR="00DA5B31" w:rsidRDefault="00DA5B31" w:rsidP="00DA5B31">
      <w:pPr>
        <w:pStyle w:val="Heading1"/>
        <w:ind w:left="720"/>
        <w:jc w:val="both"/>
        <w:rPr>
          <w:rFonts w:ascii="Arial" w:hAnsi="Arial" w:cs="Arial"/>
          <w:b w:val="0"/>
          <w:bCs w:val="0"/>
          <w:sz w:val="24"/>
        </w:rPr>
      </w:pPr>
      <w:r w:rsidRPr="00596915">
        <w:rPr>
          <w:rFonts w:ascii="Arial" w:hAnsi="Arial" w:cs="Arial"/>
          <w:b w:val="0"/>
          <w:bCs w:val="0"/>
          <w:sz w:val="24"/>
        </w:rPr>
        <w:t xml:space="preserve">The implementation of the </w:t>
      </w:r>
      <w:r>
        <w:rPr>
          <w:rFonts w:ascii="Arial" w:hAnsi="Arial" w:cs="Arial"/>
          <w:b w:val="0"/>
          <w:bCs w:val="0"/>
          <w:sz w:val="24"/>
        </w:rPr>
        <w:t xml:space="preserve">UK </w:t>
      </w:r>
      <w:r w:rsidRPr="00596915">
        <w:rPr>
          <w:rFonts w:ascii="Arial" w:hAnsi="Arial" w:cs="Arial"/>
          <w:b w:val="0"/>
          <w:bCs w:val="0"/>
          <w:sz w:val="24"/>
        </w:rPr>
        <w:t xml:space="preserve">GDPR </w:t>
      </w:r>
      <w:r>
        <w:rPr>
          <w:rFonts w:ascii="Arial" w:hAnsi="Arial" w:cs="Arial"/>
          <w:b w:val="0"/>
          <w:bCs w:val="0"/>
          <w:sz w:val="24"/>
        </w:rPr>
        <w:t xml:space="preserve">has brought about key changes to </w:t>
      </w:r>
      <w:r w:rsidRPr="00596915">
        <w:rPr>
          <w:rFonts w:ascii="Arial" w:hAnsi="Arial" w:cs="Arial"/>
          <w:b w:val="0"/>
          <w:bCs w:val="0"/>
          <w:sz w:val="24"/>
        </w:rPr>
        <w:t>data protection</w:t>
      </w:r>
      <w:r>
        <w:rPr>
          <w:rFonts w:ascii="Arial" w:hAnsi="Arial" w:cs="Arial"/>
          <w:b w:val="0"/>
          <w:bCs w:val="0"/>
          <w:sz w:val="24"/>
        </w:rPr>
        <w:t xml:space="preserve"> legislation</w:t>
      </w:r>
      <w:r w:rsidRPr="00596915">
        <w:rPr>
          <w:rFonts w:ascii="Arial" w:hAnsi="Arial" w:cs="Arial"/>
          <w:b w:val="0"/>
          <w:bCs w:val="0"/>
          <w:sz w:val="24"/>
        </w:rPr>
        <w:t xml:space="preserve"> which include: </w:t>
      </w:r>
    </w:p>
    <w:p w:rsidR="00DA5B31" w:rsidRPr="00621B2B" w:rsidRDefault="00DA5B31" w:rsidP="00DA5B31"/>
    <w:p w:rsidR="00DA5B31" w:rsidRDefault="00DA5B31" w:rsidP="00DA5B31">
      <w:pPr>
        <w:pStyle w:val="Heading1"/>
        <w:keepLines/>
        <w:numPr>
          <w:ilvl w:val="0"/>
          <w:numId w:val="7"/>
        </w:numPr>
        <w:spacing w:after="240"/>
        <w:jc w:val="both"/>
        <w:rPr>
          <w:rFonts w:ascii="Arial" w:hAnsi="Arial" w:cs="Arial"/>
          <w:b w:val="0"/>
          <w:bCs w:val="0"/>
          <w:sz w:val="24"/>
        </w:rPr>
      </w:pPr>
      <w:r>
        <w:rPr>
          <w:rFonts w:ascii="Arial" w:hAnsi="Arial" w:cs="Arial"/>
          <w:b w:val="0"/>
          <w:bCs w:val="0"/>
          <w:sz w:val="24"/>
        </w:rPr>
        <w:lastRenderedPageBreak/>
        <w:t>Increasing the rights for individuals</w:t>
      </w:r>
      <w:r w:rsidRPr="00596915">
        <w:rPr>
          <w:rFonts w:ascii="Arial" w:hAnsi="Arial" w:cs="Arial"/>
          <w:b w:val="0"/>
          <w:bCs w:val="0"/>
          <w:sz w:val="24"/>
        </w:rPr>
        <w:t xml:space="preserve"> </w:t>
      </w:r>
    </w:p>
    <w:p w:rsidR="00DA5B31" w:rsidRPr="003F18AF" w:rsidRDefault="00DA5B31" w:rsidP="00DA5B31">
      <w:pPr>
        <w:pStyle w:val="ListParagraph"/>
        <w:numPr>
          <w:ilvl w:val="1"/>
          <w:numId w:val="7"/>
        </w:numPr>
        <w:contextualSpacing w:val="0"/>
        <w:rPr>
          <w:rFonts w:ascii="Arial" w:hAnsi="Arial" w:cs="Arial"/>
        </w:rPr>
      </w:pPr>
      <w:r w:rsidRPr="003F18AF">
        <w:rPr>
          <w:rFonts w:ascii="Arial" w:hAnsi="Arial" w:cs="Arial"/>
        </w:rPr>
        <w:t xml:space="preserve">To be informed of data held by </w:t>
      </w:r>
      <w:r>
        <w:rPr>
          <w:rFonts w:ascii="Arial" w:hAnsi="Arial" w:cs="Arial"/>
        </w:rPr>
        <w:t>the Board</w:t>
      </w:r>
    </w:p>
    <w:p w:rsidR="00DA5B31" w:rsidRPr="003F18AF" w:rsidRDefault="00DA5B31" w:rsidP="00DA5B31">
      <w:pPr>
        <w:pStyle w:val="ListParagraph"/>
        <w:numPr>
          <w:ilvl w:val="1"/>
          <w:numId w:val="7"/>
        </w:numPr>
        <w:contextualSpacing w:val="0"/>
        <w:rPr>
          <w:rFonts w:ascii="Arial" w:hAnsi="Arial" w:cs="Arial"/>
        </w:rPr>
      </w:pPr>
      <w:r w:rsidRPr="003F18AF">
        <w:rPr>
          <w:rFonts w:ascii="Arial" w:hAnsi="Arial" w:cs="Arial"/>
        </w:rPr>
        <w:t xml:space="preserve">To </w:t>
      </w:r>
      <w:r>
        <w:rPr>
          <w:rFonts w:ascii="Arial" w:hAnsi="Arial" w:cs="Arial"/>
        </w:rPr>
        <w:t xml:space="preserve">have </w:t>
      </w:r>
      <w:r w:rsidRPr="003F18AF">
        <w:rPr>
          <w:rFonts w:ascii="Arial" w:hAnsi="Arial" w:cs="Arial"/>
        </w:rPr>
        <w:t xml:space="preserve">access to data held by </w:t>
      </w:r>
      <w:r>
        <w:rPr>
          <w:rFonts w:ascii="Arial" w:hAnsi="Arial" w:cs="Arial"/>
        </w:rPr>
        <w:t>the Board</w:t>
      </w:r>
    </w:p>
    <w:p w:rsidR="00DA5B31" w:rsidRPr="003F18AF" w:rsidRDefault="00DA5B31" w:rsidP="00DA5B31">
      <w:pPr>
        <w:pStyle w:val="ListParagraph"/>
        <w:numPr>
          <w:ilvl w:val="1"/>
          <w:numId w:val="7"/>
        </w:numPr>
        <w:contextualSpacing w:val="0"/>
        <w:rPr>
          <w:rFonts w:ascii="Arial" w:hAnsi="Arial" w:cs="Arial"/>
        </w:rPr>
      </w:pPr>
      <w:r w:rsidRPr="003F18AF">
        <w:rPr>
          <w:rFonts w:ascii="Arial" w:hAnsi="Arial" w:cs="Arial"/>
        </w:rPr>
        <w:t>To rectification where data held is inaccurate</w:t>
      </w:r>
    </w:p>
    <w:p w:rsidR="00DA5B31" w:rsidRPr="003F18AF" w:rsidRDefault="00DA5B31" w:rsidP="00DA5B31">
      <w:pPr>
        <w:pStyle w:val="ListParagraph"/>
        <w:numPr>
          <w:ilvl w:val="1"/>
          <w:numId w:val="7"/>
        </w:numPr>
        <w:contextualSpacing w:val="0"/>
        <w:rPr>
          <w:rFonts w:ascii="Arial" w:hAnsi="Arial" w:cs="Arial"/>
        </w:rPr>
      </w:pPr>
      <w:r w:rsidRPr="003F18AF">
        <w:rPr>
          <w:rFonts w:ascii="Arial" w:hAnsi="Arial" w:cs="Arial"/>
        </w:rPr>
        <w:t xml:space="preserve">To erasure </w:t>
      </w:r>
      <w:r>
        <w:rPr>
          <w:rFonts w:ascii="Arial" w:hAnsi="Arial" w:cs="Arial"/>
        </w:rPr>
        <w:t xml:space="preserve">of data </w:t>
      </w:r>
      <w:r w:rsidRPr="003F18AF">
        <w:rPr>
          <w:rFonts w:ascii="Arial" w:hAnsi="Arial" w:cs="Arial"/>
        </w:rPr>
        <w:t>(to be forgotten)</w:t>
      </w:r>
    </w:p>
    <w:p w:rsidR="00DA5B31" w:rsidRPr="003F18AF" w:rsidRDefault="00DA5B31" w:rsidP="00DA5B31">
      <w:pPr>
        <w:pStyle w:val="ListParagraph"/>
        <w:numPr>
          <w:ilvl w:val="1"/>
          <w:numId w:val="7"/>
        </w:numPr>
        <w:contextualSpacing w:val="0"/>
        <w:rPr>
          <w:rFonts w:ascii="Arial" w:hAnsi="Arial" w:cs="Arial"/>
        </w:rPr>
      </w:pPr>
      <w:r w:rsidRPr="003F18AF">
        <w:rPr>
          <w:rFonts w:ascii="Arial" w:hAnsi="Arial" w:cs="Arial"/>
        </w:rPr>
        <w:t>To restrict processing of data</w:t>
      </w:r>
    </w:p>
    <w:p w:rsidR="00DA5B31" w:rsidRPr="003F18AF" w:rsidRDefault="00DA5B31" w:rsidP="00DA5B31">
      <w:pPr>
        <w:pStyle w:val="ListParagraph"/>
        <w:numPr>
          <w:ilvl w:val="1"/>
          <w:numId w:val="7"/>
        </w:numPr>
        <w:contextualSpacing w:val="0"/>
        <w:rPr>
          <w:rFonts w:ascii="Arial" w:hAnsi="Arial" w:cs="Arial"/>
        </w:rPr>
      </w:pPr>
      <w:r w:rsidRPr="003F18AF">
        <w:rPr>
          <w:rFonts w:ascii="Arial" w:hAnsi="Arial" w:cs="Arial"/>
        </w:rPr>
        <w:t>To object to data being held</w:t>
      </w:r>
    </w:p>
    <w:p w:rsidR="00DA5B31" w:rsidRPr="00621B2B" w:rsidRDefault="00DA5B31" w:rsidP="00DA5B31">
      <w:pPr>
        <w:ind w:left="1080"/>
      </w:pPr>
    </w:p>
    <w:p w:rsidR="00DA5B31" w:rsidRDefault="00DA5B31" w:rsidP="00DA5B31">
      <w:pPr>
        <w:pStyle w:val="ListParagraph"/>
        <w:numPr>
          <w:ilvl w:val="0"/>
          <w:numId w:val="7"/>
        </w:numPr>
        <w:contextualSpacing w:val="0"/>
        <w:rPr>
          <w:rFonts w:ascii="Arial" w:hAnsi="Arial" w:cs="Arial"/>
        </w:rPr>
      </w:pPr>
      <w:r w:rsidRPr="00621B2B">
        <w:rPr>
          <w:rFonts w:ascii="Arial" w:hAnsi="Arial" w:cs="Arial"/>
        </w:rPr>
        <w:t>Strengthening the obligations for organisations</w:t>
      </w:r>
    </w:p>
    <w:p w:rsidR="00DA5B31" w:rsidRPr="005B0ACD" w:rsidRDefault="00DA5B31" w:rsidP="00DA5B31">
      <w:pPr>
        <w:ind w:left="360"/>
        <w:rPr>
          <w:rFonts w:ascii="Arial" w:hAnsi="Arial" w:cs="Arial"/>
        </w:rPr>
      </w:pPr>
    </w:p>
    <w:p w:rsidR="00DA5B31" w:rsidRDefault="00DA5B31" w:rsidP="00DA5B31">
      <w:pPr>
        <w:pStyle w:val="ListParagraph"/>
        <w:numPr>
          <w:ilvl w:val="1"/>
          <w:numId w:val="7"/>
        </w:numPr>
        <w:contextualSpacing w:val="0"/>
        <w:rPr>
          <w:rFonts w:ascii="Arial" w:hAnsi="Arial" w:cs="Arial"/>
        </w:rPr>
      </w:pPr>
      <w:r>
        <w:rPr>
          <w:rFonts w:ascii="Arial" w:hAnsi="Arial" w:cs="Arial"/>
        </w:rPr>
        <w:t>To appoint a Data Protection Officer (DPO) for the Board</w:t>
      </w:r>
    </w:p>
    <w:p w:rsidR="00DA5B31" w:rsidRDefault="00DA5B31" w:rsidP="00DA5B31">
      <w:pPr>
        <w:pStyle w:val="ListParagraph"/>
        <w:numPr>
          <w:ilvl w:val="1"/>
          <w:numId w:val="7"/>
        </w:numPr>
        <w:contextualSpacing w:val="0"/>
        <w:rPr>
          <w:rFonts w:ascii="Arial" w:hAnsi="Arial" w:cs="Arial"/>
        </w:rPr>
      </w:pPr>
      <w:r>
        <w:rPr>
          <w:rFonts w:ascii="Arial" w:hAnsi="Arial" w:cs="Arial"/>
        </w:rPr>
        <w:t>To ensure Privacy by Design – Data protection impact assessments must be completed prior to implementing new systems or processes</w:t>
      </w:r>
    </w:p>
    <w:p w:rsidR="00DA5B31" w:rsidRDefault="00DA5B31" w:rsidP="00DA5B31">
      <w:pPr>
        <w:pStyle w:val="ListParagraph"/>
        <w:numPr>
          <w:ilvl w:val="1"/>
          <w:numId w:val="7"/>
        </w:numPr>
        <w:contextualSpacing w:val="0"/>
        <w:rPr>
          <w:rFonts w:ascii="Arial" w:hAnsi="Arial" w:cs="Arial"/>
        </w:rPr>
      </w:pPr>
      <w:r>
        <w:rPr>
          <w:rFonts w:ascii="Arial" w:hAnsi="Arial" w:cs="Arial"/>
        </w:rPr>
        <w:t>To mitigate risk when processing data by adopting measures</w:t>
      </w:r>
    </w:p>
    <w:p w:rsidR="00DA5B31" w:rsidRDefault="00DA5B31" w:rsidP="00DA5B31">
      <w:pPr>
        <w:pStyle w:val="ListParagraph"/>
        <w:numPr>
          <w:ilvl w:val="1"/>
          <w:numId w:val="7"/>
        </w:numPr>
        <w:contextualSpacing w:val="0"/>
        <w:rPr>
          <w:rFonts w:ascii="Arial" w:hAnsi="Arial" w:cs="Arial"/>
        </w:rPr>
      </w:pPr>
      <w:r>
        <w:rPr>
          <w:rFonts w:ascii="Arial" w:hAnsi="Arial" w:cs="Arial"/>
        </w:rPr>
        <w:t xml:space="preserve">To implement an Information Asset Register detailing all information assets, including details of personal data held, where it came from and who it is shared with </w:t>
      </w:r>
    </w:p>
    <w:p w:rsidR="00DA5B31" w:rsidRPr="00621B2B" w:rsidRDefault="00DA5B31" w:rsidP="00DA5B31">
      <w:pPr>
        <w:pStyle w:val="ListParagraph"/>
        <w:numPr>
          <w:ilvl w:val="1"/>
          <w:numId w:val="7"/>
        </w:numPr>
        <w:contextualSpacing w:val="0"/>
        <w:rPr>
          <w:rFonts w:ascii="Arial" w:hAnsi="Arial" w:cs="Arial"/>
        </w:rPr>
      </w:pPr>
      <w:r>
        <w:rPr>
          <w:rFonts w:ascii="Arial" w:hAnsi="Arial" w:cs="Arial"/>
        </w:rPr>
        <w:t>To ensure contracts with Third parties who handle data on behalf of the Board, comply with GDPR regulations.</w:t>
      </w:r>
    </w:p>
    <w:p w:rsidR="00DA5B31" w:rsidRDefault="00DA5B31" w:rsidP="00DA5B31">
      <w:pPr>
        <w:rPr>
          <w:rFonts w:ascii="Arial" w:hAnsi="Arial" w:cs="Arial"/>
        </w:rPr>
      </w:pPr>
    </w:p>
    <w:p w:rsidR="00DA5B31" w:rsidRPr="00C7306B" w:rsidRDefault="00DA5B31" w:rsidP="00DA5B31">
      <w:pPr>
        <w:pStyle w:val="ListParagraph"/>
        <w:numPr>
          <w:ilvl w:val="0"/>
          <w:numId w:val="7"/>
        </w:numPr>
        <w:contextualSpacing w:val="0"/>
        <w:rPr>
          <w:rFonts w:ascii="Arial" w:hAnsi="Arial" w:cs="Arial"/>
        </w:rPr>
      </w:pPr>
      <w:r w:rsidRPr="00C7306B">
        <w:rPr>
          <w:rFonts w:ascii="Arial" w:hAnsi="Arial" w:cs="Arial"/>
        </w:rPr>
        <w:t>Strengthening the management of breaches</w:t>
      </w:r>
    </w:p>
    <w:p w:rsidR="00DA5B31" w:rsidRPr="00797C73" w:rsidRDefault="00DA5B31" w:rsidP="00DA5B31">
      <w:pPr>
        <w:rPr>
          <w:rFonts w:ascii="Arial" w:hAnsi="Arial" w:cs="Arial"/>
        </w:rPr>
      </w:pPr>
    </w:p>
    <w:p w:rsidR="00DA5B31" w:rsidRPr="00D12C88" w:rsidRDefault="00DA5B31" w:rsidP="00DA5B31">
      <w:pPr>
        <w:pStyle w:val="ListParagraph"/>
        <w:numPr>
          <w:ilvl w:val="1"/>
          <w:numId w:val="7"/>
        </w:numPr>
        <w:contextualSpacing w:val="0"/>
        <w:rPr>
          <w:rFonts w:ascii="Arial" w:hAnsi="Arial" w:cs="Arial"/>
        </w:rPr>
      </w:pPr>
      <w:r w:rsidRPr="00D12C88">
        <w:rPr>
          <w:rFonts w:ascii="Arial" w:hAnsi="Arial" w:cs="Arial"/>
        </w:rPr>
        <w:t>To notify any breach of GDPR regulations to the Information Commissioners’ Office within 72 hours</w:t>
      </w:r>
    </w:p>
    <w:p w:rsidR="00DA5B31" w:rsidRPr="00D12C88" w:rsidRDefault="00DA5B31" w:rsidP="00DA5B31">
      <w:pPr>
        <w:pStyle w:val="ListParagraph"/>
        <w:numPr>
          <w:ilvl w:val="1"/>
          <w:numId w:val="7"/>
        </w:numPr>
        <w:contextualSpacing w:val="0"/>
        <w:rPr>
          <w:rFonts w:ascii="Arial" w:hAnsi="Arial" w:cs="Arial"/>
        </w:rPr>
      </w:pPr>
      <w:r w:rsidRPr="00D12C88">
        <w:rPr>
          <w:rFonts w:ascii="Arial" w:hAnsi="Arial" w:cs="Arial"/>
        </w:rPr>
        <w:t>To notify data subjects</w:t>
      </w:r>
      <w:r>
        <w:rPr>
          <w:rFonts w:ascii="Arial" w:hAnsi="Arial" w:cs="Arial"/>
        </w:rPr>
        <w:t>,</w:t>
      </w:r>
      <w:r w:rsidRPr="00D12C88">
        <w:rPr>
          <w:rFonts w:ascii="Arial" w:hAnsi="Arial" w:cs="Arial"/>
        </w:rPr>
        <w:t xml:space="preserve"> whose data has been affected</w:t>
      </w:r>
      <w:r>
        <w:rPr>
          <w:rFonts w:ascii="Arial" w:hAnsi="Arial" w:cs="Arial"/>
        </w:rPr>
        <w:t xml:space="preserve">, </w:t>
      </w:r>
      <w:r w:rsidRPr="00D12C88">
        <w:rPr>
          <w:rFonts w:ascii="Arial" w:hAnsi="Arial" w:cs="Arial"/>
        </w:rPr>
        <w:t xml:space="preserve"> without undue delay</w:t>
      </w:r>
    </w:p>
    <w:p w:rsidR="00DA5B31" w:rsidRPr="00D12C88" w:rsidRDefault="00DA5B31" w:rsidP="00DA5B31">
      <w:pPr>
        <w:pStyle w:val="ListParagraph"/>
        <w:numPr>
          <w:ilvl w:val="1"/>
          <w:numId w:val="7"/>
        </w:numPr>
        <w:contextualSpacing w:val="0"/>
        <w:rPr>
          <w:rFonts w:ascii="Arial" w:hAnsi="Arial" w:cs="Arial"/>
        </w:rPr>
      </w:pPr>
      <w:r w:rsidRPr="00D12C88">
        <w:rPr>
          <w:rFonts w:ascii="Arial" w:hAnsi="Arial" w:cs="Arial"/>
        </w:rPr>
        <w:t>To introduce and maintain a Personal Data Breach Register within the Board</w:t>
      </w:r>
    </w:p>
    <w:p w:rsidR="00DA5B31" w:rsidRPr="00D12C88" w:rsidRDefault="00DA5B31" w:rsidP="00DA5B31">
      <w:pPr>
        <w:rPr>
          <w:rFonts w:ascii="Arial" w:hAnsi="Arial" w:cs="Arial"/>
        </w:rPr>
      </w:pPr>
    </w:p>
    <w:p w:rsidR="00DA5B31" w:rsidRDefault="00DA5B31" w:rsidP="00DA5B31">
      <w:pPr>
        <w:pStyle w:val="Heading1"/>
        <w:keepLines/>
        <w:numPr>
          <w:ilvl w:val="0"/>
          <w:numId w:val="7"/>
        </w:numPr>
        <w:spacing w:after="240"/>
        <w:jc w:val="both"/>
        <w:rPr>
          <w:rFonts w:ascii="Arial" w:hAnsi="Arial" w:cs="Arial"/>
          <w:b w:val="0"/>
          <w:bCs w:val="0"/>
          <w:sz w:val="24"/>
        </w:rPr>
      </w:pPr>
      <w:r>
        <w:rPr>
          <w:rFonts w:ascii="Arial" w:hAnsi="Arial" w:cs="Arial"/>
          <w:b w:val="0"/>
          <w:bCs w:val="0"/>
          <w:sz w:val="24"/>
        </w:rPr>
        <w:t>Significantly increasing the sanctions where organisations are not compliant</w:t>
      </w:r>
    </w:p>
    <w:p w:rsidR="00DA5B31" w:rsidRPr="004D3532" w:rsidRDefault="00DA5B31" w:rsidP="00DA5B31">
      <w:pPr>
        <w:ind w:left="1080"/>
        <w:rPr>
          <w:rFonts w:ascii="Arial" w:hAnsi="Arial" w:cs="Arial"/>
          <w:b/>
        </w:rPr>
      </w:pPr>
      <w:r>
        <w:rPr>
          <w:rFonts w:ascii="Arial" w:hAnsi="Arial" w:cs="Arial"/>
        </w:rPr>
        <w:t>These sanctions can be up to</w:t>
      </w:r>
      <w:r w:rsidRPr="001413B2">
        <w:rPr>
          <w:rFonts w:ascii="Arial" w:hAnsi="Arial" w:cs="Arial"/>
        </w:rPr>
        <w:t xml:space="preserve"> </w:t>
      </w:r>
      <w:r w:rsidRPr="001413B2">
        <w:rPr>
          <w:rFonts w:ascii="Arial" w:hAnsi="Arial" w:cs="Arial" w:hint="eastAsia"/>
        </w:rPr>
        <w:t>€</w:t>
      </w:r>
      <w:r w:rsidRPr="001413B2">
        <w:rPr>
          <w:rFonts w:ascii="Arial" w:hAnsi="Arial" w:cs="Arial"/>
        </w:rPr>
        <w:t>20 million or</w:t>
      </w:r>
      <w:r>
        <w:rPr>
          <w:rFonts w:ascii="Arial" w:hAnsi="Arial" w:cs="Arial"/>
        </w:rPr>
        <w:t xml:space="preserve"> 4% or annual global turnover, </w:t>
      </w:r>
      <w:r w:rsidRPr="001413B2">
        <w:rPr>
          <w:rFonts w:ascii="Arial" w:hAnsi="Arial" w:cs="Arial"/>
        </w:rPr>
        <w:t>whichever is higher.</w:t>
      </w:r>
    </w:p>
    <w:p w:rsidR="00DA5B31" w:rsidRDefault="00DA5B31" w:rsidP="00DA5B31">
      <w:pPr>
        <w:ind w:left="851"/>
        <w:jc w:val="both"/>
        <w:rPr>
          <w:rFonts w:ascii="Arial" w:hAnsi="Arial" w:cs="Arial"/>
        </w:rPr>
      </w:pPr>
    </w:p>
    <w:p w:rsidR="00DA5B31" w:rsidRDefault="0091210B" w:rsidP="00DA5B31">
      <w:pPr>
        <w:ind w:left="851"/>
        <w:jc w:val="both"/>
        <w:rPr>
          <w:rFonts w:ascii="Arial" w:hAnsi="Arial" w:cs="Arial"/>
        </w:rPr>
      </w:pPr>
      <w:r>
        <w:rPr>
          <w:rFonts w:ascii="Arial" w:hAnsi="Arial" w:cs="Arial"/>
        </w:rPr>
        <w:t>During 2022/23</w:t>
      </w:r>
      <w:r w:rsidR="00DA5B31">
        <w:rPr>
          <w:rFonts w:ascii="Arial" w:hAnsi="Arial" w:cs="Arial"/>
        </w:rPr>
        <w:t xml:space="preserve">, the </w:t>
      </w:r>
      <w:r>
        <w:rPr>
          <w:rFonts w:ascii="Arial" w:hAnsi="Arial" w:cs="Arial"/>
        </w:rPr>
        <w:t xml:space="preserve">Digital &amp; </w:t>
      </w:r>
      <w:r w:rsidR="00DA5B31">
        <w:rPr>
          <w:rFonts w:ascii="Arial" w:hAnsi="Arial" w:cs="Arial"/>
        </w:rPr>
        <w:t>Information Governance Team continues to work with the Board’s Information Asset Owners (IAOs) and supporting them with the review of their information assets and to support individual data cleanse work plans.  IAOs are required to submit twice yearly progress reports on the Information Assets for which they have responsibility to the Board’s Information Governance Group.</w:t>
      </w:r>
    </w:p>
    <w:p w:rsidR="00DA5B31" w:rsidRDefault="00DA5B31" w:rsidP="00DA5B31">
      <w:pPr>
        <w:ind w:left="851"/>
        <w:jc w:val="both"/>
        <w:rPr>
          <w:rFonts w:ascii="Arial" w:hAnsi="Arial" w:cs="Arial"/>
        </w:rPr>
      </w:pPr>
    </w:p>
    <w:p w:rsidR="00DA5B31" w:rsidRDefault="00947037" w:rsidP="00DA5B31">
      <w:pPr>
        <w:ind w:left="851"/>
        <w:jc w:val="both"/>
        <w:rPr>
          <w:rFonts w:ascii="Arial" w:hAnsi="Arial" w:cs="Arial"/>
        </w:rPr>
      </w:pPr>
      <w:r>
        <w:rPr>
          <w:rFonts w:ascii="Arial" w:hAnsi="Arial" w:cs="Arial"/>
        </w:rPr>
        <w:t>Work also continues</w:t>
      </w:r>
      <w:r w:rsidR="00DA5B31">
        <w:rPr>
          <w:rFonts w:ascii="Arial" w:hAnsi="Arial" w:cs="Arial"/>
        </w:rPr>
        <w:t xml:space="preserve"> with IAOs and project managers working with th</w:t>
      </w:r>
      <w:r>
        <w:rPr>
          <w:rFonts w:ascii="Arial" w:hAnsi="Arial" w:cs="Arial"/>
        </w:rPr>
        <w:t xml:space="preserve">e </w:t>
      </w:r>
      <w:r w:rsidR="0091210B">
        <w:rPr>
          <w:rFonts w:ascii="Arial" w:hAnsi="Arial" w:cs="Arial"/>
        </w:rPr>
        <w:t xml:space="preserve">Digital &amp; </w:t>
      </w:r>
      <w:r>
        <w:rPr>
          <w:rFonts w:ascii="Arial" w:hAnsi="Arial" w:cs="Arial"/>
        </w:rPr>
        <w:t>Information Governance Team</w:t>
      </w:r>
      <w:r w:rsidR="00DA5B31">
        <w:rPr>
          <w:rFonts w:ascii="Arial" w:hAnsi="Arial" w:cs="Arial"/>
        </w:rPr>
        <w:t xml:space="preserve"> to carry out Data Protection Impact Assessments (DPIA</w:t>
      </w:r>
      <w:r>
        <w:rPr>
          <w:rFonts w:ascii="Arial" w:hAnsi="Arial" w:cs="Arial"/>
        </w:rPr>
        <w:t>s</w:t>
      </w:r>
      <w:r w:rsidR="00DA5B31">
        <w:rPr>
          <w:rFonts w:ascii="Arial" w:hAnsi="Arial" w:cs="Arial"/>
        </w:rPr>
        <w:t xml:space="preserve">), this upholds </w:t>
      </w:r>
      <w:r>
        <w:rPr>
          <w:rFonts w:ascii="Arial" w:hAnsi="Arial" w:cs="Arial"/>
        </w:rPr>
        <w:t xml:space="preserve">UK </w:t>
      </w:r>
      <w:r w:rsidR="00DA5B31">
        <w:rPr>
          <w:rFonts w:ascii="Arial" w:hAnsi="Arial" w:cs="Arial"/>
        </w:rPr>
        <w:t>GDPR requirements in relation to Privacy by Design and allows the necessary risk assessment to be carried out at the very early stages of changes to data processing or introduction of new systems.</w:t>
      </w:r>
      <w:r>
        <w:rPr>
          <w:rFonts w:ascii="Arial" w:hAnsi="Arial" w:cs="Arial"/>
        </w:rPr>
        <w:t xml:space="preserve">  This then identifies where there is a </w:t>
      </w:r>
      <w:r>
        <w:rPr>
          <w:rFonts w:ascii="Arial" w:hAnsi="Arial" w:cs="Arial"/>
        </w:rPr>
        <w:lastRenderedPageBreak/>
        <w:t>need to have in place a data processing or data sharing agreement, which is a requirement under the UKGDPR.</w:t>
      </w:r>
    </w:p>
    <w:p w:rsidR="00947037" w:rsidRDefault="00947037" w:rsidP="00DA5B31">
      <w:pPr>
        <w:ind w:left="851"/>
        <w:jc w:val="both"/>
        <w:rPr>
          <w:rFonts w:ascii="Arial" w:hAnsi="Arial" w:cs="Arial"/>
        </w:rPr>
      </w:pPr>
    </w:p>
    <w:p w:rsidR="00947037" w:rsidRDefault="00947037" w:rsidP="00DA5B31">
      <w:pPr>
        <w:ind w:left="851"/>
        <w:jc w:val="both"/>
        <w:rPr>
          <w:rFonts w:ascii="Arial" w:hAnsi="Arial" w:cs="Arial"/>
        </w:rPr>
      </w:pPr>
      <w:r>
        <w:rPr>
          <w:rFonts w:ascii="Arial" w:hAnsi="Arial" w:cs="Arial"/>
        </w:rPr>
        <w:t>The Board’s Data Pr</w:t>
      </w:r>
      <w:r w:rsidR="004658B1">
        <w:rPr>
          <w:rFonts w:ascii="Arial" w:hAnsi="Arial" w:cs="Arial"/>
        </w:rPr>
        <w:t>otection Officer continues to work</w:t>
      </w:r>
      <w:r>
        <w:rPr>
          <w:rFonts w:ascii="Arial" w:hAnsi="Arial" w:cs="Arial"/>
        </w:rPr>
        <w:t xml:space="preserve"> with the IG Leads across NHS Scotland, including the Central Legal Office, to ensure that the documents used to support the data processing are legally adequate in line with the UK GDPR.</w:t>
      </w:r>
    </w:p>
    <w:p w:rsidR="00C04DAF" w:rsidRDefault="00C04DAF" w:rsidP="00C04DAF">
      <w:pPr>
        <w:jc w:val="both"/>
        <w:rPr>
          <w:rFonts w:ascii="Arial" w:hAnsi="Arial" w:cs="Arial"/>
        </w:rPr>
      </w:pPr>
    </w:p>
    <w:p w:rsidR="00C04DAF" w:rsidRPr="00C04DAF" w:rsidRDefault="00C04DAF" w:rsidP="00C04DAF">
      <w:pPr>
        <w:pStyle w:val="ListParagraph"/>
        <w:numPr>
          <w:ilvl w:val="0"/>
          <w:numId w:val="19"/>
        </w:numPr>
        <w:ind w:left="709"/>
        <w:jc w:val="both"/>
        <w:rPr>
          <w:rFonts w:ascii="Arial" w:hAnsi="Arial" w:cs="Arial"/>
          <w:b/>
        </w:rPr>
      </w:pPr>
      <w:r w:rsidRPr="00C04DAF">
        <w:rPr>
          <w:rFonts w:ascii="Arial" w:hAnsi="Arial" w:cs="Arial"/>
          <w:b/>
        </w:rPr>
        <w:t>Information Commissioner’s Office (ICO) Audit</w:t>
      </w:r>
    </w:p>
    <w:p w:rsidR="00DA5B31" w:rsidRDefault="00DA5B31" w:rsidP="00DA5B31">
      <w:pPr>
        <w:jc w:val="both"/>
        <w:rPr>
          <w:rFonts w:ascii="Arial" w:hAnsi="Arial" w:cs="Arial"/>
        </w:rPr>
      </w:pPr>
    </w:p>
    <w:p w:rsidR="00C76D37" w:rsidRPr="00C76D37" w:rsidRDefault="00C76D37" w:rsidP="00C76D37">
      <w:pPr>
        <w:spacing w:before="40" w:after="40" w:line="276" w:lineRule="auto"/>
        <w:ind w:left="720"/>
        <w:rPr>
          <w:rFonts w:ascii="Arial" w:hAnsi="Arial" w:cs="Arial"/>
          <w:color w:val="000000"/>
        </w:rPr>
      </w:pPr>
      <w:r w:rsidRPr="00C76D37">
        <w:rPr>
          <w:rFonts w:ascii="Arial" w:hAnsi="Arial" w:cs="Arial"/>
          <w:color w:val="000000"/>
        </w:rPr>
        <w:t>In November 2022 NHS Golden Jubilee was audited by the Information Commissioner’s Office (ICO).  ICO are our regulators for compliance with Data Protection and the UK General Data Pr</w:t>
      </w:r>
      <w:r>
        <w:rPr>
          <w:rFonts w:ascii="Arial" w:hAnsi="Arial" w:cs="Arial"/>
          <w:color w:val="000000"/>
        </w:rPr>
        <w:t xml:space="preserve">otection Regulation (UK GDPR). </w:t>
      </w:r>
      <w:r w:rsidRPr="00C76D37">
        <w:rPr>
          <w:rFonts w:ascii="Arial" w:hAnsi="Arial" w:cs="Arial"/>
          <w:color w:val="000000"/>
        </w:rPr>
        <w:br/>
        <w:t>This audit was carried out across all 22 NHS Scotland Health Boards.</w:t>
      </w:r>
    </w:p>
    <w:p w:rsidR="00C76D37" w:rsidRPr="00C76D37" w:rsidRDefault="00C76D37" w:rsidP="00C76D37">
      <w:pPr>
        <w:spacing w:before="40" w:after="40" w:line="276" w:lineRule="auto"/>
        <w:ind w:left="720"/>
        <w:rPr>
          <w:rFonts w:ascii="Arial" w:hAnsi="Arial" w:cs="Arial"/>
          <w:color w:val="000000"/>
        </w:rPr>
      </w:pPr>
    </w:p>
    <w:p w:rsidR="00C76D37" w:rsidRPr="00C76D37" w:rsidRDefault="00C76D37" w:rsidP="00C76D37">
      <w:pPr>
        <w:spacing w:before="40" w:after="40" w:line="276" w:lineRule="auto"/>
        <w:ind w:left="720"/>
        <w:rPr>
          <w:rFonts w:ascii="Arial" w:hAnsi="Arial" w:cs="Arial"/>
          <w:color w:val="000000"/>
        </w:rPr>
      </w:pPr>
      <w:r>
        <w:rPr>
          <w:rFonts w:ascii="Arial" w:hAnsi="Arial" w:cs="Arial"/>
          <w:color w:val="000000"/>
        </w:rPr>
        <w:t>At the beginning of November 2022, t</w:t>
      </w:r>
      <w:r w:rsidRPr="00C76D37">
        <w:rPr>
          <w:rFonts w:ascii="Arial" w:hAnsi="Arial" w:cs="Arial"/>
          <w:color w:val="000000"/>
        </w:rPr>
        <w:t>he Board submitted evidence of compliance across the following areas within the scope of the audit:</w:t>
      </w:r>
    </w:p>
    <w:p w:rsidR="00C76D37" w:rsidRPr="00C76D37" w:rsidRDefault="00C76D37" w:rsidP="00C76D37">
      <w:pPr>
        <w:spacing w:before="40" w:after="40" w:line="276" w:lineRule="auto"/>
        <w:ind w:left="720"/>
        <w:rPr>
          <w:rFonts w:ascii="Arial" w:hAnsi="Arial" w:cs="Arial"/>
          <w:color w:val="000000"/>
        </w:rPr>
      </w:pPr>
    </w:p>
    <w:p w:rsidR="00C76D37" w:rsidRPr="00C76D37" w:rsidRDefault="00C76D37" w:rsidP="00C76D37">
      <w:pPr>
        <w:pStyle w:val="ListParagraph"/>
        <w:numPr>
          <w:ilvl w:val="0"/>
          <w:numId w:val="29"/>
        </w:numPr>
        <w:spacing w:after="160" w:line="259" w:lineRule="auto"/>
        <w:rPr>
          <w:rFonts w:ascii="Arial" w:hAnsi="Arial" w:cs="Arial"/>
        </w:rPr>
      </w:pPr>
      <w:r w:rsidRPr="00C76D37">
        <w:rPr>
          <w:rFonts w:ascii="Arial" w:hAnsi="Arial" w:cs="Arial"/>
        </w:rPr>
        <w:t>Management structures</w:t>
      </w:r>
    </w:p>
    <w:p w:rsidR="00C76D37" w:rsidRPr="00C76D37" w:rsidRDefault="00C76D37" w:rsidP="00C76D37">
      <w:pPr>
        <w:pStyle w:val="ListParagraph"/>
        <w:numPr>
          <w:ilvl w:val="0"/>
          <w:numId w:val="29"/>
        </w:numPr>
        <w:spacing w:after="160" w:line="259" w:lineRule="auto"/>
        <w:rPr>
          <w:rFonts w:ascii="Arial" w:hAnsi="Arial" w:cs="Arial"/>
        </w:rPr>
      </w:pPr>
      <w:r w:rsidRPr="00C76D37">
        <w:rPr>
          <w:rFonts w:ascii="Arial" w:hAnsi="Arial" w:cs="Arial"/>
        </w:rPr>
        <w:t>Policies and Procedures</w:t>
      </w:r>
    </w:p>
    <w:p w:rsidR="00C76D37" w:rsidRPr="00C76D37" w:rsidRDefault="00C76D37" w:rsidP="00C76D37">
      <w:pPr>
        <w:pStyle w:val="ListParagraph"/>
        <w:numPr>
          <w:ilvl w:val="0"/>
          <w:numId w:val="29"/>
        </w:numPr>
        <w:spacing w:after="160" w:line="259" w:lineRule="auto"/>
        <w:rPr>
          <w:rFonts w:ascii="Arial" w:hAnsi="Arial" w:cs="Arial"/>
        </w:rPr>
      </w:pPr>
      <w:r w:rsidRPr="00C76D37">
        <w:rPr>
          <w:rFonts w:ascii="Arial" w:hAnsi="Arial" w:cs="Arial"/>
        </w:rPr>
        <w:t>Training/Informed decision making for data sharing</w:t>
      </w:r>
    </w:p>
    <w:p w:rsidR="00C76D37" w:rsidRPr="00C76D37" w:rsidRDefault="00C76D37" w:rsidP="00C76D37">
      <w:pPr>
        <w:pStyle w:val="ListParagraph"/>
        <w:numPr>
          <w:ilvl w:val="0"/>
          <w:numId w:val="29"/>
        </w:numPr>
        <w:spacing w:after="160" w:line="259" w:lineRule="auto"/>
        <w:rPr>
          <w:rFonts w:ascii="Arial" w:hAnsi="Arial" w:cs="Arial"/>
        </w:rPr>
      </w:pPr>
      <w:r w:rsidRPr="00C76D37">
        <w:rPr>
          <w:rFonts w:ascii="Arial" w:hAnsi="Arial" w:cs="Arial"/>
        </w:rPr>
        <w:t>Processor contracts</w:t>
      </w:r>
    </w:p>
    <w:p w:rsidR="00C76D37" w:rsidRPr="00C76D37" w:rsidRDefault="00C76D37" w:rsidP="00C76D37">
      <w:pPr>
        <w:pStyle w:val="ListParagraph"/>
        <w:numPr>
          <w:ilvl w:val="0"/>
          <w:numId w:val="29"/>
        </w:numPr>
        <w:spacing w:after="160" w:line="259" w:lineRule="auto"/>
        <w:rPr>
          <w:rFonts w:ascii="Arial" w:hAnsi="Arial" w:cs="Arial"/>
        </w:rPr>
      </w:pPr>
      <w:r w:rsidRPr="00C76D37">
        <w:rPr>
          <w:rFonts w:ascii="Arial" w:hAnsi="Arial" w:cs="Arial"/>
        </w:rPr>
        <w:t>Record(s) of processing activities</w:t>
      </w:r>
    </w:p>
    <w:p w:rsidR="00C76D37" w:rsidRPr="00C76D37" w:rsidRDefault="00C76D37" w:rsidP="00C76D37">
      <w:pPr>
        <w:pStyle w:val="ListParagraph"/>
        <w:numPr>
          <w:ilvl w:val="0"/>
          <w:numId w:val="29"/>
        </w:numPr>
        <w:spacing w:after="160" w:line="259" w:lineRule="auto"/>
        <w:rPr>
          <w:rFonts w:ascii="Arial" w:hAnsi="Arial" w:cs="Arial"/>
        </w:rPr>
      </w:pPr>
      <w:r w:rsidRPr="00C76D37">
        <w:rPr>
          <w:rFonts w:ascii="Arial" w:hAnsi="Arial" w:cs="Arial"/>
        </w:rPr>
        <w:t>Transparency</w:t>
      </w:r>
    </w:p>
    <w:p w:rsidR="00C76D37" w:rsidRPr="00C76D37" w:rsidRDefault="00C76D37" w:rsidP="00C76D37">
      <w:pPr>
        <w:pStyle w:val="ListParagraph"/>
        <w:numPr>
          <w:ilvl w:val="0"/>
          <w:numId w:val="29"/>
        </w:numPr>
        <w:spacing w:after="160" w:line="259" w:lineRule="auto"/>
        <w:rPr>
          <w:rFonts w:ascii="Arial" w:hAnsi="Arial" w:cs="Arial"/>
        </w:rPr>
      </w:pPr>
      <w:r w:rsidRPr="00C76D37">
        <w:rPr>
          <w:rFonts w:ascii="Arial" w:hAnsi="Arial" w:cs="Arial"/>
        </w:rPr>
        <w:t xml:space="preserve">Data protection impact assessments/Assessing the legality, risks, and benefits of sharing data </w:t>
      </w:r>
    </w:p>
    <w:p w:rsidR="00C76D37" w:rsidRPr="00C76D37" w:rsidRDefault="00C76D37" w:rsidP="00C76D37">
      <w:pPr>
        <w:pStyle w:val="ListParagraph"/>
        <w:numPr>
          <w:ilvl w:val="0"/>
          <w:numId w:val="29"/>
        </w:numPr>
        <w:spacing w:after="160" w:line="259" w:lineRule="auto"/>
        <w:rPr>
          <w:rFonts w:ascii="Arial" w:hAnsi="Arial" w:cs="Arial"/>
        </w:rPr>
      </w:pPr>
      <w:r w:rsidRPr="00C76D37">
        <w:rPr>
          <w:rFonts w:ascii="Arial" w:hAnsi="Arial" w:cs="Arial"/>
        </w:rPr>
        <w:t>Personal data breaches</w:t>
      </w:r>
    </w:p>
    <w:p w:rsidR="00C76D37" w:rsidRDefault="00C76D37" w:rsidP="00C76D37">
      <w:pPr>
        <w:pStyle w:val="ListParagraph"/>
        <w:numPr>
          <w:ilvl w:val="0"/>
          <w:numId w:val="29"/>
        </w:numPr>
        <w:spacing w:after="160" w:line="259" w:lineRule="auto"/>
        <w:rPr>
          <w:rFonts w:ascii="Arial" w:hAnsi="Arial" w:cs="Arial"/>
        </w:rPr>
      </w:pPr>
      <w:r w:rsidRPr="00C76D37">
        <w:rPr>
          <w:rFonts w:ascii="Arial" w:hAnsi="Arial" w:cs="Arial"/>
        </w:rPr>
        <w:t>Information Sharing Agreements and Logs</w:t>
      </w:r>
    </w:p>
    <w:p w:rsidR="00A0036B" w:rsidRDefault="00A0036B" w:rsidP="00A0036B">
      <w:pPr>
        <w:spacing w:after="160" w:line="259" w:lineRule="auto"/>
        <w:ind w:left="709"/>
        <w:rPr>
          <w:rFonts w:ascii="Arial" w:hAnsi="Arial" w:cs="Arial"/>
        </w:rPr>
      </w:pPr>
      <w:r>
        <w:rPr>
          <w:rFonts w:ascii="Arial" w:hAnsi="Arial" w:cs="Arial"/>
        </w:rPr>
        <w:t>Interviews with key internal staff then took place over 3 days, 24</w:t>
      </w:r>
      <w:r w:rsidRPr="00A0036B">
        <w:rPr>
          <w:rFonts w:ascii="Arial" w:hAnsi="Arial" w:cs="Arial"/>
          <w:vertAlign w:val="superscript"/>
        </w:rPr>
        <w:t>th</w:t>
      </w:r>
      <w:r>
        <w:rPr>
          <w:rFonts w:ascii="Arial" w:hAnsi="Arial" w:cs="Arial"/>
        </w:rPr>
        <w:t>, 25</w:t>
      </w:r>
      <w:r w:rsidRPr="00A0036B">
        <w:rPr>
          <w:rFonts w:ascii="Arial" w:hAnsi="Arial" w:cs="Arial"/>
          <w:vertAlign w:val="superscript"/>
        </w:rPr>
        <w:t>th</w:t>
      </w:r>
      <w:r>
        <w:rPr>
          <w:rFonts w:ascii="Arial" w:hAnsi="Arial" w:cs="Arial"/>
        </w:rPr>
        <w:t xml:space="preserve"> &amp; 29</w:t>
      </w:r>
      <w:r w:rsidRPr="00A0036B">
        <w:rPr>
          <w:rFonts w:ascii="Arial" w:hAnsi="Arial" w:cs="Arial"/>
          <w:vertAlign w:val="superscript"/>
        </w:rPr>
        <w:t>th</w:t>
      </w:r>
      <w:r>
        <w:rPr>
          <w:rFonts w:ascii="Arial" w:hAnsi="Arial" w:cs="Arial"/>
        </w:rPr>
        <w:t xml:space="preserve"> November 2022, with further information provided to the audit team by these staff.</w:t>
      </w:r>
    </w:p>
    <w:p w:rsidR="00A0036B" w:rsidRDefault="00A0036B" w:rsidP="00A0036B">
      <w:pPr>
        <w:spacing w:after="160" w:line="259" w:lineRule="auto"/>
        <w:ind w:left="709"/>
        <w:rPr>
          <w:rFonts w:ascii="Arial" w:hAnsi="Arial" w:cs="Arial"/>
        </w:rPr>
      </w:pPr>
      <w:r>
        <w:rPr>
          <w:rFonts w:ascii="Arial" w:hAnsi="Arial" w:cs="Arial"/>
        </w:rPr>
        <w:t>An interim report was received on 15</w:t>
      </w:r>
      <w:r w:rsidRPr="00A0036B">
        <w:rPr>
          <w:rFonts w:ascii="Arial" w:hAnsi="Arial" w:cs="Arial"/>
          <w:vertAlign w:val="superscript"/>
        </w:rPr>
        <w:t>th</w:t>
      </w:r>
      <w:r>
        <w:rPr>
          <w:rFonts w:ascii="Arial" w:hAnsi="Arial" w:cs="Arial"/>
        </w:rPr>
        <w:t xml:space="preserve"> December 2022 with an agreed final report and action plan received on 12</w:t>
      </w:r>
      <w:r w:rsidRPr="00A0036B">
        <w:rPr>
          <w:rFonts w:ascii="Arial" w:hAnsi="Arial" w:cs="Arial"/>
          <w:vertAlign w:val="superscript"/>
        </w:rPr>
        <w:t>th</w:t>
      </w:r>
      <w:r>
        <w:rPr>
          <w:rFonts w:ascii="Arial" w:hAnsi="Arial" w:cs="Arial"/>
        </w:rPr>
        <w:t xml:space="preserve"> January 2023.</w:t>
      </w:r>
    </w:p>
    <w:p w:rsidR="00A0036B" w:rsidRDefault="00A0036B" w:rsidP="00A0036B">
      <w:pPr>
        <w:spacing w:after="160" w:line="259" w:lineRule="auto"/>
        <w:ind w:left="709"/>
        <w:rPr>
          <w:rFonts w:ascii="Arial" w:hAnsi="Arial" w:cs="Arial"/>
        </w:rPr>
      </w:pPr>
      <w:r>
        <w:rPr>
          <w:rFonts w:ascii="Arial" w:hAnsi="Arial" w:cs="Arial"/>
        </w:rPr>
        <w:t>A summary of the report is as follows:</w:t>
      </w:r>
    </w:p>
    <w:p w:rsidR="00A0036B" w:rsidRPr="006F7EB8" w:rsidRDefault="00A0036B" w:rsidP="00A0036B">
      <w:pPr>
        <w:pStyle w:val="ListParagraph"/>
        <w:numPr>
          <w:ilvl w:val="0"/>
          <w:numId w:val="31"/>
        </w:numPr>
        <w:contextualSpacing w:val="0"/>
        <w:rPr>
          <w:rFonts w:ascii="Arial" w:hAnsi="Arial" w:cs="Arial"/>
        </w:rPr>
      </w:pPr>
      <w:r w:rsidRPr="006F7EB8">
        <w:rPr>
          <w:rFonts w:ascii="Arial" w:hAnsi="Arial" w:cs="Arial"/>
        </w:rPr>
        <w:t xml:space="preserve">An overall assurance rating of </w:t>
      </w:r>
      <w:r w:rsidRPr="00A267D8">
        <w:rPr>
          <w:rFonts w:ascii="Arial" w:hAnsi="Arial" w:cs="Arial"/>
        </w:rPr>
        <w:t>reasonable</w:t>
      </w:r>
      <w:r w:rsidRPr="006F7EB8">
        <w:rPr>
          <w:rFonts w:ascii="Arial" w:hAnsi="Arial" w:cs="Arial"/>
        </w:rPr>
        <w:t xml:space="preserve"> </w:t>
      </w:r>
    </w:p>
    <w:p w:rsidR="00A0036B" w:rsidRPr="006F7EB8" w:rsidRDefault="00A0036B" w:rsidP="00A0036B">
      <w:pPr>
        <w:pStyle w:val="ListParagraph"/>
        <w:numPr>
          <w:ilvl w:val="0"/>
          <w:numId w:val="31"/>
        </w:numPr>
        <w:contextualSpacing w:val="0"/>
        <w:rPr>
          <w:rFonts w:ascii="Arial" w:hAnsi="Arial" w:cs="Arial"/>
        </w:rPr>
      </w:pPr>
      <w:r w:rsidRPr="006F7EB8">
        <w:rPr>
          <w:rFonts w:ascii="Arial" w:hAnsi="Arial" w:cs="Arial"/>
        </w:rPr>
        <w:t>76% assurance across high and reasonable (59% &amp; 17% respectively)</w:t>
      </w:r>
    </w:p>
    <w:p w:rsidR="00A0036B" w:rsidRPr="006F7EB8" w:rsidRDefault="00A0036B" w:rsidP="00A0036B">
      <w:pPr>
        <w:pStyle w:val="ListParagraph"/>
        <w:numPr>
          <w:ilvl w:val="0"/>
          <w:numId w:val="31"/>
        </w:numPr>
        <w:contextualSpacing w:val="0"/>
        <w:rPr>
          <w:rFonts w:ascii="Arial" w:hAnsi="Arial" w:cs="Arial"/>
        </w:rPr>
      </w:pPr>
      <w:r w:rsidRPr="006F7EB8">
        <w:rPr>
          <w:rFonts w:ascii="Arial" w:hAnsi="Arial" w:cs="Arial"/>
        </w:rPr>
        <w:t>17% limited assurance</w:t>
      </w:r>
    </w:p>
    <w:p w:rsidR="00A0036B" w:rsidRPr="006F7EB8" w:rsidRDefault="00A0036B" w:rsidP="00A0036B">
      <w:pPr>
        <w:pStyle w:val="ListParagraph"/>
        <w:numPr>
          <w:ilvl w:val="0"/>
          <w:numId w:val="31"/>
        </w:numPr>
        <w:contextualSpacing w:val="0"/>
        <w:rPr>
          <w:rFonts w:ascii="Arial" w:hAnsi="Arial" w:cs="Arial"/>
        </w:rPr>
      </w:pPr>
      <w:r w:rsidRPr="006F7EB8">
        <w:rPr>
          <w:rFonts w:ascii="Arial" w:hAnsi="Arial" w:cs="Arial"/>
        </w:rPr>
        <w:t>7% very limited assurance</w:t>
      </w:r>
    </w:p>
    <w:p w:rsidR="00A0036B" w:rsidRDefault="00A0036B" w:rsidP="00A0036B">
      <w:pPr>
        <w:spacing w:after="160" w:line="259" w:lineRule="auto"/>
        <w:ind w:left="709"/>
        <w:rPr>
          <w:rFonts w:ascii="Arial" w:hAnsi="Arial" w:cs="Arial"/>
        </w:rPr>
      </w:pPr>
      <w:r w:rsidRPr="006F7EB8">
        <w:rPr>
          <w:rFonts w:ascii="Arial" w:hAnsi="Arial" w:cs="Arial"/>
        </w:rPr>
        <w:t>A total of 12 recommendations received (2 urgent, 5 high, 4 medium 1 low)</w:t>
      </w:r>
    </w:p>
    <w:p w:rsidR="00A0036B" w:rsidRDefault="00A0036B" w:rsidP="00A0036B">
      <w:pPr>
        <w:spacing w:after="160" w:line="259" w:lineRule="auto"/>
        <w:ind w:left="709"/>
        <w:rPr>
          <w:rFonts w:ascii="Arial" w:hAnsi="Arial" w:cs="Arial"/>
        </w:rPr>
      </w:pPr>
      <w:r>
        <w:rPr>
          <w:rFonts w:ascii="Arial" w:hAnsi="Arial" w:cs="Arial"/>
        </w:rPr>
        <w:t>Of those recommendations:</w:t>
      </w:r>
    </w:p>
    <w:p w:rsidR="00A0036B" w:rsidRDefault="00A0036B" w:rsidP="00A0036B">
      <w:pPr>
        <w:spacing w:after="160" w:line="259" w:lineRule="auto"/>
        <w:ind w:left="709"/>
        <w:rPr>
          <w:rFonts w:ascii="Arial" w:hAnsi="Arial" w:cs="Arial"/>
        </w:rPr>
      </w:pPr>
      <w:r>
        <w:rPr>
          <w:rFonts w:ascii="Arial" w:hAnsi="Arial" w:cs="Arial"/>
        </w:rPr>
        <w:t>67% are completed</w:t>
      </w:r>
    </w:p>
    <w:p w:rsidR="00A0036B" w:rsidRDefault="00A0036B" w:rsidP="00A0036B">
      <w:pPr>
        <w:spacing w:after="160" w:line="259" w:lineRule="auto"/>
        <w:ind w:left="709"/>
        <w:rPr>
          <w:rFonts w:ascii="Arial" w:hAnsi="Arial" w:cs="Arial"/>
        </w:rPr>
      </w:pPr>
      <w:r>
        <w:rPr>
          <w:rFonts w:ascii="Arial" w:hAnsi="Arial" w:cs="Arial"/>
        </w:rPr>
        <w:lastRenderedPageBreak/>
        <w:t>80% of the urgent recommendations are completed</w:t>
      </w:r>
      <w:r>
        <w:rPr>
          <w:rFonts w:ascii="Arial" w:hAnsi="Arial" w:cs="Arial"/>
        </w:rPr>
        <w:br/>
        <w:t>64% of the high recommendations are completed</w:t>
      </w:r>
      <w:r>
        <w:rPr>
          <w:rFonts w:ascii="Arial" w:hAnsi="Arial" w:cs="Arial"/>
        </w:rPr>
        <w:br/>
        <w:t>55% of the medium recommendations are completed</w:t>
      </w:r>
      <w:r>
        <w:rPr>
          <w:rFonts w:ascii="Arial" w:hAnsi="Arial" w:cs="Arial"/>
        </w:rPr>
        <w:br/>
        <w:t>100% of the low recommendations are completed</w:t>
      </w:r>
      <w:r>
        <w:rPr>
          <w:rFonts w:ascii="Arial" w:hAnsi="Arial" w:cs="Arial"/>
        </w:rPr>
        <w:br/>
      </w:r>
      <w:r>
        <w:rPr>
          <w:rFonts w:ascii="Arial" w:hAnsi="Arial" w:cs="Arial"/>
        </w:rPr>
        <w:br/>
        <w:t>We are currently on target for completion of all recommendations by December 2023.</w:t>
      </w:r>
      <w:r>
        <w:rPr>
          <w:rFonts w:ascii="Arial" w:hAnsi="Arial" w:cs="Arial"/>
        </w:rPr>
        <w:br/>
        <w:t>Progress updates have been provided</w:t>
      </w:r>
      <w:r w:rsidR="007D26C2">
        <w:rPr>
          <w:rFonts w:ascii="Arial" w:hAnsi="Arial" w:cs="Arial"/>
        </w:rPr>
        <w:t xml:space="preserve"> and will continue to be provided</w:t>
      </w:r>
      <w:r>
        <w:rPr>
          <w:rFonts w:ascii="Arial" w:hAnsi="Arial" w:cs="Arial"/>
        </w:rPr>
        <w:t xml:space="preserve"> to the Executive Leadership Team, Audit and Risk Committee and to the Digital and Information Governance Group.</w:t>
      </w:r>
    </w:p>
    <w:p w:rsidR="007D26C2" w:rsidRPr="00A0036B" w:rsidRDefault="007D26C2" w:rsidP="00A0036B">
      <w:pPr>
        <w:spacing w:after="160" w:line="259" w:lineRule="auto"/>
        <w:ind w:left="709"/>
        <w:rPr>
          <w:rFonts w:ascii="Arial" w:hAnsi="Arial" w:cs="Arial"/>
        </w:rPr>
      </w:pPr>
      <w:r>
        <w:rPr>
          <w:rFonts w:ascii="Arial" w:hAnsi="Arial" w:cs="Arial"/>
        </w:rPr>
        <w:t>There is no scheduled follow up from ICO, however, they may contact Boards for a progress update.</w:t>
      </w:r>
      <w:r>
        <w:rPr>
          <w:rFonts w:ascii="Arial" w:hAnsi="Arial" w:cs="Arial"/>
        </w:rPr>
        <w:br/>
        <w:t xml:space="preserve">ICO will publish an overall NHS Scotland exceptions report on their website once all Boards audits are completed.  This report will not include any specific Boards results. </w:t>
      </w:r>
    </w:p>
    <w:p w:rsidR="00617690" w:rsidRPr="00DA5B31" w:rsidRDefault="00617690" w:rsidP="00C76D37">
      <w:pPr>
        <w:rPr>
          <w:rFonts w:ascii="Arial" w:hAnsi="Arial" w:cs="Arial"/>
          <w:b/>
        </w:rPr>
      </w:pPr>
      <w:r w:rsidRPr="00DA5B31">
        <w:rPr>
          <w:rFonts w:ascii="Arial" w:hAnsi="Arial" w:cs="Arial"/>
        </w:rPr>
        <w:br/>
      </w:r>
    </w:p>
    <w:p w:rsidR="00947037" w:rsidRPr="00947037" w:rsidRDefault="00617690" w:rsidP="00C51BAB">
      <w:pPr>
        <w:pStyle w:val="ListParagraph"/>
        <w:numPr>
          <w:ilvl w:val="0"/>
          <w:numId w:val="19"/>
        </w:numPr>
        <w:ind w:left="709"/>
        <w:rPr>
          <w:rFonts w:ascii="Arial" w:hAnsi="Arial" w:cs="Arial"/>
          <w:b/>
        </w:rPr>
      </w:pPr>
      <w:r>
        <w:rPr>
          <w:rFonts w:ascii="Arial" w:hAnsi="Arial" w:cs="Arial"/>
          <w:b/>
        </w:rPr>
        <w:t>Public Records Scotland Act 2011</w:t>
      </w:r>
      <w:r>
        <w:rPr>
          <w:rFonts w:ascii="Arial" w:hAnsi="Arial" w:cs="Arial"/>
          <w:b/>
        </w:rPr>
        <w:br/>
      </w:r>
      <w:r>
        <w:rPr>
          <w:rFonts w:ascii="Arial" w:hAnsi="Arial" w:cs="Arial"/>
          <w:b/>
        </w:rPr>
        <w:br/>
      </w:r>
    </w:p>
    <w:p w:rsidR="00947037" w:rsidRPr="00947037" w:rsidRDefault="00947037" w:rsidP="00870BB8">
      <w:pPr>
        <w:pStyle w:val="ListParagraph"/>
        <w:tabs>
          <w:tab w:val="left" w:pos="540"/>
        </w:tabs>
        <w:autoSpaceDE w:val="0"/>
        <w:autoSpaceDN w:val="0"/>
        <w:adjustRightInd w:val="0"/>
        <w:ind w:left="709"/>
        <w:rPr>
          <w:rFonts w:ascii="Arial" w:hAnsi="Arial" w:cs="Arial"/>
        </w:rPr>
      </w:pPr>
      <w:r w:rsidRPr="00947037">
        <w:rPr>
          <w:rFonts w:ascii="Arial" w:hAnsi="Arial" w:cs="Arial"/>
        </w:rPr>
        <w:t xml:space="preserve">The </w:t>
      </w:r>
      <w:r w:rsidRPr="00BB7DE6">
        <w:rPr>
          <w:rFonts w:ascii="Arial" w:hAnsi="Arial" w:cs="Arial"/>
        </w:rPr>
        <w:t xml:space="preserve">Public Records </w:t>
      </w:r>
      <w:r w:rsidR="00BB7DE6">
        <w:rPr>
          <w:rFonts w:ascii="Arial" w:hAnsi="Arial" w:cs="Arial"/>
        </w:rPr>
        <w:t>(</w:t>
      </w:r>
      <w:r w:rsidRPr="00BB7DE6">
        <w:rPr>
          <w:rFonts w:ascii="Arial" w:hAnsi="Arial" w:cs="Arial"/>
        </w:rPr>
        <w:t>Scotland</w:t>
      </w:r>
      <w:r w:rsidR="00BB7DE6">
        <w:rPr>
          <w:rFonts w:ascii="Arial" w:hAnsi="Arial" w:cs="Arial"/>
        </w:rPr>
        <w:t>)</w:t>
      </w:r>
      <w:r w:rsidRPr="00BB7DE6">
        <w:rPr>
          <w:rFonts w:ascii="Arial" w:hAnsi="Arial" w:cs="Arial"/>
        </w:rPr>
        <w:t xml:space="preserve"> Act 2011</w:t>
      </w:r>
      <w:r w:rsidRPr="00947037">
        <w:rPr>
          <w:rFonts w:ascii="Arial" w:hAnsi="Arial" w:cs="Arial"/>
        </w:rPr>
        <w:t xml:space="preserve"> came into effect in January 2013.  In order to comply, </w:t>
      </w:r>
      <w:r w:rsidRPr="00947037">
        <w:rPr>
          <w:rFonts w:ascii="TimesNewRoman" w:hAnsi="TimesNewRoman" w:cs="TimesNewRoman"/>
        </w:rPr>
        <w:t xml:space="preserve">we were required to prepare and submit a Records Management Plan (RMP) setting out proper arrangements for the management of the authority’s public records to </w:t>
      </w:r>
      <w:r w:rsidRPr="00947037">
        <w:rPr>
          <w:rFonts w:ascii="Arial" w:hAnsi="Arial" w:cs="Arial"/>
        </w:rPr>
        <w:t xml:space="preserve">the Keeper of the Records of Scotland.  The Board’s Plan was submitted and approved on April 2017.  The Board continues to monitor compliance with the RMP through updates to the </w:t>
      </w:r>
      <w:r w:rsidR="00BB7DE6">
        <w:rPr>
          <w:rFonts w:ascii="Arial" w:hAnsi="Arial" w:cs="Arial"/>
        </w:rPr>
        <w:t xml:space="preserve">Digital &amp; </w:t>
      </w:r>
      <w:r w:rsidRPr="00947037">
        <w:rPr>
          <w:rFonts w:ascii="Arial" w:hAnsi="Arial" w:cs="Arial"/>
        </w:rPr>
        <w:t xml:space="preserve">Information Governance Group and to the National Records Management Forum.  </w:t>
      </w:r>
    </w:p>
    <w:p w:rsidR="00947037" w:rsidRPr="00947037" w:rsidRDefault="00947037" w:rsidP="00947037">
      <w:pPr>
        <w:pStyle w:val="ListParagraph"/>
        <w:tabs>
          <w:tab w:val="left" w:pos="540"/>
        </w:tabs>
        <w:autoSpaceDE w:val="0"/>
        <w:autoSpaceDN w:val="0"/>
        <w:adjustRightInd w:val="0"/>
        <w:ind w:left="1069"/>
        <w:rPr>
          <w:rFonts w:ascii="Arial" w:hAnsi="Arial" w:cs="Arial"/>
        </w:rPr>
      </w:pPr>
    </w:p>
    <w:p w:rsidR="00947037" w:rsidRPr="00947037" w:rsidRDefault="00947037" w:rsidP="00870BB8">
      <w:pPr>
        <w:pStyle w:val="ListParagraph"/>
        <w:tabs>
          <w:tab w:val="left" w:pos="540"/>
        </w:tabs>
        <w:autoSpaceDE w:val="0"/>
        <w:autoSpaceDN w:val="0"/>
        <w:adjustRightInd w:val="0"/>
        <w:ind w:left="709"/>
        <w:rPr>
          <w:rFonts w:ascii="Arial" w:hAnsi="Arial" w:cs="Arial"/>
        </w:rPr>
      </w:pPr>
      <w:r w:rsidRPr="00947037">
        <w:rPr>
          <w:rFonts w:ascii="Arial" w:hAnsi="Arial" w:cs="Arial"/>
        </w:rPr>
        <w:t>The Board has</w:t>
      </w:r>
      <w:r w:rsidR="0020155E">
        <w:rPr>
          <w:rFonts w:ascii="Arial" w:hAnsi="Arial" w:cs="Arial"/>
        </w:rPr>
        <w:t xml:space="preserve"> also submitted 4</w:t>
      </w:r>
      <w:r w:rsidRPr="00947037">
        <w:rPr>
          <w:rFonts w:ascii="Arial" w:hAnsi="Arial" w:cs="Arial"/>
        </w:rPr>
        <w:t xml:space="preserve"> Progress Update Reviews to The Keeper’s Assessment Team and has recently been invited by the National Records of Scotland (NRS) to submit a Progress Update Review (PUR) for this year, to be submitted by </w:t>
      </w:r>
      <w:r w:rsidRPr="00947037">
        <w:rPr>
          <w:rFonts w:ascii="Arial" w:hAnsi="Arial" w:cs="Arial"/>
          <w:b/>
        </w:rPr>
        <w:t>3</w:t>
      </w:r>
      <w:r w:rsidR="0020155E">
        <w:rPr>
          <w:rFonts w:ascii="Arial" w:hAnsi="Arial" w:cs="Arial"/>
          <w:b/>
        </w:rPr>
        <w:t>1</w:t>
      </w:r>
      <w:r w:rsidR="0020155E" w:rsidRPr="0020155E">
        <w:rPr>
          <w:rFonts w:ascii="Arial" w:hAnsi="Arial" w:cs="Arial"/>
          <w:b/>
          <w:vertAlign w:val="superscript"/>
        </w:rPr>
        <w:t>st</w:t>
      </w:r>
      <w:r w:rsidR="0020155E">
        <w:rPr>
          <w:rFonts w:ascii="Arial" w:hAnsi="Arial" w:cs="Arial"/>
          <w:b/>
        </w:rPr>
        <w:t xml:space="preserve"> July 2023</w:t>
      </w:r>
      <w:r w:rsidRPr="00947037">
        <w:rPr>
          <w:rFonts w:ascii="Arial" w:hAnsi="Arial" w:cs="Arial"/>
          <w:b/>
        </w:rPr>
        <w:t>.</w:t>
      </w:r>
    </w:p>
    <w:p w:rsidR="00947037" w:rsidRPr="00947037" w:rsidRDefault="00947037" w:rsidP="00947037">
      <w:pPr>
        <w:pStyle w:val="ListParagraph"/>
        <w:tabs>
          <w:tab w:val="left" w:pos="540"/>
        </w:tabs>
        <w:autoSpaceDE w:val="0"/>
        <w:autoSpaceDN w:val="0"/>
        <w:adjustRightInd w:val="0"/>
        <w:ind w:left="1069"/>
        <w:rPr>
          <w:rFonts w:ascii="Arial" w:hAnsi="Arial" w:cs="Arial"/>
        </w:rPr>
      </w:pPr>
    </w:p>
    <w:p w:rsidR="00947037" w:rsidRPr="00947037" w:rsidRDefault="00947037" w:rsidP="00870BB8">
      <w:pPr>
        <w:pStyle w:val="ListParagraph"/>
        <w:ind w:left="709"/>
        <w:jc w:val="both"/>
        <w:rPr>
          <w:rFonts w:ascii="Arial" w:hAnsi="Arial" w:cs="Arial"/>
        </w:rPr>
      </w:pPr>
      <w:r w:rsidRPr="00947037">
        <w:rPr>
          <w:rFonts w:ascii="Arial" w:hAnsi="Arial" w:cs="Arial"/>
        </w:rPr>
        <w:t>The Progress Update Review (PUR) mechanism was announced in the Keeper’s 2016 Annual Report and has been developed in partnership with a Stakeholder Forum. Formally launched on 14 December 2016 the PUR mechanism is intended to help authorities demonstrate their continuing compliance with s.5(1)(a) of the Public Records (Scotland) Act 2011 (the Act) to keep their RMPs under review. It is also an opportunity for the Board to highlight and share with The Keeper’s Assessment Team the advances being made in the provision of our records management services and to receive impartial feedback and advice on those advances by the Assessment Team.</w:t>
      </w:r>
    </w:p>
    <w:p w:rsidR="00947037" w:rsidRPr="00947037" w:rsidRDefault="00947037" w:rsidP="00947037">
      <w:pPr>
        <w:pStyle w:val="ListParagraph"/>
        <w:ind w:left="1069"/>
        <w:jc w:val="both"/>
        <w:rPr>
          <w:rFonts w:ascii="Arial" w:hAnsi="Arial" w:cs="Arial"/>
        </w:rPr>
      </w:pPr>
    </w:p>
    <w:p w:rsidR="00947037" w:rsidRPr="00870BB8" w:rsidRDefault="00947037" w:rsidP="00870BB8">
      <w:pPr>
        <w:pStyle w:val="ListParagraph"/>
        <w:ind w:left="709"/>
        <w:jc w:val="both"/>
        <w:rPr>
          <w:rFonts w:ascii="Arial" w:hAnsi="Arial" w:cs="Arial"/>
        </w:rPr>
      </w:pPr>
      <w:r w:rsidRPr="00947037">
        <w:rPr>
          <w:rFonts w:ascii="Arial" w:hAnsi="Arial" w:cs="Arial"/>
        </w:rPr>
        <w:t>The PUR is a wholly voluntary scheme; there is no obligation under the Act for authorities to submit a PUR, however, the Board submitted their last PUR</w:t>
      </w:r>
      <w:r w:rsidR="00C04DAF">
        <w:rPr>
          <w:rFonts w:ascii="Arial" w:hAnsi="Arial" w:cs="Arial"/>
        </w:rPr>
        <w:t xml:space="preserve"> in 2022</w:t>
      </w:r>
      <w:r w:rsidRPr="00947037">
        <w:rPr>
          <w:rFonts w:ascii="Arial" w:hAnsi="Arial" w:cs="Arial"/>
        </w:rPr>
        <w:t xml:space="preserve">, with very positive feedback from the team at NRS.  The </w:t>
      </w:r>
      <w:r w:rsidRPr="00947037">
        <w:rPr>
          <w:rFonts w:ascii="Arial" w:hAnsi="Arial" w:cs="Arial"/>
        </w:rPr>
        <w:lastRenderedPageBreak/>
        <w:t>Board has accepted this invitation and will submit a Progress Update Review by the deadline outlined above.</w:t>
      </w:r>
    </w:p>
    <w:p w:rsidR="00947037" w:rsidRPr="00947037" w:rsidRDefault="00947037" w:rsidP="00870BB8">
      <w:pPr>
        <w:pStyle w:val="ListParagraph"/>
        <w:ind w:left="709"/>
        <w:jc w:val="both"/>
        <w:rPr>
          <w:rFonts w:ascii="Arial" w:hAnsi="Arial" w:cs="Arial"/>
        </w:rPr>
      </w:pPr>
      <w:r w:rsidRPr="00947037">
        <w:rPr>
          <w:rFonts w:ascii="Arial" w:hAnsi="Arial" w:cs="Arial"/>
        </w:rPr>
        <w:t xml:space="preserve">The outcome report from NRS will be shared with the </w:t>
      </w:r>
      <w:r w:rsidR="00C04DAF">
        <w:rPr>
          <w:rFonts w:ascii="Arial" w:hAnsi="Arial" w:cs="Arial"/>
        </w:rPr>
        <w:t xml:space="preserve">Digital &amp; </w:t>
      </w:r>
      <w:r w:rsidRPr="00947037">
        <w:rPr>
          <w:rFonts w:ascii="Arial" w:hAnsi="Arial" w:cs="Arial"/>
        </w:rPr>
        <w:t>Information Governance Group.</w:t>
      </w:r>
    </w:p>
    <w:p w:rsidR="00947037" w:rsidRPr="00947037" w:rsidRDefault="00947037" w:rsidP="00947037">
      <w:pPr>
        <w:pStyle w:val="ListParagraph"/>
        <w:ind w:left="1069"/>
        <w:jc w:val="both"/>
        <w:rPr>
          <w:rFonts w:ascii="Arial" w:hAnsi="Arial" w:cs="Arial"/>
        </w:rPr>
      </w:pPr>
    </w:p>
    <w:p w:rsidR="00E31077" w:rsidRDefault="00947037" w:rsidP="00870BB8">
      <w:pPr>
        <w:pStyle w:val="ListParagraph"/>
        <w:ind w:left="709"/>
        <w:jc w:val="both"/>
        <w:rPr>
          <w:rFonts w:ascii="Arial" w:hAnsi="Arial" w:cs="Arial"/>
        </w:rPr>
      </w:pPr>
      <w:r w:rsidRPr="00947037">
        <w:rPr>
          <w:rFonts w:ascii="Arial" w:hAnsi="Arial" w:cs="Arial"/>
        </w:rPr>
        <w:t>The Board’s Records Management Plan and PURs are available to view on the Board’s external website.</w:t>
      </w:r>
    </w:p>
    <w:p w:rsidR="003C3BAA" w:rsidRDefault="003C3BAA" w:rsidP="00E31077">
      <w:pPr>
        <w:pStyle w:val="ListParagraph"/>
        <w:ind w:left="1069"/>
        <w:jc w:val="both"/>
        <w:rPr>
          <w:rFonts w:ascii="Arial" w:hAnsi="Arial" w:cs="Arial"/>
        </w:rPr>
      </w:pPr>
    </w:p>
    <w:p w:rsidR="003C3BAA" w:rsidRDefault="003C3BAA" w:rsidP="00E31077">
      <w:pPr>
        <w:pStyle w:val="ListParagraph"/>
        <w:ind w:left="1069"/>
        <w:jc w:val="both"/>
        <w:rPr>
          <w:rFonts w:ascii="Arial" w:hAnsi="Arial" w:cs="Arial"/>
        </w:rPr>
      </w:pPr>
    </w:p>
    <w:p w:rsidR="00870BB8" w:rsidRPr="00870BB8" w:rsidRDefault="003C3BAA" w:rsidP="003C3BAA">
      <w:pPr>
        <w:pStyle w:val="ListParagraph"/>
        <w:numPr>
          <w:ilvl w:val="0"/>
          <w:numId w:val="19"/>
        </w:numPr>
        <w:ind w:left="709"/>
        <w:rPr>
          <w:rFonts w:ascii="Arial" w:hAnsi="Arial" w:cs="Arial"/>
          <w:b/>
        </w:rPr>
      </w:pPr>
      <w:r w:rsidRPr="003C3BAA">
        <w:rPr>
          <w:rFonts w:ascii="Arial" w:hAnsi="Arial" w:cs="Arial"/>
          <w:b/>
        </w:rPr>
        <w:t>Scottish Government Records Management Code of Practice</w:t>
      </w:r>
      <w:r w:rsidR="00870BB8">
        <w:rPr>
          <w:rFonts w:ascii="Arial" w:hAnsi="Arial" w:cs="Arial"/>
          <w:b/>
        </w:rPr>
        <w:t xml:space="preserve"> (CoP)</w:t>
      </w:r>
      <w:r>
        <w:rPr>
          <w:rFonts w:ascii="Arial" w:hAnsi="Arial" w:cs="Arial"/>
          <w:b/>
        </w:rPr>
        <w:br/>
      </w:r>
      <w:r>
        <w:rPr>
          <w:rFonts w:ascii="Arial" w:hAnsi="Arial" w:cs="Arial"/>
          <w:b/>
        </w:rPr>
        <w:br/>
      </w:r>
      <w:r w:rsidR="00870BB8">
        <w:rPr>
          <w:rFonts w:ascii="Arial" w:hAnsi="Arial" w:cs="Arial"/>
        </w:rPr>
        <w:t xml:space="preserve">The current 2020 version of the Records Management CoP is being reviewed and updated.  This review also includes a scoping exercise for a digital, dynamic platform to host the CoP, making it easier for users to navigate through the information.  </w:t>
      </w:r>
    </w:p>
    <w:p w:rsidR="00870BB8" w:rsidRPr="00870BB8" w:rsidRDefault="00870BB8" w:rsidP="00870BB8">
      <w:pPr>
        <w:pStyle w:val="ListParagraph"/>
        <w:ind w:left="709"/>
        <w:rPr>
          <w:rFonts w:ascii="Arial" w:hAnsi="Arial" w:cs="Arial"/>
          <w:b/>
        </w:rPr>
      </w:pPr>
      <w:r>
        <w:rPr>
          <w:rFonts w:ascii="Arial" w:hAnsi="Arial" w:cs="Arial"/>
        </w:rPr>
        <w:t>This work is being led nationally by a representative within Scottish Government with input from all Records Management and Information Governance Leads across NHS Scotland.</w:t>
      </w:r>
    </w:p>
    <w:p w:rsidR="00870BB8" w:rsidRDefault="00870BB8" w:rsidP="00870BB8">
      <w:pPr>
        <w:pStyle w:val="ListParagraph"/>
        <w:ind w:left="709"/>
        <w:rPr>
          <w:rFonts w:ascii="Arial" w:hAnsi="Arial" w:cs="Arial"/>
        </w:rPr>
      </w:pPr>
      <w:r>
        <w:rPr>
          <w:rFonts w:ascii="Arial" w:hAnsi="Arial" w:cs="Arial"/>
        </w:rPr>
        <w:t>Delivery Groups and Digital Platform Groups have been stood up with significant work underway to redesign and update the CoP.</w:t>
      </w:r>
    </w:p>
    <w:p w:rsidR="003C3BAA" w:rsidRPr="00870BB8" w:rsidRDefault="00870BB8" w:rsidP="00870BB8">
      <w:pPr>
        <w:pStyle w:val="ListParagraph"/>
        <w:ind w:left="709"/>
        <w:rPr>
          <w:rFonts w:ascii="Arial" w:hAnsi="Arial" w:cs="Arial"/>
        </w:rPr>
      </w:pPr>
      <w:r>
        <w:rPr>
          <w:rFonts w:ascii="Arial" w:hAnsi="Arial" w:cs="Arial"/>
        </w:rPr>
        <w:t>Although part of the review is to scope an appropriate digital platform for the CoP, this will take a few years before being fully implemented.</w:t>
      </w:r>
      <w:r w:rsidRPr="00870BB8">
        <w:rPr>
          <w:rFonts w:ascii="Arial" w:hAnsi="Arial" w:cs="Arial"/>
        </w:rPr>
        <w:t xml:space="preserve">   </w:t>
      </w:r>
    </w:p>
    <w:p w:rsidR="00E31077" w:rsidRDefault="00E31077" w:rsidP="00E31077">
      <w:pPr>
        <w:pStyle w:val="ListParagraph"/>
        <w:ind w:left="1069"/>
        <w:jc w:val="both"/>
        <w:rPr>
          <w:rFonts w:ascii="Arial" w:hAnsi="Arial" w:cs="Arial"/>
        </w:rPr>
      </w:pPr>
    </w:p>
    <w:p w:rsidR="00E31077" w:rsidRDefault="00E31077" w:rsidP="00E31077">
      <w:pPr>
        <w:pStyle w:val="ListParagraph"/>
        <w:ind w:left="709"/>
        <w:jc w:val="both"/>
        <w:rPr>
          <w:rFonts w:ascii="Arial" w:hAnsi="Arial" w:cs="Arial"/>
          <w:b/>
        </w:rPr>
      </w:pPr>
    </w:p>
    <w:p w:rsidR="00633AB2" w:rsidRPr="00633AB2" w:rsidRDefault="00E31077" w:rsidP="00E31077">
      <w:pPr>
        <w:pStyle w:val="ListParagraph"/>
        <w:numPr>
          <w:ilvl w:val="0"/>
          <w:numId w:val="19"/>
        </w:numPr>
        <w:ind w:left="709"/>
        <w:rPr>
          <w:rFonts w:ascii="Arial" w:hAnsi="Arial" w:cs="Arial"/>
          <w:b/>
        </w:rPr>
      </w:pPr>
      <w:r w:rsidRPr="00E31077">
        <w:rPr>
          <w:rFonts w:ascii="Arial" w:hAnsi="Arial" w:cs="Arial"/>
          <w:b/>
        </w:rPr>
        <w:t>M</w:t>
      </w:r>
      <w:r>
        <w:rPr>
          <w:rFonts w:ascii="Arial" w:hAnsi="Arial" w:cs="Arial"/>
          <w:b/>
        </w:rPr>
        <w:t xml:space="preserve">icrosoft </w:t>
      </w:r>
      <w:r w:rsidRPr="00E31077">
        <w:rPr>
          <w:rFonts w:ascii="Arial" w:hAnsi="Arial" w:cs="Arial"/>
          <w:b/>
        </w:rPr>
        <w:t>365</w:t>
      </w:r>
      <w:r>
        <w:rPr>
          <w:rFonts w:ascii="Arial" w:hAnsi="Arial" w:cs="Arial"/>
          <w:b/>
        </w:rPr>
        <w:br/>
      </w:r>
      <w:r>
        <w:rPr>
          <w:rFonts w:ascii="Arial" w:hAnsi="Arial" w:cs="Arial"/>
          <w:b/>
        </w:rPr>
        <w:br/>
      </w:r>
      <w:r>
        <w:rPr>
          <w:rFonts w:ascii="Arial" w:hAnsi="Arial" w:cs="Arial"/>
        </w:rPr>
        <w:t>NHS Scotland are contracted under a single Microsoft 365 tenancy. This means that the whole of NHS Scotland is attached to one domain making it easier to share necessary information, in a safe and secure manner across this tenancy.  This also means that there is a need to ensure border control across Boards</w:t>
      </w:r>
      <w:r w:rsidR="00633AB2">
        <w:rPr>
          <w:rFonts w:ascii="Arial" w:hAnsi="Arial" w:cs="Arial"/>
        </w:rPr>
        <w:t xml:space="preserve"> and that there are controls in place to manage data processing and access rights.</w:t>
      </w:r>
    </w:p>
    <w:p w:rsidR="00633AB2" w:rsidRDefault="00633AB2" w:rsidP="00633AB2">
      <w:pPr>
        <w:pStyle w:val="ListParagraph"/>
        <w:ind w:left="709"/>
        <w:rPr>
          <w:rFonts w:ascii="Arial" w:hAnsi="Arial" w:cs="Arial"/>
          <w:b/>
        </w:rPr>
      </w:pPr>
    </w:p>
    <w:p w:rsidR="00633AB2" w:rsidRDefault="00633AB2" w:rsidP="00633AB2">
      <w:pPr>
        <w:pStyle w:val="ListParagraph"/>
        <w:ind w:left="709"/>
        <w:rPr>
          <w:rFonts w:ascii="Arial" w:hAnsi="Arial" w:cs="Arial"/>
        </w:rPr>
      </w:pPr>
      <w:r w:rsidRPr="00633AB2">
        <w:rPr>
          <w:rFonts w:ascii="Arial" w:hAnsi="Arial" w:cs="Arial"/>
        </w:rPr>
        <w:t>T</w:t>
      </w:r>
      <w:r>
        <w:rPr>
          <w:rFonts w:ascii="Arial" w:hAnsi="Arial" w:cs="Arial"/>
        </w:rPr>
        <w:t xml:space="preserve">his processing is </w:t>
      </w:r>
      <w:r w:rsidRPr="00633AB2">
        <w:rPr>
          <w:rFonts w:ascii="Arial" w:hAnsi="Arial" w:cs="Arial"/>
        </w:rPr>
        <w:t>managed nationally</w:t>
      </w:r>
      <w:r>
        <w:rPr>
          <w:rFonts w:ascii="Arial" w:hAnsi="Arial" w:cs="Arial"/>
        </w:rPr>
        <w:t xml:space="preserve"> as a “once for Scotland” approach with representatives from all</w:t>
      </w:r>
      <w:r w:rsidR="00C04DAF">
        <w:rPr>
          <w:rFonts w:ascii="Arial" w:hAnsi="Arial" w:cs="Arial"/>
        </w:rPr>
        <w:t xml:space="preserve"> digital and</w:t>
      </w:r>
      <w:r>
        <w:rPr>
          <w:rFonts w:ascii="Arial" w:hAnsi="Arial" w:cs="Arial"/>
        </w:rPr>
        <w:t xml:space="preserve"> information governance disciplines involved in the risk assessing and approval process.</w:t>
      </w:r>
    </w:p>
    <w:p w:rsidR="00633AB2" w:rsidRDefault="00633AB2" w:rsidP="00633AB2">
      <w:pPr>
        <w:pStyle w:val="ListParagraph"/>
        <w:ind w:left="709"/>
        <w:rPr>
          <w:rFonts w:ascii="Arial" w:hAnsi="Arial" w:cs="Arial"/>
        </w:rPr>
      </w:pPr>
    </w:p>
    <w:p w:rsidR="00633AB2" w:rsidRDefault="00633AB2" w:rsidP="00633AB2">
      <w:pPr>
        <w:pStyle w:val="ListParagraph"/>
        <w:ind w:left="709"/>
        <w:rPr>
          <w:rFonts w:ascii="Arial" w:hAnsi="Arial" w:cs="Arial"/>
        </w:rPr>
      </w:pPr>
      <w:r>
        <w:rPr>
          <w:rFonts w:ascii="Arial" w:hAnsi="Arial" w:cs="Arial"/>
        </w:rPr>
        <w:t>Documents, such as Data Protection Impact Assessments, Information Sharing Agreements, System Security Policies to name a few, are reviewed and approved nationally and adopted at Board level to support the use of Microsoft 365 and the various approved apps available, such as Teams.</w:t>
      </w:r>
    </w:p>
    <w:p w:rsidR="00633AB2" w:rsidRDefault="00633AB2" w:rsidP="00633AB2">
      <w:pPr>
        <w:pStyle w:val="ListParagraph"/>
        <w:ind w:left="709"/>
        <w:rPr>
          <w:rFonts w:ascii="Arial" w:hAnsi="Arial" w:cs="Arial"/>
        </w:rPr>
      </w:pPr>
    </w:p>
    <w:p w:rsidR="00C04DAF" w:rsidRDefault="00633AB2" w:rsidP="00825160">
      <w:pPr>
        <w:pStyle w:val="ListParagraph"/>
        <w:ind w:left="709"/>
        <w:rPr>
          <w:rFonts w:ascii="Arial" w:hAnsi="Arial" w:cs="Arial"/>
        </w:rPr>
      </w:pPr>
      <w:r>
        <w:rPr>
          <w:rFonts w:ascii="Arial" w:hAnsi="Arial" w:cs="Arial"/>
        </w:rPr>
        <w:t xml:space="preserve">These documents are circulated to the Information Governance Group, SIRO and Caldicott Guardian for local review and approval. </w:t>
      </w:r>
    </w:p>
    <w:p w:rsidR="00322318" w:rsidRPr="00846291" w:rsidRDefault="00322318" w:rsidP="00846291">
      <w:pPr>
        <w:rPr>
          <w:rFonts w:ascii="Arial" w:hAnsi="Arial" w:cs="Arial"/>
        </w:rPr>
      </w:pPr>
    </w:p>
    <w:p w:rsidR="00CE0C9D" w:rsidRDefault="00CE0C9D" w:rsidP="001A4D64">
      <w:pPr>
        <w:rPr>
          <w:rFonts w:ascii="Arial" w:hAnsi="Arial" w:cs="Arial"/>
        </w:rPr>
      </w:pPr>
    </w:p>
    <w:p w:rsidR="005F7C9D" w:rsidRDefault="005F7C9D" w:rsidP="001A4D64">
      <w:pPr>
        <w:rPr>
          <w:rFonts w:ascii="Arial" w:hAnsi="Arial" w:cs="Arial"/>
        </w:rPr>
      </w:pPr>
    </w:p>
    <w:p w:rsidR="005F7C9D" w:rsidRPr="00CE0C9D" w:rsidRDefault="005F7C9D" w:rsidP="001A4D64">
      <w:pPr>
        <w:rPr>
          <w:rFonts w:ascii="Arial" w:hAnsi="Arial" w:cs="Arial"/>
        </w:rPr>
      </w:pPr>
    </w:p>
    <w:p w:rsidR="00C56E2C" w:rsidRDefault="00CE0C9D">
      <w:pPr>
        <w:rPr>
          <w:rFonts w:ascii="Arial" w:hAnsi="Arial" w:cs="Arial"/>
          <w:b/>
        </w:rPr>
      </w:pPr>
      <w:r>
        <w:rPr>
          <w:rFonts w:ascii="Arial" w:hAnsi="Arial" w:cs="Arial"/>
        </w:rPr>
        <w:tab/>
      </w:r>
    </w:p>
    <w:p w:rsidR="00451B37" w:rsidRDefault="0012002E">
      <w:pPr>
        <w:rPr>
          <w:rFonts w:ascii="Arial" w:hAnsi="Arial" w:cs="Arial"/>
          <w:b/>
        </w:rPr>
      </w:pPr>
      <w:r w:rsidRPr="00586A6F">
        <w:rPr>
          <w:rFonts w:ascii="Arial" w:hAnsi="Arial" w:cs="Arial"/>
          <w:b/>
        </w:rPr>
        <w:lastRenderedPageBreak/>
        <w:t>Training and Education</w:t>
      </w:r>
    </w:p>
    <w:p w:rsidR="00451B37" w:rsidRDefault="00451B37">
      <w:pPr>
        <w:rPr>
          <w:rFonts w:ascii="Arial" w:hAnsi="Arial" w:cs="Arial"/>
        </w:rPr>
      </w:pPr>
    </w:p>
    <w:p w:rsidR="00182ED9" w:rsidRDefault="00182ED9" w:rsidP="00CE0C9D">
      <w:pPr>
        <w:jc w:val="both"/>
        <w:rPr>
          <w:rFonts w:ascii="Arial" w:hAnsi="Arial" w:cs="Arial"/>
        </w:rPr>
      </w:pPr>
      <w:r>
        <w:rPr>
          <w:rFonts w:ascii="Arial" w:hAnsi="Arial" w:cs="Arial"/>
        </w:rPr>
        <w:t xml:space="preserve">1. </w:t>
      </w:r>
      <w:r>
        <w:rPr>
          <w:rFonts w:ascii="Arial" w:hAnsi="Arial" w:cs="Arial"/>
        </w:rPr>
        <w:tab/>
        <w:t>Staff Induction</w:t>
      </w:r>
    </w:p>
    <w:p w:rsidR="00451B37" w:rsidRPr="009B3E42" w:rsidRDefault="00FD0462" w:rsidP="00182ED9">
      <w:pPr>
        <w:ind w:left="720"/>
        <w:jc w:val="both"/>
        <w:rPr>
          <w:rFonts w:ascii="Arial" w:hAnsi="Arial" w:cs="Arial"/>
        </w:rPr>
      </w:pPr>
      <w:r>
        <w:rPr>
          <w:rFonts w:ascii="Arial" w:hAnsi="Arial" w:cs="Arial"/>
        </w:rPr>
        <w:t xml:space="preserve">Upon commencing employment within the </w:t>
      </w:r>
      <w:r w:rsidR="007402BF">
        <w:rPr>
          <w:rFonts w:ascii="Arial" w:hAnsi="Arial" w:cs="Arial"/>
        </w:rPr>
        <w:t>Board</w:t>
      </w:r>
      <w:r w:rsidR="00B126E0">
        <w:rPr>
          <w:rFonts w:ascii="Arial" w:hAnsi="Arial" w:cs="Arial"/>
        </w:rPr>
        <w:t>, all</w:t>
      </w:r>
      <w:r>
        <w:rPr>
          <w:rFonts w:ascii="Arial" w:hAnsi="Arial" w:cs="Arial"/>
        </w:rPr>
        <w:t xml:space="preserve"> staff</w:t>
      </w:r>
      <w:r w:rsidR="001914D4">
        <w:rPr>
          <w:rFonts w:ascii="Arial" w:hAnsi="Arial" w:cs="Arial"/>
        </w:rPr>
        <w:t xml:space="preserve"> must</w:t>
      </w:r>
      <w:r>
        <w:rPr>
          <w:rFonts w:ascii="Arial" w:hAnsi="Arial" w:cs="Arial"/>
        </w:rPr>
        <w:t xml:space="preserve"> attend a</w:t>
      </w:r>
      <w:r w:rsidR="00B050D2">
        <w:rPr>
          <w:rFonts w:ascii="Arial" w:hAnsi="Arial" w:cs="Arial"/>
        </w:rPr>
        <w:t>n online</w:t>
      </w:r>
      <w:r>
        <w:rPr>
          <w:rFonts w:ascii="Arial" w:hAnsi="Arial" w:cs="Arial"/>
        </w:rPr>
        <w:t xml:space="preserve"> </w:t>
      </w:r>
      <w:r w:rsidR="00B050D2">
        <w:rPr>
          <w:rFonts w:ascii="Arial" w:hAnsi="Arial" w:cs="Arial"/>
        </w:rPr>
        <w:t>one-day corporate induction event.  This induction also includes</w:t>
      </w:r>
      <w:r>
        <w:rPr>
          <w:rFonts w:ascii="Arial" w:hAnsi="Arial" w:cs="Arial"/>
        </w:rPr>
        <w:t xml:space="preserve"> a dedicated section to </w:t>
      </w:r>
      <w:r w:rsidR="00846291">
        <w:rPr>
          <w:rFonts w:ascii="Arial" w:hAnsi="Arial" w:cs="Arial"/>
        </w:rPr>
        <w:t xml:space="preserve">digital and </w:t>
      </w:r>
      <w:r>
        <w:rPr>
          <w:rFonts w:ascii="Arial" w:hAnsi="Arial" w:cs="Arial"/>
        </w:rPr>
        <w:t>information governance</w:t>
      </w:r>
      <w:r w:rsidR="00B050D2">
        <w:rPr>
          <w:rFonts w:ascii="Arial" w:hAnsi="Arial" w:cs="Arial"/>
        </w:rPr>
        <w:t>, which was developed</w:t>
      </w:r>
      <w:r w:rsidR="00C916C7">
        <w:rPr>
          <w:rFonts w:ascii="Arial" w:hAnsi="Arial" w:cs="Arial"/>
        </w:rPr>
        <w:t xml:space="preserve"> by the </w:t>
      </w:r>
      <w:r w:rsidR="005F7C9D">
        <w:rPr>
          <w:rFonts w:ascii="Arial" w:hAnsi="Arial" w:cs="Arial"/>
        </w:rPr>
        <w:t>Head of Digital Governance</w:t>
      </w:r>
      <w:r w:rsidR="00B050D2">
        <w:rPr>
          <w:rFonts w:ascii="Arial" w:hAnsi="Arial" w:cs="Arial"/>
        </w:rPr>
        <w:t xml:space="preserve">.  This training </w:t>
      </w:r>
      <w:r>
        <w:rPr>
          <w:rFonts w:ascii="Arial" w:hAnsi="Arial" w:cs="Arial"/>
        </w:rPr>
        <w:t>ensure</w:t>
      </w:r>
      <w:r w:rsidR="00B050D2">
        <w:rPr>
          <w:rFonts w:ascii="Arial" w:hAnsi="Arial" w:cs="Arial"/>
        </w:rPr>
        <w:t>s</w:t>
      </w:r>
      <w:r>
        <w:rPr>
          <w:rFonts w:ascii="Arial" w:hAnsi="Arial" w:cs="Arial"/>
        </w:rPr>
        <w:t xml:space="preserve"> that staff understand the importance of </w:t>
      </w:r>
      <w:r w:rsidR="005F7C9D">
        <w:rPr>
          <w:rFonts w:ascii="Arial" w:hAnsi="Arial" w:cs="Arial"/>
        </w:rPr>
        <w:t xml:space="preserve">digital and </w:t>
      </w:r>
      <w:r w:rsidR="000B73D0">
        <w:rPr>
          <w:rFonts w:ascii="Arial" w:hAnsi="Arial" w:cs="Arial"/>
        </w:rPr>
        <w:t xml:space="preserve">information </w:t>
      </w:r>
      <w:r>
        <w:rPr>
          <w:rFonts w:ascii="Arial" w:hAnsi="Arial" w:cs="Arial"/>
        </w:rPr>
        <w:t xml:space="preserve">governance and </w:t>
      </w:r>
      <w:r w:rsidR="000B73D0">
        <w:rPr>
          <w:rFonts w:ascii="Arial" w:hAnsi="Arial" w:cs="Arial"/>
        </w:rPr>
        <w:t>their responsibilities as an employee.</w:t>
      </w:r>
      <w:r w:rsidR="00CA5D5C" w:rsidRPr="00CA5D5C">
        <w:rPr>
          <w:rFonts w:ascii="Arial" w:hAnsi="Arial" w:cs="Arial"/>
        </w:rPr>
        <w:t xml:space="preserve"> </w:t>
      </w:r>
      <w:r>
        <w:rPr>
          <w:rFonts w:ascii="Arial" w:hAnsi="Arial" w:cs="Arial"/>
        </w:rPr>
        <w:t>The session is interactive and allows staff members to use scenario based learning to consider and relate</w:t>
      </w:r>
      <w:r w:rsidR="005F7C9D">
        <w:rPr>
          <w:rFonts w:ascii="Arial" w:hAnsi="Arial" w:cs="Arial"/>
        </w:rPr>
        <w:t xml:space="preserve"> digital and</w:t>
      </w:r>
      <w:r>
        <w:rPr>
          <w:rFonts w:ascii="Arial" w:hAnsi="Arial" w:cs="Arial"/>
        </w:rPr>
        <w:t xml:space="preserve"> information governance issues to their own areas of work.</w:t>
      </w:r>
    </w:p>
    <w:p w:rsidR="00451B37" w:rsidRPr="009B3E42" w:rsidRDefault="00451B37">
      <w:pPr>
        <w:rPr>
          <w:rFonts w:ascii="Arial" w:hAnsi="Arial" w:cs="Arial"/>
        </w:rPr>
      </w:pPr>
    </w:p>
    <w:p w:rsidR="00182ED9" w:rsidRDefault="00182ED9" w:rsidP="00CE0C9D">
      <w:pPr>
        <w:jc w:val="both"/>
        <w:rPr>
          <w:rFonts w:ascii="Arial" w:hAnsi="Arial" w:cs="Arial"/>
        </w:rPr>
      </w:pPr>
      <w:r>
        <w:rPr>
          <w:rFonts w:ascii="Arial" w:hAnsi="Arial" w:cs="Arial"/>
        </w:rPr>
        <w:t>2.</w:t>
      </w:r>
      <w:r>
        <w:rPr>
          <w:rFonts w:ascii="Arial" w:hAnsi="Arial" w:cs="Arial"/>
        </w:rPr>
        <w:tab/>
        <w:t>Mandatory Training</w:t>
      </w:r>
    </w:p>
    <w:p w:rsidR="00A53B34" w:rsidRPr="00604FFF" w:rsidRDefault="00FD0462" w:rsidP="0071387C">
      <w:pPr>
        <w:ind w:left="720"/>
        <w:jc w:val="both"/>
        <w:rPr>
          <w:rFonts w:ascii="Arial" w:hAnsi="Arial" w:cs="Arial"/>
        </w:rPr>
      </w:pPr>
      <w:r>
        <w:rPr>
          <w:rFonts w:ascii="Arial" w:hAnsi="Arial" w:cs="Arial"/>
        </w:rPr>
        <w:t xml:space="preserve">The </w:t>
      </w:r>
      <w:r w:rsidRPr="005F7C9D">
        <w:rPr>
          <w:rFonts w:ascii="Arial" w:hAnsi="Arial" w:cs="Arial"/>
          <w:b/>
        </w:rPr>
        <w:t>Safe Information Handling Module</w:t>
      </w:r>
      <w:r>
        <w:rPr>
          <w:rFonts w:ascii="Arial" w:hAnsi="Arial" w:cs="Arial"/>
        </w:rPr>
        <w:t xml:space="preserve"> is a mandatory bi annual </w:t>
      </w:r>
      <w:r w:rsidR="001B3BEB">
        <w:rPr>
          <w:rFonts w:ascii="Arial" w:hAnsi="Arial" w:cs="Arial"/>
        </w:rPr>
        <w:t xml:space="preserve">e-learning </w:t>
      </w:r>
      <w:r>
        <w:rPr>
          <w:rFonts w:ascii="Arial" w:hAnsi="Arial" w:cs="Arial"/>
        </w:rPr>
        <w:t>course</w:t>
      </w:r>
      <w:r w:rsidR="000D2C78">
        <w:rPr>
          <w:rFonts w:ascii="Arial" w:hAnsi="Arial" w:cs="Arial"/>
        </w:rPr>
        <w:t>, which</w:t>
      </w:r>
      <w:r>
        <w:rPr>
          <w:rFonts w:ascii="Arial" w:hAnsi="Arial" w:cs="Arial"/>
        </w:rPr>
        <w:t xml:space="preserve"> must be undertaken by every member of staff</w:t>
      </w:r>
      <w:r w:rsidR="00CA5D5C" w:rsidRPr="00CA5D5C">
        <w:rPr>
          <w:rFonts w:ascii="Arial" w:hAnsi="Arial" w:cs="Arial"/>
        </w:rPr>
        <w:t>.  It is</w:t>
      </w:r>
      <w:r>
        <w:rPr>
          <w:rFonts w:ascii="Arial" w:hAnsi="Arial" w:cs="Arial"/>
        </w:rPr>
        <w:t xml:space="preserve"> designed to give information about the basic principles of data protection</w:t>
      </w:r>
      <w:r w:rsidR="001B3BEB">
        <w:rPr>
          <w:rFonts w:ascii="Arial" w:hAnsi="Arial" w:cs="Arial"/>
        </w:rPr>
        <w:t>;</w:t>
      </w:r>
      <w:r>
        <w:rPr>
          <w:rFonts w:ascii="Arial" w:hAnsi="Arial" w:cs="Arial"/>
        </w:rPr>
        <w:t xml:space="preserve"> guidance on good practice and sources of advice and further information.  </w:t>
      </w:r>
      <w:r w:rsidR="006E237A">
        <w:rPr>
          <w:rFonts w:ascii="Arial" w:hAnsi="Arial" w:cs="Arial"/>
        </w:rPr>
        <w:t xml:space="preserve">Reporting on compliance rates for mandatory training are included in the Board’s Integrated Performance Report. </w:t>
      </w:r>
      <w:r w:rsidR="006E237A" w:rsidRPr="00BE4E5B">
        <w:rPr>
          <w:rFonts w:ascii="Arial" w:hAnsi="Arial" w:cs="Arial"/>
        </w:rPr>
        <w:t>The target for compliance is 90%, the ove</w:t>
      </w:r>
      <w:r w:rsidR="005F7C9D">
        <w:rPr>
          <w:rFonts w:ascii="Arial" w:hAnsi="Arial" w:cs="Arial"/>
        </w:rPr>
        <w:t>rall compliance rate for 2022/23</w:t>
      </w:r>
      <w:r w:rsidR="006E237A" w:rsidRPr="00BE4E5B">
        <w:rPr>
          <w:rFonts w:ascii="Arial" w:hAnsi="Arial" w:cs="Arial"/>
        </w:rPr>
        <w:t xml:space="preserve"> was </w:t>
      </w:r>
      <w:r w:rsidR="00A54DE8">
        <w:rPr>
          <w:rFonts w:ascii="Arial" w:hAnsi="Arial" w:cs="Arial"/>
          <w:b/>
        </w:rPr>
        <w:t>81.4</w:t>
      </w:r>
      <w:r w:rsidR="00BE4E5B" w:rsidRPr="00BE4E5B">
        <w:rPr>
          <w:rFonts w:ascii="Arial" w:hAnsi="Arial" w:cs="Arial"/>
          <w:b/>
        </w:rPr>
        <w:t>%</w:t>
      </w:r>
      <w:r w:rsidR="00F304F3">
        <w:rPr>
          <w:rFonts w:ascii="Arial" w:hAnsi="Arial" w:cs="Arial"/>
          <w:b/>
        </w:rPr>
        <w:t xml:space="preserve">. </w:t>
      </w:r>
    </w:p>
    <w:p w:rsidR="00270978" w:rsidRDefault="00270978" w:rsidP="00CE0C9D">
      <w:pPr>
        <w:jc w:val="both"/>
        <w:rPr>
          <w:rFonts w:ascii="Arial" w:hAnsi="Arial" w:cs="Arial"/>
        </w:rPr>
      </w:pPr>
    </w:p>
    <w:p w:rsidR="000A4A8F" w:rsidRDefault="0071387C" w:rsidP="00646DF1">
      <w:pPr>
        <w:ind w:left="709" w:hanging="709"/>
        <w:rPr>
          <w:rFonts w:ascii="Arial" w:hAnsi="Arial" w:cs="Arial"/>
        </w:rPr>
      </w:pPr>
      <w:r>
        <w:rPr>
          <w:rFonts w:ascii="Arial" w:hAnsi="Arial" w:cs="Arial"/>
        </w:rPr>
        <w:t>3.</w:t>
      </w:r>
      <w:r>
        <w:rPr>
          <w:rFonts w:ascii="Arial" w:hAnsi="Arial" w:cs="Arial"/>
        </w:rPr>
        <w:tab/>
        <w:t>Cyber Security Training</w:t>
      </w:r>
      <w:r w:rsidR="00A54DE8">
        <w:rPr>
          <w:rFonts w:ascii="Arial" w:hAnsi="Arial" w:cs="Arial"/>
        </w:rPr>
        <w:br/>
        <w:t xml:space="preserve">Cyber-security awareness campaigns were run over the month of October 2022.  This included regular awareness notices circulated to staff by Corporate Communications, cyber-awareness posters in staff areas with key messages including password </w:t>
      </w:r>
      <w:r w:rsidR="00854777">
        <w:rPr>
          <w:rFonts w:ascii="Arial" w:hAnsi="Arial" w:cs="Arial"/>
        </w:rPr>
        <w:t>safety and phishing awareness.</w:t>
      </w:r>
      <w:r w:rsidR="00A54DE8">
        <w:rPr>
          <w:rFonts w:ascii="Arial" w:hAnsi="Arial" w:cs="Arial"/>
        </w:rPr>
        <w:t xml:space="preserve">  A new Foundation Level Cyber Security Training Module is currently being developed.  This module will be aimed at all staff to complete and currently working through the documentation for approval to a mandatory module.  The aim is for the module to be completed by the end of quarter</w:t>
      </w:r>
      <w:r w:rsidR="00854777">
        <w:rPr>
          <w:rFonts w:ascii="Arial" w:hAnsi="Arial" w:cs="Arial"/>
        </w:rPr>
        <w:t xml:space="preserve"> 2 and after a successful pilot, in place for the end of the calendar year.</w:t>
      </w:r>
    </w:p>
    <w:p w:rsidR="00D87470" w:rsidRDefault="00D87470" w:rsidP="00CE0C9D">
      <w:pPr>
        <w:rPr>
          <w:rFonts w:ascii="Arial" w:hAnsi="Arial" w:cs="Arial"/>
        </w:rPr>
      </w:pPr>
    </w:p>
    <w:p w:rsidR="0071387C" w:rsidRDefault="0071387C" w:rsidP="0071387C">
      <w:pPr>
        <w:ind w:left="720" w:hanging="720"/>
        <w:rPr>
          <w:rFonts w:ascii="Arial" w:hAnsi="Arial" w:cs="Arial"/>
        </w:rPr>
      </w:pPr>
      <w:r>
        <w:rPr>
          <w:rFonts w:ascii="Arial" w:hAnsi="Arial" w:cs="Arial"/>
        </w:rPr>
        <w:t>4.</w:t>
      </w:r>
      <w:r>
        <w:rPr>
          <w:rFonts w:ascii="Arial" w:hAnsi="Arial" w:cs="Arial"/>
        </w:rPr>
        <w:tab/>
        <w:t xml:space="preserve">Information Asset </w:t>
      </w:r>
      <w:r w:rsidR="000A4A8F">
        <w:rPr>
          <w:rFonts w:ascii="Arial" w:hAnsi="Arial" w:cs="Arial"/>
        </w:rPr>
        <w:t xml:space="preserve">Training </w:t>
      </w:r>
    </w:p>
    <w:p w:rsidR="000A4A8F" w:rsidRDefault="00614014" w:rsidP="0071387C">
      <w:pPr>
        <w:ind w:left="720"/>
        <w:rPr>
          <w:rFonts w:ascii="Arial" w:hAnsi="Arial" w:cs="Arial"/>
        </w:rPr>
      </w:pPr>
      <w:r>
        <w:rPr>
          <w:rFonts w:ascii="Arial" w:hAnsi="Arial" w:cs="Arial"/>
        </w:rPr>
        <w:t>This continues to be</w:t>
      </w:r>
      <w:r w:rsidR="000A4A8F">
        <w:rPr>
          <w:rFonts w:ascii="Arial" w:hAnsi="Arial" w:cs="Arial"/>
        </w:rPr>
        <w:t xml:space="preserve"> delivered to the Board’s Information Asset Owners (IAOs)</w:t>
      </w:r>
      <w:r w:rsidR="00646DF1">
        <w:rPr>
          <w:rFonts w:ascii="Arial" w:hAnsi="Arial" w:cs="Arial"/>
        </w:rPr>
        <w:t xml:space="preserve">.  </w:t>
      </w:r>
      <w:r w:rsidR="0046336B">
        <w:rPr>
          <w:rFonts w:ascii="Arial" w:hAnsi="Arial" w:cs="Arial"/>
        </w:rPr>
        <w:t>This</w:t>
      </w:r>
      <w:r w:rsidR="000A4A8F">
        <w:rPr>
          <w:rFonts w:ascii="Arial" w:hAnsi="Arial" w:cs="Arial"/>
        </w:rPr>
        <w:t xml:space="preserve"> specific training </w:t>
      </w:r>
      <w:r w:rsidR="00671D69">
        <w:rPr>
          <w:rFonts w:ascii="Arial" w:hAnsi="Arial" w:cs="Arial"/>
        </w:rPr>
        <w:t xml:space="preserve">focuses on information </w:t>
      </w:r>
      <w:r w:rsidR="000A4A8F">
        <w:rPr>
          <w:rFonts w:ascii="Arial" w:hAnsi="Arial" w:cs="Arial"/>
        </w:rPr>
        <w:t>asset management and</w:t>
      </w:r>
      <w:r w:rsidR="00671D69">
        <w:rPr>
          <w:rFonts w:ascii="Arial" w:hAnsi="Arial" w:cs="Arial"/>
        </w:rPr>
        <w:t xml:space="preserve"> best practice guidance.</w:t>
      </w:r>
      <w:r w:rsidR="000A4A8F">
        <w:rPr>
          <w:rFonts w:ascii="Arial" w:hAnsi="Arial" w:cs="Arial"/>
        </w:rPr>
        <w:t xml:space="preserve">  All IAOs</w:t>
      </w:r>
      <w:r w:rsidR="00671D69">
        <w:rPr>
          <w:rFonts w:ascii="Arial" w:hAnsi="Arial" w:cs="Arial"/>
        </w:rPr>
        <w:t>,</w:t>
      </w:r>
      <w:r w:rsidR="000A4A8F">
        <w:rPr>
          <w:rFonts w:ascii="Arial" w:hAnsi="Arial" w:cs="Arial"/>
        </w:rPr>
        <w:t xml:space="preserve"> who have been trained</w:t>
      </w:r>
      <w:r w:rsidR="00671D69">
        <w:rPr>
          <w:rFonts w:ascii="Arial" w:hAnsi="Arial" w:cs="Arial"/>
        </w:rPr>
        <w:t xml:space="preserve">, </w:t>
      </w:r>
      <w:r w:rsidR="000A4A8F">
        <w:rPr>
          <w:rFonts w:ascii="Arial" w:hAnsi="Arial" w:cs="Arial"/>
        </w:rPr>
        <w:t xml:space="preserve"> have signed a </w:t>
      </w:r>
      <w:r w:rsidR="00671D69">
        <w:rPr>
          <w:rFonts w:ascii="Arial" w:hAnsi="Arial" w:cs="Arial"/>
        </w:rPr>
        <w:t>Declaration outlining their responsibilities as IAOs.</w:t>
      </w:r>
      <w:r w:rsidR="0046336B">
        <w:rPr>
          <w:rFonts w:ascii="Arial" w:hAnsi="Arial" w:cs="Arial"/>
        </w:rPr>
        <w:br/>
        <w:t>The training has now been developed and delivered to Information Asset Administrators (IAAs).  The training continues to b</w:t>
      </w:r>
      <w:r w:rsidR="00CA5144">
        <w:rPr>
          <w:rFonts w:ascii="Arial" w:hAnsi="Arial" w:cs="Arial"/>
        </w:rPr>
        <w:t>e delivered to IAO/As via Teams approx. every 8 weeks.</w:t>
      </w:r>
      <w:r w:rsidR="000A4A8F">
        <w:rPr>
          <w:rFonts w:ascii="Arial" w:hAnsi="Arial" w:cs="Arial"/>
        </w:rPr>
        <w:t xml:space="preserve"> </w:t>
      </w:r>
    </w:p>
    <w:p w:rsidR="00270978" w:rsidRPr="00A53B34" w:rsidRDefault="00270978" w:rsidP="001914D4">
      <w:pPr>
        <w:rPr>
          <w:rFonts w:ascii="Arial" w:hAnsi="Arial" w:cs="Arial"/>
        </w:rPr>
      </w:pPr>
    </w:p>
    <w:p w:rsidR="00451B37" w:rsidRDefault="0012002E">
      <w:pPr>
        <w:rPr>
          <w:rFonts w:ascii="Arial" w:hAnsi="Arial" w:cs="Arial"/>
          <w:b/>
        </w:rPr>
      </w:pPr>
      <w:r w:rsidRPr="00586A5E">
        <w:rPr>
          <w:rFonts w:ascii="Arial" w:hAnsi="Arial" w:cs="Arial"/>
          <w:b/>
        </w:rPr>
        <w:t>Communication</w:t>
      </w:r>
    </w:p>
    <w:p w:rsidR="001B3BEB" w:rsidRDefault="001B3BEB">
      <w:pPr>
        <w:rPr>
          <w:rFonts w:ascii="Arial" w:hAnsi="Arial" w:cs="Arial"/>
        </w:rPr>
      </w:pPr>
    </w:p>
    <w:p w:rsidR="001914D4" w:rsidRDefault="001914D4">
      <w:pPr>
        <w:rPr>
          <w:rFonts w:ascii="Arial" w:hAnsi="Arial" w:cs="Arial"/>
        </w:rPr>
      </w:pPr>
      <w:r>
        <w:rPr>
          <w:rFonts w:ascii="Arial" w:hAnsi="Arial" w:cs="Arial"/>
        </w:rPr>
        <w:t>The</w:t>
      </w:r>
      <w:r w:rsidR="008E03A0">
        <w:rPr>
          <w:rFonts w:ascii="Arial" w:hAnsi="Arial" w:cs="Arial"/>
        </w:rPr>
        <w:t xml:space="preserve"> </w:t>
      </w:r>
      <w:r w:rsidR="006E237A">
        <w:rPr>
          <w:rFonts w:ascii="Arial" w:hAnsi="Arial" w:cs="Arial"/>
        </w:rPr>
        <w:t xml:space="preserve">Board continues to receive a </w:t>
      </w:r>
      <w:r w:rsidR="001B3BEB">
        <w:rPr>
          <w:rFonts w:ascii="Arial" w:hAnsi="Arial" w:cs="Arial"/>
        </w:rPr>
        <w:t>number of ‘</w:t>
      </w:r>
      <w:r w:rsidR="008E03A0">
        <w:rPr>
          <w:rFonts w:ascii="Arial" w:hAnsi="Arial" w:cs="Arial"/>
        </w:rPr>
        <w:t>malicious</w:t>
      </w:r>
      <w:r w:rsidR="001B3BEB">
        <w:rPr>
          <w:rFonts w:ascii="Arial" w:hAnsi="Arial" w:cs="Arial"/>
        </w:rPr>
        <w:t>’</w:t>
      </w:r>
      <w:r w:rsidR="008E03A0">
        <w:rPr>
          <w:rFonts w:ascii="Arial" w:hAnsi="Arial" w:cs="Arial"/>
        </w:rPr>
        <w:t xml:space="preserve"> emails </w:t>
      </w:r>
      <w:r w:rsidR="006E237A">
        <w:rPr>
          <w:rFonts w:ascii="Arial" w:hAnsi="Arial" w:cs="Arial"/>
        </w:rPr>
        <w:t xml:space="preserve">which </w:t>
      </w:r>
      <w:r w:rsidR="001B3BEB">
        <w:rPr>
          <w:rFonts w:ascii="Arial" w:hAnsi="Arial" w:cs="Arial"/>
        </w:rPr>
        <w:t xml:space="preserve">constitute </w:t>
      </w:r>
      <w:r w:rsidR="008E03A0">
        <w:rPr>
          <w:rFonts w:ascii="Arial" w:hAnsi="Arial" w:cs="Arial"/>
        </w:rPr>
        <w:t>attempted malware attacks, where a link or attachment containing a virus is added to the email encouraging the recipient to click on the link or open the attachment</w:t>
      </w:r>
      <w:r w:rsidR="007402BF">
        <w:rPr>
          <w:rFonts w:ascii="Arial" w:hAnsi="Arial" w:cs="Arial"/>
        </w:rPr>
        <w:t>.</w:t>
      </w:r>
    </w:p>
    <w:p w:rsidR="001914D4" w:rsidRDefault="001914D4">
      <w:pPr>
        <w:rPr>
          <w:rFonts w:ascii="Arial" w:hAnsi="Arial" w:cs="Arial"/>
        </w:rPr>
      </w:pPr>
    </w:p>
    <w:p w:rsidR="001F122A" w:rsidRDefault="001914D4">
      <w:pPr>
        <w:rPr>
          <w:rFonts w:ascii="Arial" w:hAnsi="Arial" w:cs="Arial"/>
        </w:rPr>
      </w:pPr>
      <w:r>
        <w:rPr>
          <w:rFonts w:ascii="Arial" w:hAnsi="Arial" w:cs="Arial"/>
        </w:rPr>
        <w:t xml:space="preserve">As well as additional technological control measures, we continue to </w:t>
      </w:r>
      <w:r w:rsidR="001B3BEB">
        <w:rPr>
          <w:rFonts w:ascii="Arial" w:hAnsi="Arial" w:cs="Arial"/>
        </w:rPr>
        <w:t xml:space="preserve">raise awareness of the potential threat of </w:t>
      </w:r>
      <w:r w:rsidR="001F122A">
        <w:rPr>
          <w:rFonts w:ascii="Arial" w:hAnsi="Arial" w:cs="Arial"/>
        </w:rPr>
        <w:t xml:space="preserve">attempted </w:t>
      </w:r>
      <w:r w:rsidR="001B3BEB">
        <w:rPr>
          <w:rFonts w:ascii="Arial" w:hAnsi="Arial" w:cs="Arial"/>
        </w:rPr>
        <w:t xml:space="preserve">malware </w:t>
      </w:r>
      <w:r w:rsidR="001F122A">
        <w:rPr>
          <w:rFonts w:ascii="Arial" w:hAnsi="Arial" w:cs="Arial"/>
        </w:rPr>
        <w:t>attacks</w:t>
      </w:r>
      <w:r>
        <w:rPr>
          <w:rFonts w:ascii="Arial" w:hAnsi="Arial" w:cs="Arial"/>
        </w:rPr>
        <w:t xml:space="preserve"> through </w:t>
      </w:r>
      <w:r w:rsidR="001B3BEB">
        <w:rPr>
          <w:rFonts w:ascii="Arial" w:hAnsi="Arial" w:cs="Arial"/>
        </w:rPr>
        <w:lastRenderedPageBreak/>
        <w:t>communication</w:t>
      </w:r>
      <w:r>
        <w:rPr>
          <w:rFonts w:ascii="Arial" w:hAnsi="Arial" w:cs="Arial"/>
        </w:rPr>
        <w:t>s</w:t>
      </w:r>
      <w:r w:rsidR="001B3BEB">
        <w:rPr>
          <w:rFonts w:ascii="Arial" w:hAnsi="Arial" w:cs="Arial"/>
        </w:rPr>
        <w:t xml:space="preserve"> issued to staff on a frequent basis in the form of </w:t>
      </w:r>
      <w:r w:rsidR="001F122A">
        <w:rPr>
          <w:rFonts w:ascii="Arial" w:hAnsi="Arial" w:cs="Arial"/>
        </w:rPr>
        <w:t xml:space="preserve">weekly updates </w:t>
      </w:r>
      <w:r w:rsidR="001B3BEB">
        <w:rPr>
          <w:rFonts w:ascii="Arial" w:hAnsi="Arial" w:cs="Arial"/>
        </w:rPr>
        <w:t xml:space="preserve">as well as </w:t>
      </w:r>
      <w:r w:rsidR="001F122A">
        <w:rPr>
          <w:rFonts w:ascii="Arial" w:hAnsi="Arial" w:cs="Arial"/>
        </w:rPr>
        <w:t>daily “All Staff” emails</w:t>
      </w:r>
      <w:r w:rsidR="001B3BEB">
        <w:rPr>
          <w:rFonts w:ascii="Arial" w:hAnsi="Arial" w:cs="Arial"/>
        </w:rPr>
        <w:t xml:space="preserve"> to </w:t>
      </w:r>
      <w:r w:rsidR="001F122A">
        <w:rPr>
          <w:rFonts w:ascii="Arial" w:hAnsi="Arial" w:cs="Arial"/>
        </w:rPr>
        <w:t>remind staff of the importance of not responding to these emails with clear instruction on how to deal with them</w:t>
      </w:r>
      <w:r w:rsidR="001B3BEB">
        <w:rPr>
          <w:rFonts w:ascii="Arial" w:hAnsi="Arial" w:cs="Arial"/>
        </w:rPr>
        <w:t xml:space="preserve">.  In addition, </w:t>
      </w:r>
      <w:r w:rsidR="00162D0F">
        <w:rPr>
          <w:rFonts w:ascii="Arial" w:hAnsi="Arial" w:cs="Arial"/>
        </w:rPr>
        <w:t xml:space="preserve">updates in the Staff Bulletin have been distributed and </w:t>
      </w:r>
      <w:r w:rsidR="001F122A">
        <w:rPr>
          <w:rFonts w:ascii="Arial" w:hAnsi="Arial" w:cs="Arial"/>
        </w:rPr>
        <w:t xml:space="preserve">posters have been designed and distributed as a visual reminder to staff regarding this ongoing </w:t>
      </w:r>
      <w:r w:rsidR="001B3BEB">
        <w:rPr>
          <w:rFonts w:ascii="Arial" w:hAnsi="Arial" w:cs="Arial"/>
        </w:rPr>
        <w:t xml:space="preserve">potential </w:t>
      </w:r>
      <w:r w:rsidR="001F122A">
        <w:rPr>
          <w:rFonts w:ascii="Arial" w:hAnsi="Arial" w:cs="Arial"/>
        </w:rPr>
        <w:t>threat.</w:t>
      </w:r>
    </w:p>
    <w:p w:rsidR="00AB06A7" w:rsidRDefault="00AB06A7">
      <w:pPr>
        <w:rPr>
          <w:rFonts w:ascii="Arial" w:hAnsi="Arial" w:cs="Arial"/>
        </w:rPr>
      </w:pPr>
    </w:p>
    <w:p w:rsidR="00451B37" w:rsidRDefault="00C85C08">
      <w:pPr>
        <w:rPr>
          <w:rFonts w:ascii="Arial" w:hAnsi="Arial" w:cs="Arial"/>
        </w:rPr>
      </w:pPr>
      <w:r>
        <w:rPr>
          <w:rFonts w:ascii="Arial" w:hAnsi="Arial" w:cs="Arial"/>
        </w:rPr>
        <w:t xml:space="preserve">The internal controls </w:t>
      </w:r>
      <w:r w:rsidR="0012002E">
        <w:rPr>
          <w:rFonts w:ascii="Arial" w:hAnsi="Arial" w:cs="Arial"/>
        </w:rPr>
        <w:t xml:space="preserve"> that </w:t>
      </w:r>
      <w:r>
        <w:rPr>
          <w:rFonts w:ascii="Arial" w:hAnsi="Arial" w:cs="Arial"/>
        </w:rPr>
        <w:t xml:space="preserve">ensures </w:t>
      </w:r>
      <w:r w:rsidR="00646DF1">
        <w:rPr>
          <w:rFonts w:ascii="Arial" w:hAnsi="Arial" w:cs="Arial"/>
        </w:rPr>
        <w:t xml:space="preserve">digital and </w:t>
      </w:r>
      <w:r w:rsidR="0012002E">
        <w:rPr>
          <w:rFonts w:ascii="Arial" w:hAnsi="Arial" w:cs="Arial"/>
        </w:rPr>
        <w:t xml:space="preserve">information governance is adhered to throughout the </w:t>
      </w:r>
      <w:r w:rsidR="00354BD1">
        <w:rPr>
          <w:rFonts w:ascii="Arial" w:hAnsi="Arial" w:cs="Arial"/>
        </w:rPr>
        <w:t xml:space="preserve">organisation </w:t>
      </w:r>
      <w:r w:rsidR="0012002E">
        <w:rPr>
          <w:rFonts w:ascii="Arial" w:hAnsi="Arial" w:cs="Arial"/>
        </w:rPr>
        <w:t xml:space="preserve">is through the creation and maintenance of policies to ensure that staff have relevant, up to date and accurate advice and assistance to help them carry out their role. These policies are maintained on a central document location called </w:t>
      </w:r>
      <w:r w:rsidR="00270978">
        <w:rPr>
          <w:rFonts w:ascii="Arial" w:hAnsi="Arial" w:cs="Arial"/>
        </w:rPr>
        <w:t>Sharepoint</w:t>
      </w:r>
      <w:r w:rsidR="0012002E">
        <w:rPr>
          <w:rFonts w:ascii="Arial" w:hAnsi="Arial" w:cs="Arial"/>
        </w:rPr>
        <w:t xml:space="preserve"> where they can be accessed by any member of staff. These are updated</w:t>
      </w:r>
      <w:r w:rsidR="00354BD1">
        <w:rPr>
          <w:rFonts w:ascii="Arial" w:hAnsi="Arial" w:cs="Arial"/>
        </w:rPr>
        <w:t>,</w:t>
      </w:r>
      <w:r w:rsidR="0012002E">
        <w:rPr>
          <w:rFonts w:ascii="Arial" w:hAnsi="Arial" w:cs="Arial"/>
        </w:rPr>
        <w:t xml:space="preserve"> in line with the latest government guidance and be</w:t>
      </w:r>
      <w:r w:rsidR="00496A24">
        <w:rPr>
          <w:rFonts w:ascii="Arial" w:hAnsi="Arial" w:cs="Arial"/>
        </w:rPr>
        <w:t>s</w:t>
      </w:r>
      <w:r w:rsidR="0012002E">
        <w:rPr>
          <w:rFonts w:ascii="Arial" w:hAnsi="Arial" w:cs="Arial"/>
        </w:rPr>
        <w:t>t practice advice</w:t>
      </w:r>
      <w:r w:rsidR="00354BD1">
        <w:rPr>
          <w:rFonts w:ascii="Arial" w:hAnsi="Arial" w:cs="Arial"/>
        </w:rPr>
        <w:t xml:space="preserve">, </w:t>
      </w:r>
      <w:r w:rsidR="0012002E">
        <w:rPr>
          <w:rFonts w:ascii="Arial" w:hAnsi="Arial" w:cs="Arial"/>
        </w:rPr>
        <w:t>every two years.</w:t>
      </w:r>
      <w:r>
        <w:rPr>
          <w:rFonts w:ascii="Arial" w:hAnsi="Arial" w:cs="Arial"/>
        </w:rPr>
        <w:t xml:space="preserve"> </w:t>
      </w:r>
    </w:p>
    <w:p w:rsidR="00451B37" w:rsidRDefault="00451B37">
      <w:pPr>
        <w:rPr>
          <w:rFonts w:ascii="Arial" w:hAnsi="Arial" w:cs="Arial"/>
        </w:rPr>
      </w:pPr>
    </w:p>
    <w:p w:rsidR="00451B37" w:rsidRDefault="00CA5144">
      <w:pPr>
        <w:rPr>
          <w:rFonts w:ascii="Arial" w:hAnsi="Arial" w:cs="Arial"/>
        </w:rPr>
      </w:pPr>
      <w:r>
        <w:rPr>
          <w:rFonts w:ascii="Arial" w:hAnsi="Arial" w:cs="Arial"/>
        </w:rPr>
        <w:t xml:space="preserve">Board Members and </w:t>
      </w:r>
      <w:r w:rsidR="0012002E">
        <w:rPr>
          <w:rFonts w:ascii="Arial" w:hAnsi="Arial" w:cs="Arial"/>
        </w:rPr>
        <w:t xml:space="preserve">Senior Management </w:t>
      </w:r>
      <w:r>
        <w:rPr>
          <w:rFonts w:ascii="Arial" w:hAnsi="Arial" w:cs="Arial"/>
        </w:rPr>
        <w:t>are</w:t>
      </w:r>
      <w:r w:rsidR="0012002E">
        <w:rPr>
          <w:rFonts w:ascii="Arial" w:hAnsi="Arial" w:cs="Arial"/>
        </w:rPr>
        <w:t xml:space="preserve"> kept updated with</w:t>
      </w:r>
      <w:r w:rsidR="00646DF1">
        <w:rPr>
          <w:rFonts w:ascii="Arial" w:hAnsi="Arial" w:cs="Arial"/>
        </w:rPr>
        <w:t xml:space="preserve"> digital and</w:t>
      </w:r>
      <w:r w:rsidR="0012002E">
        <w:rPr>
          <w:rFonts w:ascii="Arial" w:hAnsi="Arial" w:cs="Arial"/>
        </w:rPr>
        <w:t xml:space="preserve"> information governance </w:t>
      </w:r>
      <w:r>
        <w:rPr>
          <w:rFonts w:ascii="Arial" w:hAnsi="Arial" w:cs="Arial"/>
        </w:rPr>
        <w:t xml:space="preserve">and </w:t>
      </w:r>
      <w:r w:rsidR="00646DF1">
        <w:rPr>
          <w:rFonts w:ascii="Arial" w:hAnsi="Arial" w:cs="Arial"/>
        </w:rPr>
        <w:t>cyber-security</w:t>
      </w:r>
      <w:r>
        <w:rPr>
          <w:rFonts w:ascii="Arial" w:hAnsi="Arial" w:cs="Arial"/>
        </w:rPr>
        <w:t xml:space="preserve"> </w:t>
      </w:r>
      <w:r w:rsidR="0012002E">
        <w:rPr>
          <w:rFonts w:ascii="Arial" w:hAnsi="Arial" w:cs="Arial"/>
        </w:rPr>
        <w:t>developments and changes through the presentation of papers</w:t>
      </w:r>
      <w:r>
        <w:rPr>
          <w:rFonts w:ascii="Arial" w:hAnsi="Arial" w:cs="Arial"/>
        </w:rPr>
        <w:t xml:space="preserve"> at the Board, Audit and Risk Committee, </w:t>
      </w:r>
      <w:r w:rsidR="00646DF1">
        <w:rPr>
          <w:rFonts w:ascii="Arial" w:hAnsi="Arial" w:cs="Arial"/>
        </w:rPr>
        <w:t xml:space="preserve">Digital &amp; </w:t>
      </w:r>
      <w:r>
        <w:rPr>
          <w:rFonts w:ascii="Arial" w:hAnsi="Arial" w:cs="Arial"/>
        </w:rPr>
        <w:t>Information Governance Group and</w:t>
      </w:r>
      <w:r w:rsidR="0012002E">
        <w:rPr>
          <w:rFonts w:ascii="Arial" w:hAnsi="Arial" w:cs="Arial"/>
        </w:rPr>
        <w:t xml:space="preserve"> on an ad hoc basis. </w:t>
      </w:r>
      <w:r w:rsidR="001201BB">
        <w:rPr>
          <w:rFonts w:ascii="Arial" w:hAnsi="Arial" w:cs="Arial"/>
        </w:rPr>
        <w:t>Staff are also alerted to changes which affect them through e-digest updates and email communication.</w:t>
      </w:r>
    </w:p>
    <w:p w:rsidR="00451B37" w:rsidRDefault="00451B37">
      <w:pPr>
        <w:rPr>
          <w:rFonts w:ascii="Arial" w:hAnsi="Arial" w:cs="Arial"/>
        </w:rPr>
      </w:pPr>
    </w:p>
    <w:p w:rsidR="00451B37" w:rsidRDefault="0012002E">
      <w:pPr>
        <w:rPr>
          <w:rFonts w:ascii="Arial" w:hAnsi="Arial" w:cs="Arial"/>
        </w:rPr>
      </w:pPr>
      <w:r>
        <w:rPr>
          <w:rFonts w:ascii="Arial" w:hAnsi="Arial" w:cs="Arial"/>
        </w:rPr>
        <w:t xml:space="preserve">This </w:t>
      </w:r>
      <w:r w:rsidR="0046336B">
        <w:rPr>
          <w:rFonts w:ascii="Arial" w:hAnsi="Arial" w:cs="Arial"/>
        </w:rPr>
        <w:t>multi-pronged</w:t>
      </w:r>
      <w:r>
        <w:rPr>
          <w:rFonts w:ascii="Arial" w:hAnsi="Arial" w:cs="Arial"/>
        </w:rPr>
        <w:t xml:space="preserve"> communication approach helps to ensure there is awareness within the organisation around </w:t>
      </w:r>
      <w:r w:rsidR="00646DF1">
        <w:rPr>
          <w:rFonts w:ascii="Arial" w:hAnsi="Arial" w:cs="Arial"/>
        </w:rPr>
        <w:t xml:space="preserve">digital and </w:t>
      </w:r>
      <w:r>
        <w:rPr>
          <w:rFonts w:ascii="Arial" w:hAnsi="Arial" w:cs="Arial"/>
        </w:rPr>
        <w:t>information governance</w:t>
      </w:r>
      <w:r w:rsidR="00646DF1">
        <w:rPr>
          <w:rFonts w:ascii="Arial" w:hAnsi="Arial" w:cs="Arial"/>
        </w:rPr>
        <w:t xml:space="preserve"> and cyber-security</w:t>
      </w:r>
      <w:r>
        <w:rPr>
          <w:rFonts w:ascii="Arial" w:hAnsi="Arial" w:cs="Arial"/>
        </w:rPr>
        <w:t xml:space="preserve"> and the key points of contact identifiable.</w:t>
      </w:r>
    </w:p>
    <w:p w:rsidR="00451B37" w:rsidRDefault="00451B37">
      <w:pPr>
        <w:rPr>
          <w:rFonts w:ascii="Arial" w:hAnsi="Arial" w:cs="Arial"/>
        </w:rPr>
      </w:pPr>
    </w:p>
    <w:p w:rsidR="00451B37" w:rsidRDefault="00646DF1">
      <w:pPr>
        <w:rPr>
          <w:rFonts w:ascii="Arial" w:hAnsi="Arial" w:cs="Arial"/>
        </w:rPr>
      </w:pPr>
      <w:r>
        <w:rPr>
          <w:rFonts w:ascii="Arial" w:hAnsi="Arial" w:cs="Arial"/>
        </w:rPr>
        <w:t xml:space="preserve">Digital &amp; </w:t>
      </w:r>
      <w:r w:rsidR="0012002E">
        <w:rPr>
          <w:rFonts w:ascii="Arial" w:hAnsi="Arial" w:cs="Arial"/>
        </w:rPr>
        <w:t xml:space="preserve">Information Governance is a support measure to ensure that the </w:t>
      </w:r>
      <w:r w:rsidR="007402BF">
        <w:rPr>
          <w:rFonts w:ascii="Arial" w:hAnsi="Arial" w:cs="Arial"/>
        </w:rPr>
        <w:t>B</w:t>
      </w:r>
      <w:r w:rsidR="0012002E">
        <w:rPr>
          <w:rFonts w:ascii="Arial" w:hAnsi="Arial" w:cs="Arial"/>
        </w:rPr>
        <w:t xml:space="preserve">oard can carry out its public function whilst also complying with its legal responsibilities in terms of information management. It provides safeguards and recommendations through policies and practices and provides reassurance to staff and patients that their sensitive information is utilised in the most appropriate way. All of the aforementioned steps from new developments to training and communication all help to assure that strong </w:t>
      </w:r>
      <w:r>
        <w:rPr>
          <w:rFonts w:ascii="Arial" w:hAnsi="Arial" w:cs="Arial"/>
        </w:rPr>
        <w:t xml:space="preserve">digital and </w:t>
      </w:r>
      <w:r w:rsidR="0012002E">
        <w:rPr>
          <w:rFonts w:ascii="Arial" w:hAnsi="Arial" w:cs="Arial"/>
        </w:rPr>
        <w:t xml:space="preserve">information governance is in place within the </w:t>
      </w:r>
      <w:r w:rsidR="001B3BEB">
        <w:rPr>
          <w:rFonts w:ascii="Arial" w:hAnsi="Arial" w:cs="Arial"/>
        </w:rPr>
        <w:t>Board.</w:t>
      </w:r>
    </w:p>
    <w:p w:rsidR="00451B37" w:rsidRDefault="00451B37">
      <w:pPr>
        <w:rPr>
          <w:rFonts w:ascii="Arial" w:hAnsi="Arial" w:cs="Arial"/>
        </w:rPr>
      </w:pPr>
    </w:p>
    <w:p w:rsidR="00322318" w:rsidRDefault="00322318">
      <w:pPr>
        <w:rPr>
          <w:rFonts w:ascii="Arial" w:hAnsi="Arial" w:cs="Arial"/>
          <w:b/>
        </w:rPr>
      </w:pPr>
    </w:p>
    <w:p w:rsidR="00322318" w:rsidRDefault="00322318">
      <w:pPr>
        <w:rPr>
          <w:rFonts w:ascii="Arial" w:hAnsi="Arial" w:cs="Arial"/>
          <w:b/>
        </w:rPr>
      </w:pPr>
    </w:p>
    <w:p w:rsidR="00451B37" w:rsidRDefault="0012002E">
      <w:pPr>
        <w:rPr>
          <w:rFonts w:ascii="Arial" w:hAnsi="Arial" w:cs="Arial"/>
          <w:b/>
        </w:rPr>
      </w:pPr>
      <w:r w:rsidRPr="002B4403">
        <w:rPr>
          <w:rFonts w:ascii="Arial" w:hAnsi="Arial" w:cs="Arial"/>
          <w:b/>
        </w:rPr>
        <w:t>Work plan</w:t>
      </w:r>
    </w:p>
    <w:p w:rsidR="00451B37" w:rsidRDefault="00451B37">
      <w:pPr>
        <w:rPr>
          <w:rFonts w:ascii="Arial" w:hAnsi="Arial" w:cs="Arial"/>
        </w:rPr>
      </w:pPr>
    </w:p>
    <w:p w:rsidR="001F235B" w:rsidRDefault="0012002E" w:rsidP="001F235B">
      <w:pPr>
        <w:rPr>
          <w:rFonts w:ascii="Arial" w:hAnsi="Arial" w:cs="Arial"/>
        </w:rPr>
      </w:pPr>
      <w:r>
        <w:rPr>
          <w:rFonts w:ascii="Arial" w:hAnsi="Arial" w:cs="Arial"/>
        </w:rPr>
        <w:t xml:space="preserve">Information Governance </w:t>
      </w:r>
      <w:r w:rsidR="00BC4E9D">
        <w:rPr>
          <w:rFonts w:ascii="Arial" w:hAnsi="Arial" w:cs="Arial"/>
        </w:rPr>
        <w:t>is included in the Board’s</w:t>
      </w:r>
      <w:r>
        <w:rPr>
          <w:rFonts w:ascii="Arial" w:hAnsi="Arial" w:cs="Arial"/>
        </w:rPr>
        <w:t xml:space="preserve"> </w:t>
      </w:r>
      <w:r w:rsidR="005A5050">
        <w:rPr>
          <w:rFonts w:ascii="Arial" w:hAnsi="Arial" w:cs="Arial"/>
        </w:rPr>
        <w:t>e</w:t>
      </w:r>
      <w:r>
        <w:rPr>
          <w:rFonts w:ascii="Arial" w:hAnsi="Arial" w:cs="Arial"/>
        </w:rPr>
        <w:t xml:space="preserve">Health </w:t>
      </w:r>
      <w:r w:rsidR="007402BF">
        <w:rPr>
          <w:rFonts w:ascii="Arial" w:hAnsi="Arial" w:cs="Arial"/>
        </w:rPr>
        <w:t>delivery</w:t>
      </w:r>
      <w:r>
        <w:rPr>
          <w:rFonts w:ascii="Arial" w:hAnsi="Arial" w:cs="Arial"/>
        </w:rPr>
        <w:t xml:space="preserve"> plan</w:t>
      </w:r>
      <w:r w:rsidR="00C916C7">
        <w:rPr>
          <w:rFonts w:ascii="Arial" w:hAnsi="Arial" w:cs="Arial"/>
        </w:rPr>
        <w:t xml:space="preserve"> and </w:t>
      </w:r>
      <w:r w:rsidR="00C85C08">
        <w:rPr>
          <w:rFonts w:ascii="Arial" w:hAnsi="Arial" w:cs="Arial"/>
        </w:rPr>
        <w:t xml:space="preserve">progress </w:t>
      </w:r>
      <w:r w:rsidR="001C73CE">
        <w:rPr>
          <w:rFonts w:ascii="Arial" w:hAnsi="Arial" w:cs="Arial"/>
        </w:rPr>
        <w:t xml:space="preserve">is </w:t>
      </w:r>
      <w:r w:rsidR="00C916C7">
        <w:rPr>
          <w:rFonts w:ascii="Arial" w:hAnsi="Arial" w:cs="Arial"/>
        </w:rPr>
        <w:t>report</w:t>
      </w:r>
      <w:r w:rsidR="0046336B">
        <w:rPr>
          <w:rFonts w:ascii="Arial" w:hAnsi="Arial" w:cs="Arial"/>
        </w:rPr>
        <w:t>ed to the Senior Management Team.</w:t>
      </w:r>
    </w:p>
    <w:p w:rsidR="0046336B" w:rsidRDefault="0046336B" w:rsidP="001F235B">
      <w:pPr>
        <w:rPr>
          <w:rFonts w:ascii="Arial" w:hAnsi="Arial" w:cs="Arial"/>
        </w:rPr>
      </w:pPr>
    </w:p>
    <w:p w:rsidR="001F235B" w:rsidRPr="001F235B" w:rsidRDefault="001F235B" w:rsidP="00CD7646">
      <w:pPr>
        <w:rPr>
          <w:rFonts w:ascii="Arial" w:hAnsi="Arial" w:cs="Arial"/>
          <w:b/>
        </w:rPr>
      </w:pPr>
    </w:p>
    <w:sectPr w:rsidR="001F235B" w:rsidRPr="001F235B" w:rsidSect="00162DD7">
      <w:footerReference w:type="even" r:id="rId9"/>
      <w:footerReference w:type="default" r:id="rId10"/>
      <w:headerReference w:type="first" r:id="rId11"/>
      <w:pgSz w:w="11906" w:h="16838" w:code="9"/>
      <w:pgMar w:top="1418" w:right="1841" w:bottom="1418" w:left="1418"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C9D" w:rsidRDefault="005F7C9D">
      <w:r>
        <w:separator/>
      </w:r>
    </w:p>
  </w:endnote>
  <w:endnote w:type="continuationSeparator" w:id="0">
    <w:p w:rsidR="005F7C9D" w:rsidRDefault="005F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altName w:val="Sitka Smal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C9D" w:rsidRDefault="005F7C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7C9D" w:rsidRDefault="005F7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C9D" w:rsidRDefault="005F7C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1128">
      <w:rPr>
        <w:rStyle w:val="PageNumber"/>
        <w:noProof/>
      </w:rPr>
      <w:t>2</w:t>
    </w:r>
    <w:r>
      <w:rPr>
        <w:rStyle w:val="PageNumber"/>
      </w:rPr>
      <w:fldChar w:fldCharType="end"/>
    </w:r>
  </w:p>
  <w:p w:rsidR="005F7C9D" w:rsidRDefault="005F7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C9D" w:rsidRDefault="005F7C9D">
      <w:r>
        <w:separator/>
      </w:r>
    </w:p>
  </w:footnote>
  <w:footnote w:type="continuationSeparator" w:id="0">
    <w:p w:rsidR="005F7C9D" w:rsidRDefault="005F7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128" w:rsidRPr="008D1128" w:rsidRDefault="008D1128" w:rsidP="008D1128">
    <w:pPr>
      <w:pStyle w:val="Header"/>
      <w:jc w:val="right"/>
      <w:rPr>
        <w:b/>
        <w:sz w:val="20"/>
      </w:rPr>
    </w:pPr>
    <w:r w:rsidRPr="008D1128">
      <w:rPr>
        <w:b/>
        <w:sz w:val="20"/>
      </w:rPr>
      <w:t>Item 8.3a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339FA8"/>
    <w:multiLevelType w:val="hybridMultilevel"/>
    <w:tmpl w:val="FB2163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CCB6B3"/>
    <w:multiLevelType w:val="hybridMultilevel"/>
    <w:tmpl w:val="3C8129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415FE2"/>
    <w:multiLevelType w:val="hybridMultilevel"/>
    <w:tmpl w:val="CFA82D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F682D"/>
    <w:multiLevelType w:val="hybridMultilevel"/>
    <w:tmpl w:val="9C282768"/>
    <w:lvl w:ilvl="0" w:tplc="08090001">
      <w:start w:val="1"/>
      <w:numFmt w:val="bullet"/>
      <w:lvlText w:val=""/>
      <w:lvlJc w:val="left"/>
      <w:pPr>
        <w:ind w:left="1485" w:hanging="765"/>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13F6DFE"/>
    <w:multiLevelType w:val="hybridMultilevel"/>
    <w:tmpl w:val="10DE53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79048F4"/>
    <w:multiLevelType w:val="hybridMultilevel"/>
    <w:tmpl w:val="1DE4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931715"/>
    <w:multiLevelType w:val="hybridMultilevel"/>
    <w:tmpl w:val="53BCB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BA84066"/>
    <w:multiLevelType w:val="hybridMultilevel"/>
    <w:tmpl w:val="7D73BC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4C0487B"/>
    <w:multiLevelType w:val="hybridMultilevel"/>
    <w:tmpl w:val="A7923C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46684"/>
    <w:multiLevelType w:val="hybridMultilevel"/>
    <w:tmpl w:val="8716D832"/>
    <w:lvl w:ilvl="0" w:tplc="94949CB8">
      <w:start w:val="1"/>
      <w:numFmt w:val="decimal"/>
      <w:pStyle w:val="Heading4"/>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DF60C61"/>
    <w:multiLevelType w:val="hybridMultilevel"/>
    <w:tmpl w:val="11B8044A"/>
    <w:lvl w:ilvl="0" w:tplc="079C2ABE">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48425C5"/>
    <w:multiLevelType w:val="hybridMultilevel"/>
    <w:tmpl w:val="4018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C64DB"/>
    <w:multiLevelType w:val="hybridMultilevel"/>
    <w:tmpl w:val="39249E14"/>
    <w:lvl w:ilvl="0" w:tplc="D5664C2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E1246"/>
    <w:multiLevelType w:val="hybridMultilevel"/>
    <w:tmpl w:val="80EEB7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DF67DA4"/>
    <w:multiLevelType w:val="multilevel"/>
    <w:tmpl w:val="88D6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657AE"/>
    <w:multiLevelType w:val="hybridMultilevel"/>
    <w:tmpl w:val="623032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A72599"/>
    <w:multiLevelType w:val="hybridMultilevel"/>
    <w:tmpl w:val="5180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8376A"/>
    <w:multiLevelType w:val="hybridMultilevel"/>
    <w:tmpl w:val="862472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8B6FDF"/>
    <w:multiLevelType w:val="hybridMultilevel"/>
    <w:tmpl w:val="D2988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131B8"/>
    <w:multiLevelType w:val="multilevel"/>
    <w:tmpl w:val="2262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F6198A"/>
    <w:multiLevelType w:val="multilevel"/>
    <w:tmpl w:val="F498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9023DC"/>
    <w:multiLevelType w:val="hybridMultilevel"/>
    <w:tmpl w:val="C56A30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6A4CA"/>
    <w:multiLevelType w:val="hybridMultilevel"/>
    <w:tmpl w:val="D72D2E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53C378C"/>
    <w:multiLevelType w:val="hybridMultilevel"/>
    <w:tmpl w:val="8C0AD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21412E"/>
    <w:multiLevelType w:val="hybridMultilevel"/>
    <w:tmpl w:val="6694B1FC"/>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5" w15:restartNumberingAfterBreak="0">
    <w:nsid w:val="63755985"/>
    <w:multiLevelType w:val="hybridMultilevel"/>
    <w:tmpl w:val="FC80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8B34EC"/>
    <w:multiLevelType w:val="hybridMultilevel"/>
    <w:tmpl w:val="B8203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74025A"/>
    <w:multiLevelType w:val="hybridMultilevel"/>
    <w:tmpl w:val="7178A7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72127667"/>
    <w:multiLevelType w:val="hybridMultilevel"/>
    <w:tmpl w:val="BF186B94"/>
    <w:lvl w:ilvl="0" w:tplc="76064186">
      <w:start w:val="5"/>
      <w:numFmt w:val="decimal"/>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FF7C7A"/>
    <w:multiLevelType w:val="hybridMultilevel"/>
    <w:tmpl w:val="221260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7E486013"/>
    <w:multiLevelType w:val="hybridMultilevel"/>
    <w:tmpl w:val="686C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8"/>
  </w:num>
  <w:num w:numId="4">
    <w:abstractNumId w:val="21"/>
  </w:num>
  <w:num w:numId="5">
    <w:abstractNumId w:val="12"/>
  </w:num>
  <w:num w:numId="6">
    <w:abstractNumId w:val="6"/>
  </w:num>
  <w:num w:numId="7">
    <w:abstractNumId w:val="17"/>
  </w:num>
  <w:num w:numId="8">
    <w:abstractNumId w:val="16"/>
  </w:num>
  <w:num w:numId="9">
    <w:abstractNumId w:val="15"/>
  </w:num>
  <w:num w:numId="10">
    <w:abstractNumId w:val="11"/>
  </w:num>
  <w:num w:numId="11">
    <w:abstractNumId w:val="3"/>
  </w:num>
  <w:num w:numId="12">
    <w:abstractNumId w:val="14"/>
  </w:num>
  <w:num w:numId="13">
    <w:abstractNumId w:val="29"/>
  </w:num>
  <w:num w:numId="14">
    <w:abstractNumId w:val="26"/>
  </w:num>
  <w:num w:numId="15">
    <w:abstractNumId w:val="18"/>
  </w:num>
  <w:num w:numId="16">
    <w:abstractNumId w:val="30"/>
  </w:num>
  <w:num w:numId="17">
    <w:abstractNumId w:val="19"/>
  </w:num>
  <w:num w:numId="18">
    <w:abstractNumId w:val="20"/>
  </w:num>
  <w:num w:numId="19">
    <w:abstractNumId w:val="10"/>
  </w:num>
  <w:num w:numId="20">
    <w:abstractNumId w:val="5"/>
  </w:num>
  <w:num w:numId="21">
    <w:abstractNumId w:val="24"/>
  </w:num>
  <w:num w:numId="22">
    <w:abstractNumId w:val="25"/>
  </w:num>
  <w:num w:numId="23">
    <w:abstractNumId w:val="7"/>
  </w:num>
  <w:num w:numId="24">
    <w:abstractNumId w:val="0"/>
  </w:num>
  <w:num w:numId="25">
    <w:abstractNumId w:val="2"/>
  </w:num>
  <w:num w:numId="26">
    <w:abstractNumId w:val="1"/>
  </w:num>
  <w:num w:numId="27">
    <w:abstractNumId w:val="22"/>
  </w:num>
  <w:num w:numId="28">
    <w:abstractNumId w:val="13"/>
  </w:num>
  <w:num w:numId="29">
    <w:abstractNumId w:val="4"/>
  </w:num>
  <w:num w:numId="30">
    <w:abstractNumId w:val="23"/>
  </w:num>
  <w:num w:numId="31">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460624"/>
    <w:rsid w:val="00005197"/>
    <w:rsid w:val="00006CD7"/>
    <w:rsid w:val="00015A2C"/>
    <w:rsid w:val="0001732A"/>
    <w:rsid w:val="00020D6A"/>
    <w:rsid w:val="00026DB2"/>
    <w:rsid w:val="000303BB"/>
    <w:rsid w:val="00033648"/>
    <w:rsid w:val="00040052"/>
    <w:rsid w:val="00044F90"/>
    <w:rsid w:val="00050AA4"/>
    <w:rsid w:val="000550AE"/>
    <w:rsid w:val="00056ECC"/>
    <w:rsid w:val="0006334B"/>
    <w:rsid w:val="0006618D"/>
    <w:rsid w:val="00075761"/>
    <w:rsid w:val="000809DD"/>
    <w:rsid w:val="00080C42"/>
    <w:rsid w:val="00091854"/>
    <w:rsid w:val="00091E5D"/>
    <w:rsid w:val="00095D1C"/>
    <w:rsid w:val="000977ED"/>
    <w:rsid w:val="00097950"/>
    <w:rsid w:val="000A141F"/>
    <w:rsid w:val="000A4A8F"/>
    <w:rsid w:val="000A5D83"/>
    <w:rsid w:val="000B23D7"/>
    <w:rsid w:val="000B36F5"/>
    <w:rsid w:val="000B4207"/>
    <w:rsid w:val="000B464D"/>
    <w:rsid w:val="000B73D0"/>
    <w:rsid w:val="000C1ECD"/>
    <w:rsid w:val="000C5F7E"/>
    <w:rsid w:val="000D2C78"/>
    <w:rsid w:val="000D445E"/>
    <w:rsid w:val="000D453D"/>
    <w:rsid w:val="000E24DA"/>
    <w:rsid w:val="000E32CB"/>
    <w:rsid w:val="000F3BDE"/>
    <w:rsid w:val="000F4CC7"/>
    <w:rsid w:val="001004F9"/>
    <w:rsid w:val="00101839"/>
    <w:rsid w:val="00102E62"/>
    <w:rsid w:val="0010779D"/>
    <w:rsid w:val="001100E0"/>
    <w:rsid w:val="00113A74"/>
    <w:rsid w:val="0011637C"/>
    <w:rsid w:val="001177D7"/>
    <w:rsid w:val="0012002E"/>
    <w:rsid w:val="001201BB"/>
    <w:rsid w:val="00120FF3"/>
    <w:rsid w:val="0012625B"/>
    <w:rsid w:val="00137310"/>
    <w:rsid w:val="00142724"/>
    <w:rsid w:val="00146C2B"/>
    <w:rsid w:val="00154243"/>
    <w:rsid w:val="00157197"/>
    <w:rsid w:val="00160EC2"/>
    <w:rsid w:val="00162D0F"/>
    <w:rsid w:val="00162DD7"/>
    <w:rsid w:val="001669F1"/>
    <w:rsid w:val="00174CC5"/>
    <w:rsid w:val="001807BA"/>
    <w:rsid w:val="00182ED9"/>
    <w:rsid w:val="0018774D"/>
    <w:rsid w:val="00187852"/>
    <w:rsid w:val="001914D4"/>
    <w:rsid w:val="00192053"/>
    <w:rsid w:val="00196399"/>
    <w:rsid w:val="001965D9"/>
    <w:rsid w:val="001A0AE9"/>
    <w:rsid w:val="001A4D64"/>
    <w:rsid w:val="001A69D5"/>
    <w:rsid w:val="001A787B"/>
    <w:rsid w:val="001B3BEB"/>
    <w:rsid w:val="001B44BD"/>
    <w:rsid w:val="001B7476"/>
    <w:rsid w:val="001C73CE"/>
    <w:rsid w:val="001D7160"/>
    <w:rsid w:val="001D79CE"/>
    <w:rsid w:val="001E1BAE"/>
    <w:rsid w:val="001E2E94"/>
    <w:rsid w:val="001E38FC"/>
    <w:rsid w:val="001F122A"/>
    <w:rsid w:val="001F21C0"/>
    <w:rsid w:val="001F235B"/>
    <w:rsid w:val="001F3BBE"/>
    <w:rsid w:val="001F52F2"/>
    <w:rsid w:val="001F7469"/>
    <w:rsid w:val="0020155E"/>
    <w:rsid w:val="0020766D"/>
    <w:rsid w:val="002205FD"/>
    <w:rsid w:val="002212A5"/>
    <w:rsid w:val="00230D45"/>
    <w:rsid w:val="002479DE"/>
    <w:rsid w:val="00251CFE"/>
    <w:rsid w:val="0025514B"/>
    <w:rsid w:val="0026219A"/>
    <w:rsid w:val="00262DAA"/>
    <w:rsid w:val="00270978"/>
    <w:rsid w:val="00271E91"/>
    <w:rsid w:val="00271EA9"/>
    <w:rsid w:val="00277023"/>
    <w:rsid w:val="00277CD3"/>
    <w:rsid w:val="00280B81"/>
    <w:rsid w:val="00281A3F"/>
    <w:rsid w:val="0029484F"/>
    <w:rsid w:val="00297C6C"/>
    <w:rsid w:val="002A1606"/>
    <w:rsid w:val="002A1C33"/>
    <w:rsid w:val="002A7F66"/>
    <w:rsid w:val="002B285A"/>
    <w:rsid w:val="002B559B"/>
    <w:rsid w:val="002C137A"/>
    <w:rsid w:val="002C4714"/>
    <w:rsid w:val="002C4E52"/>
    <w:rsid w:val="002C618A"/>
    <w:rsid w:val="002D50E5"/>
    <w:rsid w:val="002E2139"/>
    <w:rsid w:val="002E35CF"/>
    <w:rsid w:val="002E3638"/>
    <w:rsid w:val="002E3E41"/>
    <w:rsid w:val="002E6130"/>
    <w:rsid w:val="002F2639"/>
    <w:rsid w:val="002F51C7"/>
    <w:rsid w:val="002F5F2C"/>
    <w:rsid w:val="002F7A93"/>
    <w:rsid w:val="0030581F"/>
    <w:rsid w:val="00306F61"/>
    <w:rsid w:val="00306FA4"/>
    <w:rsid w:val="00310C14"/>
    <w:rsid w:val="00320A83"/>
    <w:rsid w:val="0032116E"/>
    <w:rsid w:val="00322318"/>
    <w:rsid w:val="00327D95"/>
    <w:rsid w:val="0034260B"/>
    <w:rsid w:val="00344863"/>
    <w:rsid w:val="0035097E"/>
    <w:rsid w:val="00354BD1"/>
    <w:rsid w:val="0036046B"/>
    <w:rsid w:val="00361BF1"/>
    <w:rsid w:val="0036218A"/>
    <w:rsid w:val="00363ABA"/>
    <w:rsid w:val="00365B2B"/>
    <w:rsid w:val="003731FB"/>
    <w:rsid w:val="0038021F"/>
    <w:rsid w:val="003813E4"/>
    <w:rsid w:val="00387E2C"/>
    <w:rsid w:val="003906D7"/>
    <w:rsid w:val="00391BAF"/>
    <w:rsid w:val="00391FCA"/>
    <w:rsid w:val="00394728"/>
    <w:rsid w:val="003967AF"/>
    <w:rsid w:val="00397250"/>
    <w:rsid w:val="003977EB"/>
    <w:rsid w:val="003A45B4"/>
    <w:rsid w:val="003A50F6"/>
    <w:rsid w:val="003A65F6"/>
    <w:rsid w:val="003A68D6"/>
    <w:rsid w:val="003A7827"/>
    <w:rsid w:val="003B1394"/>
    <w:rsid w:val="003B3486"/>
    <w:rsid w:val="003B3588"/>
    <w:rsid w:val="003B4CA2"/>
    <w:rsid w:val="003B715A"/>
    <w:rsid w:val="003C23BA"/>
    <w:rsid w:val="003C3BAA"/>
    <w:rsid w:val="003E16CC"/>
    <w:rsid w:val="003E4A93"/>
    <w:rsid w:val="003E65D2"/>
    <w:rsid w:val="003E69D7"/>
    <w:rsid w:val="00402CB3"/>
    <w:rsid w:val="00404A2F"/>
    <w:rsid w:val="004053DC"/>
    <w:rsid w:val="0041303D"/>
    <w:rsid w:val="00424792"/>
    <w:rsid w:val="0042496F"/>
    <w:rsid w:val="004319A6"/>
    <w:rsid w:val="0043694A"/>
    <w:rsid w:val="00437ED2"/>
    <w:rsid w:val="004448A1"/>
    <w:rsid w:val="00450759"/>
    <w:rsid w:val="00451B37"/>
    <w:rsid w:val="0045416B"/>
    <w:rsid w:val="00460624"/>
    <w:rsid w:val="0046336B"/>
    <w:rsid w:val="004658B1"/>
    <w:rsid w:val="0046771C"/>
    <w:rsid w:val="00471AA3"/>
    <w:rsid w:val="00481678"/>
    <w:rsid w:val="00482154"/>
    <w:rsid w:val="00487E8C"/>
    <w:rsid w:val="0049156B"/>
    <w:rsid w:val="00491D9D"/>
    <w:rsid w:val="004952A3"/>
    <w:rsid w:val="00496A24"/>
    <w:rsid w:val="00497318"/>
    <w:rsid w:val="00497DD4"/>
    <w:rsid w:val="004A5F00"/>
    <w:rsid w:val="004B54ED"/>
    <w:rsid w:val="004B6B9D"/>
    <w:rsid w:val="004B6DE7"/>
    <w:rsid w:val="004D0D3F"/>
    <w:rsid w:val="004D10B2"/>
    <w:rsid w:val="004D207B"/>
    <w:rsid w:val="004D34E9"/>
    <w:rsid w:val="004D3532"/>
    <w:rsid w:val="004D409B"/>
    <w:rsid w:val="004D444B"/>
    <w:rsid w:val="004D55FC"/>
    <w:rsid w:val="004D6287"/>
    <w:rsid w:val="004D63CE"/>
    <w:rsid w:val="004E3515"/>
    <w:rsid w:val="004E4E04"/>
    <w:rsid w:val="004E5B17"/>
    <w:rsid w:val="004E7588"/>
    <w:rsid w:val="004F0987"/>
    <w:rsid w:val="004F321E"/>
    <w:rsid w:val="00502C5B"/>
    <w:rsid w:val="0050325B"/>
    <w:rsid w:val="00503CD4"/>
    <w:rsid w:val="00504DFF"/>
    <w:rsid w:val="005051D5"/>
    <w:rsid w:val="005167A7"/>
    <w:rsid w:val="005272C1"/>
    <w:rsid w:val="00532D23"/>
    <w:rsid w:val="00535926"/>
    <w:rsid w:val="00536C61"/>
    <w:rsid w:val="00542631"/>
    <w:rsid w:val="0055066E"/>
    <w:rsid w:val="00553DEE"/>
    <w:rsid w:val="0055516B"/>
    <w:rsid w:val="00555330"/>
    <w:rsid w:val="00560A54"/>
    <w:rsid w:val="00563094"/>
    <w:rsid w:val="005638B7"/>
    <w:rsid w:val="00566986"/>
    <w:rsid w:val="005821E8"/>
    <w:rsid w:val="0058389B"/>
    <w:rsid w:val="00592E4F"/>
    <w:rsid w:val="00596F69"/>
    <w:rsid w:val="005A205F"/>
    <w:rsid w:val="005A5050"/>
    <w:rsid w:val="005A5A33"/>
    <w:rsid w:val="005A6CF2"/>
    <w:rsid w:val="005B0499"/>
    <w:rsid w:val="005B0CBB"/>
    <w:rsid w:val="005B383B"/>
    <w:rsid w:val="005B4A01"/>
    <w:rsid w:val="005B7641"/>
    <w:rsid w:val="005C0523"/>
    <w:rsid w:val="005C0F02"/>
    <w:rsid w:val="005C26AB"/>
    <w:rsid w:val="005D15C8"/>
    <w:rsid w:val="005D32CE"/>
    <w:rsid w:val="005D403A"/>
    <w:rsid w:val="005E0091"/>
    <w:rsid w:val="005E2BD3"/>
    <w:rsid w:val="005E4648"/>
    <w:rsid w:val="005F0842"/>
    <w:rsid w:val="005F1CAF"/>
    <w:rsid w:val="005F30E8"/>
    <w:rsid w:val="005F4449"/>
    <w:rsid w:val="005F7C9D"/>
    <w:rsid w:val="00600C27"/>
    <w:rsid w:val="0060134D"/>
    <w:rsid w:val="00604FFF"/>
    <w:rsid w:val="006104CC"/>
    <w:rsid w:val="00614014"/>
    <w:rsid w:val="00614298"/>
    <w:rsid w:val="00617690"/>
    <w:rsid w:val="0062102F"/>
    <w:rsid w:val="0062308F"/>
    <w:rsid w:val="006244EB"/>
    <w:rsid w:val="006260C6"/>
    <w:rsid w:val="00632ADE"/>
    <w:rsid w:val="00633A95"/>
    <w:rsid w:val="00633AB2"/>
    <w:rsid w:val="0064122E"/>
    <w:rsid w:val="00643477"/>
    <w:rsid w:val="00646DF1"/>
    <w:rsid w:val="00653F0A"/>
    <w:rsid w:val="0066353B"/>
    <w:rsid w:val="00671D69"/>
    <w:rsid w:val="00691CDC"/>
    <w:rsid w:val="0069291E"/>
    <w:rsid w:val="00693761"/>
    <w:rsid w:val="00694023"/>
    <w:rsid w:val="006B05C7"/>
    <w:rsid w:val="006B137A"/>
    <w:rsid w:val="006B240D"/>
    <w:rsid w:val="006D365C"/>
    <w:rsid w:val="006E237A"/>
    <w:rsid w:val="006E38F5"/>
    <w:rsid w:val="006E6FC9"/>
    <w:rsid w:val="006F12A0"/>
    <w:rsid w:val="006F6CB9"/>
    <w:rsid w:val="007006EE"/>
    <w:rsid w:val="007105C6"/>
    <w:rsid w:val="007123B9"/>
    <w:rsid w:val="0071387C"/>
    <w:rsid w:val="00723EF0"/>
    <w:rsid w:val="00725B2C"/>
    <w:rsid w:val="00726045"/>
    <w:rsid w:val="00734224"/>
    <w:rsid w:val="00734315"/>
    <w:rsid w:val="00735A62"/>
    <w:rsid w:val="00737792"/>
    <w:rsid w:val="007402BF"/>
    <w:rsid w:val="0074093B"/>
    <w:rsid w:val="0074305E"/>
    <w:rsid w:val="00745448"/>
    <w:rsid w:val="007527E6"/>
    <w:rsid w:val="00753F50"/>
    <w:rsid w:val="00760BE3"/>
    <w:rsid w:val="00761090"/>
    <w:rsid w:val="007620F6"/>
    <w:rsid w:val="00764207"/>
    <w:rsid w:val="00765C71"/>
    <w:rsid w:val="00767AC7"/>
    <w:rsid w:val="007849B2"/>
    <w:rsid w:val="00785BF5"/>
    <w:rsid w:val="00793A28"/>
    <w:rsid w:val="00797FB4"/>
    <w:rsid w:val="007A2191"/>
    <w:rsid w:val="007A40F7"/>
    <w:rsid w:val="007B45FC"/>
    <w:rsid w:val="007B5C34"/>
    <w:rsid w:val="007C6080"/>
    <w:rsid w:val="007C69DB"/>
    <w:rsid w:val="007C7AB0"/>
    <w:rsid w:val="007D26C2"/>
    <w:rsid w:val="007D469A"/>
    <w:rsid w:val="007E0833"/>
    <w:rsid w:val="007E0D2D"/>
    <w:rsid w:val="007E611C"/>
    <w:rsid w:val="007E61FE"/>
    <w:rsid w:val="007F5DBE"/>
    <w:rsid w:val="00800AB9"/>
    <w:rsid w:val="00801B53"/>
    <w:rsid w:val="008036AE"/>
    <w:rsid w:val="00803DBF"/>
    <w:rsid w:val="008079E2"/>
    <w:rsid w:val="00825160"/>
    <w:rsid w:val="00830A99"/>
    <w:rsid w:val="00840B26"/>
    <w:rsid w:val="008419D2"/>
    <w:rsid w:val="00846291"/>
    <w:rsid w:val="0085151F"/>
    <w:rsid w:val="00852EA1"/>
    <w:rsid w:val="0085330B"/>
    <w:rsid w:val="00854777"/>
    <w:rsid w:val="00857F1F"/>
    <w:rsid w:val="008621C3"/>
    <w:rsid w:val="00870BB8"/>
    <w:rsid w:val="0087130D"/>
    <w:rsid w:val="00874083"/>
    <w:rsid w:val="00874D8A"/>
    <w:rsid w:val="00887AD5"/>
    <w:rsid w:val="00894917"/>
    <w:rsid w:val="008A5020"/>
    <w:rsid w:val="008B2C5F"/>
    <w:rsid w:val="008B370F"/>
    <w:rsid w:val="008B5E44"/>
    <w:rsid w:val="008C21AC"/>
    <w:rsid w:val="008D1128"/>
    <w:rsid w:val="008D4723"/>
    <w:rsid w:val="008D60F1"/>
    <w:rsid w:val="008E03A0"/>
    <w:rsid w:val="008E160B"/>
    <w:rsid w:val="008E7E7E"/>
    <w:rsid w:val="008F018A"/>
    <w:rsid w:val="008F04A4"/>
    <w:rsid w:val="008F460E"/>
    <w:rsid w:val="008F4884"/>
    <w:rsid w:val="0091210B"/>
    <w:rsid w:val="00922A2F"/>
    <w:rsid w:val="00925FCA"/>
    <w:rsid w:val="0093020F"/>
    <w:rsid w:val="00930220"/>
    <w:rsid w:val="00947037"/>
    <w:rsid w:val="00947DE6"/>
    <w:rsid w:val="00961C31"/>
    <w:rsid w:val="009621ED"/>
    <w:rsid w:val="009634DC"/>
    <w:rsid w:val="00963DEA"/>
    <w:rsid w:val="00972C8D"/>
    <w:rsid w:val="00986D82"/>
    <w:rsid w:val="00991053"/>
    <w:rsid w:val="00992BCB"/>
    <w:rsid w:val="009934C9"/>
    <w:rsid w:val="009957C9"/>
    <w:rsid w:val="009A257F"/>
    <w:rsid w:val="009B23E8"/>
    <w:rsid w:val="009B2C85"/>
    <w:rsid w:val="009B3DB5"/>
    <w:rsid w:val="009B3E42"/>
    <w:rsid w:val="009B4C8D"/>
    <w:rsid w:val="009C3185"/>
    <w:rsid w:val="009C42BB"/>
    <w:rsid w:val="009C6B03"/>
    <w:rsid w:val="009D2E51"/>
    <w:rsid w:val="009D4DE8"/>
    <w:rsid w:val="009E22D6"/>
    <w:rsid w:val="009E5F93"/>
    <w:rsid w:val="009E685B"/>
    <w:rsid w:val="009F20E0"/>
    <w:rsid w:val="00A00216"/>
    <w:rsid w:val="00A0036B"/>
    <w:rsid w:val="00A01745"/>
    <w:rsid w:val="00A04152"/>
    <w:rsid w:val="00A10775"/>
    <w:rsid w:val="00A11B87"/>
    <w:rsid w:val="00A20CE4"/>
    <w:rsid w:val="00A22B71"/>
    <w:rsid w:val="00A2508C"/>
    <w:rsid w:val="00A32154"/>
    <w:rsid w:val="00A36433"/>
    <w:rsid w:val="00A4131E"/>
    <w:rsid w:val="00A45997"/>
    <w:rsid w:val="00A5296D"/>
    <w:rsid w:val="00A53B34"/>
    <w:rsid w:val="00A54183"/>
    <w:rsid w:val="00A54DE8"/>
    <w:rsid w:val="00A61906"/>
    <w:rsid w:val="00A66870"/>
    <w:rsid w:val="00A67F19"/>
    <w:rsid w:val="00A706C5"/>
    <w:rsid w:val="00A71ABC"/>
    <w:rsid w:val="00A71BC2"/>
    <w:rsid w:val="00A73726"/>
    <w:rsid w:val="00A75D1A"/>
    <w:rsid w:val="00A77094"/>
    <w:rsid w:val="00A80993"/>
    <w:rsid w:val="00A81BA0"/>
    <w:rsid w:val="00A9025A"/>
    <w:rsid w:val="00A91EEA"/>
    <w:rsid w:val="00A93D8B"/>
    <w:rsid w:val="00A972E2"/>
    <w:rsid w:val="00A97624"/>
    <w:rsid w:val="00AB06A7"/>
    <w:rsid w:val="00AB0DC3"/>
    <w:rsid w:val="00AB3AA8"/>
    <w:rsid w:val="00AB739C"/>
    <w:rsid w:val="00AC2C7E"/>
    <w:rsid w:val="00AC4186"/>
    <w:rsid w:val="00AD5DA1"/>
    <w:rsid w:val="00AD78A1"/>
    <w:rsid w:val="00AE455E"/>
    <w:rsid w:val="00AF63E6"/>
    <w:rsid w:val="00B050D2"/>
    <w:rsid w:val="00B126E0"/>
    <w:rsid w:val="00B15A55"/>
    <w:rsid w:val="00B17D4A"/>
    <w:rsid w:val="00B20368"/>
    <w:rsid w:val="00B272C2"/>
    <w:rsid w:val="00B331BF"/>
    <w:rsid w:val="00B45E9B"/>
    <w:rsid w:val="00B46D8C"/>
    <w:rsid w:val="00B51CB3"/>
    <w:rsid w:val="00B5325F"/>
    <w:rsid w:val="00B57884"/>
    <w:rsid w:val="00B704F6"/>
    <w:rsid w:val="00B74383"/>
    <w:rsid w:val="00B74EDB"/>
    <w:rsid w:val="00B7682B"/>
    <w:rsid w:val="00B76EA6"/>
    <w:rsid w:val="00B8107C"/>
    <w:rsid w:val="00B82408"/>
    <w:rsid w:val="00B85036"/>
    <w:rsid w:val="00B8543D"/>
    <w:rsid w:val="00B917E8"/>
    <w:rsid w:val="00BA030E"/>
    <w:rsid w:val="00BA19A5"/>
    <w:rsid w:val="00BA3753"/>
    <w:rsid w:val="00BA43B1"/>
    <w:rsid w:val="00BB102C"/>
    <w:rsid w:val="00BB7717"/>
    <w:rsid w:val="00BB7DE6"/>
    <w:rsid w:val="00BC1931"/>
    <w:rsid w:val="00BC2505"/>
    <w:rsid w:val="00BC4E9D"/>
    <w:rsid w:val="00BD7DDC"/>
    <w:rsid w:val="00BE4E5B"/>
    <w:rsid w:val="00BE7C65"/>
    <w:rsid w:val="00C000D6"/>
    <w:rsid w:val="00C04DAF"/>
    <w:rsid w:val="00C05C66"/>
    <w:rsid w:val="00C119BC"/>
    <w:rsid w:val="00C11DB2"/>
    <w:rsid w:val="00C16D2A"/>
    <w:rsid w:val="00C17CC9"/>
    <w:rsid w:val="00C273FB"/>
    <w:rsid w:val="00C36271"/>
    <w:rsid w:val="00C366DE"/>
    <w:rsid w:val="00C36DA1"/>
    <w:rsid w:val="00C370F5"/>
    <w:rsid w:val="00C41754"/>
    <w:rsid w:val="00C44340"/>
    <w:rsid w:val="00C5072A"/>
    <w:rsid w:val="00C51BAB"/>
    <w:rsid w:val="00C52621"/>
    <w:rsid w:val="00C53CAE"/>
    <w:rsid w:val="00C56E2C"/>
    <w:rsid w:val="00C5715C"/>
    <w:rsid w:val="00C61D4D"/>
    <w:rsid w:val="00C66AF2"/>
    <w:rsid w:val="00C6765D"/>
    <w:rsid w:val="00C7131D"/>
    <w:rsid w:val="00C74D34"/>
    <w:rsid w:val="00C75F8E"/>
    <w:rsid w:val="00C76D37"/>
    <w:rsid w:val="00C85C08"/>
    <w:rsid w:val="00C91253"/>
    <w:rsid w:val="00C916C7"/>
    <w:rsid w:val="00C925E1"/>
    <w:rsid w:val="00C941CD"/>
    <w:rsid w:val="00CA28C1"/>
    <w:rsid w:val="00CA5144"/>
    <w:rsid w:val="00CA5D5C"/>
    <w:rsid w:val="00CB6979"/>
    <w:rsid w:val="00CC4C4C"/>
    <w:rsid w:val="00CD54D3"/>
    <w:rsid w:val="00CD6D5B"/>
    <w:rsid w:val="00CD75FF"/>
    <w:rsid w:val="00CD7646"/>
    <w:rsid w:val="00CE007F"/>
    <w:rsid w:val="00CE0C9D"/>
    <w:rsid w:val="00CE106C"/>
    <w:rsid w:val="00CE6470"/>
    <w:rsid w:val="00CF0642"/>
    <w:rsid w:val="00D025F1"/>
    <w:rsid w:val="00D26A6C"/>
    <w:rsid w:val="00D27619"/>
    <w:rsid w:val="00D27D7D"/>
    <w:rsid w:val="00D35063"/>
    <w:rsid w:val="00D36977"/>
    <w:rsid w:val="00D546C1"/>
    <w:rsid w:val="00D55CEE"/>
    <w:rsid w:val="00D567D5"/>
    <w:rsid w:val="00D6143A"/>
    <w:rsid w:val="00D615D4"/>
    <w:rsid w:val="00D61A03"/>
    <w:rsid w:val="00D66EEE"/>
    <w:rsid w:val="00D715DC"/>
    <w:rsid w:val="00D72B12"/>
    <w:rsid w:val="00D72EE0"/>
    <w:rsid w:val="00D76709"/>
    <w:rsid w:val="00D87470"/>
    <w:rsid w:val="00D909B4"/>
    <w:rsid w:val="00D92920"/>
    <w:rsid w:val="00D9296B"/>
    <w:rsid w:val="00D9376F"/>
    <w:rsid w:val="00D94C78"/>
    <w:rsid w:val="00DA15FB"/>
    <w:rsid w:val="00DA5B31"/>
    <w:rsid w:val="00DB56F9"/>
    <w:rsid w:val="00DB7BB2"/>
    <w:rsid w:val="00DC053E"/>
    <w:rsid w:val="00DC7284"/>
    <w:rsid w:val="00DD1E58"/>
    <w:rsid w:val="00DD74C2"/>
    <w:rsid w:val="00DF25D2"/>
    <w:rsid w:val="00DF78A3"/>
    <w:rsid w:val="00E04836"/>
    <w:rsid w:val="00E04AA6"/>
    <w:rsid w:val="00E07606"/>
    <w:rsid w:val="00E10035"/>
    <w:rsid w:val="00E12E91"/>
    <w:rsid w:val="00E14E5C"/>
    <w:rsid w:val="00E15AFD"/>
    <w:rsid w:val="00E166BE"/>
    <w:rsid w:val="00E2224D"/>
    <w:rsid w:val="00E23F07"/>
    <w:rsid w:val="00E304BE"/>
    <w:rsid w:val="00E31077"/>
    <w:rsid w:val="00E3239B"/>
    <w:rsid w:val="00E35B2E"/>
    <w:rsid w:val="00E45236"/>
    <w:rsid w:val="00E55B80"/>
    <w:rsid w:val="00E620AE"/>
    <w:rsid w:val="00E659D0"/>
    <w:rsid w:val="00E70B83"/>
    <w:rsid w:val="00E73C7A"/>
    <w:rsid w:val="00E80EC2"/>
    <w:rsid w:val="00E9002D"/>
    <w:rsid w:val="00E91632"/>
    <w:rsid w:val="00E93157"/>
    <w:rsid w:val="00E97174"/>
    <w:rsid w:val="00EB0584"/>
    <w:rsid w:val="00ED0F9D"/>
    <w:rsid w:val="00ED77A3"/>
    <w:rsid w:val="00EE3CB1"/>
    <w:rsid w:val="00EE742E"/>
    <w:rsid w:val="00EF541D"/>
    <w:rsid w:val="00F016EB"/>
    <w:rsid w:val="00F01947"/>
    <w:rsid w:val="00F01C46"/>
    <w:rsid w:val="00F14D3C"/>
    <w:rsid w:val="00F20CA8"/>
    <w:rsid w:val="00F2755D"/>
    <w:rsid w:val="00F304F3"/>
    <w:rsid w:val="00F30CB0"/>
    <w:rsid w:val="00F37310"/>
    <w:rsid w:val="00F46F17"/>
    <w:rsid w:val="00F50277"/>
    <w:rsid w:val="00F51505"/>
    <w:rsid w:val="00F5299F"/>
    <w:rsid w:val="00F533EC"/>
    <w:rsid w:val="00F570F5"/>
    <w:rsid w:val="00F63EED"/>
    <w:rsid w:val="00F66821"/>
    <w:rsid w:val="00F7338E"/>
    <w:rsid w:val="00F74B94"/>
    <w:rsid w:val="00F81197"/>
    <w:rsid w:val="00F811CD"/>
    <w:rsid w:val="00F8405C"/>
    <w:rsid w:val="00F8408B"/>
    <w:rsid w:val="00F86204"/>
    <w:rsid w:val="00FA042A"/>
    <w:rsid w:val="00FA0E4F"/>
    <w:rsid w:val="00FB51DA"/>
    <w:rsid w:val="00FB5872"/>
    <w:rsid w:val="00FB71AF"/>
    <w:rsid w:val="00FB7762"/>
    <w:rsid w:val="00FC19DA"/>
    <w:rsid w:val="00FC3892"/>
    <w:rsid w:val="00FC609A"/>
    <w:rsid w:val="00FC7FF0"/>
    <w:rsid w:val="00FD0462"/>
    <w:rsid w:val="00FD36CD"/>
    <w:rsid w:val="00FE0341"/>
    <w:rsid w:val="00FE21AF"/>
    <w:rsid w:val="00FE4D45"/>
    <w:rsid w:val="00FE6E9E"/>
    <w:rsid w:val="00FE76C5"/>
    <w:rsid w:val="00FF0506"/>
    <w:rsid w:val="00FF0FBF"/>
    <w:rsid w:val="00FF4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14:docId w14:val="6DBB23E4"/>
  <w15:docId w15:val="{6A6701FC-25A5-4F47-91D1-490260EA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E04"/>
    <w:rPr>
      <w:sz w:val="24"/>
      <w:szCs w:val="24"/>
      <w:lang w:eastAsia="en-US"/>
    </w:rPr>
  </w:style>
  <w:style w:type="paragraph" w:styleId="Heading1">
    <w:name w:val="heading 1"/>
    <w:basedOn w:val="Normal"/>
    <w:next w:val="Normal"/>
    <w:qFormat/>
    <w:rsid w:val="004E4E04"/>
    <w:pPr>
      <w:keepNext/>
      <w:outlineLvl w:val="0"/>
    </w:pPr>
    <w:rPr>
      <w:b/>
      <w:bCs/>
      <w:sz w:val="32"/>
    </w:rPr>
  </w:style>
  <w:style w:type="paragraph" w:styleId="Heading2">
    <w:name w:val="heading 2"/>
    <w:basedOn w:val="Normal"/>
    <w:next w:val="Normal"/>
    <w:qFormat/>
    <w:rsid w:val="004E4E04"/>
    <w:pPr>
      <w:keepNext/>
      <w:outlineLvl w:val="1"/>
    </w:pPr>
    <w:rPr>
      <w:b/>
      <w:bCs/>
    </w:rPr>
  </w:style>
  <w:style w:type="paragraph" w:styleId="Heading3">
    <w:name w:val="heading 3"/>
    <w:basedOn w:val="Normal"/>
    <w:next w:val="Normal"/>
    <w:qFormat/>
    <w:rsid w:val="004E4E04"/>
    <w:pPr>
      <w:keepNext/>
      <w:numPr>
        <w:numId w:val="1"/>
      </w:numPr>
      <w:tabs>
        <w:tab w:val="clear" w:pos="1080"/>
        <w:tab w:val="num" w:pos="720"/>
      </w:tabs>
      <w:ind w:hanging="1080"/>
      <w:outlineLvl w:val="2"/>
    </w:pPr>
    <w:rPr>
      <w:b/>
      <w:bCs/>
    </w:rPr>
  </w:style>
  <w:style w:type="paragraph" w:styleId="Heading4">
    <w:name w:val="heading 4"/>
    <w:basedOn w:val="Normal"/>
    <w:next w:val="Normal"/>
    <w:qFormat/>
    <w:rsid w:val="004E4E04"/>
    <w:pPr>
      <w:keepNext/>
      <w:numPr>
        <w:numId w:val="2"/>
      </w:numPr>
      <w:outlineLvl w:val="3"/>
    </w:pPr>
    <w:rPr>
      <w:b/>
      <w:bCs/>
    </w:rPr>
  </w:style>
  <w:style w:type="paragraph" w:styleId="Heading5">
    <w:name w:val="heading 5"/>
    <w:basedOn w:val="Normal"/>
    <w:next w:val="Normal"/>
    <w:qFormat/>
    <w:rsid w:val="004E4E04"/>
    <w:pPr>
      <w:keepNext/>
      <w:ind w:left="720"/>
      <w:jc w:val="both"/>
      <w:outlineLvl w:val="4"/>
    </w:pPr>
    <w:rPr>
      <w:b/>
      <w:iCs/>
    </w:rPr>
  </w:style>
  <w:style w:type="paragraph" w:styleId="Heading6">
    <w:name w:val="heading 6"/>
    <w:basedOn w:val="Normal"/>
    <w:next w:val="Normal"/>
    <w:qFormat/>
    <w:rsid w:val="004E4E04"/>
    <w:pPr>
      <w:keepNext/>
      <w:tabs>
        <w:tab w:val="left" w:pos="2970"/>
      </w:tabs>
      <w:jc w:val="center"/>
      <w:outlineLvl w:val="5"/>
    </w:pPr>
    <w:rPr>
      <w:b/>
      <w:bCs/>
      <w:iCs/>
      <w:szCs w:val="28"/>
    </w:rPr>
  </w:style>
  <w:style w:type="paragraph" w:styleId="Heading7">
    <w:name w:val="heading 7"/>
    <w:basedOn w:val="Normal"/>
    <w:next w:val="Normal"/>
    <w:qFormat/>
    <w:rsid w:val="004E4E04"/>
    <w:pPr>
      <w:keepNext/>
      <w:ind w:left="360"/>
      <w:jc w:val="both"/>
      <w:outlineLvl w:val="6"/>
    </w:pPr>
    <w:rPr>
      <w:b/>
      <w:iCs/>
      <w:u w:val="single"/>
    </w:rPr>
  </w:style>
  <w:style w:type="paragraph" w:styleId="Heading8">
    <w:name w:val="heading 8"/>
    <w:basedOn w:val="Normal"/>
    <w:next w:val="Normal"/>
    <w:qFormat/>
    <w:rsid w:val="004E4E04"/>
    <w:pPr>
      <w:keepNext/>
      <w:jc w:val="both"/>
      <w:outlineLvl w:val="7"/>
    </w:pPr>
    <w:rPr>
      <w:b/>
      <w:bCs/>
    </w:rPr>
  </w:style>
  <w:style w:type="paragraph" w:styleId="Heading9">
    <w:name w:val="heading 9"/>
    <w:basedOn w:val="Normal"/>
    <w:next w:val="Normal"/>
    <w:qFormat/>
    <w:rsid w:val="004E4E04"/>
    <w:pPr>
      <w:keepNext/>
      <w:outlineLvl w:val="8"/>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4E04"/>
    <w:pPr>
      <w:tabs>
        <w:tab w:val="center" w:pos="4153"/>
        <w:tab w:val="right" w:pos="8306"/>
      </w:tabs>
    </w:pPr>
  </w:style>
  <w:style w:type="character" w:styleId="PageNumber">
    <w:name w:val="page number"/>
    <w:basedOn w:val="DefaultParagraphFont"/>
    <w:rsid w:val="004E4E04"/>
  </w:style>
  <w:style w:type="paragraph" w:styleId="BodyTextIndent">
    <w:name w:val="Body Text Indent"/>
    <w:basedOn w:val="Normal"/>
    <w:rsid w:val="004E4E04"/>
    <w:pPr>
      <w:ind w:left="360"/>
    </w:pPr>
    <w:rPr>
      <w:iCs/>
    </w:rPr>
  </w:style>
  <w:style w:type="paragraph" w:styleId="BodyTextIndent2">
    <w:name w:val="Body Text Indent 2"/>
    <w:basedOn w:val="Normal"/>
    <w:rsid w:val="004E4E04"/>
    <w:pPr>
      <w:ind w:left="720"/>
      <w:jc w:val="both"/>
    </w:pPr>
    <w:rPr>
      <w:bCs/>
      <w:iCs/>
    </w:rPr>
  </w:style>
  <w:style w:type="paragraph" w:styleId="BodyTextIndent3">
    <w:name w:val="Body Text Indent 3"/>
    <w:basedOn w:val="Normal"/>
    <w:rsid w:val="004E4E04"/>
    <w:pPr>
      <w:ind w:left="360"/>
      <w:jc w:val="both"/>
    </w:pPr>
    <w:rPr>
      <w:iCs/>
    </w:rPr>
  </w:style>
  <w:style w:type="paragraph" w:styleId="BodyText">
    <w:name w:val="Body Text"/>
    <w:basedOn w:val="Normal"/>
    <w:rsid w:val="004E4E04"/>
    <w:pPr>
      <w:jc w:val="both"/>
    </w:pPr>
    <w:rPr>
      <w:sz w:val="22"/>
    </w:rPr>
  </w:style>
  <w:style w:type="character" w:styleId="Hyperlink">
    <w:name w:val="Hyperlink"/>
    <w:basedOn w:val="DefaultParagraphFont"/>
    <w:uiPriority w:val="99"/>
    <w:rsid w:val="00006CD7"/>
    <w:rPr>
      <w:color w:val="0000FF"/>
      <w:u w:val="single"/>
    </w:rPr>
  </w:style>
  <w:style w:type="paragraph" w:styleId="BodyText2">
    <w:name w:val="Body Text 2"/>
    <w:basedOn w:val="Normal"/>
    <w:rsid w:val="004D10B2"/>
    <w:pPr>
      <w:spacing w:after="120" w:line="480" w:lineRule="auto"/>
    </w:pPr>
  </w:style>
  <w:style w:type="paragraph" w:styleId="BodyText3">
    <w:name w:val="Body Text 3"/>
    <w:basedOn w:val="Normal"/>
    <w:rsid w:val="004D10B2"/>
    <w:pPr>
      <w:spacing w:after="120"/>
    </w:pPr>
    <w:rPr>
      <w:sz w:val="16"/>
      <w:szCs w:val="16"/>
    </w:rPr>
  </w:style>
  <w:style w:type="paragraph" w:customStyle="1" w:styleId="2-col-note-tot">
    <w:name w:val="2-col-note-tot"/>
    <w:basedOn w:val="Normal"/>
    <w:next w:val="Normal"/>
    <w:rsid w:val="004D10B2"/>
    <w:pPr>
      <w:widowControl w:val="0"/>
      <w:tabs>
        <w:tab w:val="right" w:pos="6120"/>
        <w:tab w:val="decimal" w:pos="7200"/>
        <w:tab w:val="decimal" w:pos="9000"/>
        <w:tab w:val="decimal" w:pos="11952"/>
      </w:tabs>
      <w:spacing w:line="360" w:lineRule="atLeast"/>
      <w:jc w:val="both"/>
    </w:pPr>
    <w:rPr>
      <w:b/>
      <w:sz w:val="22"/>
      <w:szCs w:val="20"/>
    </w:rPr>
  </w:style>
  <w:style w:type="paragraph" w:customStyle="1" w:styleId="Style1">
    <w:name w:val="Style1"/>
    <w:basedOn w:val="Normal"/>
    <w:rsid w:val="004D10B2"/>
    <w:pPr>
      <w:widowControl w:val="0"/>
      <w:jc w:val="both"/>
    </w:pPr>
    <w:rPr>
      <w:sz w:val="22"/>
      <w:szCs w:val="20"/>
    </w:rPr>
  </w:style>
  <w:style w:type="character" w:styleId="Strong">
    <w:name w:val="Strong"/>
    <w:basedOn w:val="DefaultParagraphFont"/>
    <w:qFormat/>
    <w:rsid w:val="004D10B2"/>
    <w:rPr>
      <w:b/>
      <w:bCs/>
    </w:rPr>
  </w:style>
  <w:style w:type="paragraph" w:styleId="Header">
    <w:name w:val="header"/>
    <w:basedOn w:val="Normal"/>
    <w:link w:val="HeaderChar"/>
    <w:rsid w:val="002E3E41"/>
    <w:pPr>
      <w:tabs>
        <w:tab w:val="center" w:pos="4153"/>
        <w:tab w:val="right" w:pos="8306"/>
      </w:tabs>
    </w:pPr>
    <w:rPr>
      <w:rFonts w:ascii="Arial" w:eastAsia="Calibri" w:hAnsi="Arial"/>
      <w:szCs w:val="20"/>
      <w:lang w:eastAsia="en-GB"/>
    </w:rPr>
  </w:style>
  <w:style w:type="character" w:customStyle="1" w:styleId="HeaderChar">
    <w:name w:val="Header Char"/>
    <w:basedOn w:val="DefaultParagraphFont"/>
    <w:link w:val="Header"/>
    <w:locked/>
    <w:rsid w:val="002E3E41"/>
    <w:rPr>
      <w:rFonts w:ascii="Arial" w:eastAsia="Calibri" w:hAnsi="Arial"/>
      <w:sz w:val="24"/>
      <w:lang w:val="en-GB" w:eastAsia="en-GB" w:bidi="ar-SA"/>
    </w:rPr>
  </w:style>
  <w:style w:type="character" w:customStyle="1" w:styleId="FooterChar">
    <w:name w:val="Footer Char"/>
    <w:basedOn w:val="DefaultParagraphFont"/>
    <w:link w:val="Footer"/>
    <w:uiPriority w:val="99"/>
    <w:locked/>
    <w:rsid w:val="002E3E41"/>
    <w:rPr>
      <w:sz w:val="24"/>
      <w:szCs w:val="24"/>
      <w:lang w:val="en-GB" w:eastAsia="en-US" w:bidi="ar-SA"/>
    </w:rPr>
  </w:style>
  <w:style w:type="paragraph" w:styleId="Title">
    <w:name w:val="Title"/>
    <w:basedOn w:val="Normal"/>
    <w:link w:val="TitleChar"/>
    <w:qFormat/>
    <w:rsid w:val="002E3E41"/>
    <w:pPr>
      <w:jc w:val="center"/>
    </w:pPr>
    <w:rPr>
      <w:rFonts w:ascii="Copperplate Gothic Bold" w:eastAsia="Calibri" w:hAnsi="Copperplate Gothic Bold"/>
      <w:color w:val="800080"/>
      <w:sz w:val="48"/>
      <w:szCs w:val="20"/>
      <w:lang w:eastAsia="en-GB"/>
    </w:rPr>
  </w:style>
  <w:style w:type="character" w:customStyle="1" w:styleId="TitleChar">
    <w:name w:val="Title Char"/>
    <w:basedOn w:val="DefaultParagraphFont"/>
    <w:link w:val="Title"/>
    <w:locked/>
    <w:rsid w:val="002E3E41"/>
    <w:rPr>
      <w:rFonts w:ascii="Copperplate Gothic Bold" w:eastAsia="Calibri" w:hAnsi="Copperplate Gothic Bold"/>
      <w:color w:val="800080"/>
      <w:sz w:val="48"/>
      <w:lang w:val="en-GB" w:eastAsia="en-GB" w:bidi="ar-SA"/>
    </w:rPr>
  </w:style>
  <w:style w:type="paragraph" w:styleId="Subtitle">
    <w:name w:val="Subtitle"/>
    <w:basedOn w:val="Normal"/>
    <w:link w:val="SubtitleChar"/>
    <w:qFormat/>
    <w:rsid w:val="002E3E41"/>
    <w:pPr>
      <w:jc w:val="center"/>
    </w:pPr>
    <w:rPr>
      <w:rFonts w:ascii="Arial" w:eastAsia="Calibri" w:hAnsi="Arial"/>
      <w:b/>
      <w:szCs w:val="20"/>
      <w:lang w:eastAsia="en-GB"/>
    </w:rPr>
  </w:style>
  <w:style w:type="character" w:customStyle="1" w:styleId="SubtitleChar">
    <w:name w:val="Subtitle Char"/>
    <w:basedOn w:val="DefaultParagraphFont"/>
    <w:link w:val="Subtitle"/>
    <w:locked/>
    <w:rsid w:val="002E3E41"/>
    <w:rPr>
      <w:rFonts w:ascii="Arial" w:eastAsia="Calibri" w:hAnsi="Arial"/>
      <w:b/>
      <w:sz w:val="24"/>
      <w:lang w:val="en-GB" w:eastAsia="en-GB" w:bidi="ar-SA"/>
    </w:rPr>
  </w:style>
  <w:style w:type="paragraph" w:customStyle="1" w:styleId="nhsbase">
    <w:name w:val="nhs_base"/>
    <w:basedOn w:val="Normal"/>
    <w:rsid w:val="002E3E41"/>
    <w:rPr>
      <w:rFonts w:ascii="Arial" w:eastAsia="Calibri" w:hAnsi="Arial"/>
      <w:kern w:val="16"/>
      <w:szCs w:val="20"/>
      <w:lang w:eastAsia="en-GB"/>
    </w:rPr>
  </w:style>
  <w:style w:type="table" w:styleId="TableGrid">
    <w:name w:val="Table Grid"/>
    <w:basedOn w:val="TableNormal"/>
    <w:uiPriority w:val="59"/>
    <w:rsid w:val="002E3E4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E61FE"/>
    <w:rPr>
      <w:sz w:val="16"/>
      <w:szCs w:val="16"/>
    </w:rPr>
  </w:style>
  <w:style w:type="paragraph" w:styleId="CommentText">
    <w:name w:val="annotation text"/>
    <w:basedOn w:val="Normal"/>
    <w:link w:val="CommentTextChar"/>
    <w:rsid w:val="007E61FE"/>
    <w:rPr>
      <w:sz w:val="20"/>
      <w:szCs w:val="20"/>
    </w:rPr>
  </w:style>
  <w:style w:type="character" w:customStyle="1" w:styleId="CommentTextChar">
    <w:name w:val="Comment Text Char"/>
    <w:basedOn w:val="DefaultParagraphFont"/>
    <w:link w:val="CommentText"/>
    <w:rsid w:val="007E61FE"/>
    <w:rPr>
      <w:lang w:eastAsia="en-US"/>
    </w:rPr>
  </w:style>
  <w:style w:type="paragraph" w:styleId="CommentSubject">
    <w:name w:val="annotation subject"/>
    <w:basedOn w:val="CommentText"/>
    <w:next w:val="CommentText"/>
    <w:link w:val="CommentSubjectChar"/>
    <w:rsid w:val="007E61FE"/>
    <w:rPr>
      <w:b/>
      <w:bCs/>
    </w:rPr>
  </w:style>
  <w:style w:type="character" w:customStyle="1" w:styleId="CommentSubjectChar">
    <w:name w:val="Comment Subject Char"/>
    <w:basedOn w:val="CommentTextChar"/>
    <w:link w:val="CommentSubject"/>
    <w:rsid w:val="007E61FE"/>
    <w:rPr>
      <w:b/>
      <w:bCs/>
      <w:lang w:eastAsia="en-US"/>
    </w:rPr>
  </w:style>
  <w:style w:type="paragraph" w:styleId="BalloonText">
    <w:name w:val="Balloon Text"/>
    <w:basedOn w:val="Normal"/>
    <w:link w:val="BalloonTextChar"/>
    <w:rsid w:val="007E61FE"/>
    <w:rPr>
      <w:rFonts w:ascii="Tahoma" w:hAnsi="Tahoma" w:cs="Tahoma"/>
      <w:sz w:val="16"/>
      <w:szCs w:val="16"/>
    </w:rPr>
  </w:style>
  <w:style w:type="character" w:customStyle="1" w:styleId="BalloonTextChar">
    <w:name w:val="Balloon Text Char"/>
    <w:basedOn w:val="DefaultParagraphFont"/>
    <w:link w:val="BalloonText"/>
    <w:rsid w:val="007E61FE"/>
    <w:rPr>
      <w:rFonts w:ascii="Tahoma" w:hAnsi="Tahoma" w:cs="Tahoma"/>
      <w:sz w:val="16"/>
      <w:szCs w:val="16"/>
      <w:lang w:eastAsia="en-US"/>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A91EEA"/>
    <w:pPr>
      <w:ind w:left="720"/>
      <w:contextualSpacing/>
    </w:pPr>
  </w:style>
  <w:style w:type="paragraph" w:customStyle="1" w:styleId="Default">
    <w:name w:val="Default"/>
    <w:rsid w:val="009B3E42"/>
    <w:pPr>
      <w:autoSpaceDE w:val="0"/>
      <w:autoSpaceDN w:val="0"/>
      <w:adjustRightInd w:val="0"/>
    </w:pPr>
    <w:rPr>
      <w:rFonts w:ascii="Arial" w:hAnsi="Arial" w:cs="Arial"/>
      <w:color w:val="000000"/>
      <w:sz w:val="24"/>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rsid w:val="0087130D"/>
    <w:rPr>
      <w:sz w:val="24"/>
      <w:szCs w:val="24"/>
      <w:lang w:eastAsia="en-US"/>
    </w:rPr>
  </w:style>
  <w:style w:type="paragraph" w:styleId="NormalWeb">
    <w:name w:val="Normal (Web)"/>
    <w:basedOn w:val="Normal"/>
    <w:uiPriority w:val="99"/>
    <w:unhideWhenUsed/>
    <w:rsid w:val="004D444B"/>
    <w:pPr>
      <w:spacing w:after="240"/>
    </w:pPr>
    <w:rPr>
      <w:lang w:eastAsia="en-GB"/>
    </w:rPr>
  </w:style>
  <w:style w:type="character" w:styleId="FollowedHyperlink">
    <w:name w:val="FollowedHyperlink"/>
    <w:basedOn w:val="DefaultParagraphFont"/>
    <w:uiPriority w:val="99"/>
    <w:unhideWhenUsed/>
    <w:rsid w:val="001F235B"/>
    <w:rPr>
      <w:color w:val="800080" w:themeColor="followedHyperlink"/>
      <w:u w:val="single"/>
    </w:rPr>
  </w:style>
  <w:style w:type="character" w:customStyle="1" w:styleId="apple-converted-space">
    <w:name w:val="apple-converted-space"/>
    <w:basedOn w:val="DefaultParagraphFont"/>
    <w:rsid w:val="001F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2488">
      <w:bodyDiv w:val="1"/>
      <w:marLeft w:val="0"/>
      <w:marRight w:val="0"/>
      <w:marTop w:val="0"/>
      <w:marBottom w:val="0"/>
      <w:divBdr>
        <w:top w:val="none" w:sz="0" w:space="0" w:color="auto"/>
        <w:left w:val="none" w:sz="0" w:space="0" w:color="auto"/>
        <w:bottom w:val="none" w:sz="0" w:space="0" w:color="auto"/>
        <w:right w:val="none" w:sz="0" w:space="0" w:color="auto"/>
      </w:divBdr>
      <w:divsChild>
        <w:div w:id="1369254130">
          <w:marLeft w:val="0"/>
          <w:marRight w:val="0"/>
          <w:marTop w:val="86"/>
          <w:marBottom w:val="0"/>
          <w:divBdr>
            <w:top w:val="none" w:sz="0" w:space="0" w:color="auto"/>
            <w:left w:val="none" w:sz="0" w:space="0" w:color="auto"/>
            <w:bottom w:val="none" w:sz="0" w:space="0" w:color="auto"/>
            <w:right w:val="none" w:sz="0" w:space="0" w:color="auto"/>
          </w:divBdr>
        </w:div>
        <w:div w:id="1395929078">
          <w:marLeft w:val="0"/>
          <w:marRight w:val="0"/>
          <w:marTop w:val="86"/>
          <w:marBottom w:val="0"/>
          <w:divBdr>
            <w:top w:val="none" w:sz="0" w:space="0" w:color="auto"/>
            <w:left w:val="none" w:sz="0" w:space="0" w:color="auto"/>
            <w:bottom w:val="none" w:sz="0" w:space="0" w:color="auto"/>
            <w:right w:val="none" w:sz="0" w:space="0" w:color="auto"/>
          </w:divBdr>
        </w:div>
        <w:div w:id="173957399">
          <w:marLeft w:val="0"/>
          <w:marRight w:val="0"/>
          <w:marTop w:val="86"/>
          <w:marBottom w:val="0"/>
          <w:divBdr>
            <w:top w:val="none" w:sz="0" w:space="0" w:color="auto"/>
            <w:left w:val="none" w:sz="0" w:space="0" w:color="auto"/>
            <w:bottom w:val="none" w:sz="0" w:space="0" w:color="auto"/>
            <w:right w:val="none" w:sz="0" w:space="0" w:color="auto"/>
          </w:divBdr>
        </w:div>
        <w:div w:id="1348479224">
          <w:marLeft w:val="0"/>
          <w:marRight w:val="0"/>
          <w:marTop w:val="86"/>
          <w:marBottom w:val="0"/>
          <w:divBdr>
            <w:top w:val="none" w:sz="0" w:space="0" w:color="auto"/>
            <w:left w:val="none" w:sz="0" w:space="0" w:color="auto"/>
            <w:bottom w:val="none" w:sz="0" w:space="0" w:color="auto"/>
            <w:right w:val="none" w:sz="0" w:space="0" w:color="auto"/>
          </w:divBdr>
        </w:div>
        <w:div w:id="1101412249">
          <w:marLeft w:val="0"/>
          <w:marRight w:val="0"/>
          <w:marTop w:val="86"/>
          <w:marBottom w:val="0"/>
          <w:divBdr>
            <w:top w:val="none" w:sz="0" w:space="0" w:color="auto"/>
            <w:left w:val="none" w:sz="0" w:space="0" w:color="auto"/>
            <w:bottom w:val="none" w:sz="0" w:space="0" w:color="auto"/>
            <w:right w:val="none" w:sz="0" w:space="0" w:color="auto"/>
          </w:divBdr>
        </w:div>
        <w:div w:id="180971221">
          <w:marLeft w:val="0"/>
          <w:marRight w:val="0"/>
          <w:marTop w:val="86"/>
          <w:marBottom w:val="0"/>
          <w:divBdr>
            <w:top w:val="none" w:sz="0" w:space="0" w:color="auto"/>
            <w:left w:val="none" w:sz="0" w:space="0" w:color="auto"/>
            <w:bottom w:val="none" w:sz="0" w:space="0" w:color="auto"/>
            <w:right w:val="none" w:sz="0" w:space="0" w:color="auto"/>
          </w:divBdr>
        </w:div>
        <w:div w:id="314575439">
          <w:marLeft w:val="0"/>
          <w:marRight w:val="0"/>
          <w:marTop w:val="86"/>
          <w:marBottom w:val="0"/>
          <w:divBdr>
            <w:top w:val="none" w:sz="0" w:space="0" w:color="auto"/>
            <w:left w:val="none" w:sz="0" w:space="0" w:color="auto"/>
            <w:bottom w:val="none" w:sz="0" w:space="0" w:color="auto"/>
            <w:right w:val="none" w:sz="0" w:space="0" w:color="auto"/>
          </w:divBdr>
        </w:div>
        <w:div w:id="1995059621">
          <w:marLeft w:val="0"/>
          <w:marRight w:val="0"/>
          <w:marTop w:val="86"/>
          <w:marBottom w:val="0"/>
          <w:divBdr>
            <w:top w:val="none" w:sz="0" w:space="0" w:color="auto"/>
            <w:left w:val="none" w:sz="0" w:space="0" w:color="auto"/>
            <w:bottom w:val="none" w:sz="0" w:space="0" w:color="auto"/>
            <w:right w:val="none" w:sz="0" w:space="0" w:color="auto"/>
          </w:divBdr>
        </w:div>
        <w:div w:id="412164826">
          <w:marLeft w:val="0"/>
          <w:marRight w:val="0"/>
          <w:marTop w:val="86"/>
          <w:marBottom w:val="0"/>
          <w:divBdr>
            <w:top w:val="none" w:sz="0" w:space="0" w:color="auto"/>
            <w:left w:val="none" w:sz="0" w:space="0" w:color="auto"/>
            <w:bottom w:val="none" w:sz="0" w:space="0" w:color="auto"/>
            <w:right w:val="none" w:sz="0" w:space="0" w:color="auto"/>
          </w:divBdr>
        </w:div>
        <w:div w:id="373119536">
          <w:marLeft w:val="0"/>
          <w:marRight w:val="0"/>
          <w:marTop w:val="86"/>
          <w:marBottom w:val="0"/>
          <w:divBdr>
            <w:top w:val="none" w:sz="0" w:space="0" w:color="auto"/>
            <w:left w:val="none" w:sz="0" w:space="0" w:color="auto"/>
            <w:bottom w:val="none" w:sz="0" w:space="0" w:color="auto"/>
            <w:right w:val="none" w:sz="0" w:space="0" w:color="auto"/>
          </w:divBdr>
        </w:div>
      </w:divsChild>
    </w:div>
    <w:div w:id="205065839">
      <w:bodyDiv w:val="1"/>
      <w:marLeft w:val="0"/>
      <w:marRight w:val="0"/>
      <w:marTop w:val="0"/>
      <w:marBottom w:val="0"/>
      <w:divBdr>
        <w:top w:val="none" w:sz="0" w:space="0" w:color="auto"/>
        <w:left w:val="none" w:sz="0" w:space="0" w:color="auto"/>
        <w:bottom w:val="none" w:sz="0" w:space="0" w:color="auto"/>
        <w:right w:val="none" w:sz="0" w:space="0" w:color="auto"/>
      </w:divBdr>
    </w:div>
    <w:div w:id="415634130">
      <w:bodyDiv w:val="1"/>
      <w:marLeft w:val="0"/>
      <w:marRight w:val="0"/>
      <w:marTop w:val="0"/>
      <w:marBottom w:val="0"/>
      <w:divBdr>
        <w:top w:val="none" w:sz="0" w:space="0" w:color="auto"/>
        <w:left w:val="none" w:sz="0" w:space="0" w:color="auto"/>
        <w:bottom w:val="none" w:sz="0" w:space="0" w:color="auto"/>
        <w:right w:val="none" w:sz="0" w:space="0" w:color="auto"/>
      </w:divBdr>
    </w:div>
    <w:div w:id="650718434">
      <w:bodyDiv w:val="1"/>
      <w:marLeft w:val="0"/>
      <w:marRight w:val="0"/>
      <w:marTop w:val="0"/>
      <w:marBottom w:val="0"/>
      <w:divBdr>
        <w:top w:val="none" w:sz="0" w:space="0" w:color="auto"/>
        <w:left w:val="none" w:sz="0" w:space="0" w:color="auto"/>
        <w:bottom w:val="none" w:sz="0" w:space="0" w:color="auto"/>
        <w:right w:val="none" w:sz="0" w:space="0" w:color="auto"/>
      </w:divBdr>
    </w:div>
    <w:div w:id="719479347">
      <w:bodyDiv w:val="1"/>
      <w:marLeft w:val="0"/>
      <w:marRight w:val="0"/>
      <w:marTop w:val="0"/>
      <w:marBottom w:val="0"/>
      <w:divBdr>
        <w:top w:val="none" w:sz="0" w:space="0" w:color="auto"/>
        <w:left w:val="none" w:sz="0" w:space="0" w:color="auto"/>
        <w:bottom w:val="none" w:sz="0" w:space="0" w:color="auto"/>
        <w:right w:val="none" w:sz="0" w:space="0" w:color="auto"/>
      </w:divBdr>
    </w:div>
    <w:div w:id="1153335241">
      <w:bodyDiv w:val="1"/>
      <w:marLeft w:val="0"/>
      <w:marRight w:val="0"/>
      <w:marTop w:val="0"/>
      <w:marBottom w:val="0"/>
      <w:divBdr>
        <w:top w:val="none" w:sz="0" w:space="0" w:color="auto"/>
        <w:left w:val="none" w:sz="0" w:space="0" w:color="auto"/>
        <w:bottom w:val="none" w:sz="0" w:space="0" w:color="auto"/>
        <w:right w:val="none" w:sz="0" w:space="0" w:color="auto"/>
      </w:divBdr>
      <w:divsChild>
        <w:div w:id="1260144660">
          <w:marLeft w:val="0"/>
          <w:marRight w:val="0"/>
          <w:marTop w:val="0"/>
          <w:marBottom w:val="0"/>
          <w:divBdr>
            <w:top w:val="none" w:sz="0" w:space="0" w:color="auto"/>
            <w:left w:val="none" w:sz="0" w:space="0" w:color="auto"/>
            <w:bottom w:val="none" w:sz="0" w:space="0" w:color="auto"/>
            <w:right w:val="none" w:sz="0" w:space="0" w:color="auto"/>
          </w:divBdr>
          <w:divsChild>
            <w:div w:id="955596706">
              <w:marLeft w:val="0"/>
              <w:marRight w:val="0"/>
              <w:marTop w:val="0"/>
              <w:marBottom w:val="0"/>
              <w:divBdr>
                <w:top w:val="none" w:sz="0" w:space="0" w:color="auto"/>
                <w:left w:val="none" w:sz="0" w:space="0" w:color="auto"/>
                <w:bottom w:val="none" w:sz="0" w:space="0" w:color="auto"/>
                <w:right w:val="none" w:sz="0" w:space="0" w:color="auto"/>
              </w:divBdr>
              <w:divsChild>
                <w:div w:id="1158689547">
                  <w:marLeft w:val="0"/>
                  <w:marRight w:val="0"/>
                  <w:marTop w:val="0"/>
                  <w:marBottom w:val="0"/>
                  <w:divBdr>
                    <w:top w:val="none" w:sz="0" w:space="0" w:color="auto"/>
                    <w:left w:val="none" w:sz="0" w:space="0" w:color="auto"/>
                    <w:bottom w:val="none" w:sz="0" w:space="0" w:color="auto"/>
                    <w:right w:val="none" w:sz="0" w:space="0" w:color="auto"/>
                  </w:divBdr>
                  <w:divsChild>
                    <w:div w:id="1956517418">
                      <w:marLeft w:val="-450"/>
                      <w:marRight w:val="0"/>
                      <w:marTop w:val="0"/>
                      <w:marBottom w:val="0"/>
                      <w:divBdr>
                        <w:top w:val="none" w:sz="0" w:space="0" w:color="auto"/>
                        <w:left w:val="none" w:sz="0" w:space="0" w:color="auto"/>
                        <w:bottom w:val="none" w:sz="0" w:space="0" w:color="auto"/>
                        <w:right w:val="none" w:sz="0" w:space="0" w:color="auto"/>
                      </w:divBdr>
                      <w:divsChild>
                        <w:div w:id="12612315">
                          <w:marLeft w:val="0"/>
                          <w:marRight w:val="0"/>
                          <w:marTop w:val="0"/>
                          <w:marBottom w:val="0"/>
                          <w:divBdr>
                            <w:top w:val="none" w:sz="0" w:space="0" w:color="auto"/>
                            <w:left w:val="none" w:sz="0" w:space="0" w:color="auto"/>
                            <w:bottom w:val="none" w:sz="0" w:space="0" w:color="auto"/>
                            <w:right w:val="none" w:sz="0" w:space="0" w:color="auto"/>
                          </w:divBdr>
                          <w:divsChild>
                            <w:div w:id="2103136662">
                              <w:marLeft w:val="0"/>
                              <w:marRight w:val="0"/>
                              <w:marTop w:val="0"/>
                              <w:marBottom w:val="0"/>
                              <w:divBdr>
                                <w:top w:val="none" w:sz="0" w:space="0" w:color="auto"/>
                                <w:left w:val="none" w:sz="0" w:space="0" w:color="auto"/>
                                <w:bottom w:val="none" w:sz="0" w:space="0" w:color="auto"/>
                                <w:right w:val="none" w:sz="0" w:space="0" w:color="auto"/>
                              </w:divBdr>
                              <w:divsChild>
                                <w:div w:id="2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952028">
      <w:bodyDiv w:val="1"/>
      <w:marLeft w:val="0"/>
      <w:marRight w:val="0"/>
      <w:marTop w:val="0"/>
      <w:marBottom w:val="0"/>
      <w:divBdr>
        <w:top w:val="none" w:sz="0" w:space="0" w:color="auto"/>
        <w:left w:val="none" w:sz="0" w:space="0" w:color="auto"/>
        <w:bottom w:val="none" w:sz="0" w:space="0" w:color="auto"/>
        <w:right w:val="none" w:sz="0" w:space="0" w:color="auto"/>
      </w:divBdr>
    </w:div>
    <w:div w:id="1538810670">
      <w:bodyDiv w:val="1"/>
      <w:marLeft w:val="0"/>
      <w:marRight w:val="0"/>
      <w:marTop w:val="0"/>
      <w:marBottom w:val="0"/>
      <w:divBdr>
        <w:top w:val="none" w:sz="0" w:space="0" w:color="auto"/>
        <w:left w:val="none" w:sz="0" w:space="0" w:color="auto"/>
        <w:bottom w:val="none" w:sz="0" w:space="0" w:color="auto"/>
        <w:right w:val="none" w:sz="0" w:space="0" w:color="auto"/>
      </w:divBdr>
      <w:divsChild>
        <w:div w:id="1348361834">
          <w:marLeft w:val="0"/>
          <w:marRight w:val="0"/>
          <w:marTop w:val="86"/>
          <w:marBottom w:val="0"/>
          <w:divBdr>
            <w:top w:val="none" w:sz="0" w:space="0" w:color="auto"/>
            <w:left w:val="none" w:sz="0" w:space="0" w:color="auto"/>
            <w:bottom w:val="none" w:sz="0" w:space="0" w:color="auto"/>
            <w:right w:val="none" w:sz="0" w:space="0" w:color="auto"/>
          </w:divBdr>
        </w:div>
        <w:div w:id="547302549">
          <w:marLeft w:val="0"/>
          <w:marRight w:val="0"/>
          <w:marTop w:val="86"/>
          <w:marBottom w:val="0"/>
          <w:divBdr>
            <w:top w:val="none" w:sz="0" w:space="0" w:color="auto"/>
            <w:left w:val="none" w:sz="0" w:space="0" w:color="auto"/>
            <w:bottom w:val="none" w:sz="0" w:space="0" w:color="auto"/>
            <w:right w:val="none" w:sz="0" w:space="0" w:color="auto"/>
          </w:divBdr>
        </w:div>
      </w:divsChild>
    </w:div>
    <w:div w:id="1736928961">
      <w:bodyDiv w:val="1"/>
      <w:marLeft w:val="0"/>
      <w:marRight w:val="0"/>
      <w:marTop w:val="0"/>
      <w:marBottom w:val="0"/>
      <w:divBdr>
        <w:top w:val="none" w:sz="0" w:space="0" w:color="auto"/>
        <w:left w:val="none" w:sz="0" w:space="0" w:color="auto"/>
        <w:bottom w:val="none" w:sz="0" w:space="0" w:color="auto"/>
        <w:right w:val="none" w:sz="0" w:space="0" w:color="auto"/>
      </w:divBdr>
      <w:divsChild>
        <w:div w:id="1650792925">
          <w:marLeft w:val="0"/>
          <w:marRight w:val="0"/>
          <w:marTop w:val="86"/>
          <w:marBottom w:val="0"/>
          <w:divBdr>
            <w:top w:val="none" w:sz="0" w:space="0" w:color="auto"/>
            <w:left w:val="none" w:sz="0" w:space="0" w:color="auto"/>
            <w:bottom w:val="none" w:sz="0" w:space="0" w:color="auto"/>
            <w:right w:val="none" w:sz="0" w:space="0" w:color="auto"/>
          </w:divBdr>
        </w:div>
        <w:div w:id="1346134427">
          <w:marLeft w:val="0"/>
          <w:marRight w:val="0"/>
          <w:marTop w:val="86"/>
          <w:marBottom w:val="0"/>
          <w:divBdr>
            <w:top w:val="none" w:sz="0" w:space="0" w:color="auto"/>
            <w:left w:val="none" w:sz="0" w:space="0" w:color="auto"/>
            <w:bottom w:val="none" w:sz="0" w:space="0" w:color="auto"/>
            <w:right w:val="none" w:sz="0" w:space="0" w:color="auto"/>
          </w:divBdr>
        </w:div>
        <w:div w:id="453141090">
          <w:marLeft w:val="0"/>
          <w:marRight w:val="0"/>
          <w:marTop w:val="86"/>
          <w:marBottom w:val="0"/>
          <w:divBdr>
            <w:top w:val="none" w:sz="0" w:space="0" w:color="auto"/>
            <w:left w:val="none" w:sz="0" w:space="0" w:color="auto"/>
            <w:bottom w:val="none" w:sz="0" w:space="0" w:color="auto"/>
            <w:right w:val="none" w:sz="0" w:space="0" w:color="auto"/>
          </w:divBdr>
        </w:div>
        <w:div w:id="1719090289">
          <w:marLeft w:val="0"/>
          <w:marRight w:val="0"/>
          <w:marTop w:val="86"/>
          <w:marBottom w:val="0"/>
          <w:divBdr>
            <w:top w:val="none" w:sz="0" w:space="0" w:color="auto"/>
            <w:left w:val="none" w:sz="0" w:space="0" w:color="auto"/>
            <w:bottom w:val="none" w:sz="0" w:space="0" w:color="auto"/>
            <w:right w:val="none" w:sz="0" w:space="0" w:color="auto"/>
          </w:divBdr>
        </w:div>
      </w:divsChild>
    </w:div>
    <w:div w:id="1972635911">
      <w:bodyDiv w:val="1"/>
      <w:marLeft w:val="0"/>
      <w:marRight w:val="0"/>
      <w:marTop w:val="0"/>
      <w:marBottom w:val="0"/>
      <w:divBdr>
        <w:top w:val="none" w:sz="0" w:space="0" w:color="auto"/>
        <w:left w:val="none" w:sz="0" w:space="0" w:color="auto"/>
        <w:bottom w:val="none" w:sz="0" w:space="0" w:color="auto"/>
        <w:right w:val="none" w:sz="0" w:space="0" w:color="auto"/>
      </w:divBdr>
    </w:div>
    <w:div w:id="2001762631">
      <w:bodyDiv w:val="1"/>
      <w:marLeft w:val="0"/>
      <w:marRight w:val="0"/>
      <w:marTop w:val="0"/>
      <w:marBottom w:val="0"/>
      <w:divBdr>
        <w:top w:val="none" w:sz="0" w:space="0" w:color="auto"/>
        <w:left w:val="none" w:sz="0" w:space="0" w:color="auto"/>
        <w:bottom w:val="none" w:sz="0" w:space="0" w:color="auto"/>
        <w:right w:val="none" w:sz="0" w:space="0" w:color="auto"/>
      </w:divBdr>
      <w:divsChild>
        <w:div w:id="2108502500">
          <w:marLeft w:val="0"/>
          <w:marRight w:val="0"/>
          <w:marTop w:val="86"/>
          <w:marBottom w:val="0"/>
          <w:divBdr>
            <w:top w:val="none" w:sz="0" w:space="0" w:color="auto"/>
            <w:left w:val="none" w:sz="0" w:space="0" w:color="auto"/>
            <w:bottom w:val="none" w:sz="0" w:space="0" w:color="auto"/>
            <w:right w:val="none" w:sz="0" w:space="0" w:color="auto"/>
          </w:divBdr>
        </w:div>
        <w:div w:id="100491964">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yber-resilience-strategy-scotland-public-sector-action-plan-2017-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488DF-36CE-4F21-8C86-8FD004BD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4442</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National Waiting Times Centre Board</vt:lpstr>
    </vt:vector>
  </TitlesOfParts>
  <Company>GJNH</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Waiting Times Centre Board</dc:title>
  <dc:creator>National Waiting Times Centre</dc:creator>
  <cp:lastModifiedBy>Nicki Hamer (NHS GOLDEN JUBILEE)</cp:lastModifiedBy>
  <cp:revision>4</cp:revision>
  <cp:lastPrinted>2020-06-09T15:36:00Z</cp:lastPrinted>
  <dcterms:created xsi:type="dcterms:W3CDTF">2023-07-18T16:11:00Z</dcterms:created>
  <dcterms:modified xsi:type="dcterms:W3CDTF">2023-07-19T10:53:00Z</dcterms:modified>
</cp:coreProperties>
</file>