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F35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5E2EBF4" wp14:editId="0D82AC7C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F1F4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2126CE1F" w14:textId="57B18323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bookmarkStart w:id="0" w:name="_GoBack"/>
      <w:bookmarkEnd w:id="0"/>
      <w:r w:rsidR="00050D76" w:rsidRPr="00050D76">
        <w:rPr>
          <w:rStyle w:val="Heading3Char"/>
          <w:b/>
        </w:rPr>
        <w:t xml:space="preserve"> Board Meeting </w:t>
      </w:r>
    </w:p>
    <w:p w14:paraId="68BE42BE" w14:textId="77777777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AD01F4">
        <w:rPr>
          <w:rStyle w:val="Heading3Char"/>
          <w:b/>
        </w:rPr>
        <w:t>24 January 2023</w:t>
      </w:r>
    </w:p>
    <w:p w14:paraId="661357CD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050D76" w:rsidRPr="00050D76">
        <w:rPr>
          <w:rFonts w:cs="Arial"/>
          <w:bCs/>
        </w:rPr>
        <w:t>Finance and Performance Committee update</w:t>
      </w:r>
    </w:p>
    <w:p w14:paraId="0F1C3914" w14:textId="77777777" w:rsidR="0003098A" w:rsidRPr="00F3337D" w:rsidRDefault="0003098A" w:rsidP="00C3506D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C3506D">
        <w:rPr>
          <w:rStyle w:val="Heading3Char"/>
          <w:b/>
        </w:rPr>
        <w:t xml:space="preserve">Michael Breen, Finance Director / </w:t>
      </w:r>
      <w:r w:rsidR="00050D76">
        <w:rPr>
          <w:rStyle w:val="Heading3Char"/>
          <w:b/>
        </w:rPr>
        <w:t>Stephen McAllister</w:t>
      </w:r>
      <w:r w:rsidR="00C3506D">
        <w:rPr>
          <w:rStyle w:val="Heading3Char"/>
          <w:b/>
        </w:rPr>
        <w:t>, Non-Executive Director</w:t>
      </w:r>
      <w:r w:rsidR="00C3506D" w:rsidRPr="00C3506D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 of FPC)</w:t>
      </w:r>
    </w:p>
    <w:p w14:paraId="48C6736E" w14:textId="77777777" w:rsidR="00430C09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C3506D">
        <w:rPr>
          <w:rStyle w:val="Heading3Char"/>
          <w:b/>
        </w:rPr>
        <w:tab/>
        <w:t>Nicki Hamer, Interim Head of Corporate Governance and Board Secretary</w:t>
      </w:r>
      <w:r w:rsidR="00B77902">
        <w:rPr>
          <w:rStyle w:val="Heading3Char"/>
          <w:b/>
        </w:rPr>
        <w:tab/>
      </w:r>
      <w:r w:rsidR="00050D76">
        <w:rPr>
          <w:rStyle w:val="Heading3Char"/>
          <w:b/>
        </w:rPr>
        <w:t xml:space="preserve"> </w:t>
      </w:r>
    </w:p>
    <w:p w14:paraId="00472186" w14:textId="77777777" w:rsidR="00B77902" w:rsidRPr="00B77902" w:rsidRDefault="00B77902" w:rsidP="00B77902"/>
    <w:p w14:paraId="43DDCDFF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2F3491F2" w14:textId="77777777" w:rsidR="003D757C" w:rsidRPr="003D757C" w:rsidRDefault="003D757C" w:rsidP="003D757C">
      <w:pPr>
        <w:ind w:left="709"/>
      </w:pPr>
    </w:p>
    <w:p w14:paraId="0ECFBEC5" w14:textId="77777777"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</w:t>
      </w:r>
      <w:proofErr w:type="gramStart"/>
      <w:r w:rsidRPr="009807B4">
        <w:rPr>
          <w:lang w:eastAsia="en-GB"/>
        </w:rPr>
        <w:t>is presented</w:t>
      </w:r>
      <w:proofErr w:type="gramEnd"/>
      <w:r w:rsidRPr="009807B4">
        <w:rPr>
          <w:lang w:eastAsia="en-GB"/>
        </w:rPr>
        <w:t xml:space="preserve"> to the Board for: </w:t>
      </w:r>
    </w:p>
    <w:p w14:paraId="52D6347A" w14:textId="77777777" w:rsidR="003D757C" w:rsidRPr="003D757C" w:rsidRDefault="003D757C" w:rsidP="003D757C">
      <w:pPr>
        <w:rPr>
          <w:lang w:eastAsia="en-GB"/>
        </w:rPr>
      </w:pPr>
    </w:p>
    <w:p w14:paraId="7EA80CE6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1003D8EE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7EA5E239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3CE494A7" w14:textId="77777777" w:rsidR="003D757C" w:rsidRPr="003D757C" w:rsidRDefault="003D757C" w:rsidP="003D757C">
      <w:pPr>
        <w:rPr>
          <w:lang w:eastAsia="en-GB"/>
        </w:rPr>
      </w:pPr>
    </w:p>
    <w:p w14:paraId="28278C88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10470A49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106253EF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273AC141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1414B4C1" w14:textId="77777777" w:rsidR="003D757C" w:rsidRPr="003D757C" w:rsidRDefault="003D757C" w:rsidP="003D757C">
      <w:pPr>
        <w:rPr>
          <w:lang w:eastAsia="en-GB"/>
        </w:rPr>
      </w:pPr>
    </w:p>
    <w:p w14:paraId="7967174B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02F58785" w14:textId="77777777" w:rsidR="00430C09" w:rsidRDefault="00430C09" w:rsidP="009807B4">
      <w:pPr>
        <w:spacing w:line="276" w:lineRule="auto"/>
      </w:pPr>
    </w:p>
    <w:p w14:paraId="205CA2C1" w14:textId="6989294D"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1CDC8AC1" w14:textId="77777777"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14:paraId="53C3C0EA" w14:textId="77777777" w:rsidR="00050D76" w:rsidRDefault="00050D76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 xml:space="preserve">Finance and Performance Committee (FPC) </w:t>
      </w:r>
      <w:proofErr w:type="gramStart"/>
      <w:r>
        <w:rPr>
          <w:rFonts w:cs="Arial"/>
          <w:bCs/>
        </w:rPr>
        <w:t>was held</w:t>
      </w:r>
      <w:proofErr w:type="gramEnd"/>
      <w:r>
        <w:rPr>
          <w:rFonts w:cs="Arial"/>
          <w:bCs/>
        </w:rPr>
        <w:t xml:space="preserve"> on </w:t>
      </w:r>
      <w:r w:rsidR="00DE04A0">
        <w:rPr>
          <w:rFonts w:cs="Arial"/>
          <w:bCs/>
        </w:rPr>
        <w:t>10 January 2023</w:t>
      </w:r>
      <w:r>
        <w:rPr>
          <w:rFonts w:cs="Arial"/>
          <w:bCs/>
        </w:rPr>
        <w:t xml:space="preserve">, the following key points were noted at the meeting.  </w:t>
      </w:r>
    </w:p>
    <w:p w14:paraId="17CCB0B2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30C189A8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22A34E6B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6E0429B9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14:paraId="28C648C4" w14:textId="77777777" w:rsidTr="00F84DD9">
        <w:tc>
          <w:tcPr>
            <w:tcW w:w="1251" w:type="dxa"/>
            <w:gridSpan w:val="2"/>
          </w:tcPr>
          <w:p w14:paraId="0BCAB7CB" w14:textId="77777777" w:rsidR="00050D76" w:rsidRPr="00C30F3E" w:rsidRDefault="00050D76" w:rsidP="00F84DD9">
            <w:pPr>
              <w:rPr>
                <w:rFonts w:cs="Arial"/>
                <w:bCs/>
                <w:lang w:val="en-US"/>
              </w:rPr>
            </w:pPr>
            <w:r w:rsidRPr="00C30F3E">
              <w:rPr>
                <w:rFonts w:cs="Arial"/>
                <w:b/>
                <w:bCs/>
                <w:lang w:val="en-US"/>
              </w:rPr>
              <w:t>Effective</w:t>
            </w:r>
          </w:p>
          <w:p w14:paraId="7AF99E57" w14:textId="77777777" w:rsidR="00050D76" w:rsidRPr="00C30F3E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</w:tc>
        <w:tc>
          <w:tcPr>
            <w:tcW w:w="7929" w:type="dxa"/>
          </w:tcPr>
          <w:p w14:paraId="553C6744" w14:textId="60286B06" w:rsidR="00C3506D" w:rsidRPr="00E82894" w:rsidRDefault="00E16549" w:rsidP="00B04CA5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2894">
              <w:rPr>
                <w:rFonts w:ascii="Arial" w:hAnsi="Arial" w:cs="Arial"/>
                <w:sz w:val="24"/>
                <w:szCs w:val="24"/>
              </w:rPr>
              <w:t xml:space="preserve">The Committee commended </w:t>
            </w:r>
            <w:r w:rsidR="00BD7C57" w:rsidRPr="00E82894">
              <w:rPr>
                <w:rFonts w:ascii="Arial" w:hAnsi="Arial" w:cs="Arial"/>
                <w:sz w:val="24"/>
                <w:szCs w:val="24"/>
              </w:rPr>
              <w:t xml:space="preserve">some of </w:t>
            </w:r>
            <w:r w:rsidR="00FB5D47" w:rsidRPr="00E82894">
              <w:rPr>
                <w:rFonts w:ascii="Arial" w:hAnsi="Arial" w:cs="Arial"/>
                <w:sz w:val="24"/>
                <w:szCs w:val="24"/>
              </w:rPr>
              <w:t xml:space="preserve">work that </w:t>
            </w:r>
            <w:proofErr w:type="gramStart"/>
            <w:r w:rsidR="00FB5D47" w:rsidRPr="00E82894">
              <w:rPr>
                <w:rFonts w:ascii="Arial" w:hAnsi="Arial" w:cs="Arial"/>
                <w:sz w:val="24"/>
                <w:szCs w:val="24"/>
              </w:rPr>
              <w:t>has been done</w:t>
            </w:r>
            <w:proofErr w:type="gramEnd"/>
            <w:r w:rsidR="00FB5D47" w:rsidRPr="00E82894">
              <w:rPr>
                <w:rFonts w:ascii="Arial" w:hAnsi="Arial" w:cs="Arial"/>
                <w:sz w:val="24"/>
                <w:szCs w:val="24"/>
              </w:rPr>
              <w:t xml:space="preserve"> and outcomes achieved</w:t>
            </w:r>
            <w:r w:rsidR="00785DD1" w:rsidRPr="00E82894">
              <w:rPr>
                <w:rFonts w:ascii="Arial" w:hAnsi="Arial" w:cs="Arial"/>
                <w:sz w:val="24"/>
                <w:szCs w:val="24"/>
              </w:rPr>
              <w:t xml:space="preserve"> in terms of the</w:t>
            </w:r>
            <w:r w:rsidR="000E2BDE" w:rsidRPr="00E828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DD1" w:rsidRPr="00E82894">
              <w:rPr>
                <w:rFonts w:ascii="Arial" w:hAnsi="Arial" w:cs="Arial"/>
                <w:sz w:val="24"/>
                <w:szCs w:val="24"/>
              </w:rPr>
              <w:t>red</w:t>
            </w:r>
            <w:r w:rsidR="0006550E" w:rsidRPr="00E82894">
              <w:rPr>
                <w:rFonts w:ascii="Arial" w:hAnsi="Arial" w:cs="Arial"/>
                <w:sz w:val="24"/>
                <w:szCs w:val="24"/>
              </w:rPr>
              <w:t>uction in outpatient cancellations</w:t>
            </w:r>
            <w:r w:rsidR="004C4472" w:rsidRPr="00E8289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D7C57" w:rsidRPr="00E82894">
              <w:rPr>
                <w:rFonts w:ascii="Arial" w:hAnsi="Arial" w:cs="Arial"/>
                <w:sz w:val="24"/>
                <w:szCs w:val="24"/>
              </w:rPr>
              <w:t xml:space="preserve">The Committee acknowledged that </w:t>
            </w:r>
            <w:r w:rsidR="00FB5D47" w:rsidRPr="00E82894">
              <w:rPr>
                <w:rFonts w:ascii="Arial" w:hAnsi="Arial" w:cs="Arial"/>
                <w:sz w:val="24"/>
                <w:szCs w:val="24"/>
              </w:rPr>
              <w:t xml:space="preserve">the learning from the improvement in some specialties </w:t>
            </w:r>
            <w:proofErr w:type="gramStart"/>
            <w:r w:rsidR="00FB5D47" w:rsidRPr="00E82894">
              <w:rPr>
                <w:rFonts w:ascii="Arial" w:hAnsi="Arial" w:cs="Arial"/>
                <w:sz w:val="24"/>
                <w:szCs w:val="24"/>
              </w:rPr>
              <w:t>will</w:t>
            </w:r>
            <w:proofErr w:type="gramEnd"/>
            <w:r w:rsidR="00FB5D47" w:rsidRPr="00E82894">
              <w:rPr>
                <w:rFonts w:ascii="Arial" w:hAnsi="Arial" w:cs="Arial"/>
                <w:sz w:val="24"/>
                <w:szCs w:val="24"/>
              </w:rPr>
              <w:t xml:space="preserve"> be shared in order to achieve an overall improvement across Divisions. </w:t>
            </w:r>
            <w:r w:rsidR="00BD7C57" w:rsidRPr="00E828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06D" w:rsidRPr="00E82894"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B57607" w:rsidRPr="00E82894">
              <w:rPr>
                <w:rFonts w:ascii="Arial" w:hAnsi="Arial" w:cs="Arial"/>
                <w:sz w:val="24"/>
                <w:szCs w:val="24"/>
              </w:rPr>
              <w:t xml:space="preserve">discussed the requirement to advance </w:t>
            </w:r>
            <w:r w:rsidR="00C3506D" w:rsidRPr="00E82894">
              <w:rPr>
                <w:rFonts w:ascii="Arial" w:hAnsi="Arial" w:cs="Arial"/>
                <w:sz w:val="24"/>
                <w:szCs w:val="24"/>
              </w:rPr>
              <w:t>digital enablement</w:t>
            </w:r>
            <w:r w:rsidR="00B57607" w:rsidRPr="00E82894">
              <w:rPr>
                <w:rFonts w:ascii="Arial" w:hAnsi="Arial" w:cs="Arial"/>
                <w:sz w:val="24"/>
                <w:szCs w:val="24"/>
              </w:rPr>
              <w:t xml:space="preserve"> across a number of service areas</w:t>
            </w:r>
            <w:r w:rsidR="00C3506D" w:rsidRPr="00E8289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5278B1" w14:textId="77777777" w:rsidR="00785DD1" w:rsidRPr="00C3506D" w:rsidRDefault="00785DD1" w:rsidP="00C3506D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ECE1BD" w14:textId="77777777" w:rsidR="00785DD1" w:rsidRDefault="00E16549" w:rsidP="00E1654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6549">
              <w:rPr>
                <w:rFonts w:ascii="Arial" w:hAnsi="Arial" w:cs="Arial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Committee </w:t>
            </w:r>
            <w:proofErr w:type="gramStart"/>
            <w:r w:rsidR="00682DC0">
              <w:rPr>
                <w:rFonts w:ascii="Arial" w:hAnsi="Arial" w:cs="Arial"/>
                <w:sz w:val="24"/>
                <w:szCs w:val="24"/>
              </w:rPr>
              <w:t>were given</w:t>
            </w:r>
            <w:proofErr w:type="gramEnd"/>
            <w:r w:rsidR="00682DC0">
              <w:rPr>
                <w:rFonts w:ascii="Arial" w:hAnsi="Arial" w:cs="Arial"/>
                <w:sz w:val="24"/>
                <w:szCs w:val="24"/>
              </w:rPr>
              <w:t xml:space="preserve"> a level of assurance that finances were on track to deliver the</w:t>
            </w:r>
            <w:r w:rsidR="00B57607">
              <w:rPr>
                <w:rFonts w:ascii="Arial" w:hAnsi="Arial" w:cs="Arial"/>
                <w:sz w:val="24"/>
                <w:szCs w:val="24"/>
              </w:rPr>
              <w:t xml:space="preserve"> breakeven</w:t>
            </w:r>
            <w:r w:rsidR="00682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607">
              <w:rPr>
                <w:rFonts w:ascii="Arial" w:hAnsi="Arial" w:cs="Arial"/>
                <w:sz w:val="24"/>
                <w:szCs w:val="24"/>
              </w:rPr>
              <w:t xml:space="preserve">position per the </w:t>
            </w:r>
            <w:r w:rsidR="00682DC0">
              <w:rPr>
                <w:rFonts w:ascii="Arial" w:hAnsi="Arial" w:cs="Arial"/>
                <w:sz w:val="24"/>
                <w:szCs w:val="24"/>
              </w:rPr>
              <w:t xml:space="preserve">Financial Plan for 2022/23.  However, Committee accepted there were challenges around </w:t>
            </w:r>
            <w:r w:rsidR="00B57607">
              <w:rPr>
                <w:rFonts w:ascii="Arial" w:hAnsi="Arial" w:cs="Arial"/>
                <w:sz w:val="24"/>
                <w:szCs w:val="24"/>
              </w:rPr>
              <w:t xml:space="preserve">some budgets areas specifically </w:t>
            </w:r>
            <w:r w:rsidR="00682DC0">
              <w:rPr>
                <w:rFonts w:ascii="Arial" w:hAnsi="Arial" w:cs="Arial"/>
                <w:sz w:val="24"/>
                <w:szCs w:val="24"/>
              </w:rPr>
              <w:t>surgical supplies and medical pay budgets</w:t>
            </w:r>
            <w:r w:rsidR="00B57607">
              <w:rPr>
                <w:rFonts w:ascii="Arial" w:hAnsi="Arial" w:cs="Arial"/>
                <w:sz w:val="24"/>
                <w:szCs w:val="24"/>
              </w:rPr>
              <w:t xml:space="preserve">. It was agreed that the next meeting should include a more detailed review of the surgical supply position as well as the efficiencies work undertaken during the year including the balance between </w:t>
            </w:r>
            <w:r w:rsidR="00682DC0">
              <w:rPr>
                <w:rFonts w:ascii="Arial" w:hAnsi="Arial" w:cs="Arial"/>
                <w:sz w:val="24"/>
                <w:szCs w:val="24"/>
              </w:rPr>
              <w:t xml:space="preserve"> recurring versus non-recurring.</w:t>
            </w:r>
          </w:p>
          <w:p w14:paraId="099CD56C" w14:textId="77777777" w:rsidR="00682DC0" w:rsidRPr="00682DC0" w:rsidRDefault="00682DC0" w:rsidP="00682DC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B447D4" w14:textId="77777777" w:rsidR="00076EF2" w:rsidRDefault="00E16549" w:rsidP="00785DD1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682DC0">
              <w:rPr>
                <w:rFonts w:ascii="Arial" w:hAnsi="Arial" w:cs="Arial"/>
                <w:sz w:val="24"/>
                <w:szCs w:val="24"/>
              </w:rPr>
              <w:t xml:space="preserve">received the </w:t>
            </w:r>
            <w:r w:rsidR="00B57607">
              <w:rPr>
                <w:rFonts w:ascii="Arial" w:hAnsi="Arial" w:cs="Arial"/>
                <w:sz w:val="24"/>
                <w:szCs w:val="24"/>
              </w:rPr>
              <w:t xml:space="preserve">Phase 2 </w:t>
            </w:r>
            <w:r w:rsidR="00682DC0">
              <w:rPr>
                <w:rFonts w:ascii="Arial" w:hAnsi="Arial" w:cs="Arial"/>
                <w:sz w:val="24"/>
                <w:szCs w:val="24"/>
              </w:rPr>
              <w:t>Expansion Upd</w:t>
            </w:r>
            <w:r w:rsidR="00076EF2">
              <w:rPr>
                <w:rFonts w:ascii="Arial" w:hAnsi="Arial" w:cs="Arial"/>
                <w:sz w:val="24"/>
                <w:szCs w:val="24"/>
              </w:rPr>
              <w:t>ate and were content to note this was on track</w:t>
            </w:r>
            <w:r w:rsidR="00682D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3487AC" w14:textId="77777777" w:rsidR="00076EF2" w:rsidRPr="00076EF2" w:rsidRDefault="00076EF2" w:rsidP="00076EF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D45D4C3" w14:textId="77777777" w:rsidR="00076EF2" w:rsidRDefault="00E16549" w:rsidP="00785DD1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a</w:t>
            </w:r>
            <w:r w:rsidR="00076EF2">
              <w:rPr>
                <w:rFonts w:ascii="Arial" w:hAnsi="Arial" w:cs="Arial"/>
                <w:sz w:val="24"/>
                <w:szCs w:val="24"/>
              </w:rPr>
              <w:t>pproved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changes to the T</w:t>
            </w:r>
            <w:r w:rsidR="00076EF2">
              <w:rPr>
                <w:rFonts w:ascii="Arial" w:hAnsi="Arial" w:cs="Arial"/>
                <w:sz w:val="24"/>
                <w:szCs w:val="24"/>
              </w:rPr>
              <w:t xml:space="preserve">erms of Reference to include the addition of another Non-Executive member as the Climate Emergency and Sustainable Development Champion.  </w:t>
            </w:r>
          </w:p>
          <w:p w14:paraId="1AFFF94F" w14:textId="77777777" w:rsidR="00076EF2" w:rsidRPr="00076EF2" w:rsidRDefault="00076EF2" w:rsidP="00076EF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90C1594" w14:textId="77777777" w:rsidR="0006550E" w:rsidRDefault="00E16549" w:rsidP="00785DD1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076EF2">
              <w:rPr>
                <w:rFonts w:ascii="Arial" w:hAnsi="Arial" w:cs="Arial"/>
                <w:sz w:val="24"/>
                <w:szCs w:val="24"/>
              </w:rPr>
              <w:t>received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550E">
              <w:rPr>
                <w:rFonts w:ascii="Arial" w:hAnsi="Arial" w:cs="Arial"/>
                <w:sz w:val="24"/>
                <w:szCs w:val="24"/>
              </w:rPr>
              <w:t xml:space="preserve">ADP update </w:t>
            </w:r>
            <w:r w:rsidR="00AD01F4">
              <w:rPr>
                <w:rFonts w:ascii="Arial" w:hAnsi="Arial" w:cs="Arial"/>
                <w:sz w:val="24"/>
                <w:szCs w:val="24"/>
              </w:rPr>
              <w:t xml:space="preserve">feedback from </w:t>
            </w:r>
            <w:proofErr w:type="gramStart"/>
            <w:r w:rsidR="00085465">
              <w:rPr>
                <w:rFonts w:ascii="Arial" w:hAnsi="Arial" w:cs="Arial"/>
                <w:sz w:val="24"/>
                <w:szCs w:val="24"/>
              </w:rPr>
              <w:t>SG which</w:t>
            </w:r>
            <w:proofErr w:type="gramEnd"/>
            <w:r w:rsidR="00085465">
              <w:rPr>
                <w:rFonts w:ascii="Arial" w:hAnsi="Arial" w:cs="Arial"/>
                <w:sz w:val="24"/>
                <w:szCs w:val="24"/>
              </w:rPr>
              <w:t xml:space="preserve"> was</w:t>
            </w:r>
            <w:r w:rsidR="00ED4F12">
              <w:rPr>
                <w:rFonts w:ascii="Arial" w:hAnsi="Arial" w:cs="Arial"/>
                <w:sz w:val="24"/>
                <w:szCs w:val="24"/>
              </w:rPr>
              <w:t xml:space="preserve"> commended as a </w:t>
            </w:r>
            <w:r w:rsidR="00085465">
              <w:rPr>
                <w:rFonts w:ascii="Arial" w:hAnsi="Arial" w:cs="Arial"/>
                <w:sz w:val="24"/>
                <w:szCs w:val="24"/>
              </w:rPr>
              <w:t>very positive</w:t>
            </w:r>
            <w:r w:rsidR="00ED4F12">
              <w:rPr>
                <w:rFonts w:ascii="Arial" w:hAnsi="Arial" w:cs="Arial"/>
                <w:sz w:val="24"/>
                <w:szCs w:val="24"/>
              </w:rPr>
              <w:t xml:space="preserve"> message</w:t>
            </w:r>
            <w:r w:rsidR="00AD01F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A4AC5B" w14:textId="77777777" w:rsidR="00ED4F12" w:rsidRPr="00ED4F12" w:rsidRDefault="00ED4F12" w:rsidP="00ED4F1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B74CD84" w14:textId="77777777" w:rsidR="0006550E" w:rsidRPr="00085465" w:rsidRDefault="00AD01F4" w:rsidP="00085465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noted </w:t>
            </w:r>
            <w:r w:rsidR="00ED4F1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16549">
              <w:rPr>
                <w:rFonts w:ascii="Arial" w:hAnsi="Arial" w:cs="Arial"/>
                <w:sz w:val="24"/>
                <w:szCs w:val="24"/>
              </w:rPr>
              <w:t xml:space="preserve">update </w:t>
            </w:r>
            <w:r w:rsidR="0006550E">
              <w:rPr>
                <w:rFonts w:ascii="Arial" w:hAnsi="Arial" w:cs="Arial"/>
                <w:sz w:val="24"/>
                <w:szCs w:val="24"/>
              </w:rPr>
              <w:t>on</w:t>
            </w:r>
            <w:r w:rsidR="00ED4F12">
              <w:rPr>
                <w:rFonts w:ascii="Arial" w:hAnsi="Arial" w:cs="Arial"/>
                <w:sz w:val="24"/>
                <w:szCs w:val="24"/>
              </w:rPr>
              <w:t xml:space="preserve"> the ADP</w:t>
            </w:r>
            <w:r w:rsidR="0006550E">
              <w:rPr>
                <w:rFonts w:ascii="Arial" w:hAnsi="Arial" w:cs="Arial"/>
                <w:sz w:val="24"/>
                <w:szCs w:val="24"/>
              </w:rPr>
              <w:t xml:space="preserve"> planning process</w:t>
            </w:r>
            <w:r w:rsidR="00ED4F12">
              <w:rPr>
                <w:rFonts w:ascii="Arial" w:hAnsi="Arial" w:cs="Arial"/>
                <w:sz w:val="24"/>
                <w:szCs w:val="24"/>
              </w:rPr>
              <w:t xml:space="preserve"> for next </w:t>
            </w:r>
            <w:proofErr w:type="gramStart"/>
            <w:r w:rsidR="00ED4F12">
              <w:rPr>
                <w:rFonts w:ascii="Arial" w:hAnsi="Arial" w:cs="Arial"/>
                <w:sz w:val="24"/>
                <w:szCs w:val="24"/>
              </w:rPr>
              <w:t>year which</w:t>
            </w:r>
            <w:proofErr w:type="gramEnd"/>
            <w:r w:rsidR="00ED4F12">
              <w:rPr>
                <w:rFonts w:ascii="Arial" w:hAnsi="Arial" w:cs="Arial"/>
                <w:sz w:val="24"/>
                <w:szCs w:val="24"/>
              </w:rPr>
              <w:t xml:space="preserve"> will link in with operations, </w:t>
            </w:r>
            <w:r w:rsidR="00085465">
              <w:rPr>
                <w:rFonts w:ascii="Arial" w:hAnsi="Arial" w:cs="Arial"/>
                <w:sz w:val="24"/>
                <w:szCs w:val="24"/>
              </w:rPr>
              <w:t>finance</w:t>
            </w:r>
            <w:r w:rsidR="00ED4F1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06550E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085465">
              <w:rPr>
                <w:rFonts w:ascii="Arial" w:hAnsi="Arial" w:cs="Arial"/>
                <w:sz w:val="24"/>
                <w:szCs w:val="24"/>
              </w:rPr>
              <w:t>orkforce</w:t>
            </w:r>
            <w:r w:rsidR="00ED4F12">
              <w:rPr>
                <w:rFonts w:ascii="Arial" w:hAnsi="Arial" w:cs="Arial"/>
                <w:sz w:val="24"/>
                <w:szCs w:val="24"/>
              </w:rPr>
              <w:t xml:space="preserve"> plans and expectation these would be reviewed by </w:t>
            </w:r>
            <w:r w:rsidR="00B57607">
              <w:rPr>
                <w:rFonts w:ascii="Arial" w:hAnsi="Arial" w:cs="Arial"/>
                <w:sz w:val="24"/>
                <w:szCs w:val="24"/>
              </w:rPr>
              <w:t>mid-2023</w:t>
            </w:r>
            <w:r w:rsidR="00ED4F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FD0C1C" w14:textId="77777777" w:rsidR="00050D76" w:rsidRPr="00050D76" w:rsidRDefault="00050D76" w:rsidP="00DE04A0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996A4D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5A3D741A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2279F71B" w14:textId="59959336"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DE04A0">
        <w:rPr>
          <w:rFonts w:hAnsi="Arial" w:cs="Arial"/>
          <w:lang w:val="en-US"/>
        </w:rPr>
        <w:t xml:space="preserve"> next meeting </w:t>
      </w:r>
      <w:proofErr w:type="gramStart"/>
      <w:r w:rsidR="00DE04A0">
        <w:rPr>
          <w:rFonts w:hAnsi="Arial" w:cs="Arial"/>
          <w:lang w:val="en-US"/>
        </w:rPr>
        <w:t>is scheduled</w:t>
      </w:r>
      <w:proofErr w:type="gramEnd"/>
      <w:r w:rsidR="00DE04A0">
        <w:rPr>
          <w:rFonts w:hAnsi="Arial" w:cs="Arial"/>
          <w:lang w:val="en-US"/>
        </w:rPr>
        <w:t xml:space="preserve"> for 7 March 2023</w:t>
      </w:r>
      <w:r>
        <w:rPr>
          <w:rFonts w:hAnsi="Arial" w:cs="Arial"/>
          <w:lang w:val="en-US"/>
        </w:rPr>
        <w:t>.</w:t>
      </w:r>
    </w:p>
    <w:p w14:paraId="3C099D47" w14:textId="77777777"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57E377CC" w14:textId="77777777"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4C77A021" w14:textId="42FE0A9C"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2446F5B8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514D649E" w14:textId="77777777"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</w:t>
      </w:r>
      <w:proofErr w:type="gramStart"/>
      <w:r w:rsidR="007E133D">
        <w:rPr>
          <w:rFonts w:cs="Arial"/>
        </w:rPr>
        <w:t>are asked</w:t>
      </w:r>
      <w:proofErr w:type="gramEnd"/>
      <w:r w:rsidR="007E133D">
        <w:rPr>
          <w:rFonts w:cs="Arial"/>
        </w:rPr>
        <w:t xml:space="preserve"> to note the Finance and Performance Committee Update.</w:t>
      </w:r>
    </w:p>
    <w:p w14:paraId="2119D3E6" w14:textId="77777777" w:rsidR="003D757C" w:rsidRDefault="003D757C" w:rsidP="007E133D">
      <w:pPr>
        <w:ind w:right="183"/>
        <w:rPr>
          <w:rFonts w:cs="Arial"/>
        </w:rPr>
      </w:pPr>
    </w:p>
    <w:p w14:paraId="76E2D181" w14:textId="77777777" w:rsidR="003D757C" w:rsidRDefault="003D757C" w:rsidP="007E133D">
      <w:pPr>
        <w:ind w:right="183"/>
        <w:rPr>
          <w:rFonts w:cs="Arial"/>
        </w:rPr>
      </w:pPr>
    </w:p>
    <w:p w14:paraId="768C2F7B" w14:textId="77777777" w:rsidR="003D757C" w:rsidRDefault="003D757C" w:rsidP="007E133D">
      <w:pPr>
        <w:ind w:right="183"/>
        <w:rPr>
          <w:rFonts w:cs="Arial"/>
        </w:rPr>
      </w:pPr>
    </w:p>
    <w:p w14:paraId="7B0677FE" w14:textId="77777777" w:rsidR="003D757C" w:rsidRDefault="003D757C" w:rsidP="007E133D">
      <w:pPr>
        <w:ind w:right="183"/>
        <w:rPr>
          <w:rFonts w:cs="Arial"/>
        </w:rPr>
      </w:pPr>
    </w:p>
    <w:p w14:paraId="42364448" w14:textId="77777777" w:rsidR="003D757C" w:rsidRDefault="003D757C" w:rsidP="007E133D">
      <w:pPr>
        <w:ind w:right="183"/>
        <w:rPr>
          <w:rFonts w:cs="Arial"/>
        </w:rPr>
      </w:pPr>
    </w:p>
    <w:p w14:paraId="36E6657C" w14:textId="77777777" w:rsidR="003D757C" w:rsidRDefault="003D757C" w:rsidP="007E133D">
      <w:pPr>
        <w:ind w:right="183"/>
        <w:rPr>
          <w:rFonts w:cs="Arial"/>
          <w:bCs/>
        </w:rPr>
      </w:pPr>
    </w:p>
    <w:p w14:paraId="3FD00C08" w14:textId="77777777" w:rsidR="007E133D" w:rsidRDefault="007E133D" w:rsidP="007E133D">
      <w:pPr>
        <w:ind w:left="-540" w:right="183" w:firstLine="540"/>
        <w:rPr>
          <w:rFonts w:cs="Arial"/>
          <w:b/>
          <w:bCs/>
        </w:rPr>
      </w:pPr>
    </w:p>
    <w:p w14:paraId="2B6A5B69" w14:textId="77777777" w:rsidR="007E133D" w:rsidRDefault="007E133D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Stephen McAllister</w:t>
      </w:r>
    </w:p>
    <w:p w14:paraId="2A419015" w14:textId="77777777"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Chair – Finance and Performance Committee</w:t>
      </w:r>
    </w:p>
    <w:p w14:paraId="30412D4D" w14:textId="77777777" w:rsidR="007E133D" w:rsidRDefault="00AD01F4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10 January 2023</w:t>
      </w:r>
    </w:p>
    <w:p w14:paraId="4F73BB3D" w14:textId="77777777" w:rsidR="007E133D" w:rsidRPr="00050D76" w:rsidRDefault="007E133D" w:rsidP="00050D76"/>
    <w:sectPr w:rsidR="007E133D" w:rsidRPr="00050D76" w:rsidSect="003F7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0C17F" w14:textId="77777777" w:rsidR="00EE008B" w:rsidRDefault="00EE008B">
      <w:r>
        <w:separator/>
      </w:r>
    </w:p>
  </w:endnote>
  <w:endnote w:type="continuationSeparator" w:id="0">
    <w:p w14:paraId="45A9A656" w14:textId="77777777" w:rsidR="00EE008B" w:rsidRDefault="00EE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5F1F" w14:textId="77777777" w:rsidR="00050D76" w:rsidRDefault="00050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5A5A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3D3A320C" w14:textId="239740C5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3751DE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3751DE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2C83E" w14:textId="77777777" w:rsidR="00050D76" w:rsidRDefault="0005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EB5EB" w14:textId="77777777" w:rsidR="00EE008B" w:rsidRDefault="00EE008B">
      <w:r>
        <w:separator/>
      </w:r>
    </w:p>
  </w:footnote>
  <w:footnote w:type="continuationSeparator" w:id="0">
    <w:p w14:paraId="0CAAA861" w14:textId="77777777" w:rsidR="00EE008B" w:rsidRDefault="00EE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A905" w14:textId="77777777" w:rsidR="00050D76" w:rsidRDefault="00050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5BA7" w14:textId="77777777"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050D76">
      <w:rPr>
        <w:rFonts w:cs="Arial"/>
        <w:b/>
        <w:color w:val="2E74B5" w:themeColor="accent1" w:themeShade="BF"/>
        <w:sz w:val="20"/>
      </w:rPr>
      <w:t>6.2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6CBC" w14:textId="77777777" w:rsidR="00050D76" w:rsidRDefault="0005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50D76"/>
    <w:rsid w:val="0006550E"/>
    <w:rsid w:val="00072A23"/>
    <w:rsid w:val="00076EF2"/>
    <w:rsid w:val="00085465"/>
    <w:rsid w:val="00091974"/>
    <w:rsid w:val="000945DB"/>
    <w:rsid w:val="000C561F"/>
    <w:rsid w:val="000E2BDE"/>
    <w:rsid w:val="000F7706"/>
    <w:rsid w:val="00102D33"/>
    <w:rsid w:val="00125A9E"/>
    <w:rsid w:val="00140DB3"/>
    <w:rsid w:val="001D05E4"/>
    <w:rsid w:val="001E7464"/>
    <w:rsid w:val="0023473B"/>
    <w:rsid w:val="00301BBF"/>
    <w:rsid w:val="0033790B"/>
    <w:rsid w:val="00346269"/>
    <w:rsid w:val="003473AE"/>
    <w:rsid w:val="003751DE"/>
    <w:rsid w:val="003D757C"/>
    <w:rsid w:val="003F7F61"/>
    <w:rsid w:val="00430C09"/>
    <w:rsid w:val="00446219"/>
    <w:rsid w:val="00495B36"/>
    <w:rsid w:val="004C24DE"/>
    <w:rsid w:val="004C4472"/>
    <w:rsid w:val="00591C18"/>
    <w:rsid w:val="005F4D65"/>
    <w:rsid w:val="00610728"/>
    <w:rsid w:val="006173A9"/>
    <w:rsid w:val="00682DC0"/>
    <w:rsid w:val="006C1535"/>
    <w:rsid w:val="006D1343"/>
    <w:rsid w:val="00736213"/>
    <w:rsid w:val="00785B8C"/>
    <w:rsid w:val="00785DD1"/>
    <w:rsid w:val="007865D9"/>
    <w:rsid w:val="007E133D"/>
    <w:rsid w:val="007F32CF"/>
    <w:rsid w:val="00816E22"/>
    <w:rsid w:val="008763F0"/>
    <w:rsid w:val="008F1E59"/>
    <w:rsid w:val="00927C6C"/>
    <w:rsid w:val="009807B4"/>
    <w:rsid w:val="00A2680C"/>
    <w:rsid w:val="00A314F6"/>
    <w:rsid w:val="00A43898"/>
    <w:rsid w:val="00A62B58"/>
    <w:rsid w:val="00A72814"/>
    <w:rsid w:val="00A84C97"/>
    <w:rsid w:val="00AA77F7"/>
    <w:rsid w:val="00AD01F4"/>
    <w:rsid w:val="00AE522B"/>
    <w:rsid w:val="00AF0530"/>
    <w:rsid w:val="00AF356A"/>
    <w:rsid w:val="00B178D4"/>
    <w:rsid w:val="00B546C8"/>
    <w:rsid w:val="00B562FA"/>
    <w:rsid w:val="00B57607"/>
    <w:rsid w:val="00B7445F"/>
    <w:rsid w:val="00B77902"/>
    <w:rsid w:val="00B851FC"/>
    <w:rsid w:val="00BD7C57"/>
    <w:rsid w:val="00BF3AF0"/>
    <w:rsid w:val="00C3506D"/>
    <w:rsid w:val="00C87B62"/>
    <w:rsid w:val="00C94BF7"/>
    <w:rsid w:val="00CE0398"/>
    <w:rsid w:val="00D55622"/>
    <w:rsid w:val="00DD2D3D"/>
    <w:rsid w:val="00DD6252"/>
    <w:rsid w:val="00DE04A0"/>
    <w:rsid w:val="00DF1BE0"/>
    <w:rsid w:val="00E16549"/>
    <w:rsid w:val="00E657F3"/>
    <w:rsid w:val="00E71CD2"/>
    <w:rsid w:val="00E82894"/>
    <w:rsid w:val="00E84B9D"/>
    <w:rsid w:val="00ED4F12"/>
    <w:rsid w:val="00EE008B"/>
    <w:rsid w:val="00F04DF8"/>
    <w:rsid w:val="00F3337D"/>
    <w:rsid w:val="00F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48C4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Alison Mackay</cp:lastModifiedBy>
  <cp:revision>6</cp:revision>
  <cp:lastPrinted>2019-10-07T12:25:00Z</cp:lastPrinted>
  <dcterms:created xsi:type="dcterms:W3CDTF">2023-01-13T15:13:00Z</dcterms:created>
  <dcterms:modified xsi:type="dcterms:W3CDTF">2023-01-17T14:20:00Z</dcterms:modified>
</cp:coreProperties>
</file>