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6799"/>
      </w:tblGrid>
      <w:tr w:rsidR="001F64C4" w:rsidTr="001F64C4">
        <w:trPr>
          <w:trHeight w:val="557"/>
        </w:trPr>
        <w:tc>
          <w:tcPr>
            <w:tcW w:w="2557" w:type="dxa"/>
            <w:hideMark/>
          </w:tcPr>
          <w:p w:rsidR="001F64C4" w:rsidRDefault="001F64C4" w:rsidP="00D6756C">
            <w:pPr>
              <w:pStyle w:val="Heading1"/>
              <w:spacing w:line="254" w:lineRule="auto"/>
              <w:ind w:right="183"/>
              <w:contextualSpacing/>
              <w:rPr>
                <w:sz w:val="24"/>
              </w:rPr>
            </w:pPr>
            <w:r>
              <w:rPr>
                <w:sz w:val="24"/>
              </w:rPr>
              <w:t>Meeting:</w:t>
            </w:r>
          </w:p>
        </w:tc>
        <w:tc>
          <w:tcPr>
            <w:tcW w:w="6799" w:type="dxa"/>
          </w:tcPr>
          <w:p w:rsidR="001F64C4" w:rsidRPr="0056413E" w:rsidRDefault="001F64C4" w:rsidP="00641939">
            <w:pPr>
              <w:spacing w:line="254" w:lineRule="auto"/>
              <w:rPr>
                <w:rFonts w:ascii="Arial" w:hAnsi="Arial" w:cs="Arial"/>
                <w:lang w:val="en-GB"/>
              </w:rPr>
            </w:pPr>
            <w:r>
              <w:rPr>
                <w:rFonts w:ascii="Arial" w:hAnsi="Arial" w:cs="Arial"/>
                <w:lang w:val="en-GB"/>
              </w:rPr>
              <w:t>Board</w:t>
            </w:r>
          </w:p>
        </w:tc>
      </w:tr>
      <w:tr w:rsidR="001F64C4" w:rsidTr="001F64C4">
        <w:trPr>
          <w:trHeight w:val="1091"/>
        </w:trPr>
        <w:tc>
          <w:tcPr>
            <w:tcW w:w="2557" w:type="dxa"/>
          </w:tcPr>
          <w:p w:rsidR="001F64C4" w:rsidRDefault="001F64C4" w:rsidP="00D6756C">
            <w:pPr>
              <w:pStyle w:val="Heading1"/>
              <w:spacing w:line="254" w:lineRule="auto"/>
              <w:ind w:right="183"/>
              <w:contextualSpacing/>
              <w:rPr>
                <w:bCs w:val="0"/>
                <w:sz w:val="24"/>
              </w:rPr>
            </w:pPr>
            <w:r>
              <w:rPr>
                <w:bCs w:val="0"/>
                <w:sz w:val="24"/>
              </w:rPr>
              <w:t>Date:</w:t>
            </w:r>
          </w:p>
          <w:p w:rsidR="001F64C4" w:rsidRDefault="001F64C4" w:rsidP="00D6756C">
            <w:pPr>
              <w:pStyle w:val="Heading1"/>
              <w:spacing w:line="254" w:lineRule="auto"/>
              <w:ind w:right="183"/>
              <w:contextualSpacing/>
              <w:rPr>
                <w:bCs w:val="0"/>
                <w:sz w:val="24"/>
              </w:rPr>
            </w:pPr>
          </w:p>
          <w:p w:rsidR="001F64C4" w:rsidRDefault="001F64C4" w:rsidP="00D6756C">
            <w:pPr>
              <w:pStyle w:val="Heading1"/>
              <w:spacing w:line="254" w:lineRule="auto"/>
              <w:ind w:right="183"/>
              <w:contextualSpacing/>
              <w:rPr>
                <w:sz w:val="24"/>
              </w:rPr>
            </w:pPr>
            <w:r>
              <w:rPr>
                <w:bCs w:val="0"/>
                <w:sz w:val="24"/>
              </w:rPr>
              <w:t xml:space="preserve">Subject: </w:t>
            </w:r>
          </w:p>
        </w:tc>
        <w:tc>
          <w:tcPr>
            <w:tcW w:w="6799" w:type="dxa"/>
          </w:tcPr>
          <w:p w:rsidR="001F64C4" w:rsidRDefault="001F64C4" w:rsidP="00D6756C">
            <w:pPr>
              <w:pStyle w:val="Heading1"/>
              <w:spacing w:line="254" w:lineRule="auto"/>
              <w:ind w:right="183"/>
              <w:contextualSpacing/>
              <w:rPr>
                <w:b w:val="0"/>
                <w:sz w:val="24"/>
              </w:rPr>
            </w:pPr>
            <w:r>
              <w:rPr>
                <w:b w:val="0"/>
                <w:sz w:val="24"/>
              </w:rPr>
              <w:t>29 September 2022</w:t>
            </w:r>
          </w:p>
          <w:p w:rsidR="001F64C4" w:rsidRDefault="001F64C4" w:rsidP="00D6756C">
            <w:pPr>
              <w:pStyle w:val="Heading1"/>
              <w:spacing w:line="254" w:lineRule="auto"/>
              <w:ind w:right="183"/>
              <w:contextualSpacing/>
              <w:rPr>
                <w:b w:val="0"/>
                <w:sz w:val="24"/>
              </w:rPr>
            </w:pPr>
            <w:r>
              <w:rPr>
                <w:b w:val="0"/>
                <w:sz w:val="24"/>
              </w:rPr>
              <w:t xml:space="preserve">                                             </w:t>
            </w:r>
          </w:p>
          <w:p w:rsidR="001F64C4" w:rsidRDefault="001F64C4" w:rsidP="00D6756C">
            <w:pPr>
              <w:pStyle w:val="Heading1"/>
              <w:spacing w:line="254" w:lineRule="auto"/>
              <w:ind w:right="183"/>
              <w:contextualSpacing/>
              <w:rPr>
                <w:b w:val="0"/>
                <w:sz w:val="24"/>
              </w:rPr>
            </w:pPr>
            <w:r>
              <w:rPr>
                <w:b w:val="0"/>
                <w:sz w:val="24"/>
              </w:rPr>
              <w:t>Draft Annual Delivery Plan and Delivery Planning Templates</w:t>
            </w:r>
          </w:p>
          <w:p w:rsidR="001F64C4" w:rsidRDefault="001F64C4" w:rsidP="00D6756C">
            <w:pPr>
              <w:pStyle w:val="Heading1"/>
              <w:spacing w:line="254" w:lineRule="auto"/>
              <w:ind w:right="183"/>
              <w:contextualSpacing/>
              <w:rPr>
                <w:b w:val="0"/>
                <w:sz w:val="24"/>
              </w:rPr>
            </w:pPr>
          </w:p>
        </w:tc>
      </w:tr>
      <w:tr w:rsidR="00641939" w:rsidTr="001F64C4">
        <w:trPr>
          <w:trHeight w:val="499"/>
        </w:trPr>
        <w:tc>
          <w:tcPr>
            <w:tcW w:w="2557" w:type="dxa"/>
            <w:hideMark/>
          </w:tcPr>
          <w:p w:rsidR="00641939" w:rsidRDefault="00641939" w:rsidP="00D6756C">
            <w:pPr>
              <w:pStyle w:val="Heading1"/>
              <w:spacing w:line="254" w:lineRule="auto"/>
              <w:ind w:right="183"/>
              <w:contextualSpacing/>
              <w:rPr>
                <w:sz w:val="24"/>
              </w:rPr>
            </w:pPr>
            <w:r>
              <w:rPr>
                <w:bCs w:val="0"/>
                <w:sz w:val="24"/>
              </w:rPr>
              <w:t>Recommendation:</w:t>
            </w:r>
            <w:r>
              <w:rPr>
                <w:bCs w:val="0"/>
                <w:sz w:val="24"/>
              </w:rPr>
              <w:tab/>
            </w:r>
          </w:p>
        </w:tc>
        <w:tc>
          <w:tcPr>
            <w:tcW w:w="6799" w:type="dxa"/>
          </w:tcPr>
          <w:p w:rsidR="00641939" w:rsidRDefault="007A62E8" w:rsidP="00D6756C">
            <w:pPr>
              <w:pStyle w:val="Heading1"/>
              <w:spacing w:line="254" w:lineRule="auto"/>
              <w:ind w:right="183"/>
              <w:contextualSpacing/>
              <w:rPr>
                <w:b w:val="0"/>
                <w:sz w:val="24"/>
              </w:rPr>
            </w:pPr>
            <w:r>
              <w:rPr>
                <w:b w:val="0"/>
                <w:sz w:val="24"/>
              </w:rPr>
              <w:t>Board</w:t>
            </w:r>
            <w:r w:rsidR="00641939">
              <w:rPr>
                <w:b w:val="0"/>
                <w:sz w:val="24"/>
              </w:rPr>
              <w:t xml:space="preserve"> members are asked to:</w:t>
            </w:r>
            <w:bookmarkStart w:id="0" w:name="_GoBack"/>
            <w:bookmarkEnd w:id="0"/>
          </w:p>
          <w:p w:rsidR="00641939" w:rsidRDefault="00641939" w:rsidP="00D6756C">
            <w:pPr>
              <w:spacing w:line="254"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641939" w:rsidTr="00D6756C">
              <w:tc>
                <w:tcPr>
                  <w:tcW w:w="5694" w:type="dxa"/>
                  <w:tcBorders>
                    <w:top w:val="single" w:sz="4" w:space="0" w:color="auto"/>
                    <w:left w:val="single" w:sz="4" w:space="0" w:color="auto"/>
                    <w:bottom w:val="single" w:sz="4" w:space="0" w:color="auto"/>
                    <w:right w:val="single" w:sz="4" w:space="0" w:color="auto"/>
                  </w:tcBorders>
                  <w:hideMark/>
                </w:tcPr>
                <w:p w:rsidR="00641939" w:rsidRDefault="00641939" w:rsidP="00D6756C">
                  <w:pPr>
                    <w:pStyle w:val="Heading1"/>
                    <w:spacing w:line="254" w:lineRule="auto"/>
                    <w:ind w:right="183"/>
                    <w:contextualSpacing/>
                    <w:rPr>
                      <w:b w:val="0"/>
                      <w:sz w:val="24"/>
                    </w:rPr>
                  </w:pPr>
                  <w:r>
                    <w:rPr>
                      <w:b w:val="0"/>
                      <w:sz w:val="24"/>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641939" w:rsidRDefault="00641939" w:rsidP="00D6756C">
                  <w:pPr>
                    <w:spacing w:line="254" w:lineRule="auto"/>
                  </w:pPr>
                </w:p>
              </w:tc>
            </w:tr>
            <w:tr w:rsidR="00641939" w:rsidTr="00D6756C">
              <w:tc>
                <w:tcPr>
                  <w:tcW w:w="5694" w:type="dxa"/>
                  <w:tcBorders>
                    <w:top w:val="single" w:sz="4" w:space="0" w:color="auto"/>
                    <w:left w:val="single" w:sz="4" w:space="0" w:color="auto"/>
                    <w:bottom w:val="single" w:sz="4" w:space="0" w:color="auto"/>
                    <w:right w:val="single" w:sz="4" w:space="0" w:color="auto"/>
                  </w:tcBorders>
                  <w:hideMark/>
                </w:tcPr>
                <w:p w:rsidR="00641939" w:rsidRDefault="00641939" w:rsidP="00D6756C">
                  <w:pPr>
                    <w:pStyle w:val="Heading1"/>
                    <w:spacing w:line="254" w:lineRule="auto"/>
                    <w:ind w:right="183"/>
                    <w:contextualSpacing/>
                    <w:rPr>
                      <w:b w:val="0"/>
                      <w:sz w:val="24"/>
                    </w:rPr>
                  </w:pPr>
                  <w:r>
                    <w:rPr>
                      <w:b w:val="0"/>
                      <w:sz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641939" w:rsidRPr="009C79EE" w:rsidRDefault="009C79EE" w:rsidP="00D6756C">
                  <w:pPr>
                    <w:spacing w:line="254" w:lineRule="auto"/>
                    <w:rPr>
                      <w:rFonts w:ascii="Arial" w:hAnsi="Arial" w:cs="Arial"/>
                    </w:rPr>
                  </w:pPr>
                  <w:r w:rsidRPr="009C79EE">
                    <w:rPr>
                      <w:rFonts w:ascii="Arial" w:hAnsi="Arial" w:cs="Arial"/>
                    </w:rPr>
                    <w:t>X</w:t>
                  </w:r>
                </w:p>
              </w:tc>
            </w:tr>
            <w:tr w:rsidR="00641939" w:rsidTr="00D6756C">
              <w:tc>
                <w:tcPr>
                  <w:tcW w:w="5694" w:type="dxa"/>
                  <w:tcBorders>
                    <w:top w:val="single" w:sz="4" w:space="0" w:color="auto"/>
                    <w:left w:val="single" w:sz="4" w:space="0" w:color="auto"/>
                    <w:bottom w:val="single" w:sz="4" w:space="0" w:color="auto"/>
                    <w:right w:val="single" w:sz="4" w:space="0" w:color="auto"/>
                  </w:tcBorders>
                  <w:hideMark/>
                </w:tcPr>
                <w:p w:rsidR="00641939" w:rsidRDefault="00641939" w:rsidP="00D6756C">
                  <w:pPr>
                    <w:pStyle w:val="Heading1"/>
                    <w:spacing w:line="254" w:lineRule="auto"/>
                    <w:ind w:right="183"/>
                    <w:contextualSpacing/>
                    <w:rPr>
                      <w:b w:val="0"/>
                      <w:sz w:val="24"/>
                    </w:rPr>
                  </w:pPr>
                  <w:r>
                    <w:rPr>
                      <w:b w:val="0"/>
                      <w:sz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641939" w:rsidRDefault="00641939" w:rsidP="00D6756C">
                  <w:pPr>
                    <w:spacing w:line="254" w:lineRule="auto"/>
                  </w:pPr>
                </w:p>
              </w:tc>
            </w:tr>
          </w:tbl>
          <w:p w:rsidR="00641939" w:rsidRDefault="00641939" w:rsidP="00D6756C">
            <w:pPr>
              <w:spacing w:line="254" w:lineRule="auto"/>
            </w:pPr>
          </w:p>
        </w:tc>
      </w:tr>
      <w:tr w:rsidR="00641939" w:rsidTr="001F64C4">
        <w:trPr>
          <w:trHeight w:val="499"/>
        </w:trPr>
        <w:tc>
          <w:tcPr>
            <w:tcW w:w="2557" w:type="dxa"/>
            <w:tcBorders>
              <w:top w:val="nil"/>
              <w:left w:val="nil"/>
              <w:bottom w:val="single" w:sz="4" w:space="0" w:color="auto"/>
              <w:right w:val="nil"/>
            </w:tcBorders>
          </w:tcPr>
          <w:p w:rsidR="00641939" w:rsidRDefault="00641939" w:rsidP="00D6756C">
            <w:pPr>
              <w:pStyle w:val="Heading1"/>
              <w:spacing w:before="120" w:after="60" w:line="254" w:lineRule="auto"/>
              <w:ind w:right="183"/>
              <w:contextualSpacing/>
              <w:rPr>
                <w:bCs w:val="0"/>
                <w:sz w:val="24"/>
              </w:rPr>
            </w:pPr>
          </w:p>
        </w:tc>
        <w:tc>
          <w:tcPr>
            <w:tcW w:w="6799" w:type="dxa"/>
            <w:tcBorders>
              <w:top w:val="nil"/>
              <w:left w:val="nil"/>
              <w:bottom w:val="single" w:sz="4" w:space="0" w:color="auto"/>
              <w:right w:val="nil"/>
            </w:tcBorders>
          </w:tcPr>
          <w:p w:rsidR="00641939" w:rsidRDefault="00641939" w:rsidP="00D6756C">
            <w:pPr>
              <w:pStyle w:val="Heading1"/>
              <w:spacing w:before="120" w:after="60" w:line="254" w:lineRule="auto"/>
              <w:ind w:right="183"/>
              <w:contextualSpacing/>
              <w:rPr>
                <w:b w:val="0"/>
                <w:sz w:val="24"/>
              </w:rPr>
            </w:pPr>
          </w:p>
        </w:tc>
      </w:tr>
    </w:tbl>
    <w:p w:rsidR="00641939" w:rsidRDefault="00641939" w:rsidP="00641939">
      <w:pPr>
        <w:rPr>
          <w:rFonts w:ascii="Arial" w:hAnsi="Arial" w:cs="Arial"/>
          <w:sz w:val="22"/>
          <w:szCs w:val="22"/>
        </w:rPr>
      </w:pPr>
    </w:p>
    <w:p w:rsidR="008F5A43" w:rsidRDefault="008F5A43" w:rsidP="008F5A43">
      <w:pPr>
        <w:pStyle w:val="ListParagraph"/>
        <w:numPr>
          <w:ilvl w:val="0"/>
          <w:numId w:val="1"/>
        </w:numPr>
        <w:rPr>
          <w:rFonts w:ascii="Arial" w:hAnsi="Arial" w:cs="Arial"/>
          <w:b/>
        </w:rPr>
      </w:pPr>
      <w:r>
        <w:rPr>
          <w:rFonts w:ascii="Arial" w:hAnsi="Arial" w:cs="Arial"/>
          <w:b/>
        </w:rPr>
        <w:t>Introduction</w:t>
      </w:r>
    </w:p>
    <w:p w:rsidR="008F5A43" w:rsidRDefault="008F5A43" w:rsidP="008F5A43">
      <w:pPr>
        <w:pStyle w:val="ListParagraph"/>
        <w:ind w:left="360"/>
        <w:rPr>
          <w:rFonts w:ascii="Arial" w:hAnsi="Arial" w:cs="Arial"/>
        </w:rPr>
      </w:pPr>
    </w:p>
    <w:p w:rsidR="00BC2649" w:rsidRDefault="008F5A43" w:rsidP="00C8139C">
      <w:pPr>
        <w:pStyle w:val="ListParagraph"/>
        <w:ind w:left="360"/>
        <w:rPr>
          <w:rFonts w:ascii="Arial" w:hAnsi="Arial" w:cs="Arial"/>
        </w:rPr>
      </w:pPr>
      <w:r>
        <w:rPr>
          <w:rFonts w:ascii="Arial" w:hAnsi="Arial" w:cs="Arial"/>
        </w:rPr>
        <w:t xml:space="preserve">The </w:t>
      </w:r>
      <w:r w:rsidR="00BC2649">
        <w:rPr>
          <w:rFonts w:ascii="Arial" w:hAnsi="Arial" w:cs="Arial"/>
        </w:rPr>
        <w:t>Board</w:t>
      </w:r>
      <w:r>
        <w:rPr>
          <w:rFonts w:ascii="Arial" w:hAnsi="Arial" w:cs="Arial"/>
        </w:rPr>
        <w:t xml:space="preserve"> </w:t>
      </w:r>
      <w:r w:rsidRPr="008F5A43">
        <w:rPr>
          <w:rFonts w:ascii="Arial" w:hAnsi="Arial" w:cs="Arial"/>
        </w:rPr>
        <w:t>received an update on the development of the Board’s Annual Delivery Plan</w:t>
      </w:r>
      <w:r w:rsidR="0074430B">
        <w:rPr>
          <w:rFonts w:ascii="Arial" w:hAnsi="Arial" w:cs="Arial"/>
        </w:rPr>
        <w:t xml:space="preserve"> (ADP)</w:t>
      </w:r>
      <w:r w:rsidRPr="008F5A43">
        <w:rPr>
          <w:rFonts w:ascii="Arial" w:hAnsi="Arial" w:cs="Arial"/>
        </w:rPr>
        <w:t xml:space="preserve"> when it met in July. The draft </w:t>
      </w:r>
      <w:r w:rsidR="0074430B">
        <w:rPr>
          <w:rFonts w:ascii="Arial" w:hAnsi="Arial" w:cs="Arial"/>
        </w:rPr>
        <w:t>ADP</w:t>
      </w:r>
      <w:r w:rsidRPr="008F5A43">
        <w:rPr>
          <w:rFonts w:ascii="Arial" w:hAnsi="Arial" w:cs="Arial"/>
        </w:rPr>
        <w:t xml:space="preserve">, as submitted to Scottish Government, is now presented to the </w:t>
      </w:r>
      <w:r w:rsidR="00BC2649">
        <w:rPr>
          <w:rFonts w:ascii="Arial" w:hAnsi="Arial" w:cs="Arial"/>
        </w:rPr>
        <w:t>Board for discussion and approval. This follows endorsement of the draft plan by the Finance and Performance Committee earlier this month.</w:t>
      </w:r>
      <w:r w:rsidRPr="008F5A43">
        <w:rPr>
          <w:rFonts w:ascii="Arial" w:hAnsi="Arial" w:cs="Arial"/>
        </w:rPr>
        <w:t xml:space="preserve"> </w:t>
      </w:r>
    </w:p>
    <w:p w:rsidR="00BC2649" w:rsidRDefault="00BC2649" w:rsidP="00C8139C">
      <w:pPr>
        <w:pStyle w:val="ListParagraph"/>
        <w:ind w:left="360"/>
        <w:rPr>
          <w:rFonts w:ascii="Arial" w:hAnsi="Arial" w:cs="Arial"/>
        </w:rPr>
      </w:pPr>
    </w:p>
    <w:p w:rsidR="008F5A43" w:rsidRPr="00451717" w:rsidRDefault="008F5A43" w:rsidP="00C8139C">
      <w:pPr>
        <w:pStyle w:val="ListParagraph"/>
        <w:ind w:left="360"/>
        <w:rPr>
          <w:rFonts w:ascii="Arial" w:hAnsi="Arial" w:cs="Arial"/>
        </w:rPr>
      </w:pPr>
      <w:r w:rsidRPr="008F5A43">
        <w:rPr>
          <w:rFonts w:ascii="Arial" w:hAnsi="Arial" w:cs="Arial"/>
        </w:rPr>
        <w:t>Accompanying the plan are updated Delivery Planning Templates articulating operational delivery priorities for the remainder of 2022/2023.</w:t>
      </w:r>
    </w:p>
    <w:p w:rsidR="008F5A43" w:rsidRDefault="008F5A43" w:rsidP="00C8139C">
      <w:pPr>
        <w:pStyle w:val="ListParagraph"/>
        <w:rPr>
          <w:rFonts w:ascii="Arial" w:hAnsi="Arial" w:cs="Arial"/>
          <w:b/>
        </w:rPr>
      </w:pPr>
    </w:p>
    <w:p w:rsidR="008F5A43" w:rsidRDefault="008F5A43" w:rsidP="00C8139C">
      <w:pPr>
        <w:pStyle w:val="ListParagraph"/>
        <w:numPr>
          <w:ilvl w:val="0"/>
          <w:numId w:val="1"/>
        </w:numPr>
        <w:rPr>
          <w:rFonts w:ascii="Arial" w:hAnsi="Arial" w:cs="Arial"/>
          <w:b/>
        </w:rPr>
      </w:pPr>
      <w:r>
        <w:rPr>
          <w:rFonts w:ascii="Arial" w:hAnsi="Arial" w:cs="Arial"/>
          <w:b/>
        </w:rPr>
        <w:t>Introduction</w:t>
      </w:r>
    </w:p>
    <w:p w:rsidR="008F5A43" w:rsidRDefault="008F5A43" w:rsidP="00C8139C">
      <w:pPr>
        <w:ind w:left="360"/>
        <w:rPr>
          <w:rFonts w:ascii="Arial" w:hAnsi="Arial" w:cs="Arial"/>
        </w:rPr>
      </w:pPr>
    </w:p>
    <w:p w:rsidR="00781772" w:rsidRDefault="005D7F14" w:rsidP="00C8139C">
      <w:pPr>
        <w:ind w:left="360"/>
        <w:rPr>
          <w:rFonts w:ascii="Arial" w:hAnsi="Arial" w:cs="Arial"/>
          <w:sz w:val="22"/>
          <w:szCs w:val="22"/>
        </w:rPr>
      </w:pPr>
      <w:r>
        <w:rPr>
          <w:rFonts w:ascii="Arial" w:hAnsi="Arial" w:cs="Arial"/>
          <w:sz w:val="22"/>
          <w:szCs w:val="22"/>
        </w:rPr>
        <w:t xml:space="preserve">While Board planning is now beginning to transition to a more stable ‘normal’ position, </w:t>
      </w:r>
      <w:r w:rsidR="00781772">
        <w:rPr>
          <w:rFonts w:ascii="Arial" w:hAnsi="Arial" w:cs="Arial"/>
          <w:sz w:val="22"/>
          <w:szCs w:val="22"/>
        </w:rPr>
        <w:t xml:space="preserve">Territorial </w:t>
      </w:r>
      <w:r>
        <w:rPr>
          <w:rFonts w:ascii="Arial" w:hAnsi="Arial" w:cs="Arial"/>
          <w:sz w:val="22"/>
          <w:szCs w:val="22"/>
        </w:rPr>
        <w:t>Boards have been asked to produce an annual plan</w:t>
      </w:r>
      <w:r w:rsidR="0074430B">
        <w:rPr>
          <w:rFonts w:ascii="Arial" w:hAnsi="Arial" w:cs="Arial"/>
          <w:sz w:val="22"/>
          <w:szCs w:val="22"/>
        </w:rPr>
        <w:t xml:space="preserve"> (the ADP)</w:t>
      </w:r>
      <w:r>
        <w:rPr>
          <w:rFonts w:ascii="Arial" w:hAnsi="Arial" w:cs="Arial"/>
          <w:sz w:val="22"/>
          <w:szCs w:val="22"/>
        </w:rPr>
        <w:t xml:space="preserve"> for 2022/2023 covering a limited set of priorities.</w:t>
      </w:r>
      <w:r w:rsidR="00781772">
        <w:rPr>
          <w:rFonts w:ascii="Arial" w:hAnsi="Arial" w:cs="Arial"/>
          <w:sz w:val="22"/>
          <w:szCs w:val="22"/>
        </w:rPr>
        <w:t xml:space="preserve"> National Boards were not formally required to develop ADPs however NHS Golden Jubilee has prepared a plan as good practice, providing structure and focus for the Board for the remainder of the financial year.</w:t>
      </w:r>
    </w:p>
    <w:p w:rsidR="00781772" w:rsidRDefault="00781772" w:rsidP="00C8139C">
      <w:pPr>
        <w:ind w:left="360"/>
        <w:rPr>
          <w:rFonts w:ascii="Arial" w:hAnsi="Arial" w:cs="Arial"/>
          <w:sz w:val="22"/>
          <w:szCs w:val="22"/>
        </w:rPr>
      </w:pPr>
    </w:p>
    <w:p w:rsidR="0074430B" w:rsidRDefault="005D7F14" w:rsidP="00C8139C">
      <w:pPr>
        <w:ind w:left="360"/>
        <w:rPr>
          <w:rFonts w:ascii="Arial" w:hAnsi="Arial" w:cs="Arial"/>
          <w:sz w:val="22"/>
          <w:szCs w:val="22"/>
        </w:rPr>
      </w:pPr>
      <w:r>
        <w:rPr>
          <w:rFonts w:ascii="Arial" w:hAnsi="Arial" w:cs="Arial"/>
          <w:sz w:val="22"/>
          <w:szCs w:val="22"/>
        </w:rPr>
        <w:t>It is government’s intention to move to medium-term plans from 2023/2024.</w:t>
      </w:r>
      <w:r w:rsidR="0074430B">
        <w:rPr>
          <w:rFonts w:ascii="Arial" w:hAnsi="Arial" w:cs="Arial"/>
          <w:sz w:val="22"/>
          <w:szCs w:val="22"/>
        </w:rPr>
        <w:t xml:space="preserve"> The formal commission from Scottish Government outlining its expectations for these plans is expected imminently and will be shared with </w:t>
      </w:r>
      <w:r w:rsidR="007A62E8">
        <w:rPr>
          <w:rFonts w:ascii="Arial" w:hAnsi="Arial" w:cs="Arial"/>
          <w:sz w:val="22"/>
          <w:szCs w:val="22"/>
        </w:rPr>
        <w:t>the Board in early course</w:t>
      </w:r>
      <w:r w:rsidR="0074430B">
        <w:rPr>
          <w:rFonts w:ascii="Arial" w:hAnsi="Arial" w:cs="Arial"/>
          <w:sz w:val="22"/>
          <w:szCs w:val="22"/>
        </w:rPr>
        <w:t>.</w:t>
      </w:r>
    </w:p>
    <w:p w:rsidR="0074430B" w:rsidRDefault="0074430B" w:rsidP="00C8139C">
      <w:pPr>
        <w:ind w:left="360"/>
        <w:rPr>
          <w:rFonts w:ascii="Arial" w:hAnsi="Arial" w:cs="Arial"/>
          <w:sz w:val="22"/>
          <w:szCs w:val="22"/>
        </w:rPr>
      </w:pPr>
    </w:p>
    <w:p w:rsidR="008F5A43" w:rsidRPr="00451717" w:rsidRDefault="0074430B" w:rsidP="00C8139C">
      <w:pPr>
        <w:ind w:left="360"/>
        <w:rPr>
          <w:rFonts w:ascii="Arial" w:hAnsi="Arial" w:cs="Arial"/>
          <w:sz w:val="22"/>
          <w:szCs w:val="22"/>
        </w:rPr>
      </w:pPr>
      <w:r>
        <w:rPr>
          <w:rFonts w:ascii="Arial" w:hAnsi="Arial" w:cs="Arial"/>
          <w:sz w:val="22"/>
          <w:szCs w:val="22"/>
        </w:rPr>
        <w:t>Alongside the one-year delivery plan, Boards developed 3-year Workforce and Financial Plans. These plans were developed in tandem with the ADP to ensure alignment of priorities as part of a coordinated strategic and operational planning approach.</w:t>
      </w:r>
      <w:r w:rsidR="005D7F14">
        <w:rPr>
          <w:rFonts w:ascii="Arial" w:hAnsi="Arial" w:cs="Arial"/>
          <w:sz w:val="22"/>
          <w:szCs w:val="22"/>
        </w:rPr>
        <w:t xml:space="preserve"> </w:t>
      </w:r>
    </w:p>
    <w:p w:rsidR="008F5A43" w:rsidRDefault="008F5A43" w:rsidP="00C8139C">
      <w:pPr>
        <w:pStyle w:val="ListParagraph"/>
        <w:rPr>
          <w:rFonts w:ascii="Arial" w:hAnsi="Arial" w:cs="Arial"/>
          <w:b/>
        </w:rPr>
      </w:pPr>
    </w:p>
    <w:p w:rsidR="008F5A43" w:rsidRDefault="0074430B" w:rsidP="00C8139C">
      <w:pPr>
        <w:pStyle w:val="ListParagraph"/>
        <w:numPr>
          <w:ilvl w:val="0"/>
          <w:numId w:val="1"/>
        </w:numPr>
        <w:rPr>
          <w:rFonts w:ascii="Arial" w:hAnsi="Arial" w:cs="Arial"/>
          <w:b/>
        </w:rPr>
      </w:pPr>
      <w:r>
        <w:rPr>
          <w:rFonts w:ascii="Arial" w:hAnsi="Arial" w:cs="Arial"/>
          <w:b/>
        </w:rPr>
        <w:t>The Annual Delivery Plan</w:t>
      </w:r>
    </w:p>
    <w:p w:rsidR="008F5A43" w:rsidRDefault="008F5A43" w:rsidP="00C8139C">
      <w:pPr>
        <w:ind w:left="360"/>
        <w:rPr>
          <w:rFonts w:ascii="Arial" w:hAnsi="Arial" w:cs="Arial"/>
        </w:rPr>
      </w:pPr>
    </w:p>
    <w:p w:rsidR="008F5A43" w:rsidRDefault="008F5A43" w:rsidP="00C8139C">
      <w:pPr>
        <w:ind w:left="360"/>
        <w:rPr>
          <w:rFonts w:ascii="Arial" w:hAnsi="Arial" w:cs="Arial"/>
          <w:sz w:val="22"/>
          <w:szCs w:val="22"/>
        </w:rPr>
      </w:pPr>
      <w:r w:rsidRPr="008F5A43">
        <w:rPr>
          <w:rFonts w:ascii="Arial" w:hAnsi="Arial" w:cs="Arial"/>
          <w:sz w:val="22"/>
          <w:szCs w:val="22"/>
        </w:rPr>
        <w:t>The</w:t>
      </w:r>
      <w:r>
        <w:rPr>
          <w:rFonts w:ascii="Arial" w:hAnsi="Arial" w:cs="Arial"/>
          <w:sz w:val="22"/>
          <w:szCs w:val="22"/>
        </w:rPr>
        <w:t xml:space="preserve"> </w:t>
      </w:r>
      <w:r w:rsidR="0074430B">
        <w:rPr>
          <w:rFonts w:ascii="Arial" w:hAnsi="Arial" w:cs="Arial"/>
          <w:sz w:val="22"/>
          <w:szCs w:val="22"/>
        </w:rPr>
        <w:t>ADP</w:t>
      </w:r>
      <w:r>
        <w:rPr>
          <w:rFonts w:ascii="Arial" w:hAnsi="Arial" w:cs="Arial"/>
          <w:sz w:val="22"/>
          <w:szCs w:val="22"/>
        </w:rPr>
        <w:t xml:space="preserve"> sets out NHS Golden Jubilee’s priorities and delivery objectives for 2022/2023.</w:t>
      </w:r>
      <w:r w:rsidR="0074430B">
        <w:rPr>
          <w:rFonts w:ascii="Arial" w:hAnsi="Arial" w:cs="Arial"/>
          <w:sz w:val="22"/>
          <w:szCs w:val="22"/>
        </w:rPr>
        <w:t xml:space="preserve"> It includes revised clinical activity plans for the remainder of the financial year, reflecting:</w:t>
      </w:r>
    </w:p>
    <w:p w:rsidR="0074430B" w:rsidRDefault="0074430B" w:rsidP="00C8139C">
      <w:pPr>
        <w:ind w:left="360"/>
        <w:rPr>
          <w:rFonts w:ascii="Arial" w:hAnsi="Arial" w:cs="Arial"/>
          <w:sz w:val="22"/>
          <w:szCs w:val="22"/>
        </w:rPr>
      </w:pPr>
    </w:p>
    <w:p w:rsidR="0074430B" w:rsidRDefault="0074430B" w:rsidP="00C8139C">
      <w:pPr>
        <w:pStyle w:val="ListParagraph"/>
        <w:numPr>
          <w:ilvl w:val="0"/>
          <w:numId w:val="13"/>
        </w:numPr>
        <w:rPr>
          <w:rFonts w:ascii="Arial" w:hAnsi="Arial" w:cs="Arial"/>
        </w:rPr>
      </w:pPr>
      <w:r>
        <w:rPr>
          <w:rFonts w:ascii="Arial" w:hAnsi="Arial" w:cs="Arial"/>
        </w:rPr>
        <w:t>Analysis of year-to-date performance against planned activity</w:t>
      </w:r>
    </w:p>
    <w:p w:rsidR="0074430B" w:rsidRDefault="0074430B" w:rsidP="00C8139C">
      <w:pPr>
        <w:pStyle w:val="ListParagraph"/>
        <w:numPr>
          <w:ilvl w:val="0"/>
          <w:numId w:val="13"/>
        </w:numPr>
        <w:rPr>
          <w:rFonts w:ascii="Arial" w:hAnsi="Arial" w:cs="Arial"/>
        </w:rPr>
      </w:pPr>
      <w:r>
        <w:rPr>
          <w:rFonts w:ascii="Arial" w:hAnsi="Arial" w:cs="Arial"/>
        </w:rPr>
        <w:t>Activity projections to the end of March 2023</w:t>
      </w:r>
    </w:p>
    <w:p w:rsidR="0074430B" w:rsidRDefault="00010255" w:rsidP="00C8139C">
      <w:pPr>
        <w:pStyle w:val="ListParagraph"/>
        <w:numPr>
          <w:ilvl w:val="0"/>
          <w:numId w:val="13"/>
        </w:numPr>
        <w:rPr>
          <w:rFonts w:ascii="Arial" w:hAnsi="Arial" w:cs="Arial"/>
        </w:rPr>
      </w:pPr>
      <w:r>
        <w:rPr>
          <w:rFonts w:ascii="Arial" w:hAnsi="Arial" w:cs="Arial"/>
        </w:rPr>
        <w:t>Available workforce and physical capacity (including planned recruitment)</w:t>
      </w:r>
    </w:p>
    <w:p w:rsidR="00010255" w:rsidRDefault="00010255" w:rsidP="00C8139C">
      <w:pPr>
        <w:pStyle w:val="ListParagraph"/>
        <w:numPr>
          <w:ilvl w:val="0"/>
          <w:numId w:val="13"/>
        </w:numPr>
        <w:rPr>
          <w:rFonts w:ascii="Arial" w:hAnsi="Arial" w:cs="Arial"/>
        </w:rPr>
      </w:pPr>
      <w:r>
        <w:rPr>
          <w:rFonts w:ascii="Arial" w:hAnsi="Arial" w:cs="Arial"/>
        </w:rPr>
        <w:t>Actions to support national efforts to reduce waiting times</w:t>
      </w:r>
    </w:p>
    <w:p w:rsidR="00010255" w:rsidRPr="0074430B" w:rsidRDefault="00010255" w:rsidP="00C8139C">
      <w:pPr>
        <w:pStyle w:val="ListParagraph"/>
        <w:numPr>
          <w:ilvl w:val="0"/>
          <w:numId w:val="13"/>
        </w:numPr>
        <w:rPr>
          <w:rFonts w:ascii="Arial" w:hAnsi="Arial" w:cs="Arial"/>
        </w:rPr>
      </w:pPr>
      <w:r>
        <w:rPr>
          <w:rFonts w:ascii="Arial" w:hAnsi="Arial" w:cs="Arial"/>
        </w:rPr>
        <w:lastRenderedPageBreak/>
        <w:t>Local NHS Golden Jubilee opportunities to maximise productivity and/or provide additional capacity within core specialties</w:t>
      </w:r>
    </w:p>
    <w:p w:rsidR="0074430B" w:rsidRDefault="00ED0FAD" w:rsidP="00C8139C">
      <w:pPr>
        <w:ind w:left="360"/>
        <w:rPr>
          <w:rFonts w:ascii="Arial" w:hAnsi="Arial" w:cs="Arial"/>
          <w:sz w:val="22"/>
          <w:szCs w:val="22"/>
        </w:rPr>
      </w:pPr>
      <w:r>
        <w:rPr>
          <w:rFonts w:ascii="Arial" w:hAnsi="Arial" w:cs="Arial"/>
          <w:sz w:val="22"/>
          <w:szCs w:val="22"/>
        </w:rPr>
        <w:t>The ADP, including activity plans, has been developed based on the following broad planning assumptions. NHS Golden Jubilee:</w:t>
      </w:r>
    </w:p>
    <w:p w:rsidR="00ED0FAD" w:rsidRDefault="00ED0FAD" w:rsidP="00C8139C">
      <w:pPr>
        <w:ind w:left="360"/>
        <w:rPr>
          <w:rFonts w:ascii="Arial" w:hAnsi="Arial" w:cs="Arial"/>
          <w:sz w:val="22"/>
          <w:szCs w:val="22"/>
        </w:rPr>
      </w:pPr>
    </w:p>
    <w:p w:rsidR="00ED0FAD" w:rsidRDefault="00ED0FAD" w:rsidP="00C8139C">
      <w:pPr>
        <w:pStyle w:val="ListParagraph"/>
        <w:numPr>
          <w:ilvl w:val="0"/>
          <w:numId w:val="14"/>
        </w:numPr>
        <w:rPr>
          <w:rFonts w:ascii="Arial" w:hAnsi="Arial" w:cs="Arial"/>
        </w:rPr>
      </w:pPr>
      <w:r>
        <w:rPr>
          <w:rFonts w:ascii="Arial" w:hAnsi="Arial" w:cs="Arial"/>
        </w:rPr>
        <w:t>Is a national resource available to support NHS Scotland</w:t>
      </w:r>
    </w:p>
    <w:p w:rsidR="00ED0FAD" w:rsidRDefault="00ED0FAD" w:rsidP="00C8139C">
      <w:pPr>
        <w:pStyle w:val="ListParagraph"/>
        <w:numPr>
          <w:ilvl w:val="0"/>
          <w:numId w:val="14"/>
        </w:numPr>
        <w:rPr>
          <w:rFonts w:ascii="Arial" w:hAnsi="Arial" w:cs="Arial"/>
        </w:rPr>
      </w:pPr>
      <w:r>
        <w:rPr>
          <w:rFonts w:ascii="Arial" w:hAnsi="Arial" w:cs="Arial"/>
        </w:rPr>
        <w:t>Will adapt to the demands of pandemic and winter pressures, providing planned and consistent support</w:t>
      </w:r>
    </w:p>
    <w:p w:rsidR="00ED0FAD" w:rsidRDefault="00ED0FAD" w:rsidP="00C8139C">
      <w:pPr>
        <w:pStyle w:val="ListParagraph"/>
        <w:numPr>
          <w:ilvl w:val="0"/>
          <w:numId w:val="14"/>
        </w:numPr>
        <w:rPr>
          <w:rFonts w:ascii="Arial" w:hAnsi="Arial" w:cs="Arial"/>
        </w:rPr>
      </w:pPr>
      <w:r>
        <w:rPr>
          <w:rFonts w:ascii="Arial" w:hAnsi="Arial" w:cs="Arial"/>
        </w:rPr>
        <w:t>Will flexibly use resources to maintain a balance between urgent and elective care depending on demand</w:t>
      </w:r>
    </w:p>
    <w:p w:rsidR="00ED0FAD" w:rsidRDefault="00ED0FAD" w:rsidP="00C8139C">
      <w:pPr>
        <w:pStyle w:val="ListParagraph"/>
        <w:numPr>
          <w:ilvl w:val="0"/>
          <w:numId w:val="14"/>
        </w:numPr>
        <w:rPr>
          <w:rFonts w:ascii="Arial" w:hAnsi="Arial" w:cs="Arial"/>
        </w:rPr>
      </w:pPr>
      <w:r>
        <w:rPr>
          <w:rFonts w:ascii="Arial" w:hAnsi="Arial" w:cs="Arial"/>
        </w:rPr>
        <w:t>Will continue to provide core elective services of orthopaedics and ophthalmology, with expedited plans to deliver additional capacity through our ongoing expansion programme</w:t>
      </w:r>
    </w:p>
    <w:p w:rsidR="00ED0FAD" w:rsidRDefault="00ED0FAD" w:rsidP="00C8139C">
      <w:pPr>
        <w:pStyle w:val="ListParagraph"/>
        <w:numPr>
          <w:ilvl w:val="0"/>
          <w:numId w:val="14"/>
        </w:numPr>
        <w:rPr>
          <w:rFonts w:ascii="Arial" w:hAnsi="Arial" w:cs="Arial"/>
        </w:rPr>
      </w:pPr>
      <w:r>
        <w:rPr>
          <w:rFonts w:ascii="Arial" w:hAnsi="Arial" w:cs="Arial"/>
        </w:rPr>
        <w:t>Will continue to collaborate and support the wider system</w:t>
      </w:r>
    </w:p>
    <w:p w:rsidR="00ED0FAD" w:rsidRDefault="00ED0FAD" w:rsidP="00C8139C">
      <w:pPr>
        <w:pStyle w:val="ListParagraph"/>
        <w:numPr>
          <w:ilvl w:val="0"/>
          <w:numId w:val="14"/>
        </w:numPr>
        <w:rPr>
          <w:rFonts w:ascii="Arial" w:hAnsi="Arial" w:cs="Arial"/>
        </w:rPr>
      </w:pPr>
      <w:r>
        <w:rPr>
          <w:rFonts w:ascii="Arial" w:hAnsi="Arial" w:cs="Arial"/>
        </w:rPr>
        <w:t>Will remain a ‘Green’ ‘Covid light’ site, not routinely admitting Covid positive patients</w:t>
      </w:r>
    </w:p>
    <w:p w:rsidR="00781772" w:rsidRPr="00781772" w:rsidRDefault="00781772" w:rsidP="00C8139C">
      <w:pPr>
        <w:ind w:left="720"/>
        <w:rPr>
          <w:rFonts w:ascii="Arial" w:hAnsi="Arial" w:cs="Arial"/>
        </w:rPr>
      </w:pPr>
    </w:p>
    <w:p w:rsidR="00781772" w:rsidRDefault="00781772" w:rsidP="00C8139C">
      <w:pPr>
        <w:ind w:left="360"/>
        <w:rPr>
          <w:rFonts w:ascii="Arial" w:hAnsi="Arial" w:cs="Arial"/>
          <w:sz w:val="22"/>
          <w:szCs w:val="22"/>
        </w:rPr>
      </w:pPr>
      <w:r w:rsidRPr="008F5A43">
        <w:rPr>
          <w:rFonts w:ascii="Arial" w:hAnsi="Arial" w:cs="Arial"/>
          <w:sz w:val="22"/>
          <w:szCs w:val="22"/>
        </w:rPr>
        <w:t>The</w:t>
      </w:r>
      <w:r>
        <w:rPr>
          <w:rFonts w:ascii="Arial" w:hAnsi="Arial" w:cs="Arial"/>
          <w:sz w:val="22"/>
          <w:szCs w:val="22"/>
        </w:rPr>
        <w:t xml:space="preserve"> priorities within the ADP, and accompanying appendices, reflect the strategic and operational focus for NHS Golden Jubilee during 2022/2023 and beyond. The priorities are aligned with Scottish Government’s areas of focus:</w:t>
      </w:r>
    </w:p>
    <w:p w:rsidR="00781772" w:rsidRDefault="00781772" w:rsidP="00C8139C">
      <w:pPr>
        <w:ind w:left="360"/>
        <w:rPr>
          <w:rFonts w:ascii="Arial" w:hAnsi="Arial" w:cs="Arial"/>
          <w:sz w:val="22"/>
          <w:szCs w:val="22"/>
        </w:rPr>
      </w:pPr>
    </w:p>
    <w:p w:rsidR="00781772" w:rsidRDefault="00781772" w:rsidP="00C8139C">
      <w:pPr>
        <w:pStyle w:val="ListParagraph"/>
        <w:numPr>
          <w:ilvl w:val="0"/>
          <w:numId w:val="15"/>
        </w:numPr>
        <w:rPr>
          <w:rFonts w:ascii="Arial" w:hAnsi="Arial" w:cs="Arial"/>
        </w:rPr>
      </w:pPr>
      <w:r>
        <w:rPr>
          <w:rFonts w:ascii="Arial" w:hAnsi="Arial" w:cs="Arial"/>
        </w:rPr>
        <w:t>Recovery and protection of planned care</w:t>
      </w:r>
    </w:p>
    <w:p w:rsidR="00781772" w:rsidRDefault="00781772" w:rsidP="00C8139C">
      <w:pPr>
        <w:pStyle w:val="ListParagraph"/>
        <w:numPr>
          <w:ilvl w:val="0"/>
          <w:numId w:val="15"/>
        </w:numPr>
        <w:rPr>
          <w:rFonts w:ascii="Arial" w:hAnsi="Arial" w:cs="Arial"/>
        </w:rPr>
      </w:pPr>
      <w:r>
        <w:rPr>
          <w:rFonts w:ascii="Arial" w:hAnsi="Arial" w:cs="Arial"/>
        </w:rPr>
        <w:t>Urgent and unscheduled care</w:t>
      </w:r>
    </w:p>
    <w:p w:rsidR="00781772" w:rsidRDefault="00781772" w:rsidP="00C8139C">
      <w:pPr>
        <w:pStyle w:val="ListParagraph"/>
        <w:numPr>
          <w:ilvl w:val="0"/>
          <w:numId w:val="15"/>
        </w:numPr>
        <w:rPr>
          <w:rFonts w:ascii="Arial" w:hAnsi="Arial" w:cs="Arial"/>
        </w:rPr>
      </w:pPr>
      <w:r>
        <w:rPr>
          <w:rFonts w:ascii="Arial" w:hAnsi="Arial" w:cs="Arial"/>
        </w:rPr>
        <w:t>Staff wellbeing</w:t>
      </w:r>
    </w:p>
    <w:p w:rsidR="00781772" w:rsidRDefault="00781772" w:rsidP="00C8139C">
      <w:pPr>
        <w:pStyle w:val="ListParagraph"/>
        <w:numPr>
          <w:ilvl w:val="0"/>
          <w:numId w:val="15"/>
        </w:numPr>
        <w:rPr>
          <w:rFonts w:ascii="Arial" w:hAnsi="Arial" w:cs="Arial"/>
        </w:rPr>
      </w:pPr>
      <w:r>
        <w:rPr>
          <w:rFonts w:ascii="Arial" w:hAnsi="Arial" w:cs="Arial"/>
        </w:rPr>
        <w:t>Recruitment and retention of the health and social care workforce</w:t>
      </w:r>
    </w:p>
    <w:p w:rsidR="00781772" w:rsidRDefault="00781772" w:rsidP="00C8139C">
      <w:pPr>
        <w:pStyle w:val="ListParagraph"/>
        <w:numPr>
          <w:ilvl w:val="0"/>
          <w:numId w:val="15"/>
        </w:numPr>
        <w:rPr>
          <w:rFonts w:ascii="Arial" w:hAnsi="Arial" w:cs="Arial"/>
        </w:rPr>
      </w:pPr>
      <w:r>
        <w:rPr>
          <w:rFonts w:ascii="Arial" w:hAnsi="Arial" w:cs="Arial"/>
        </w:rPr>
        <w:t>Supporting and improving social care</w:t>
      </w:r>
    </w:p>
    <w:p w:rsidR="00781772" w:rsidRPr="00781772" w:rsidRDefault="00781772" w:rsidP="00C8139C">
      <w:pPr>
        <w:pStyle w:val="ListParagraph"/>
        <w:numPr>
          <w:ilvl w:val="0"/>
          <w:numId w:val="15"/>
        </w:numPr>
        <w:rPr>
          <w:rFonts w:ascii="Arial" w:hAnsi="Arial" w:cs="Arial"/>
        </w:rPr>
      </w:pPr>
      <w:r>
        <w:rPr>
          <w:rFonts w:ascii="Arial" w:hAnsi="Arial" w:cs="Arial"/>
        </w:rPr>
        <w:t>Sustainability and value</w:t>
      </w:r>
    </w:p>
    <w:p w:rsidR="00781772" w:rsidRDefault="00781772" w:rsidP="00C8139C">
      <w:pPr>
        <w:rPr>
          <w:rFonts w:ascii="Arial" w:hAnsi="Arial" w:cs="Arial"/>
        </w:rPr>
      </w:pPr>
    </w:p>
    <w:p w:rsidR="00781772" w:rsidRDefault="00451717" w:rsidP="00C8139C">
      <w:pPr>
        <w:ind w:left="360"/>
        <w:rPr>
          <w:rFonts w:ascii="Arial" w:hAnsi="Arial" w:cs="Arial"/>
          <w:sz w:val="22"/>
          <w:szCs w:val="22"/>
        </w:rPr>
      </w:pPr>
      <w:r>
        <w:rPr>
          <w:rFonts w:ascii="Arial" w:hAnsi="Arial" w:cs="Arial"/>
          <w:sz w:val="22"/>
          <w:szCs w:val="22"/>
        </w:rPr>
        <w:t xml:space="preserve">In addition to the above, the ADP also includes the Board priorities in relation to Health Inequalities, </w:t>
      </w:r>
      <w:r w:rsidR="00781772">
        <w:rPr>
          <w:rFonts w:ascii="Arial" w:hAnsi="Arial" w:cs="Arial"/>
          <w:sz w:val="22"/>
          <w:szCs w:val="22"/>
        </w:rPr>
        <w:t>Diversity and Inclusion</w:t>
      </w:r>
      <w:r>
        <w:rPr>
          <w:rFonts w:ascii="Arial" w:hAnsi="Arial" w:cs="Arial"/>
          <w:sz w:val="22"/>
          <w:szCs w:val="22"/>
        </w:rPr>
        <w:t>, the Centre for Sustainable Delivery (</w:t>
      </w:r>
      <w:r w:rsidR="00781772">
        <w:rPr>
          <w:rFonts w:ascii="Arial" w:hAnsi="Arial" w:cs="Arial"/>
          <w:sz w:val="22"/>
          <w:szCs w:val="22"/>
        </w:rPr>
        <w:t>CfSD</w:t>
      </w:r>
      <w:r>
        <w:rPr>
          <w:rFonts w:ascii="Arial" w:hAnsi="Arial" w:cs="Arial"/>
          <w:sz w:val="22"/>
          <w:szCs w:val="22"/>
        </w:rPr>
        <w:t xml:space="preserve">), the NHS Scotland Academy, and the </w:t>
      </w:r>
      <w:r w:rsidR="00781772">
        <w:rPr>
          <w:rFonts w:ascii="Arial" w:hAnsi="Arial" w:cs="Arial"/>
          <w:sz w:val="22"/>
          <w:szCs w:val="22"/>
        </w:rPr>
        <w:t>Golden Jubilee Conference Hotel</w:t>
      </w:r>
      <w:r>
        <w:rPr>
          <w:rFonts w:ascii="Arial" w:hAnsi="Arial" w:cs="Arial"/>
          <w:sz w:val="22"/>
          <w:szCs w:val="22"/>
        </w:rPr>
        <w:t>.</w:t>
      </w:r>
    </w:p>
    <w:p w:rsidR="00451717" w:rsidRDefault="00451717" w:rsidP="00C8139C">
      <w:pPr>
        <w:ind w:left="360"/>
        <w:rPr>
          <w:rFonts w:ascii="Arial" w:hAnsi="Arial" w:cs="Arial"/>
          <w:sz w:val="22"/>
          <w:szCs w:val="22"/>
        </w:rPr>
      </w:pPr>
    </w:p>
    <w:p w:rsidR="00451717" w:rsidRDefault="00451717" w:rsidP="00C8139C">
      <w:pPr>
        <w:ind w:left="360"/>
        <w:rPr>
          <w:rFonts w:ascii="Arial" w:hAnsi="Arial" w:cs="Arial"/>
          <w:sz w:val="22"/>
          <w:szCs w:val="22"/>
        </w:rPr>
      </w:pPr>
      <w:r>
        <w:rPr>
          <w:rFonts w:ascii="Arial" w:hAnsi="Arial" w:cs="Arial"/>
          <w:sz w:val="22"/>
          <w:szCs w:val="22"/>
        </w:rPr>
        <w:t>Detail on the Board delivery priorities is provided within Section 5 of the draft ADP, and within the Delivery Planning Templates accompanying the ADP.</w:t>
      </w:r>
    </w:p>
    <w:p w:rsidR="00C8139C" w:rsidRDefault="00C8139C" w:rsidP="00C8139C">
      <w:pPr>
        <w:rPr>
          <w:rFonts w:ascii="Arial" w:hAnsi="Arial" w:cs="Arial"/>
          <w:sz w:val="22"/>
          <w:szCs w:val="22"/>
        </w:rPr>
      </w:pPr>
    </w:p>
    <w:p w:rsidR="0074430B" w:rsidRDefault="008F5A43" w:rsidP="00C8139C">
      <w:pPr>
        <w:ind w:left="360"/>
        <w:rPr>
          <w:rFonts w:ascii="Arial" w:hAnsi="Arial" w:cs="Arial"/>
          <w:sz w:val="22"/>
          <w:szCs w:val="22"/>
        </w:rPr>
      </w:pPr>
      <w:r w:rsidRPr="00C8139C">
        <w:rPr>
          <w:rFonts w:ascii="Arial" w:hAnsi="Arial" w:cs="Arial"/>
          <w:sz w:val="22"/>
          <w:szCs w:val="22"/>
        </w:rPr>
        <w:t>NHS Golden Jubilee fully supports the Scottish Government’s NHS Scotland Recovery Plan. This includes</w:t>
      </w:r>
      <w:r w:rsidR="00BC2649">
        <w:rPr>
          <w:rFonts w:ascii="Arial" w:hAnsi="Arial" w:cs="Arial"/>
          <w:sz w:val="22"/>
          <w:szCs w:val="22"/>
        </w:rPr>
        <w:t xml:space="preserve"> our expedited expansion plans including</w:t>
      </w:r>
      <w:r w:rsidRPr="00C8139C">
        <w:rPr>
          <w:rFonts w:ascii="Arial" w:hAnsi="Arial" w:cs="Arial"/>
          <w:sz w:val="22"/>
          <w:szCs w:val="22"/>
        </w:rPr>
        <w:t xml:space="preserve"> ongoing Phase 2 National Treatment Centre expansion; work to develop and expand diagnostic services including endoscopy locally and nationally; continued development of the NHS Scotland Academy and national Centre for Sustainable Delivery in support of accelerated workforce development, innovation and redesign; and a collaborative approach to supporting boards and NHS Scotland more generally to manage ongoing pressures at this challenging time. </w:t>
      </w:r>
    </w:p>
    <w:p w:rsidR="00C8139C" w:rsidRPr="00C8139C" w:rsidRDefault="00C8139C" w:rsidP="00C8139C">
      <w:pPr>
        <w:ind w:left="360"/>
        <w:rPr>
          <w:rFonts w:ascii="Arial" w:hAnsi="Arial" w:cs="Arial"/>
          <w:sz w:val="22"/>
          <w:szCs w:val="22"/>
        </w:rPr>
      </w:pPr>
    </w:p>
    <w:p w:rsidR="00C8139C" w:rsidRDefault="008F5A43" w:rsidP="00C8139C">
      <w:pPr>
        <w:pStyle w:val="ListParagraph"/>
        <w:spacing w:after="200"/>
        <w:ind w:left="370"/>
        <w:rPr>
          <w:rFonts w:ascii="Arial" w:hAnsi="Arial" w:cs="Arial"/>
        </w:rPr>
      </w:pPr>
      <w:r w:rsidRPr="00C8139C">
        <w:rPr>
          <w:rFonts w:ascii="Arial" w:hAnsi="Arial" w:cs="Arial"/>
        </w:rPr>
        <w:t>NHS Golden Jubilee is committed to the recovery and sustainability of inpatient and day case elective care, outpatient care and diagnostic services. Our Board has a key role in delivering the National Delivery Plan for Planned Care. This includes working with other boards and NHS Scotland to protect, stabilise and recover planned care in the short term through action to reduce the number of patients waiting long periods for treatment, and through achieving the future strategic ambitions for Scotland’s planned care services. Our planned contribution to the recovery and protection of planned care is described in section 5.</w:t>
      </w:r>
    </w:p>
    <w:p w:rsidR="00C8139C" w:rsidRDefault="00C8139C" w:rsidP="00C8139C">
      <w:pPr>
        <w:pStyle w:val="ListParagraph"/>
        <w:spacing w:after="200"/>
        <w:ind w:left="370"/>
        <w:rPr>
          <w:rFonts w:ascii="Arial" w:hAnsi="Arial" w:cs="Arial"/>
        </w:rPr>
      </w:pPr>
    </w:p>
    <w:p w:rsidR="008F5A43" w:rsidRDefault="005D7F14" w:rsidP="00C8139C">
      <w:pPr>
        <w:pStyle w:val="ListParagraph"/>
        <w:spacing w:after="200"/>
        <w:ind w:left="370"/>
        <w:rPr>
          <w:rFonts w:cs="Arial"/>
        </w:rPr>
      </w:pPr>
      <w:r w:rsidRPr="00C8139C">
        <w:rPr>
          <w:rFonts w:ascii="Arial" w:hAnsi="Arial" w:cs="Arial"/>
        </w:rPr>
        <w:lastRenderedPageBreak/>
        <w:t>The immediate targets to reduce waiting times are ambitious, requiring collaboration throughout the system if they are to be achieved. We will seek to maximise available capacity within the Golden Jubilee University National Hospital to support this national priority, as described within section 5. Through the Centre for Sustainable Delivery and individual board heat maps, high impact changes such as Active Clinical Referral Triage (ACRT), Patient Initiated Review (PIR), and Enhanced Recovery (ERAS) and Day Surgery will contribute to sustainable improvement throughout the system. The National Elective Coordination Unit (NECU), supported by CfSD working with Scottish Government and NHS Golden Jubilee, will provide a coordinated and standardised approach to optimising national capacity and patient validation</w:t>
      </w:r>
      <w:r w:rsidRPr="00C8139C">
        <w:rPr>
          <w:rFonts w:cs="Arial"/>
        </w:rPr>
        <w:t>.</w:t>
      </w:r>
    </w:p>
    <w:p w:rsidR="00530862" w:rsidRDefault="00530862" w:rsidP="00C8139C">
      <w:pPr>
        <w:pStyle w:val="ListParagraph"/>
        <w:spacing w:after="200"/>
        <w:ind w:left="370"/>
        <w:rPr>
          <w:rFonts w:cs="Arial"/>
        </w:rPr>
      </w:pPr>
    </w:p>
    <w:p w:rsidR="00641939" w:rsidRPr="00530862" w:rsidRDefault="00530862" w:rsidP="00530862">
      <w:pPr>
        <w:pStyle w:val="ListParagraph"/>
        <w:spacing w:after="200"/>
        <w:ind w:left="370"/>
        <w:rPr>
          <w:rFonts w:ascii="Arial" w:hAnsi="Arial" w:cs="Arial"/>
        </w:rPr>
      </w:pPr>
      <w:r w:rsidRPr="00530862">
        <w:rPr>
          <w:rFonts w:ascii="Arial" w:hAnsi="Arial" w:cs="Arial"/>
        </w:rPr>
        <w:t>Accompanying the ADP</w:t>
      </w:r>
      <w:r>
        <w:rPr>
          <w:rFonts w:ascii="Arial" w:hAnsi="Arial" w:cs="Arial"/>
        </w:rPr>
        <w:t xml:space="preserve"> are a number of appendices. Appendices 1-10 are Delivery Planning Templates which set out key deliverables, milestones and risks in key areas of Board operations. These templates were first introduced as part of Remobilisation Plan 4, and are updated quarterly. The templates have been revised for ADP, with quarterly updates on any existing RMP4 deliverables included and shown in bold text. Appendix 11 is an update in the form of a ‘heat map’ on NHS Golden Jubilee’s contribution to national Centre for Sustainable Delivery programmes. The final appendix, 12, is an updated activity plan for the remainder of the 2022/2023 financial year, adjusted to reflect the planning considerations outlined within the main ADP document.</w:t>
      </w:r>
    </w:p>
    <w:p w:rsidR="00530862" w:rsidRPr="00530862" w:rsidRDefault="00530862" w:rsidP="00530862">
      <w:pPr>
        <w:pStyle w:val="ListParagraph"/>
        <w:spacing w:after="200"/>
        <w:ind w:left="370"/>
        <w:rPr>
          <w:rFonts w:cs="Arial"/>
        </w:rPr>
      </w:pPr>
    </w:p>
    <w:p w:rsidR="009C79EE" w:rsidRDefault="00C8139C" w:rsidP="009C79EE">
      <w:pPr>
        <w:pStyle w:val="ListParagraph"/>
        <w:numPr>
          <w:ilvl w:val="0"/>
          <w:numId w:val="1"/>
        </w:numPr>
        <w:rPr>
          <w:rFonts w:ascii="Arial" w:hAnsi="Arial" w:cs="Arial"/>
          <w:b/>
        </w:rPr>
      </w:pPr>
      <w:r>
        <w:rPr>
          <w:rFonts w:ascii="Arial" w:hAnsi="Arial" w:cs="Arial"/>
          <w:b/>
        </w:rPr>
        <w:t>Consultation</w:t>
      </w:r>
    </w:p>
    <w:p w:rsidR="009C79EE" w:rsidRDefault="009C79EE" w:rsidP="00641939">
      <w:pPr>
        <w:pStyle w:val="ListParagraph"/>
        <w:ind w:left="360"/>
        <w:rPr>
          <w:rFonts w:ascii="Arial" w:hAnsi="Arial" w:cs="Arial"/>
        </w:rPr>
      </w:pPr>
    </w:p>
    <w:p w:rsidR="005F585D" w:rsidRDefault="00C8139C" w:rsidP="00C8139C">
      <w:pPr>
        <w:pStyle w:val="ListParagraph"/>
        <w:ind w:left="360"/>
        <w:rPr>
          <w:rFonts w:ascii="Arial" w:hAnsi="Arial" w:cs="Arial"/>
        </w:rPr>
      </w:pPr>
      <w:r>
        <w:rPr>
          <w:rFonts w:ascii="Arial" w:hAnsi="Arial" w:cs="Arial"/>
        </w:rPr>
        <w:t>The ADP</w:t>
      </w:r>
      <w:r w:rsidR="009C79EE" w:rsidRPr="00C8139C">
        <w:rPr>
          <w:rFonts w:ascii="Arial" w:hAnsi="Arial" w:cs="Arial"/>
        </w:rPr>
        <w:t xml:space="preserve"> was developed collaboratively with Divisional and Senior / Executive colleagues in line with the commissioning guidance issued to Boards by Scottish Government. </w:t>
      </w:r>
    </w:p>
    <w:p w:rsidR="005F585D" w:rsidRDefault="005F585D" w:rsidP="00C8139C">
      <w:pPr>
        <w:pStyle w:val="ListParagraph"/>
        <w:ind w:left="360"/>
        <w:rPr>
          <w:rFonts w:ascii="Arial" w:hAnsi="Arial" w:cs="Arial"/>
        </w:rPr>
      </w:pPr>
    </w:p>
    <w:p w:rsidR="005F585D" w:rsidRDefault="009C79EE" w:rsidP="00C8139C">
      <w:pPr>
        <w:pStyle w:val="ListParagraph"/>
        <w:ind w:left="360"/>
        <w:rPr>
          <w:rFonts w:ascii="Arial" w:hAnsi="Arial" w:cs="Arial"/>
        </w:rPr>
      </w:pPr>
      <w:r w:rsidRPr="00C8139C">
        <w:rPr>
          <w:rFonts w:ascii="Arial" w:hAnsi="Arial" w:cs="Arial"/>
        </w:rPr>
        <w:t>The plan was submitted in draft to Scottish Government on 29 July. We await further feedback from government on the detail of our plan</w:t>
      </w:r>
      <w:r w:rsidR="002D4208" w:rsidRPr="00C8139C">
        <w:rPr>
          <w:rFonts w:ascii="Arial" w:hAnsi="Arial" w:cs="Arial"/>
        </w:rPr>
        <w:t>.</w:t>
      </w:r>
      <w:r w:rsidR="005F585D">
        <w:rPr>
          <w:rFonts w:ascii="Arial" w:hAnsi="Arial" w:cs="Arial"/>
        </w:rPr>
        <w:t xml:space="preserve"> The current indication is that feedback will be discussed with the Board during the October Sponsorship meeting. </w:t>
      </w:r>
      <w:r w:rsidR="00BC2649">
        <w:rPr>
          <w:rFonts w:ascii="Arial" w:hAnsi="Arial" w:cs="Arial"/>
        </w:rPr>
        <w:t xml:space="preserve"> </w:t>
      </w:r>
    </w:p>
    <w:p w:rsidR="005F585D" w:rsidRDefault="005F585D" w:rsidP="00C8139C">
      <w:pPr>
        <w:pStyle w:val="ListParagraph"/>
        <w:ind w:left="360"/>
        <w:rPr>
          <w:rFonts w:ascii="Arial" w:hAnsi="Arial" w:cs="Arial"/>
        </w:rPr>
      </w:pPr>
    </w:p>
    <w:p w:rsidR="00C8139C" w:rsidRDefault="00BC2649" w:rsidP="00C8139C">
      <w:pPr>
        <w:pStyle w:val="ListParagraph"/>
        <w:ind w:left="360"/>
        <w:rPr>
          <w:rFonts w:ascii="Arial" w:hAnsi="Arial" w:cs="Arial"/>
        </w:rPr>
      </w:pPr>
      <w:r>
        <w:rPr>
          <w:rFonts w:ascii="Arial" w:hAnsi="Arial" w:cs="Arial"/>
        </w:rPr>
        <w:t xml:space="preserve">The draft ADP was endorsed by the Board’s Finance and Performance Committee when it met on 6 September. </w:t>
      </w:r>
      <w:r w:rsidR="002D4208" w:rsidRPr="00C8139C">
        <w:rPr>
          <w:rFonts w:ascii="Arial" w:hAnsi="Arial" w:cs="Arial"/>
        </w:rPr>
        <w:t xml:space="preserve"> </w:t>
      </w:r>
    </w:p>
    <w:p w:rsidR="00A66C46" w:rsidRDefault="00A66C46" w:rsidP="00C8139C">
      <w:pPr>
        <w:pStyle w:val="ListParagraph"/>
        <w:ind w:left="360"/>
        <w:rPr>
          <w:rFonts w:ascii="Arial" w:hAnsi="Arial" w:cs="Arial"/>
        </w:rPr>
      </w:pPr>
    </w:p>
    <w:p w:rsidR="00C8139C" w:rsidRDefault="00A66C46" w:rsidP="00C8139C">
      <w:pPr>
        <w:pStyle w:val="ListParagraph"/>
        <w:numPr>
          <w:ilvl w:val="0"/>
          <w:numId w:val="1"/>
        </w:numPr>
        <w:rPr>
          <w:rFonts w:ascii="Arial" w:hAnsi="Arial" w:cs="Arial"/>
          <w:b/>
        </w:rPr>
      </w:pPr>
      <w:r>
        <w:rPr>
          <w:rFonts w:ascii="Arial" w:hAnsi="Arial" w:cs="Arial"/>
          <w:b/>
        </w:rPr>
        <w:t>Recommendation</w:t>
      </w:r>
      <w:r w:rsidR="00C8139C">
        <w:rPr>
          <w:rFonts w:ascii="Arial" w:hAnsi="Arial" w:cs="Arial"/>
          <w:b/>
        </w:rPr>
        <w:t xml:space="preserve"> </w:t>
      </w:r>
    </w:p>
    <w:p w:rsidR="00C8139C" w:rsidRDefault="00C8139C" w:rsidP="00C8139C">
      <w:pPr>
        <w:pStyle w:val="ListParagraph"/>
        <w:ind w:left="360"/>
        <w:rPr>
          <w:rFonts w:ascii="Arial" w:hAnsi="Arial" w:cs="Arial"/>
        </w:rPr>
      </w:pPr>
    </w:p>
    <w:p w:rsidR="009C79EE" w:rsidRPr="00C8139C" w:rsidRDefault="00BC2649" w:rsidP="00C8139C">
      <w:pPr>
        <w:pStyle w:val="ListParagraph"/>
        <w:ind w:left="360"/>
        <w:rPr>
          <w:rFonts w:ascii="Arial" w:hAnsi="Arial" w:cs="Arial"/>
        </w:rPr>
      </w:pPr>
      <w:r>
        <w:rPr>
          <w:rFonts w:ascii="Arial" w:hAnsi="Arial" w:cs="Arial"/>
          <w:bCs/>
        </w:rPr>
        <w:t>Board</w:t>
      </w:r>
      <w:r w:rsidR="009C79EE" w:rsidRPr="00C8139C">
        <w:rPr>
          <w:rFonts w:ascii="Arial" w:hAnsi="Arial" w:cs="Arial"/>
          <w:bCs/>
        </w:rPr>
        <w:t xml:space="preserve"> members are asked to discuss and approve the draft Annual Delivery Plan</w:t>
      </w:r>
      <w:r w:rsidR="00DE3D6A">
        <w:rPr>
          <w:rFonts w:ascii="Arial" w:hAnsi="Arial" w:cs="Arial"/>
          <w:bCs/>
        </w:rPr>
        <w:t xml:space="preserve">, </w:t>
      </w:r>
      <w:r>
        <w:rPr>
          <w:rFonts w:ascii="Arial" w:hAnsi="Arial" w:cs="Arial"/>
          <w:bCs/>
        </w:rPr>
        <w:t>subject to any final</w:t>
      </w:r>
      <w:r w:rsidR="00DE3D6A">
        <w:rPr>
          <w:rFonts w:ascii="Arial" w:hAnsi="Arial" w:cs="Arial"/>
          <w:bCs/>
        </w:rPr>
        <w:t xml:space="preserve"> changes arising from S</w:t>
      </w:r>
      <w:r w:rsidR="00A66C46">
        <w:rPr>
          <w:rFonts w:ascii="Arial" w:hAnsi="Arial" w:cs="Arial"/>
          <w:bCs/>
        </w:rPr>
        <w:t xml:space="preserve">cottish </w:t>
      </w:r>
      <w:r w:rsidR="00DE3D6A">
        <w:rPr>
          <w:rFonts w:ascii="Arial" w:hAnsi="Arial" w:cs="Arial"/>
          <w:bCs/>
        </w:rPr>
        <w:t>G</w:t>
      </w:r>
      <w:r w:rsidR="00A66C46">
        <w:rPr>
          <w:rFonts w:ascii="Arial" w:hAnsi="Arial" w:cs="Arial"/>
          <w:bCs/>
        </w:rPr>
        <w:t>overnment</w:t>
      </w:r>
      <w:r w:rsidR="00DE3D6A">
        <w:rPr>
          <w:rFonts w:ascii="Arial" w:hAnsi="Arial" w:cs="Arial"/>
          <w:bCs/>
        </w:rPr>
        <w:t xml:space="preserve"> feedback</w:t>
      </w:r>
      <w:r>
        <w:rPr>
          <w:rFonts w:ascii="Arial" w:hAnsi="Arial" w:cs="Arial"/>
          <w:bCs/>
        </w:rPr>
        <w:t>.</w:t>
      </w:r>
    </w:p>
    <w:p w:rsidR="00641939" w:rsidRDefault="00641939" w:rsidP="00641939">
      <w:pPr>
        <w:pStyle w:val="ListParagraph"/>
        <w:rPr>
          <w:rFonts w:ascii="Arial" w:hAnsi="Arial" w:cs="Arial"/>
          <w:b/>
        </w:rPr>
      </w:pPr>
    </w:p>
    <w:p w:rsidR="009C79EE" w:rsidRDefault="009C79EE" w:rsidP="00641939">
      <w:pPr>
        <w:pStyle w:val="ListParagraph"/>
        <w:rPr>
          <w:rFonts w:ascii="Arial" w:hAnsi="Arial" w:cs="Arial"/>
          <w:b/>
        </w:rPr>
      </w:pPr>
    </w:p>
    <w:p w:rsidR="00641939" w:rsidRDefault="00641939" w:rsidP="00641939">
      <w:pPr>
        <w:rPr>
          <w:rFonts w:ascii="Arial" w:hAnsi="Arial" w:cs="Arial"/>
          <w:b/>
          <w:sz w:val="22"/>
          <w:szCs w:val="22"/>
        </w:rPr>
      </w:pPr>
    </w:p>
    <w:p w:rsidR="00004357" w:rsidRDefault="009C79EE" w:rsidP="00641939">
      <w:pPr>
        <w:rPr>
          <w:rFonts w:ascii="Arial" w:hAnsi="Arial" w:cs="Arial"/>
          <w:b/>
          <w:sz w:val="22"/>
          <w:szCs w:val="22"/>
        </w:rPr>
      </w:pPr>
      <w:r w:rsidRPr="00A66C46">
        <w:rPr>
          <w:rFonts w:ascii="Arial" w:hAnsi="Arial" w:cs="Arial"/>
          <w:b/>
          <w:sz w:val="22"/>
          <w:szCs w:val="22"/>
        </w:rPr>
        <w:t>Gareth</w:t>
      </w:r>
      <w:r w:rsidR="00DE3D6A">
        <w:rPr>
          <w:rFonts w:ascii="Arial" w:hAnsi="Arial" w:cs="Arial"/>
          <w:b/>
          <w:sz w:val="22"/>
          <w:szCs w:val="22"/>
        </w:rPr>
        <w:t xml:space="preserve"> Adkins</w:t>
      </w:r>
      <w:r>
        <w:rPr>
          <w:rFonts w:ascii="Arial" w:hAnsi="Arial" w:cs="Arial"/>
          <w:b/>
          <w:sz w:val="22"/>
          <w:szCs w:val="22"/>
        </w:rPr>
        <w:t xml:space="preserve">, </w:t>
      </w:r>
    </w:p>
    <w:p w:rsidR="00641939" w:rsidRDefault="00A66C46" w:rsidP="00641939">
      <w:pPr>
        <w:rPr>
          <w:rFonts w:ascii="Arial" w:hAnsi="Arial" w:cs="Arial"/>
          <w:b/>
          <w:sz w:val="22"/>
          <w:szCs w:val="22"/>
        </w:rPr>
      </w:pPr>
      <w:r>
        <w:rPr>
          <w:rFonts w:ascii="Arial" w:hAnsi="Arial" w:cs="Arial"/>
          <w:b/>
          <w:sz w:val="22"/>
          <w:szCs w:val="22"/>
        </w:rPr>
        <w:t>Director of Quality, Innovation and People</w:t>
      </w:r>
      <w:r w:rsidR="00641939">
        <w:rPr>
          <w:rFonts w:ascii="Arial" w:hAnsi="Arial" w:cs="Arial"/>
          <w:b/>
          <w:sz w:val="22"/>
          <w:szCs w:val="22"/>
        </w:rPr>
        <w:t xml:space="preserve"> </w:t>
      </w:r>
    </w:p>
    <w:p w:rsidR="00641939" w:rsidRDefault="00BC2649" w:rsidP="00641939">
      <w:pPr>
        <w:rPr>
          <w:rFonts w:ascii="Arial" w:hAnsi="Arial" w:cs="Arial"/>
          <w:b/>
          <w:sz w:val="22"/>
          <w:szCs w:val="22"/>
        </w:rPr>
      </w:pPr>
      <w:r>
        <w:rPr>
          <w:rFonts w:ascii="Arial" w:hAnsi="Arial" w:cs="Arial"/>
          <w:b/>
          <w:sz w:val="22"/>
          <w:szCs w:val="22"/>
        </w:rPr>
        <w:t>20 September</w:t>
      </w:r>
      <w:r w:rsidR="00A66C46">
        <w:rPr>
          <w:rFonts w:ascii="Arial" w:hAnsi="Arial" w:cs="Arial"/>
          <w:b/>
          <w:sz w:val="22"/>
          <w:szCs w:val="22"/>
        </w:rPr>
        <w:t xml:space="preserve"> 2022</w:t>
      </w:r>
      <w:r w:rsidR="00641939">
        <w:rPr>
          <w:rFonts w:ascii="Arial" w:hAnsi="Arial" w:cs="Arial"/>
          <w:b/>
          <w:sz w:val="22"/>
          <w:szCs w:val="22"/>
        </w:rPr>
        <w:t xml:space="preserve"> </w:t>
      </w:r>
    </w:p>
    <w:p w:rsidR="00530862" w:rsidRDefault="00530862" w:rsidP="00641939">
      <w:pPr>
        <w:rPr>
          <w:rFonts w:ascii="Arial" w:hAnsi="Arial" w:cs="Arial"/>
          <w:b/>
          <w:sz w:val="22"/>
          <w:szCs w:val="22"/>
        </w:rPr>
      </w:pPr>
    </w:p>
    <w:p w:rsidR="00530862" w:rsidRDefault="00530862" w:rsidP="00641939">
      <w:pPr>
        <w:rPr>
          <w:rFonts w:ascii="Arial" w:hAnsi="Arial" w:cs="Arial"/>
          <w:b/>
          <w:sz w:val="22"/>
          <w:szCs w:val="22"/>
        </w:rPr>
      </w:pPr>
    </w:p>
    <w:p w:rsidR="00530862" w:rsidRDefault="00530862" w:rsidP="00641939">
      <w:pPr>
        <w:rPr>
          <w:rFonts w:ascii="Arial" w:hAnsi="Arial" w:cs="Arial"/>
          <w:b/>
          <w:sz w:val="22"/>
          <w:szCs w:val="22"/>
        </w:rPr>
      </w:pPr>
    </w:p>
    <w:p w:rsidR="00530862" w:rsidRDefault="00530862" w:rsidP="00641939">
      <w:pPr>
        <w:rPr>
          <w:rFonts w:ascii="Arial" w:hAnsi="Arial" w:cs="Arial"/>
          <w:b/>
          <w:sz w:val="22"/>
          <w:szCs w:val="22"/>
        </w:rPr>
      </w:pPr>
    </w:p>
    <w:p w:rsidR="00530862" w:rsidRDefault="00530862" w:rsidP="00641939">
      <w:pPr>
        <w:rPr>
          <w:rFonts w:ascii="Arial" w:hAnsi="Arial" w:cs="Arial"/>
          <w:b/>
          <w:sz w:val="22"/>
          <w:szCs w:val="22"/>
        </w:rPr>
      </w:pPr>
      <w:r>
        <w:rPr>
          <w:rFonts w:ascii="Arial" w:hAnsi="Arial" w:cs="Arial"/>
          <w:b/>
          <w:sz w:val="22"/>
          <w:szCs w:val="22"/>
        </w:rPr>
        <w:t xml:space="preserve">Appendices 1-10 </w:t>
      </w:r>
      <w:r w:rsidRPr="00530862">
        <w:rPr>
          <w:rFonts w:ascii="Arial" w:hAnsi="Arial" w:cs="Arial"/>
          <w:sz w:val="22"/>
          <w:szCs w:val="22"/>
        </w:rPr>
        <w:t>Delivery Planning Templates</w:t>
      </w:r>
    </w:p>
    <w:p w:rsidR="00530862" w:rsidRDefault="00530862" w:rsidP="00641939">
      <w:pPr>
        <w:rPr>
          <w:rFonts w:ascii="Arial" w:hAnsi="Arial" w:cs="Arial"/>
          <w:b/>
          <w:sz w:val="22"/>
          <w:szCs w:val="22"/>
        </w:rPr>
      </w:pPr>
      <w:r>
        <w:rPr>
          <w:rFonts w:ascii="Arial" w:hAnsi="Arial" w:cs="Arial"/>
          <w:b/>
          <w:sz w:val="22"/>
          <w:szCs w:val="22"/>
        </w:rPr>
        <w:t xml:space="preserve">Appendix 11 </w:t>
      </w:r>
      <w:r w:rsidRPr="00530862">
        <w:rPr>
          <w:rFonts w:ascii="Arial" w:hAnsi="Arial" w:cs="Arial"/>
          <w:sz w:val="22"/>
          <w:szCs w:val="22"/>
        </w:rPr>
        <w:t>CfSD Heat Map</w:t>
      </w:r>
    </w:p>
    <w:p w:rsidR="00530862" w:rsidRDefault="00530862" w:rsidP="00641939">
      <w:pPr>
        <w:rPr>
          <w:rFonts w:ascii="Arial" w:hAnsi="Arial" w:cs="Arial"/>
          <w:b/>
          <w:sz w:val="22"/>
          <w:szCs w:val="22"/>
        </w:rPr>
      </w:pPr>
      <w:r>
        <w:rPr>
          <w:rFonts w:ascii="Arial" w:hAnsi="Arial" w:cs="Arial"/>
          <w:b/>
          <w:sz w:val="22"/>
          <w:szCs w:val="22"/>
        </w:rPr>
        <w:t xml:space="preserve">Appendix 12 </w:t>
      </w:r>
      <w:r w:rsidRPr="00530862">
        <w:rPr>
          <w:rFonts w:ascii="Arial" w:hAnsi="Arial" w:cs="Arial"/>
          <w:sz w:val="22"/>
          <w:szCs w:val="22"/>
        </w:rPr>
        <w:t>Revised Activity Plan</w:t>
      </w:r>
      <w:r>
        <w:rPr>
          <w:rFonts w:ascii="Arial" w:hAnsi="Arial" w:cs="Arial"/>
          <w:sz w:val="22"/>
          <w:szCs w:val="22"/>
        </w:rPr>
        <w:t xml:space="preserve"> 22/23</w:t>
      </w:r>
    </w:p>
    <w:p w:rsidR="005C57C8" w:rsidRDefault="005C57C8"/>
    <w:sectPr w:rsidR="005C57C8" w:rsidSect="005C57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62" w:rsidRDefault="00530862" w:rsidP="00530862">
      <w:r>
        <w:separator/>
      </w:r>
    </w:p>
  </w:endnote>
  <w:endnote w:type="continuationSeparator" w:id="0">
    <w:p w:rsidR="00530862" w:rsidRDefault="00530862" w:rsidP="0053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73236"/>
      <w:docPartObj>
        <w:docPartGallery w:val="Page Numbers (Bottom of Page)"/>
        <w:docPartUnique/>
      </w:docPartObj>
    </w:sdtPr>
    <w:sdtEndPr>
      <w:rPr>
        <w:noProof/>
      </w:rPr>
    </w:sdtEndPr>
    <w:sdtContent>
      <w:p w:rsidR="001F64C4" w:rsidRDefault="001F64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F64C4" w:rsidRDefault="001F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62" w:rsidRDefault="00530862" w:rsidP="00530862">
      <w:r>
        <w:separator/>
      </w:r>
    </w:p>
  </w:footnote>
  <w:footnote w:type="continuationSeparator" w:id="0">
    <w:p w:rsidR="00530862" w:rsidRDefault="00530862" w:rsidP="0053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C4" w:rsidRPr="001F64C4" w:rsidRDefault="001F64C4" w:rsidP="001F64C4">
    <w:pPr>
      <w:pStyle w:val="Header"/>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 xml:space="preserve">                                                                                                                                               </w:t>
    </w:r>
    <w:r w:rsidRPr="001F64C4">
      <w:rPr>
        <w:rFonts w:ascii="Arial" w:hAnsi="Arial" w:cs="Arial"/>
        <w:b/>
        <w:color w:val="365F91" w:themeColor="accent1" w:themeShade="BF"/>
        <w:sz w:val="20"/>
        <w:szCs w:val="20"/>
      </w:rPr>
      <w:t>Item 6.3</w:t>
    </w:r>
  </w:p>
  <w:p w:rsidR="001F64C4" w:rsidRPr="001F64C4" w:rsidRDefault="001F64C4" w:rsidP="001F64C4">
    <w:pPr>
      <w:pStyle w:val="Header"/>
      <w:jc w:val="right"/>
      <w:rPr>
        <w:rFonts w:ascii="Arial" w:hAnsi="Arial" w:cs="Arial"/>
        <w:b/>
        <w:color w:val="365F91" w:themeColor="accent1" w:themeShade="BF"/>
      </w:rPr>
    </w:pPr>
    <w:r>
      <w:rPr>
        <w:noProof/>
        <w:lang w:eastAsia="en-GB"/>
      </w:rPr>
      <w:drawing>
        <wp:inline distT="0" distB="0" distL="0" distR="0" wp14:anchorId="190C8B6E" wp14:editId="114DB5B5">
          <wp:extent cx="650032" cy="451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96" cy="4824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7A"/>
    <w:multiLevelType w:val="hybridMultilevel"/>
    <w:tmpl w:val="442A6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D26942"/>
    <w:multiLevelType w:val="hybridMultilevel"/>
    <w:tmpl w:val="8A706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BB6795"/>
    <w:multiLevelType w:val="hybridMultilevel"/>
    <w:tmpl w:val="371A2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5926AA"/>
    <w:multiLevelType w:val="hybridMultilevel"/>
    <w:tmpl w:val="FB56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E1B27"/>
    <w:multiLevelType w:val="hybridMultilevel"/>
    <w:tmpl w:val="D54C6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3B4A03"/>
    <w:multiLevelType w:val="hybridMultilevel"/>
    <w:tmpl w:val="4EF21612"/>
    <w:lvl w:ilvl="0" w:tplc="1B7014C2">
      <w:start w:val="1"/>
      <w:numFmt w:val="bullet"/>
      <w:lvlText w:val="◦"/>
      <w:lvlJc w:val="left"/>
      <w:pPr>
        <w:tabs>
          <w:tab w:val="num" w:pos="720"/>
        </w:tabs>
        <w:ind w:left="720" w:hanging="360"/>
      </w:pPr>
      <w:rPr>
        <w:rFonts w:ascii="Lato Light" w:hAnsi="Lato Light" w:hint="default"/>
      </w:rPr>
    </w:lvl>
    <w:lvl w:ilvl="1" w:tplc="CEEE242C" w:tentative="1">
      <w:start w:val="1"/>
      <w:numFmt w:val="bullet"/>
      <w:lvlText w:val="◦"/>
      <w:lvlJc w:val="left"/>
      <w:pPr>
        <w:tabs>
          <w:tab w:val="num" w:pos="1440"/>
        </w:tabs>
        <w:ind w:left="1440" w:hanging="360"/>
      </w:pPr>
      <w:rPr>
        <w:rFonts w:ascii="Lato Light" w:hAnsi="Lato Light" w:hint="default"/>
      </w:rPr>
    </w:lvl>
    <w:lvl w:ilvl="2" w:tplc="ED1E4C9A" w:tentative="1">
      <w:start w:val="1"/>
      <w:numFmt w:val="bullet"/>
      <w:lvlText w:val="◦"/>
      <w:lvlJc w:val="left"/>
      <w:pPr>
        <w:tabs>
          <w:tab w:val="num" w:pos="2160"/>
        </w:tabs>
        <w:ind w:left="2160" w:hanging="360"/>
      </w:pPr>
      <w:rPr>
        <w:rFonts w:ascii="Lato Light" w:hAnsi="Lato Light" w:hint="default"/>
      </w:rPr>
    </w:lvl>
    <w:lvl w:ilvl="3" w:tplc="4896F6B0" w:tentative="1">
      <w:start w:val="1"/>
      <w:numFmt w:val="bullet"/>
      <w:lvlText w:val="◦"/>
      <w:lvlJc w:val="left"/>
      <w:pPr>
        <w:tabs>
          <w:tab w:val="num" w:pos="2880"/>
        </w:tabs>
        <w:ind w:left="2880" w:hanging="360"/>
      </w:pPr>
      <w:rPr>
        <w:rFonts w:ascii="Lato Light" w:hAnsi="Lato Light" w:hint="default"/>
      </w:rPr>
    </w:lvl>
    <w:lvl w:ilvl="4" w:tplc="50A0830C" w:tentative="1">
      <w:start w:val="1"/>
      <w:numFmt w:val="bullet"/>
      <w:lvlText w:val="◦"/>
      <w:lvlJc w:val="left"/>
      <w:pPr>
        <w:tabs>
          <w:tab w:val="num" w:pos="3600"/>
        </w:tabs>
        <w:ind w:left="3600" w:hanging="360"/>
      </w:pPr>
      <w:rPr>
        <w:rFonts w:ascii="Lato Light" w:hAnsi="Lato Light" w:hint="default"/>
      </w:rPr>
    </w:lvl>
    <w:lvl w:ilvl="5" w:tplc="0038B650" w:tentative="1">
      <w:start w:val="1"/>
      <w:numFmt w:val="bullet"/>
      <w:lvlText w:val="◦"/>
      <w:lvlJc w:val="left"/>
      <w:pPr>
        <w:tabs>
          <w:tab w:val="num" w:pos="4320"/>
        </w:tabs>
        <w:ind w:left="4320" w:hanging="360"/>
      </w:pPr>
      <w:rPr>
        <w:rFonts w:ascii="Lato Light" w:hAnsi="Lato Light" w:hint="default"/>
      </w:rPr>
    </w:lvl>
    <w:lvl w:ilvl="6" w:tplc="A5205A32" w:tentative="1">
      <w:start w:val="1"/>
      <w:numFmt w:val="bullet"/>
      <w:lvlText w:val="◦"/>
      <w:lvlJc w:val="left"/>
      <w:pPr>
        <w:tabs>
          <w:tab w:val="num" w:pos="5040"/>
        </w:tabs>
        <w:ind w:left="5040" w:hanging="360"/>
      </w:pPr>
      <w:rPr>
        <w:rFonts w:ascii="Lato Light" w:hAnsi="Lato Light" w:hint="default"/>
      </w:rPr>
    </w:lvl>
    <w:lvl w:ilvl="7" w:tplc="AEBE2A34" w:tentative="1">
      <w:start w:val="1"/>
      <w:numFmt w:val="bullet"/>
      <w:lvlText w:val="◦"/>
      <w:lvlJc w:val="left"/>
      <w:pPr>
        <w:tabs>
          <w:tab w:val="num" w:pos="5760"/>
        </w:tabs>
        <w:ind w:left="5760" w:hanging="360"/>
      </w:pPr>
      <w:rPr>
        <w:rFonts w:ascii="Lato Light" w:hAnsi="Lato Light" w:hint="default"/>
      </w:rPr>
    </w:lvl>
    <w:lvl w:ilvl="8" w:tplc="72F6CCB8" w:tentative="1">
      <w:start w:val="1"/>
      <w:numFmt w:val="bullet"/>
      <w:lvlText w:val="◦"/>
      <w:lvlJc w:val="left"/>
      <w:pPr>
        <w:tabs>
          <w:tab w:val="num" w:pos="6480"/>
        </w:tabs>
        <w:ind w:left="6480" w:hanging="360"/>
      </w:pPr>
      <w:rPr>
        <w:rFonts w:ascii="Lato Light" w:hAnsi="Lato Light" w:hint="default"/>
      </w:rPr>
    </w:lvl>
  </w:abstractNum>
  <w:abstractNum w:abstractNumId="6" w15:restartNumberingAfterBreak="0">
    <w:nsid w:val="33EE7BC6"/>
    <w:multiLevelType w:val="hybridMultilevel"/>
    <w:tmpl w:val="777A255C"/>
    <w:lvl w:ilvl="0" w:tplc="A8EE5B12">
      <w:start w:val="1"/>
      <w:numFmt w:val="bullet"/>
      <w:lvlText w:val="◦"/>
      <w:lvlJc w:val="left"/>
      <w:pPr>
        <w:tabs>
          <w:tab w:val="num" w:pos="720"/>
        </w:tabs>
        <w:ind w:left="720" w:hanging="360"/>
      </w:pPr>
      <w:rPr>
        <w:rFonts w:ascii="Lato Light" w:hAnsi="Lato Light" w:hint="default"/>
      </w:rPr>
    </w:lvl>
    <w:lvl w:ilvl="1" w:tplc="1C24D106" w:tentative="1">
      <w:start w:val="1"/>
      <w:numFmt w:val="bullet"/>
      <w:lvlText w:val="◦"/>
      <w:lvlJc w:val="left"/>
      <w:pPr>
        <w:tabs>
          <w:tab w:val="num" w:pos="1440"/>
        </w:tabs>
        <w:ind w:left="1440" w:hanging="360"/>
      </w:pPr>
      <w:rPr>
        <w:rFonts w:ascii="Lato Light" w:hAnsi="Lato Light" w:hint="default"/>
      </w:rPr>
    </w:lvl>
    <w:lvl w:ilvl="2" w:tplc="75EC815E" w:tentative="1">
      <w:start w:val="1"/>
      <w:numFmt w:val="bullet"/>
      <w:lvlText w:val="◦"/>
      <w:lvlJc w:val="left"/>
      <w:pPr>
        <w:tabs>
          <w:tab w:val="num" w:pos="2160"/>
        </w:tabs>
        <w:ind w:left="2160" w:hanging="360"/>
      </w:pPr>
      <w:rPr>
        <w:rFonts w:ascii="Lato Light" w:hAnsi="Lato Light" w:hint="default"/>
      </w:rPr>
    </w:lvl>
    <w:lvl w:ilvl="3" w:tplc="7E0E5C64" w:tentative="1">
      <w:start w:val="1"/>
      <w:numFmt w:val="bullet"/>
      <w:lvlText w:val="◦"/>
      <w:lvlJc w:val="left"/>
      <w:pPr>
        <w:tabs>
          <w:tab w:val="num" w:pos="2880"/>
        </w:tabs>
        <w:ind w:left="2880" w:hanging="360"/>
      </w:pPr>
      <w:rPr>
        <w:rFonts w:ascii="Lato Light" w:hAnsi="Lato Light" w:hint="default"/>
      </w:rPr>
    </w:lvl>
    <w:lvl w:ilvl="4" w:tplc="D4A8C102" w:tentative="1">
      <w:start w:val="1"/>
      <w:numFmt w:val="bullet"/>
      <w:lvlText w:val="◦"/>
      <w:lvlJc w:val="left"/>
      <w:pPr>
        <w:tabs>
          <w:tab w:val="num" w:pos="3600"/>
        </w:tabs>
        <w:ind w:left="3600" w:hanging="360"/>
      </w:pPr>
      <w:rPr>
        <w:rFonts w:ascii="Lato Light" w:hAnsi="Lato Light" w:hint="default"/>
      </w:rPr>
    </w:lvl>
    <w:lvl w:ilvl="5" w:tplc="193C5E80" w:tentative="1">
      <w:start w:val="1"/>
      <w:numFmt w:val="bullet"/>
      <w:lvlText w:val="◦"/>
      <w:lvlJc w:val="left"/>
      <w:pPr>
        <w:tabs>
          <w:tab w:val="num" w:pos="4320"/>
        </w:tabs>
        <w:ind w:left="4320" w:hanging="360"/>
      </w:pPr>
      <w:rPr>
        <w:rFonts w:ascii="Lato Light" w:hAnsi="Lato Light" w:hint="default"/>
      </w:rPr>
    </w:lvl>
    <w:lvl w:ilvl="6" w:tplc="D9F8A474" w:tentative="1">
      <w:start w:val="1"/>
      <w:numFmt w:val="bullet"/>
      <w:lvlText w:val="◦"/>
      <w:lvlJc w:val="left"/>
      <w:pPr>
        <w:tabs>
          <w:tab w:val="num" w:pos="5040"/>
        </w:tabs>
        <w:ind w:left="5040" w:hanging="360"/>
      </w:pPr>
      <w:rPr>
        <w:rFonts w:ascii="Lato Light" w:hAnsi="Lato Light" w:hint="default"/>
      </w:rPr>
    </w:lvl>
    <w:lvl w:ilvl="7" w:tplc="93B2A0F4" w:tentative="1">
      <w:start w:val="1"/>
      <w:numFmt w:val="bullet"/>
      <w:lvlText w:val="◦"/>
      <w:lvlJc w:val="left"/>
      <w:pPr>
        <w:tabs>
          <w:tab w:val="num" w:pos="5760"/>
        </w:tabs>
        <w:ind w:left="5760" w:hanging="360"/>
      </w:pPr>
      <w:rPr>
        <w:rFonts w:ascii="Lato Light" w:hAnsi="Lato Light" w:hint="default"/>
      </w:rPr>
    </w:lvl>
    <w:lvl w:ilvl="8" w:tplc="4848833C" w:tentative="1">
      <w:start w:val="1"/>
      <w:numFmt w:val="bullet"/>
      <w:lvlText w:val="◦"/>
      <w:lvlJc w:val="left"/>
      <w:pPr>
        <w:tabs>
          <w:tab w:val="num" w:pos="6480"/>
        </w:tabs>
        <w:ind w:left="6480" w:hanging="360"/>
      </w:pPr>
      <w:rPr>
        <w:rFonts w:ascii="Lato Light" w:hAnsi="Lato Light" w:hint="default"/>
      </w:rPr>
    </w:lvl>
  </w:abstractNum>
  <w:abstractNum w:abstractNumId="7" w15:restartNumberingAfterBreak="0">
    <w:nsid w:val="35664F34"/>
    <w:multiLevelType w:val="hybridMultilevel"/>
    <w:tmpl w:val="65AE2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2A1CD2"/>
    <w:multiLevelType w:val="multilevel"/>
    <w:tmpl w:val="F582FD04"/>
    <w:lvl w:ilvl="0">
      <w:start w:val="1"/>
      <w:numFmt w:val="decimal"/>
      <w:lvlText w:val="%1"/>
      <w:lvlJc w:val="left"/>
      <w:pPr>
        <w:ind w:left="370" w:hanging="370"/>
      </w:pPr>
      <w:rPr>
        <w:rFonts w:ascii="Arial" w:eastAsia="Times New Roman" w:hAnsi="Arial" w:cs="Arial"/>
        <w:b/>
      </w:rPr>
    </w:lvl>
    <w:lvl w:ilvl="1">
      <w:start w:val="1"/>
      <w:numFmt w:val="decimal"/>
      <w:lvlText w:val="%1.%2"/>
      <w:lvlJc w:val="left"/>
      <w:pPr>
        <w:ind w:left="511"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46D08"/>
    <w:multiLevelType w:val="multilevel"/>
    <w:tmpl w:val="9AE49B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813EDA"/>
    <w:multiLevelType w:val="hybridMultilevel"/>
    <w:tmpl w:val="E8AC8FFE"/>
    <w:lvl w:ilvl="0" w:tplc="A4E45F62">
      <w:start w:val="1"/>
      <w:numFmt w:val="bullet"/>
      <w:lvlText w:val="◦"/>
      <w:lvlJc w:val="left"/>
      <w:pPr>
        <w:tabs>
          <w:tab w:val="num" w:pos="720"/>
        </w:tabs>
        <w:ind w:left="720" w:hanging="360"/>
      </w:pPr>
      <w:rPr>
        <w:rFonts w:ascii="Lato Light" w:hAnsi="Lato Light" w:hint="default"/>
      </w:rPr>
    </w:lvl>
    <w:lvl w:ilvl="1" w:tplc="BAD4D828" w:tentative="1">
      <w:start w:val="1"/>
      <w:numFmt w:val="bullet"/>
      <w:lvlText w:val="◦"/>
      <w:lvlJc w:val="left"/>
      <w:pPr>
        <w:tabs>
          <w:tab w:val="num" w:pos="1440"/>
        </w:tabs>
        <w:ind w:left="1440" w:hanging="360"/>
      </w:pPr>
      <w:rPr>
        <w:rFonts w:ascii="Lato Light" w:hAnsi="Lato Light" w:hint="default"/>
      </w:rPr>
    </w:lvl>
    <w:lvl w:ilvl="2" w:tplc="FA4489D8" w:tentative="1">
      <w:start w:val="1"/>
      <w:numFmt w:val="bullet"/>
      <w:lvlText w:val="◦"/>
      <w:lvlJc w:val="left"/>
      <w:pPr>
        <w:tabs>
          <w:tab w:val="num" w:pos="2160"/>
        </w:tabs>
        <w:ind w:left="2160" w:hanging="360"/>
      </w:pPr>
      <w:rPr>
        <w:rFonts w:ascii="Lato Light" w:hAnsi="Lato Light" w:hint="default"/>
      </w:rPr>
    </w:lvl>
    <w:lvl w:ilvl="3" w:tplc="AC024C40" w:tentative="1">
      <w:start w:val="1"/>
      <w:numFmt w:val="bullet"/>
      <w:lvlText w:val="◦"/>
      <w:lvlJc w:val="left"/>
      <w:pPr>
        <w:tabs>
          <w:tab w:val="num" w:pos="2880"/>
        </w:tabs>
        <w:ind w:left="2880" w:hanging="360"/>
      </w:pPr>
      <w:rPr>
        <w:rFonts w:ascii="Lato Light" w:hAnsi="Lato Light" w:hint="default"/>
      </w:rPr>
    </w:lvl>
    <w:lvl w:ilvl="4" w:tplc="9CA4C020" w:tentative="1">
      <w:start w:val="1"/>
      <w:numFmt w:val="bullet"/>
      <w:lvlText w:val="◦"/>
      <w:lvlJc w:val="left"/>
      <w:pPr>
        <w:tabs>
          <w:tab w:val="num" w:pos="3600"/>
        </w:tabs>
        <w:ind w:left="3600" w:hanging="360"/>
      </w:pPr>
      <w:rPr>
        <w:rFonts w:ascii="Lato Light" w:hAnsi="Lato Light" w:hint="default"/>
      </w:rPr>
    </w:lvl>
    <w:lvl w:ilvl="5" w:tplc="10A8690E" w:tentative="1">
      <w:start w:val="1"/>
      <w:numFmt w:val="bullet"/>
      <w:lvlText w:val="◦"/>
      <w:lvlJc w:val="left"/>
      <w:pPr>
        <w:tabs>
          <w:tab w:val="num" w:pos="4320"/>
        </w:tabs>
        <w:ind w:left="4320" w:hanging="360"/>
      </w:pPr>
      <w:rPr>
        <w:rFonts w:ascii="Lato Light" w:hAnsi="Lato Light" w:hint="default"/>
      </w:rPr>
    </w:lvl>
    <w:lvl w:ilvl="6" w:tplc="A78409FC" w:tentative="1">
      <w:start w:val="1"/>
      <w:numFmt w:val="bullet"/>
      <w:lvlText w:val="◦"/>
      <w:lvlJc w:val="left"/>
      <w:pPr>
        <w:tabs>
          <w:tab w:val="num" w:pos="5040"/>
        </w:tabs>
        <w:ind w:left="5040" w:hanging="360"/>
      </w:pPr>
      <w:rPr>
        <w:rFonts w:ascii="Lato Light" w:hAnsi="Lato Light" w:hint="default"/>
      </w:rPr>
    </w:lvl>
    <w:lvl w:ilvl="7" w:tplc="5CCEC4DE" w:tentative="1">
      <w:start w:val="1"/>
      <w:numFmt w:val="bullet"/>
      <w:lvlText w:val="◦"/>
      <w:lvlJc w:val="left"/>
      <w:pPr>
        <w:tabs>
          <w:tab w:val="num" w:pos="5760"/>
        </w:tabs>
        <w:ind w:left="5760" w:hanging="360"/>
      </w:pPr>
      <w:rPr>
        <w:rFonts w:ascii="Lato Light" w:hAnsi="Lato Light" w:hint="default"/>
      </w:rPr>
    </w:lvl>
    <w:lvl w:ilvl="8" w:tplc="0E18E9B4" w:tentative="1">
      <w:start w:val="1"/>
      <w:numFmt w:val="bullet"/>
      <w:lvlText w:val="◦"/>
      <w:lvlJc w:val="left"/>
      <w:pPr>
        <w:tabs>
          <w:tab w:val="num" w:pos="6480"/>
        </w:tabs>
        <w:ind w:left="6480" w:hanging="360"/>
      </w:pPr>
      <w:rPr>
        <w:rFonts w:ascii="Lato Light" w:hAnsi="Lato Light" w:hint="default"/>
      </w:rPr>
    </w:lvl>
  </w:abstractNum>
  <w:abstractNum w:abstractNumId="11" w15:restartNumberingAfterBreak="0">
    <w:nsid w:val="568D1E3F"/>
    <w:multiLevelType w:val="hybridMultilevel"/>
    <w:tmpl w:val="0030A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D76684"/>
    <w:multiLevelType w:val="hybridMultilevel"/>
    <w:tmpl w:val="5C605A40"/>
    <w:lvl w:ilvl="0" w:tplc="B3820AD8">
      <w:start w:val="1"/>
      <w:numFmt w:val="bullet"/>
      <w:lvlText w:val="◦"/>
      <w:lvlJc w:val="left"/>
      <w:pPr>
        <w:tabs>
          <w:tab w:val="num" w:pos="720"/>
        </w:tabs>
        <w:ind w:left="720" w:hanging="360"/>
      </w:pPr>
      <w:rPr>
        <w:rFonts w:ascii="Lato Light" w:hAnsi="Lato Light" w:hint="default"/>
      </w:rPr>
    </w:lvl>
    <w:lvl w:ilvl="1" w:tplc="8432D0DA" w:tentative="1">
      <w:start w:val="1"/>
      <w:numFmt w:val="bullet"/>
      <w:lvlText w:val="◦"/>
      <w:lvlJc w:val="left"/>
      <w:pPr>
        <w:tabs>
          <w:tab w:val="num" w:pos="1440"/>
        </w:tabs>
        <w:ind w:left="1440" w:hanging="360"/>
      </w:pPr>
      <w:rPr>
        <w:rFonts w:ascii="Lato Light" w:hAnsi="Lato Light" w:hint="default"/>
      </w:rPr>
    </w:lvl>
    <w:lvl w:ilvl="2" w:tplc="BAF82E68" w:tentative="1">
      <w:start w:val="1"/>
      <w:numFmt w:val="bullet"/>
      <w:lvlText w:val="◦"/>
      <w:lvlJc w:val="left"/>
      <w:pPr>
        <w:tabs>
          <w:tab w:val="num" w:pos="2160"/>
        </w:tabs>
        <w:ind w:left="2160" w:hanging="360"/>
      </w:pPr>
      <w:rPr>
        <w:rFonts w:ascii="Lato Light" w:hAnsi="Lato Light" w:hint="default"/>
      </w:rPr>
    </w:lvl>
    <w:lvl w:ilvl="3" w:tplc="B1A236B6" w:tentative="1">
      <w:start w:val="1"/>
      <w:numFmt w:val="bullet"/>
      <w:lvlText w:val="◦"/>
      <w:lvlJc w:val="left"/>
      <w:pPr>
        <w:tabs>
          <w:tab w:val="num" w:pos="2880"/>
        </w:tabs>
        <w:ind w:left="2880" w:hanging="360"/>
      </w:pPr>
      <w:rPr>
        <w:rFonts w:ascii="Lato Light" w:hAnsi="Lato Light" w:hint="default"/>
      </w:rPr>
    </w:lvl>
    <w:lvl w:ilvl="4" w:tplc="712057C2" w:tentative="1">
      <w:start w:val="1"/>
      <w:numFmt w:val="bullet"/>
      <w:lvlText w:val="◦"/>
      <w:lvlJc w:val="left"/>
      <w:pPr>
        <w:tabs>
          <w:tab w:val="num" w:pos="3600"/>
        </w:tabs>
        <w:ind w:left="3600" w:hanging="360"/>
      </w:pPr>
      <w:rPr>
        <w:rFonts w:ascii="Lato Light" w:hAnsi="Lato Light" w:hint="default"/>
      </w:rPr>
    </w:lvl>
    <w:lvl w:ilvl="5" w:tplc="30245116" w:tentative="1">
      <w:start w:val="1"/>
      <w:numFmt w:val="bullet"/>
      <w:lvlText w:val="◦"/>
      <w:lvlJc w:val="left"/>
      <w:pPr>
        <w:tabs>
          <w:tab w:val="num" w:pos="4320"/>
        </w:tabs>
        <w:ind w:left="4320" w:hanging="360"/>
      </w:pPr>
      <w:rPr>
        <w:rFonts w:ascii="Lato Light" w:hAnsi="Lato Light" w:hint="default"/>
      </w:rPr>
    </w:lvl>
    <w:lvl w:ilvl="6" w:tplc="3E943618" w:tentative="1">
      <w:start w:val="1"/>
      <w:numFmt w:val="bullet"/>
      <w:lvlText w:val="◦"/>
      <w:lvlJc w:val="left"/>
      <w:pPr>
        <w:tabs>
          <w:tab w:val="num" w:pos="5040"/>
        </w:tabs>
        <w:ind w:left="5040" w:hanging="360"/>
      </w:pPr>
      <w:rPr>
        <w:rFonts w:ascii="Lato Light" w:hAnsi="Lato Light" w:hint="default"/>
      </w:rPr>
    </w:lvl>
    <w:lvl w:ilvl="7" w:tplc="C2DE55DC" w:tentative="1">
      <w:start w:val="1"/>
      <w:numFmt w:val="bullet"/>
      <w:lvlText w:val="◦"/>
      <w:lvlJc w:val="left"/>
      <w:pPr>
        <w:tabs>
          <w:tab w:val="num" w:pos="5760"/>
        </w:tabs>
        <w:ind w:left="5760" w:hanging="360"/>
      </w:pPr>
      <w:rPr>
        <w:rFonts w:ascii="Lato Light" w:hAnsi="Lato Light" w:hint="default"/>
      </w:rPr>
    </w:lvl>
    <w:lvl w:ilvl="8" w:tplc="3A702EAA" w:tentative="1">
      <w:start w:val="1"/>
      <w:numFmt w:val="bullet"/>
      <w:lvlText w:val="◦"/>
      <w:lvlJc w:val="left"/>
      <w:pPr>
        <w:tabs>
          <w:tab w:val="num" w:pos="6480"/>
        </w:tabs>
        <w:ind w:left="6480" w:hanging="360"/>
      </w:pPr>
      <w:rPr>
        <w:rFonts w:ascii="Lato Light" w:hAnsi="Lato Light" w:hint="default"/>
      </w:rPr>
    </w:lvl>
  </w:abstractNum>
  <w:abstractNum w:abstractNumId="13" w15:restartNumberingAfterBreak="0">
    <w:nsid w:val="729C1AE9"/>
    <w:multiLevelType w:val="hybridMultilevel"/>
    <w:tmpl w:val="32C4E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6"/>
  </w:num>
  <w:num w:numId="4">
    <w:abstractNumId w:val="5"/>
  </w:num>
  <w:num w:numId="5">
    <w:abstractNumId w:val="12"/>
  </w:num>
  <w:num w:numId="6">
    <w:abstractNumId w:val="10"/>
  </w:num>
  <w:num w:numId="7">
    <w:abstractNumId w:val="3"/>
  </w:num>
  <w:num w:numId="8">
    <w:abstractNumId w:val="8"/>
  </w:num>
  <w:num w:numId="9">
    <w:abstractNumId w:val="4"/>
  </w:num>
  <w:num w:numId="10">
    <w:abstractNumId w:val="9"/>
  </w:num>
  <w:num w:numId="11">
    <w:abstractNumId w:val="7"/>
  </w:num>
  <w:num w:numId="12">
    <w:abstractNumId w:val="13"/>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1939"/>
    <w:rsid w:val="00004357"/>
    <w:rsid w:val="00010255"/>
    <w:rsid w:val="001F64C4"/>
    <w:rsid w:val="002D4208"/>
    <w:rsid w:val="00451717"/>
    <w:rsid w:val="00471F2C"/>
    <w:rsid w:val="00504533"/>
    <w:rsid w:val="00530862"/>
    <w:rsid w:val="0056413E"/>
    <w:rsid w:val="005C57C8"/>
    <w:rsid w:val="005D7F14"/>
    <w:rsid w:val="005F585D"/>
    <w:rsid w:val="006230C3"/>
    <w:rsid w:val="00641939"/>
    <w:rsid w:val="006A60BF"/>
    <w:rsid w:val="0074430B"/>
    <w:rsid w:val="00764CA0"/>
    <w:rsid w:val="00781772"/>
    <w:rsid w:val="007A62E8"/>
    <w:rsid w:val="008A6342"/>
    <w:rsid w:val="008F5A43"/>
    <w:rsid w:val="009128A1"/>
    <w:rsid w:val="009C79EE"/>
    <w:rsid w:val="00A66C46"/>
    <w:rsid w:val="00BC2649"/>
    <w:rsid w:val="00C74236"/>
    <w:rsid w:val="00C8139C"/>
    <w:rsid w:val="00CC19A5"/>
    <w:rsid w:val="00D81A1C"/>
    <w:rsid w:val="00DE3D6A"/>
    <w:rsid w:val="00DE7BFB"/>
    <w:rsid w:val="00ED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6316"/>
  <w15:chartTrackingRefBased/>
  <w15:docId w15:val="{0C1BA1AD-5CC9-48FE-82C5-81728B50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1939"/>
    <w:pPr>
      <w:keepNext/>
      <w:outlineLvl w:val="0"/>
    </w:pPr>
    <w:rPr>
      <w:rFonts w:ascii="Arial" w:hAnsi="Arial" w:cs="Arial"/>
      <w:b/>
      <w:bCs/>
      <w:sz w:val="28"/>
      <w:lang w:val="en-GB"/>
    </w:rPr>
  </w:style>
  <w:style w:type="paragraph" w:styleId="Heading2">
    <w:name w:val="heading 2"/>
    <w:basedOn w:val="Normal"/>
    <w:next w:val="Normal"/>
    <w:link w:val="Heading2Char"/>
    <w:uiPriority w:val="9"/>
    <w:semiHidden/>
    <w:unhideWhenUsed/>
    <w:qFormat/>
    <w:rsid w:val="008F5A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939"/>
    <w:rPr>
      <w:rFonts w:ascii="Arial" w:eastAsia="Times New Roman" w:hAnsi="Arial" w:cs="Arial"/>
      <w:b/>
      <w:bCs/>
      <w:sz w:val="28"/>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41939"/>
    <w:pPr>
      <w:ind w:left="720"/>
      <w:contextualSpacing/>
    </w:pPr>
    <w:rPr>
      <w:rFonts w:ascii="Calibri" w:eastAsia="Calibri" w:hAnsi="Calibri" w:cs="Calibri"/>
      <w:sz w:val="22"/>
      <w:szCs w:val="22"/>
      <w:lang w:val="en-GB" w:eastAsia="en-GB"/>
    </w:rPr>
  </w:style>
  <w:style w:type="paragraph" w:styleId="NormalWeb">
    <w:name w:val="Normal (Web)"/>
    <w:basedOn w:val="Normal"/>
    <w:uiPriority w:val="99"/>
    <w:semiHidden/>
    <w:unhideWhenUsed/>
    <w:rsid w:val="008F5A43"/>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semiHidden/>
    <w:rsid w:val="008F5A43"/>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F5A43"/>
    <w:rPr>
      <w:rFonts w:ascii="Calibri" w:eastAsia="Calibri" w:hAnsi="Calibri" w:cs="Calibri"/>
      <w:lang w:eastAsia="en-GB"/>
    </w:rPr>
  </w:style>
  <w:style w:type="character" w:styleId="CommentReference">
    <w:name w:val="annotation reference"/>
    <w:basedOn w:val="DefaultParagraphFont"/>
    <w:uiPriority w:val="99"/>
    <w:semiHidden/>
    <w:unhideWhenUsed/>
    <w:rsid w:val="00DE3D6A"/>
    <w:rPr>
      <w:sz w:val="16"/>
      <w:szCs w:val="16"/>
    </w:rPr>
  </w:style>
  <w:style w:type="paragraph" w:styleId="CommentText">
    <w:name w:val="annotation text"/>
    <w:basedOn w:val="Normal"/>
    <w:link w:val="CommentTextChar"/>
    <w:uiPriority w:val="99"/>
    <w:semiHidden/>
    <w:unhideWhenUsed/>
    <w:rsid w:val="00DE3D6A"/>
    <w:rPr>
      <w:sz w:val="20"/>
      <w:szCs w:val="20"/>
    </w:rPr>
  </w:style>
  <w:style w:type="character" w:customStyle="1" w:styleId="CommentTextChar">
    <w:name w:val="Comment Text Char"/>
    <w:basedOn w:val="DefaultParagraphFont"/>
    <w:link w:val="CommentText"/>
    <w:uiPriority w:val="99"/>
    <w:semiHidden/>
    <w:rsid w:val="00DE3D6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3D6A"/>
    <w:rPr>
      <w:b/>
      <w:bCs/>
    </w:rPr>
  </w:style>
  <w:style w:type="character" w:customStyle="1" w:styleId="CommentSubjectChar">
    <w:name w:val="Comment Subject Char"/>
    <w:basedOn w:val="CommentTextChar"/>
    <w:link w:val="CommentSubject"/>
    <w:uiPriority w:val="99"/>
    <w:semiHidden/>
    <w:rsid w:val="00DE3D6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E3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6A"/>
    <w:rPr>
      <w:rFonts w:ascii="Segoe UI" w:eastAsia="Times New Roman" w:hAnsi="Segoe UI" w:cs="Segoe UI"/>
      <w:sz w:val="18"/>
      <w:szCs w:val="18"/>
      <w:lang w:val="en-US"/>
    </w:rPr>
  </w:style>
  <w:style w:type="paragraph" w:styleId="Header">
    <w:name w:val="header"/>
    <w:basedOn w:val="Normal"/>
    <w:link w:val="HeaderChar"/>
    <w:uiPriority w:val="99"/>
    <w:unhideWhenUsed/>
    <w:rsid w:val="00530862"/>
    <w:pPr>
      <w:tabs>
        <w:tab w:val="center" w:pos="4513"/>
        <w:tab w:val="right" w:pos="9026"/>
      </w:tabs>
    </w:pPr>
  </w:style>
  <w:style w:type="character" w:customStyle="1" w:styleId="HeaderChar">
    <w:name w:val="Header Char"/>
    <w:basedOn w:val="DefaultParagraphFont"/>
    <w:link w:val="Header"/>
    <w:uiPriority w:val="99"/>
    <w:rsid w:val="005308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30862"/>
    <w:pPr>
      <w:tabs>
        <w:tab w:val="center" w:pos="4513"/>
        <w:tab w:val="right" w:pos="9026"/>
      </w:tabs>
    </w:pPr>
  </w:style>
  <w:style w:type="character" w:customStyle="1" w:styleId="FooterChar">
    <w:name w:val="Footer Char"/>
    <w:basedOn w:val="DefaultParagraphFont"/>
    <w:link w:val="Footer"/>
    <w:uiPriority w:val="99"/>
    <w:rsid w:val="005308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5317">
      <w:bodyDiv w:val="1"/>
      <w:marLeft w:val="0"/>
      <w:marRight w:val="0"/>
      <w:marTop w:val="0"/>
      <w:marBottom w:val="0"/>
      <w:divBdr>
        <w:top w:val="none" w:sz="0" w:space="0" w:color="auto"/>
        <w:left w:val="none" w:sz="0" w:space="0" w:color="auto"/>
        <w:bottom w:val="none" w:sz="0" w:space="0" w:color="auto"/>
        <w:right w:val="none" w:sz="0" w:space="0" w:color="auto"/>
      </w:divBdr>
      <w:divsChild>
        <w:div w:id="660550745">
          <w:marLeft w:val="720"/>
          <w:marRight w:val="0"/>
          <w:marTop w:val="120"/>
          <w:marBottom w:val="0"/>
          <w:divBdr>
            <w:top w:val="none" w:sz="0" w:space="0" w:color="auto"/>
            <w:left w:val="none" w:sz="0" w:space="0" w:color="auto"/>
            <w:bottom w:val="none" w:sz="0" w:space="0" w:color="auto"/>
            <w:right w:val="none" w:sz="0" w:space="0" w:color="auto"/>
          </w:divBdr>
        </w:div>
        <w:div w:id="1289125109">
          <w:marLeft w:val="720"/>
          <w:marRight w:val="0"/>
          <w:marTop w:val="120"/>
          <w:marBottom w:val="0"/>
          <w:divBdr>
            <w:top w:val="none" w:sz="0" w:space="0" w:color="auto"/>
            <w:left w:val="none" w:sz="0" w:space="0" w:color="auto"/>
            <w:bottom w:val="none" w:sz="0" w:space="0" w:color="auto"/>
            <w:right w:val="none" w:sz="0" w:space="0" w:color="auto"/>
          </w:divBdr>
        </w:div>
        <w:div w:id="1669408924">
          <w:marLeft w:val="720"/>
          <w:marRight w:val="0"/>
          <w:marTop w:val="120"/>
          <w:marBottom w:val="0"/>
          <w:divBdr>
            <w:top w:val="none" w:sz="0" w:space="0" w:color="auto"/>
            <w:left w:val="none" w:sz="0" w:space="0" w:color="auto"/>
            <w:bottom w:val="none" w:sz="0" w:space="0" w:color="auto"/>
            <w:right w:val="none" w:sz="0" w:space="0" w:color="auto"/>
          </w:divBdr>
        </w:div>
        <w:div w:id="515509553">
          <w:marLeft w:val="720"/>
          <w:marRight w:val="0"/>
          <w:marTop w:val="120"/>
          <w:marBottom w:val="0"/>
          <w:divBdr>
            <w:top w:val="none" w:sz="0" w:space="0" w:color="auto"/>
            <w:left w:val="none" w:sz="0" w:space="0" w:color="auto"/>
            <w:bottom w:val="none" w:sz="0" w:space="0" w:color="auto"/>
            <w:right w:val="none" w:sz="0" w:space="0" w:color="auto"/>
          </w:divBdr>
        </w:div>
        <w:div w:id="1786727524">
          <w:marLeft w:val="720"/>
          <w:marRight w:val="0"/>
          <w:marTop w:val="120"/>
          <w:marBottom w:val="0"/>
          <w:divBdr>
            <w:top w:val="none" w:sz="0" w:space="0" w:color="auto"/>
            <w:left w:val="none" w:sz="0" w:space="0" w:color="auto"/>
            <w:bottom w:val="none" w:sz="0" w:space="0" w:color="auto"/>
            <w:right w:val="none" w:sz="0" w:space="0" w:color="auto"/>
          </w:divBdr>
        </w:div>
        <w:div w:id="2003313293">
          <w:marLeft w:val="720"/>
          <w:marRight w:val="0"/>
          <w:marTop w:val="120"/>
          <w:marBottom w:val="0"/>
          <w:divBdr>
            <w:top w:val="none" w:sz="0" w:space="0" w:color="auto"/>
            <w:left w:val="none" w:sz="0" w:space="0" w:color="auto"/>
            <w:bottom w:val="none" w:sz="0" w:space="0" w:color="auto"/>
            <w:right w:val="none" w:sz="0" w:space="0" w:color="auto"/>
          </w:divBdr>
        </w:div>
      </w:divsChild>
    </w:div>
    <w:div w:id="1272585781">
      <w:bodyDiv w:val="1"/>
      <w:marLeft w:val="0"/>
      <w:marRight w:val="0"/>
      <w:marTop w:val="0"/>
      <w:marBottom w:val="0"/>
      <w:divBdr>
        <w:top w:val="none" w:sz="0" w:space="0" w:color="auto"/>
        <w:left w:val="none" w:sz="0" w:space="0" w:color="auto"/>
        <w:bottom w:val="none" w:sz="0" w:space="0" w:color="auto"/>
        <w:right w:val="none" w:sz="0" w:space="0" w:color="auto"/>
      </w:divBdr>
      <w:divsChild>
        <w:div w:id="588849180">
          <w:marLeft w:val="720"/>
          <w:marRight w:val="0"/>
          <w:marTop w:val="120"/>
          <w:marBottom w:val="0"/>
          <w:divBdr>
            <w:top w:val="none" w:sz="0" w:space="0" w:color="auto"/>
            <w:left w:val="none" w:sz="0" w:space="0" w:color="auto"/>
            <w:bottom w:val="none" w:sz="0" w:space="0" w:color="auto"/>
            <w:right w:val="none" w:sz="0" w:space="0" w:color="auto"/>
          </w:divBdr>
        </w:div>
        <w:div w:id="167645838">
          <w:marLeft w:val="720"/>
          <w:marRight w:val="0"/>
          <w:marTop w:val="120"/>
          <w:marBottom w:val="0"/>
          <w:divBdr>
            <w:top w:val="none" w:sz="0" w:space="0" w:color="auto"/>
            <w:left w:val="none" w:sz="0" w:space="0" w:color="auto"/>
            <w:bottom w:val="none" w:sz="0" w:space="0" w:color="auto"/>
            <w:right w:val="none" w:sz="0" w:space="0" w:color="auto"/>
          </w:divBdr>
        </w:div>
        <w:div w:id="2126147046">
          <w:marLeft w:val="720"/>
          <w:marRight w:val="0"/>
          <w:marTop w:val="120"/>
          <w:marBottom w:val="0"/>
          <w:divBdr>
            <w:top w:val="none" w:sz="0" w:space="0" w:color="auto"/>
            <w:left w:val="none" w:sz="0" w:space="0" w:color="auto"/>
            <w:bottom w:val="none" w:sz="0" w:space="0" w:color="auto"/>
            <w:right w:val="none" w:sz="0" w:space="0" w:color="auto"/>
          </w:divBdr>
        </w:div>
      </w:divsChild>
    </w:div>
    <w:div w:id="1384908629">
      <w:bodyDiv w:val="1"/>
      <w:marLeft w:val="0"/>
      <w:marRight w:val="0"/>
      <w:marTop w:val="0"/>
      <w:marBottom w:val="0"/>
      <w:divBdr>
        <w:top w:val="none" w:sz="0" w:space="0" w:color="auto"/>
        <w:left w:val="none" w:sz="0" w:space="0" w:color="auto"/>
        <w:bottom w:val="none" w:sz="0" w:space="0" w:color="auto"/>
        <w:right w:val="none" w:sz="0" w:space="0" w:color="auto"/>
      </w:divBdr>
      <w:divsChild>
        <w:div w:id="1162740218">
          <w:marLeft w:val="720"/>
          <w:marRight w:val="0"/>
          <w:marTop w:val="120"/>
          <w:marBottom w:val="0"/>
          <w:divBdr>
            <w:top w:val="none" w:sz="0" w:space="0" w:color="auto"/>
            <w:left w:val="none" w:sz="0" w:space="0" w:color="auto"/>
            <w:bottom w:val="none" w:sz="0" w:space="0" w:color="auto"/>
            <w:right w:val="none" w:sz="0" w:space="0" w:color="auto"/>
          </w:divBdr>
        </w:div>
        <w:div w:id="1093279071">
          <w:marLeft w:val="720"/>
          <w:marRight w:val="0"/>
          <w:marTop w:val="120"/>
          <w:marBottom w:val="0"/>
          <w:divBdr>
            <w:top w:val="none" w:sz="0" w:space="0" w:color="auto"/>
            <w:left w:val="none" w:sz="0" w:space="0" w:color="auto"/>
            <w:bottom w:val="none" w:sz="0" w:space="0" w:color="auto"/>
            <w:right w:val="none" w:sz="0" w:space="0" w:color="auto"/>
          </w:divBdr>
        </w:div>
      </w:divsChild>
    </w:div>
    <w:div w:id="1952929575">
      <w:bodyDiv w:val="1"/>
      <w:marLeft w:val="0"/>
      <w:marRight w:val="0"/>
      <w:marTop w:val="0"/>
      <w:marBottom w:val="0"/>
      <w:divBdr>
        <w:top w:val="none" w:sz="0" w:space="0" w:color="auto"/>
        <w:left w:val="none" w:sz="0" w:space="0" w:color="auto"/>
        <w:bottom w:val="none" w:sz="0" w:space="0" w:color="auto"/>
        <w:right w:val="none" w:sz="0" w:space="0" w:color="auto"/>
      </w:divBdr>
      <w:divsChild>
        <w:div w:id="1091508592">
          <w:marLeft w:val="720"/>
          <w:marRight w:val="0"/>
          <w:marTop w:val="120"/>
          <w:marBottom w:val="0"/>
          <w:divBdr>
            <w:top w:val="none" w:sz="0" w:space="0" w:color="auto"/>
            <w:left w:val="none" w:sz="0" w:space="0" w:color="auto"/>
            <w:bottom w:val="none" w:sz="0" w:space="0" w:color="auto"/>
            <w:right w:val="none" w:sz="0" w:space="0" w:color="auto"/>
          </w:divBdr>
        </w:div>
        <w:div w:id="1428891500">
          <w:marLeft w:val="720"/>
          <w:marRight w:val="0"/>
          <w:marTop w:val="120"/>
          <w:marBottom w:val="0"/>
          <w:divBdr>
            <w:top w:val="none" w:sz="0" w:space="0" w:color="auto"/>
            <w:left w:val="none" w:sz="0" w:space="0" w:color="auto"/>
            <w:bottom w:val="none" w:sz="0" w:space="0" w:color="auto"/>
            <w:right w:val="none" w:sz="0" w:space="0" w:color="auto"/>
          </w:divBdr>
        </w:div>
        <w:div w:id="122744973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Mackay</dc:creator>
  <cp:keywords/>
  <dc:description/>
  <cp:lastModifiedBy>Alison Mackay</cp:lastModifiedBy>
  <cp:revision>7</cp:revision>
  <dcterms:created xsi:type="dcterms:W3CDTF">2022-09-20T14:24:00Z</dcterms:created>
  <dcterms:modified xsi:type="dcterms:W3CDTF">2022-09-22T09:05:00Z</dcterms:modified>
</cp:coreProperties>
</file>