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4" w:type="dxa"/>
        <w:tblInd w:w="108" w:type="dxa"/>
        <w:tblLayout w:type="fixed"/>
        <w:tblLook w:val="04A0" w:firstRow="1" w:lastRow="0" w:firstColumn="1" w:lastColumn="0" w:noHBand="0" w:noVBand="1"/>
      </w:tblPr>
      <w:tblGrid>
        <w:gridCol w:w="2557"/>
        <w:gridCol w:w="5982"/>
        <w:gridCol w:w="1985"/>
      </w:tblGrid>
      <w:tr w:rsidR="00B96E2C" w:rsidTr="008C1D3A">
        <w:trPr>
          <w:trHeight w:val="557"/>
        </w:trPr>
        <w:tc>
          <w:tcPr>
            <w:tcW w:w="2557" w:type="dxa"/>
            <w:hideMark/>
          </w:tcPr>
          <w:p w:rsidR="00B96E2C" w:rsidRDefault="00B96E2C" w:rsidP="008C1D3A">
            <w:pPr>
              <w:pStyle w:val="Heading1"/>
              <w:spacing w:line="256" w:lineRule="auto"/>
              <w:ind w:right="183"/>
              <w:contextualSpacing/>
              <w:rPr>
                <w:sz w:val="24"/>
              </w:rPr>
            </w:pPr>
            <w:r>
              <w:rPr>
                <w:sz w:val="24"/>
              </w:rPr>
              <w:t>Meeting:</w:t>
            </w:r>
          </w:p>
          <w:p w:rsidR="00B96E2C" w:rsidRDefault="00B96E2C" w:rsidP="008C1D3A">
            <w:pPr>
              <w:rPr>
                <w:lang w:val="en-GB"/>
              </w:rPr>
            </w:pPr>
          </w:p>
          <w:p w:rsidR="00B96E2C" w:rsidRPr="005757A9" w:rsidRDefault="00B96E2C" w:rsidP="008C1D3A">
            <w:pPr>
              <w:rPr>
                <w:rFonts w:ascii="Arial" w:hAnsi="Arial" w:cs="Arial"/>
                <w:b/>
                <w:lang w:val="en-GB"/>
              </w:rPr>
            </w:pPr>
            <w:r w:rsidRPr="005757A9">
              <w:rPr>
                <w:rFonts w:ascii="Arial" w:hAnsi="Arial" w:cs="Arial"/>
                <w:b/>
                <w:lang w:val="en-GB"/>
              </w:rPr>
              <w:t>Date:</w:t>
            </w:r>
          </w:p>
        </w:tc>
        <w:tc>
          <w:tcPr>
            <w:tcW w:w="5982" w:type="dxa"/>
          </w:tcPr>
          <w:p w:rsidR="00B96E2C" w:rsidRPr="0016246C" w:rsidRDefault="00BE36CF" w:rsidP="008C1D3A">
            <w:pPr>
              <w:pStyle w:val="Heading1"/>
              <w:spacing w:line="256" w:lineRule="auto"/>
              <w:ind w:right="35"/>
              <w:contextualSpacing/>
              <w:rPr>
                <w:b w:val="0"/>
                <w:sz w:val="24"/>
              </w:rPr>
            </w:pPr>
            <w:r w:rsidRPr="0016246C">
              <w:rPr>
                <w:b w:val="0"/>
                <w:sz w:val="24"/>
              </w:rPr>
              <w:t>Board of NHS Golden Jubilee</w:t>
            </w:r>
          </w:p>
          <w:p w:rsidR="00B96E2C" w:rsidRDefault="00B96E2C" w:rsidP="008C1D3A">
            <w:pPr>
              <w:spacing w:line="256" w:lineRule="auto"/>
              <w:rPr>
                <w:rFonts w:ascii="Arial" w:hAnsi="Arial" w:cs="Arial"/>
                <w:lang w:val="en-GB"/>
              </w:rPr>
            </w:pPr>
          </w:p>
          <w:p w:rsidR="00B96E2C" w:rsidRDefault="00BE36CF" w:rsidP="008C1D3A">
            <w:pPr>
              <w:spacing w:line="256" w:lineRule="auto"/>
              <w:rPr>
                <w:rFonts w:ascii="Arial" w:hAnsi="Arial" w:cs="Arial"/>
                <w:lang w:val="en-GB"/>
              </w:rPr>
            </w:pPr>
            <w:r>
              <w:rPr>
                <w:rFonts w:ascii="Arial" w:hAnsi="Arial" w:cs="Arial"/>
                <w:lang w:val="en-GB"/>
              </w:rPr>
              <w:t>24 May 2022</w:t>
            </w:r>
            <w:r w:rsidR="00B96E2C">
              <w:rPr>
                <w:rFonts w:ascii="Arial" w:hAnsi="Arial" w:cs="Arial"/>
                <w:lang w:val="en-GB"/>
              </w:rPr>
              <w:t xml:space="preserve"> </w:t>
            </w:r>
            <w:bookmarkStart w:id="0" w:name="_GoBack"/>
            <w:bookmarkEnd w:id="0"/>
          </w:p>
          <w:p w:rsidR="00B96E2C" w:rsidRDefault="00B96E2C" w:rsidP="008C1D3A">
            <w:pPr>
              <w:spacing w:line="256" w:lineRule="auto"/>
              <w:rPr>
                <w:lang w:val="en-GB"/>
              </w:rPr>
            </w:pPr>
          </w:p>
        </w:tc>
        <w:tc>
          <w:tcPr>
            <w:tcW w:w="1985" w:type="dxa"/>
            <w:vMerge w:val="restart"/>
            <w:hideMark/>
          </w:tcPr>
          <w:p w:rsidR="00B96E2C" w:rsidRDefault="00B96E2C" w:rsidP="008C1D3A">
            <w:pPr>
              <w:pStyle w:val="Heading1"/>
              <w:spacing w:line="256" w:lineRule="auto"/>
              <w:ind w:right="34"/>
              <w:contextualSpacing/>
              <w:jc w:val="right"/>
              <w:rPr>
                <w:sz w:val="24"/>
              </w:rPr>
            </w:pPr>
          </w:p>
        </w:tc>
      </w:tr>
      <w:tr w:rsidR="00B96E2C" w:rsidTr="008C1D3A">
        <w:trPr>
          <w:trHeight w:val="423"/>
        </w:trPr>
        <w:tc>
          <w:tcPr>
            <w:tcW w:w="2557" w:type="dxa"/>
          </w:tcPr>
          <w:p w:rsidR="00B96E2C" w:rsidRDefault="00B96E2C" w:rsidP="008C1D3A">
            <w:pPr>
              <w:pStyle w:val="Heading1"/>
              <w:spacing w:line="256" w:lineRule="auto"/>
              <w:ind w:right="183"/>
              <w:contextualSpacing/>
              <w:rPr>
                <w:sz w:val="24"/>
              </w:rPr>
            </w:pPr>
            <w:r>
              <w:rPr>
                <w:bCs w:val="0"/>
                <w:sz w:val="24"/>
              </w:rPr>
              <w:t xml:space="preserve">Subject: </w:t>
            </w:r>
          </w:p>
        </w:tc>
        <w:tc>
          <w:tcPr>
            <w:tcW w:w="5982" w:type="dxa"/>
          </w:tcPr>
          <w:p w:rsidR="00B96E2C" w:rsidRPr="0016246C" w:rsidRDefault="0016246C" w:rsidP="008C1D3A">
            <w:pPr>
              <w:outlineLvl w:val="0"/>
              <w:rPr>
                <w:rFonts w:ascii="Arial" w:hAnsi="Arial" w:cs="Arial"/>
              </w:rPr>
            </w:pPr>
            <w:r w:rsidRPr="0016246C">
              <w:rPr>
                <w:rFonts w:ascii="Arial" w:hAnsi="Arial" w:cs="Arial"/>
              </w:rPr>
              <w:t xml:space="preserve">Code of Conduct </w:t>
            </w:r>
          </w:p>
          <w:p w:rsidR="00B96E2C" w:rsidRPr="0016246C" w:rsidRDefault="00B96E2C" w:rsidP="008C1D3A">
            <w:pPr>
              <w:pStyle w:val="Heading1"/>
              <w:spacing w:line="256" w:lineRule="auto"/>
              <w:ind w:right="183"/>
              <w:contextualSpacing/>
              <w:rPr>
                <w:b w:val="0"/>
                <w:sz w:val="24"/>
              </w:rPr>
            </w:pPr>
          </w:p>
        </w:tc>
        <w:tc>
          <w:tcPr>
            <w:tcW w:w="1985" w:type="dxa"/>
            <w:vMerge/>
            <w:vAlign w:val="center"/>
            <w:hideMark/>
          </w:tcPr>
          <w:p w:rsidR="00B96E2C" w:rsidRPr="0016246C" w:rsidRDefault="00B96E2C" w:rsidP="008C1D3A">
            <w:pPr>
              <w:spacing w:line="256" w:lineRule="auto"/>
              <w:rPr>
                <w:rFonts w:ascii="Arial" w:hAnsi="Arial" w:cs="Arial"/>
                <w:b/>
                <w:bCs/>
                <w:lang w:val="en-GB"/>
              </w:rPr>
            </w:pPr>
          </w:p>
        </w:tc>
      </w:tr>
      <w:tr w:rsidR="00B96E2C" w:rsidTr="008C1D3A">
        <w:trPr>
          <w:trHeight w:val="499"/>
        </w:trPr>
        <w:tc>
          <w:tcPr>
            <w:tcW w:w="2557" w:type="dxa"/>
            <w:hideMark/>
          </w:tcPr>
          <w:p w:rsidR="00B96E2C" w:rsidRDefault="00B96E2C" w:rsidP="008C1D3A">
            <w:pPr>
              <w:pStyle w:val="Heading1"/>
              <w:spacing w:line="256" w:lineRule="auto"/>
              <w:ind w:right="183"/>
              <w:contextualSpacing/>
              <w:rPr>
                <w:sz w:val="24"/>
              </w:rPr>
            </w:pPr>
            <w:r>
              <w:rPr>
                <w:bCs w:val="0"/>
                <w:sz w:val="24"/>
              </w:rPr>
              <w:t>Recommendation:</w:t>
            </w:r>
            <w:r>
              <w:rPr>
                <w:bCs w:val="0"/>
                <w:sz w:val="24"/>
              </w:rPr>
              <w:tab/>
            </w:r>
          </w:p>
        </w:tc>
        <w:tc>
          <w:tcPr>
            <w:tcW w:w="7967" w:type="dxa"/>
            <w:gridSpan w:val="2"/>
          </w:tcPr>
          <w:p w:rsidR="00B96E2C" w:rsidRPr="0016246C" w:rsidRDefault="00B96E2C" w:rsidP="008C1D3A">
            <w:pPr>
              <w:pStyle w:val="Heading1"/>
              <w:spacing w:line="256" w:lineRule="auto"/>
              <w:ind w:right="183"/>
              <w:contextualSpacing/>
              <w:rPr>
                <w:b w:val="0"/>
                <w:sz w:val="24"/>
              </w:rPr>
            </w:pPr>
            <w:r w:rsidRPr="0016246C">
              <w:rPr>
                <w:b w:val="0"/>
                <w:sz w:val="24"/>
              </w:rPr>
              <w:t>Committee members are asked to:</w:t>
            </w:r>
          </w:p>
          <w:p w:rsidR="00B96E2C" w:rsidRPr="0016246C" w:rsidRDefault="00B96E2C" w:rsidP="008C1D3A">
            <w:pPr>
              <w:spacing w:line="256" w:lineRule="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B96E2C" w:rsidRPr="0016246C" w:rsidTr="008C1D3A">
              <w:tc>
                <w:tcPr>
                  <w:tcW w:w="5694" w:type="dxa"/>
                  <w:tcBorders>
                    <w:top w:val="single" w:sz="4" w:space="0" w:color="auto"/>
                    <w:left w:val="single" w:sz="4" w:space="0" w:color="auto"/>
                    <w:bottom w:val="single" w:sz="4" w:space="0" w:color="auto"/>
                    <w:right w:val="single" w:sz="4" w:space="0" w:color="auto"/>
                  </w:tcBorders>
                  <w:hideMark/>
                </w:tcPr>
                <w:p w:rsidR="00B96E2C" w:rsidRPr="0016246C" w:rsidRDefault="00B96E2C" w:rsidP="008C1D3A">
                  <w:pPr>
                    <w:pStyle w:val="Heading1"/>
                    <w:spacing w:line="256" w:lineRule="auto"/>
                    <w:ind w:right="183"/>
                    <w:contextualSpacing/>
                    <w:rPr>
                      <w:b w:val="0"/>
                      <w:sz w:val="24"/>
                    </w:rPr>
                  </w:pPr>
                  <w:r w:rsidRPr="0016246C">
                    <w:rPr>
                      <w:b w:val="0"/>
                      <w:sz w:val="24"/>
                    </w:rPr>
                    <w:t>Discuss and Note</w:t>
                  </w:r>
                </w:p>
              </w:tc>
              <w:tc>
                <w:tcPr>
                  <w:tcW w:w="850" w:type="dxa"/>
                  <w:tcBorders>
                    <w:top w:val="single" w:sz="4" w:space="0" w:color="auto"/>
                    <w:left w:val="single" w:sz="4" w:space="0" w:color="auto"/>
                    <w:bottom w:val="single" w:sz="4" w:space="0" w:color="auto"/>
                    <w:right w:val="single" w:sz="4" w:space="0" w:color="auto"/>
                  </w:tcBorders>
                  <w:hideMark/>
                </w:tcPr>
                <w:p w:rsidR="00B96E2C" w:rsidRPr="0016246C" w:rsidRDefault="00B96E2C" w:rsidP="008C1D3A">
                  <w:pPr>
                    <w:spacing w:line="256" w:lineRule="auto"/>
                  </w:pPr>
                </w:p>
              </w:tc>
            </w:tr>
            <w:tr w:rsidR="00B96E2C" w:rsidRPr="0016246C" w:rsidTr="008C1D3A">
              <w:tc>
                <w:tcPr>
                  <w:tcW w:w="5694" w:type="dxa"/>
                  <w:tcBorders>
                    <w:top w:val="single" w:sz="4" w:space="0" w:color="auto"/>
                    <w:left w:val="single" w:sz="4" w:space="0" w:color="auto"/>
                    <w:bottom w:val="single" w:sz="4" w:space="0" w:color="auto"/>
                    <w:right w:val="single" w:sz="4" w:space="0" w:color="auto"/>
                  </w:tcBorders>
                  <w:hideMark/>
                </w:tcPr>
                <w:p w:rsidR="00B96E2C" w:rsidRPr="0016246C" w:rsidRDefault="00B96E2C" w:rsidP="008C1D3A">
                  <w:pPr>
                    <w:pStyle w:val="Heading1"/>
                    <w:spacing w:line="256" w:lineRule="auto"/>
                    <w:ind w:right="183"/>
                    <w:contextualSpacing/>
                    <w:rPr>
                      <w:b w:val="0"/>
                      <w:sz w:val="24"/>
                    </w:rPr>
                  </w:pPr>
                  <w:r w:rsidRPr="0016246C">
                    <w:rPr>
                      <w:b w:val="0"/>
                      <w:sz w:val="24"/>
                    </w:rPr>
                    <w:t>Discuss and Approve</w:t>
                  </w:r>
                </w:p>
              </w:tc>
              <w:tc>
                <w:tcPr>
                  <w:tcW w:w="850" w:type="dxa"/>
                  <w:tcBorders>
                    <w:top w:val="single" w:sz="4" w:space="0" w:color="auto"/>
                    <w:left w:val="single" w:sz="4" w:space="0" w:color="auto"/>
                    <w:bottom w:val="single" w:sz="4" w:space="0" w:color="auto"/>
                    <w:right w:val="single" w:sz="4" w:space="0" w:color="auto"/>
                  </w:tcBorders>
                </w:tcPr>
                <w:p w:rsidR="00B96E2C" w:rsidRPr="0016246C" w:rsidRDefault="0024279C" w:rsidP="008C1D3A">
                  <w:pPr>
                    <w:spacing w:line="256" w:lineRule="auto"/>
                  </w:pPr>
                  <w:r w:rsidRPr="0016246C">
                    <w:sym w:font="Wingdings" w:char="F0FC"/>
                  </w:r>
                </w:p>
              </w:tc>
            </w:tr>
            <w:tr w:rsidR="00B96E2C" w:rsidRPr="0016246C" w:rsidTr="008C1D3A">
              <w:tc>
                <w:tcPr>
                  <w:tcW w:w="5694" w:type="dxa"/>
                  <w:tcBorders>
                    <w:top w:val="single" w:sz="4" w:space="0" w:color="auto"/>
                    <w:left w:val="single" w:sz="4" w:space="0" w:color="auto"/>
                    <w:bottom w:val="single" w:sz="4" w:space="0" w:color="auto"/>
                    <w:right w:val="single" w:sz="4" w:space="0" w:color="auto"/>
                  </w:tcBorders>
                  <w:hideMark/>
                </w:tcPr>
                <w:p w:rsidR="00B96E2C" w:rsidRPr="0016246C" w:rsidRDefault="00B96E2C" w:rsidP="008C1D3A">
                  <w:pPr>
                    <w:pStyle w:val="Heading1"/>
                    <w:spacing w:line="256" w:lineRule="auto"/>
                    <w:ind w:right="183"/>
                    <w:contextualSpacing/>
                    <w:rPr>
                      <w:b w:val="0"/>
                      <w:sz w:val="24"/>
                    </w:rPr>
                  </w:pPr>
                  <w:r w:rsidRPr="0016246C">
                    <w:rPr>
                      <w:b w:val="0"/>
                      <w:sz w:val="24"/>
                    </w:rPr>
                    <w:t>Note for Information only</w:t>
                  </w:r>
                </w:p>
              </w:tc>
              <w:tc>
                <w:tcPr>
                  <w:tcW w:w="850" w:type="dxa"/>
                  <w:tcBorders>
                    <w:top w:val="single" w:sz="4" w:space="0" w:color="auto"/>
                    <w:left w:val="single" w:sz="4" w:space="0" w:color="auto"/>
                    <w:bottom w:val="single" w:sz="4" w:space="0" w:color="auto"/>
                    <w:right w:val="single" w:sz="4" w:space="0" w:color="auto"/>
                  </w:tcBorders>
                </w:tcPr>
                <w:p w:rsidR="00B96E2C" w:rsidRPr="0016246C" w:rsidRDefault="00B96E2C" w:rsidP="008C1D3A">
                  <w:pPr>
                    <w:spacing w:line="256" w:lineRule="auto"/>
                  </w:pPr>
                </w:p>
              </w:tc>
            </w:tr>
          </w:tbl>
          <w:p w:rsidR="00B96E2C" w:rsidRPr="0016246C" w:rsidRDefault="00B96E2C" w:rsidP="008C1D3A">
            <w:pPr>
              <w:spacing w:line="256" w:lineRule="auto"/>
            </w:pPr>
          </w:p>
        </w:tc>
      </w:tr>
      <w:tr w:rsidR="00B96E2C" w:rsidTr="008C1D3A">
        <w:trPr>
          <w:trHeight w:val="499"/>
        </w:trPr>
        <w:tc>
          <w:tcPr>
            <w:tcW w:w="2557" w:type="dxa"/>
            <w:tcBorders>
              <w:top w:val="nil"/>
              <w:left w:val="nil"/>
              <w:bottom w:val="single" w:sz="4" w:space="0" w:color="auto"/>
              <w:right w:val="nil"/>
            </w:tcBorders>
          </w:tcPr>
          <w:p w:rsidR="00B96E2C" w:rsidRDefault="00B96E2C" w:rsidP="008C1D3A">
            <w:pPr>
              <w:pStyle w:val="Heading1"/>
              <w:spacing w:before="120" w:after="60" w:line="256" w:lineRule="auto"/>
              <w:ind w:right="183"/>
              <w:contextualSpacing/>
              <w:rPr>
                <w:bCs w:val="0"/>
                <w:sz w:val="24"/>
              </w:rPr>
            </w:pPr>
          </w:p>
        </w:tc>
        <w:tc>
          <w:tcPr>
            <w:tcW w:w="7967" w:type="dxa"/>
            <w:gridSpan w:val="2"/>
            <w:tcBorders>
              <w:top w:val="nil"/>
              <w:left w:val="nil"/>
              <w:bottom w:val="single" w:sz="4" w:space="0" w:color="auto"/>
              <w:right w:val="nil"/>
            </w:tcBorders>
          </w:tcPr>
          <w:p w:rsidR="00B96E2C" w:rsidRDefault="00B96E2C" w:rsidP="008C1D3A">
            <w:pPr>
              <w:pStyle w:val="Heading1"/>
              <w:spacing w:before="120" w:after="60" w:line="256" w:lineRule="auto"/>
              <w:ind w:right="183"/>
              <w:contextualSpacing/>
              <w:rPr>
                <w:b w:val="0"/>
                <w:sz w:val="24"/>
              </w:rPr>
            </w:pPr>
          </w:p>
        </w:tc>
      </w:tr>
    </w:tbl>
    <w:p w:rsidR="00B96E2C" w:rsidRPr="008E3354" w:rsidRDefault="00B96E2C" w:rsidP="00B96E2C">
      <w:pPr>
        <w:rPr>
          <w:rFonts w:ascii="Arial" w:hAnsi="Arial" w:cs="Arial"/>
        </w:rPr>
      </w:pPr>
    </w:p>
    <w:p w:rsidR="00B96E2C" w:rsidRDefault="00B96E2C" w:rsidP="00B96E2C">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2"/>
        </w:rPr>
      </w:pPr>
      <w:r>
        <w:rPr>
          <w:rFonts w:ascii="Arial" w:hAnsi="Arial" w:cs="Arial"/>
          <w:b/>
          <w:sz w:val="22"/>
        </w:rPr>
        <w:t>1.</w:t>
      </w:r>
      <w:r>
        <w:rPr>
          <w:rFonts w:ascii="Arial" w:hAnsi="Arial" w:cs="Arial"/>
          <w:b/>
          <w:sz w:val="22"/>
        </w:rPr>
        <w:tab/>
        <w:t xml:space="preserve">Situation </w:t>
      </w:r>
    </w:p>
    <w:p w:rsidR="00B96E2C" w:rsidRPr="003F3F64" w:rsidRDefault="00B96E2C" w:rsidP="00B96E2C">
      <w:pPr>
        <w:rPr>
          <w:rFonts w:ascii="Arial" w:hAnsi="Arial" w:cs="Arial"/>
          <w:b/>
          <w:sz w:val="16"/>
          <w:szCs w:val="16"/>
        </w:rPr>
      </w:pPr>
    </w:p>
    <w:p w:rsidR="00B96E2C" w:rsidRPr="00312C61" w:rsidRDefault="00BE36CF" w:rsidP="00B96E2C">
      <w:pPr>
        <w:jc w:val="both"/>
        <w:rPr>
          <w:rFonts w:ascii="Arial" w:hAnsi="Arial" w:cs="Arial"/>
        </w:rPr>
      </w:pPr>
      <w:r w:rsidRPr="00312C61">
        <w:rPr>
          <w:rFonts w:ascii="Arial" w:hAnsi="Arial" w:cs="Arial"/>
        </w:rPr>
        <w:t>The Board of NHS Golden Jubilee is asked to approve the attached Code of Conduct for Members of the Board.</w:t>
      </w:r>
    </w:p>
    <w:p w:rsidR="00B96E2C" w:rsidRPr="003F3F64" w:rsidRDefault="00B96E2C" w:rsidP="00B96E2C">
      <w:pPr>
        <w:jc w:val="both"/>
        <w:rPr>
          <w:rFonts w:ascii="Arial" w:hAnsi="Arial" w:cs="Arial"/>
          <w:sz w:val="22"/>
          <w:szCs w:val="22"/>
        </w:rPr>
      </w:pPr>
    </w:p>
    <w:p w:rsidR="00B96E2C" w:rsidRPr="003F3F64" w:rsidRDefault="00B96E2C" w:rsidP="00B96E2C">
      <w:pPr>
        <w:jc w:val="both"/>
        <w:rPr>
          <w:rFonts w:ascii="Arial" w:hAnsi="Arial" w:cs="Arial"/>
          <w:sz w:val="16"/>
          <w:szCs w:val="16"/>
        </w:rPr>
      </w:pPr>
    </w:p>
    <w:p w:rsidR="00B96E2C" w:rsidRPr="00580D7B" w:rsidRDefault="00B96E2C" w:rsidP="00B96E2C">
      <w:pPr>
        <w:pStyle w:val="BodyText2"/>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sz w:val="22"/>
          <w:szCs w:val="22"/>
          <w:lang w:eastAsia="en-GB"/>
        </w:rPr>
      </w:pPr>
      <w:r>
        <w:rPr>
          <w:rFonts w:ascii="Arial" w:hAnsi="Arial" w:cs="Arial"/>
          <w:b/>
          <w:sz w:val="22"/>
          <w:szCs w:val="22"/>
          <w:lang w:eastAsia="en-GB"/>
        </w:rPr>
        <w:t xml:space="preserve">2. </w:t>
      </w:r>
      <w:r>
        <w:rPr>
          <w:rFonts w:ascii="Arial" w:hAnsi="Arial" w:cs="Arial"/>
          <w:b/>
          <w:sz w:val="22"/>
          <w:szCs w:val="22"/>
          <w:lang w:eastAsia="en-GB"/>
        </w:rPr>
        <w:tab/>
        <w:t xml:space="preserve">Background </w:t>
      </w:r>
    </w:p>
    <w:p w:rsidR="00B96E2C" w:rsidRPr="003F3F64" w:rsidRDefault="00B96E2C" w:rsidP="00B96E2C">
      <w:pPr>
        <w:jc w:val="both"/>
        <w:rPr>
          <w:rFonts w:ascii="Arial" w:hAnsi="Arial" w:cs="Arial"/>
          <w:b/>
          <w:sz w:val="16"/>
          <w:szCs w:val="16"/>
        </w:rPr>
      </w:pPr>
    </w:p>
    <w:p w:rsidR="00B96E2C" w:rsidRDefault="00312C61" w:rsidP="00BE36CF">
      <w:pPr>
        <w:jc w:val="both"/>
        <w:rPr>
          <w:rFonts w:ascii="Arial" w:hAnsi="Arial" w:cs="Arial"/>
        </w:rPr>
      </w:pPr>
      <w:r>
        <w:rPr>
          <w:rFonts w:ascii="Arial" w:hAnsi="Arial" w:cs="Arial"/>
        </w:rPr>
        <w:t xml:space="preserve">Board Members will recall that the Board Secretary circulated </w:t>
      </w:r>
      <w:r w:rsidR="00916214">
        <w:rPr>
          <w:rFonts w:ascii="Arial" w:hAnsi="Arial" w:cs="Arial"/>
        </w:rPr>
        <w:t xml:space="preserve">to Members </w:t>
      </w:r>
      <w:r>
        <w:rPr>
          <w:rFonts w:ascii="Arial" w:hAnsi="Arial" w:cs="Arial"/>
        </w:rPr>
        <w:t>a copy of the Model Code of Conduct for devolved Public Bodies, subsequent to approval of the Model Code by the Scottish Parliament in December 2021.</w:t>
      </w:r>
    </w:p>
    <w:p w:rsidR="00312C61" w:rsidRDefault="00312C61" w:rsidP="00BE36CF">
      <w:pPr>
        <w:jc w:val="both"/>
        <w:rPr>
          <w:rFonts w:ascii="Arial" w:hAnsi="Arial" w:cs="Arial"/>
        </w:rPr>
      </w:pPr>
    </w:p>
    <w:p w:rsidR="00312C61" w:rsidRDefault="00312C61" w:rsidP="00BE36CF">
      <w:pPr>
        <w:jc w:val="both"/>
        <w:rPr>
          <w:rFonts w:ascii="Arial" w:hAnsi="Arial" w:cs="Arial"/>
        </w:rPr>
      </w:pPr>
      <w:r>
        <w:rPr>
          <w:rFonts w:ascii="Arial" w:hAnsi="Arial" w:cs="Arial"/>
        </w:rPr>
        <w:t>Following the approval of the Model Code, the Board Secretaries Group, together with The Corporate Governance Steering Committee within NHS Scotland and the Standards Commission, worked on production of a “Once for Scotland” Code for each NHS Board.</w:t>
      </w:r>
    </w:p>
    <w:p w:rsidR="00916214" w:rsidRDefault="00916214" w:rsidP="00312C61">
      <w:pPr>
        <w:jc w:val="both"/>
        <w:rPr>
          <w:rFonts w:ascii="Arial" w:hAnsi="Arial" w:cs="Arial"/>
        </w:rPr>
      </w:pPr>
    </w:p>
    <w:p w:rsidR="00916214" w:rsidRDefault="00916214" w:rsidP="00312C61">
      <w:pPr>
        <w:jc w:val="both"/>
        <w:rPr>
          <w:rFonts w:ascii="Arial" w:hAnsi="Arial" w:cs="Arial"/>
        </w:rPr>
      </w:pPr>
      <w:r>
        <w:rPr>
          <w:rFonts w:ascii="Arial" w:hAnsi="Arial" w:cs="Arial"/>
        </w:rPr>
        <w:t>All NHS Boards are being asked, by 16</w:t>
      </w:r>
      <w:r w:rsidRPr="00916214">
        <w:rPr>
          <w:rFonts w:ascii="Arial" w:hAnsi="Arial" w:cs="Arial"/>
          <w:vertAlign w:val="superscript"/>
        </w:rPr>
        <w:t>th</w:t>
      </w:r>
      <w:r>
        <w:rPr>
          <w:rFonts w:ascii="Arial" w:hAnsi="Arial" w:cs="Arial"/>
        </w:rPr>
        <w:t xml:space="preserve"> June 2022, to approve a Code of Conduct on the basis of the “Once for Scotland” approach.</w:t>
      </w:r>
      <w:r w:rsidRPr="00916214">
        <w:rPr>
          <w:rFonts w:ascii="Arial" w:hAnsi="Arial" w:cs="Arial"/>
        </w:rPr>
        <w:t xml:space="preserve"> </w:t>
      </w:r>
      <w:r>
        <w:rPr>
          <w:rFonts w:ascii="Arial" w:hAnsi="Arial" w:cs="Arial"/>
        </w:rPr>
        <w:t>The proposed NHS Golden Jubilee Code of Conduct forms Appendix 1 to this Report.</w:t>
      </w:r>
    </w:p>
    <w:p w:rsidR="000D7441" w:rsidRDefault="000D7441" w:rsidP="00312C61">
      <w:pPr>
        <w:jc w:val="both"/>
        <w:rPr>
          <w:rFonts w:ascii="Arial" w:hAnsi="Arial" w:cs="Arial"/>
        </w:rPr>
      </w:pPr>
    </w:p>
    <w:p w:rsidR="000D7441" w:rsidRPr="000D7441" w:rsidRDefault="000D7441" w:rsidP="00312C61">
      <w:pPr>
        <w:jc w:val="both"/>
        <w:rPr>
          <w:rFonts w:ascii="Arial" w:hAnsi="Arial" w:cs="Arial"/>
        </w:rPr>
      </w:pPr>
      <w:r>
        <w:rPr>
          <w:rFonts w:ascii="Arial" w:hAnsi="Arial" w:cs="Arial"/>
        </w:rPr>
        <w:t>Revised Guidance from the Standards Commission has also been published, reflecting comments provided by the Board Secretaries Group and the Corporate Governance Steering Committee.</w:t>
      </w:r>
      <w:r w:rsidR="00916214">
        <w:rPr>
          <w:rFonts w:ascii="Arial" w:hAnsi="Arial" w:cs="Arial"/>
        </w:rPr>
        <w:t xml:space="preserve"> This Guidance, together with the NHS Golden Jubilee Code of Conduct has been placed in the Board Development folder on Admin Control.</w:t>
      </w:r>
    </w:p>
    <w:p w:rsidR="00B96E2C" w:rsidRDefault="00B96E2C" w:rsidP="00B96E2C">
      <w:pPr>
        <w:ind w:left="180"/>
        <w:jc w:val="both"/>
        <w:rPr>
          <w:rFonts w:ascii="Arial" w:hAnsi="Arial" w:cs="Arial"/>
          <w:sz w:val="16"/>
          <w:szCs w:val="16"/>
        </w:rPr>
      </w:pPr>
    </w:p>
    <w:p w:rsidR="00B96E2C" w:rsidRPr="003F3F64" w:rsidRDefault="00B96E2C" w:rsidP="00B96E2C">
      <w:pPr>
        <w:ind w:left="180"/>
        <w:jc w:val="both"/>
        <w:rPr>
          <w:rFonts w:ascii="Arial" w:hAnsi="Arial" w:cs="Arial"/>
          <w:sz w:val="16"/>
          <w:szCs w:val="16"/>
        </w:rPr>
      </w:pPr>
    </w:p>
    <w:p w:rsidR="00B96E2C" w:rsidRPr="0055091A" w:rsidRDefault="00B96E2C" w:rsidP="00B96E2C">
      <w:pPr>
        <w:pStyle w:val="BodyText2"/>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sz w:val="22"/>
          <w:szCs w:val="22"/>
          <w:lang w:eastAsia="en-GB"/>
        </w:rPr>
      </w:pPr>
      <w:r>
        <w:rPr>
          <w:rFonts w:ascii="Arial" w:hAnsi="Arial" w:cs="Arial"/>
          <w:b/>
          <w:sz w:val="22"/>
          <w:szCs w:val="22"/>
          <w:lang w:eastAsia="en-GB"/>
        </w:rPr>
        <w:t xml:space="preserve">3. </w:t>
      </w:r>
      <w:r>
        <w:rPr>
          <w:rFonts w:ascii="Arial" w:hAnsi="Arial" w:cs="Arial"/>
          <w:b/>
          <w:sz w:val="22"/>
          <w:szCs w:val="22"/>
          <w:lang w:eastAsia="en-GB"/>
        </w:rPr>
        <w:tab/>
        <w:t xml:space="preserve"> Assessment </w:t>
      </w:r>
    </w:p>
    <w:p w:rsidR="00B96E2C" w:rsidRDefault="00B96E2C" w:rsidP="00B96E2C">
      <w:pPr>
        <w:rPr>
          <w:rFonts w:ascii="Arial" w:hAnsi="Arial" w:cs="Arial"/>
          <w:sz w:val="22"/>
          <w:szCs w:val="22"/>
        </w:rPr>
      </w:pPr>
    </w:p>
    <w:p w:rsidR="00312C61" w:rsidRDefault="00312C61" w:rsidP="00B96E2C">
      <w:pPr>
        <w:rPr>
          <w:rFonts w:ascii="Arial" w:hAnsi="Arial" w:cs="Arial"/>
        </w:rPr>
      </w:pPr>
      <w:r>
        <w:rPr>
          <w:rFonts w:ascii="Arial" w:hAnsi="Arial" w:cs="Arial"/>
        </w:rPr>
        <w:t xml:space="preserve">Sections 3 and 4 of the Ethical Standards in Public Life etc </w:t>
      </w:r>
      <w:r w:rsidR="000D7441">
        <w:rPr>
          <w:rFonts w:ascii="Arial" w:hAnsi="Arial" w:cs="Arial"/>
        </w:rPr>
        <w:t xml:space="preserve">(Scotland) </w:t>
      </w:r>
      <w:r>
        <w:rPr>
          <w:rFonts w:ascii="Arial" w:hAnsi="Arial" w:cs="Arial"/>
        </w:rPr>
        <w:t>Act 2000</w:t>
      </w:r>
      <w:r w:rsidR="000D7441">
        <w:rPr>
          <w:rFonts w:ascii="Arial" w:hAnsi="Arial" w:cs="Arial"/>
        </w:rPr>
        <w:t xml:space="preserve"> require</w:t>
      </w:r>
      <w:r>
        <w:rPr>
          <w:rFonts w:ascii="Arial" w:hAnsi="Arial" w:cs="Arial"/>
        </w:rPr>
        <w:t xml:space="preserve"> devolved public bodies, such as NHS boards, to adopt a code of conduct for members which accords with the Model Code of Conduct promoted by the Standards Commission for Scotland.</w:t>
      </w:r>
    </w:p>
    <w:p w:rsidR="000D7441" w:rsidRDefault="000D7441" w:rsidP="00B96E2C">
      <w:pPr>
        <w:rPr>
          <w:rFonts w:ascii="Arial" w:hAnsi="Arial" w:cs="Arial"/>
        </w:rPr>
      </w:pPr>
    </w:p>
    <w:p w:rsidR="000D7441" w:rsidRDefault="000D7441" w:rsidP="00B96E2C">
      <w:pPr>
        <w:rPr>
          <w:rFonts w:ascii="Arial" w:hAnsi="Arial" w:cs="Arial"/>
        </w:rPr>
      </w:pPr>
      <w:r>
        <w:rPr>
          <w:rFonts w:ascii="Arial" w:hAnsi="Arial" w:cs="Arial"/>
        </w:rPr>
        <w:lastRenderedPageBreak/>
        <w:t>The Standards Commission for Scotland having worked with relevant national groups to produce a “Once for Scotland” approach suitable for NHS Boards, it is in the Board’s interests to approve the attached Code for use within NHS Golden Jubilee in discharge of this statutory duty.</w:t>
      </w:r>
    </w:p>
    <w:p w:rsidR="00B96E2C" w:rsidRDefault="00B96E2C" w:rsidP="00B96E2C">
      <w:pPr>
        <w:rPr>
          <w:rFonts w:ascii="Arial" w:hAnsi="Arial" w:cs="Arial"/>
          <w:sz w:val="22"/>
          <w:szCs w:val="22"/>
        </w:rPr>
      </w:pPr>
    </w:p>
    <w:p w:rsidR="00B96E2C" w:rsidRPr="003F3F64" w:rsidRDefault="00B96E2C" w:rsidP="00B96E2C">
      <w:pPr>
        <w:rPr>
          <w:rFonts w:ascii="Arial" w:hAnsi="Arial" w:cs="Arial"/>
          <w:sz w:val="16"/>
          <w:szCs w:val="16"/>
        </w:rPr>
      </w:pPr>
    </w:p>
    <w:p w:rsidR="00B96E2C" w:rsidRPr="00580D7B" w:rsidRDefault="00B96E2C" w:rsidP="00B96E2C">
      <w:pPr>
        <w:pStyle w:val="BodyText2"/>
        <w:pBdr>
          <w:top w:val="single" w:sz="4" w:space="0"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sz w:val="22"/>
          <w:szCs w:val="22"/>
          <w:lang w:eastAsia="en-GB"/>
        </w:rPr>
      </w:pPr>
      <w:r>
        <w:rPr>
          <w:rFonts w:ascii="Arial" w:hAnsi="Arial" w:cs="Arial"/>
          <w:b/>
          <w:sz w:val="22"/>
          <w:szCs w:val="22"/>
          <w:lang w:eastAsia="en-GB"/>
        </w:rPr>
        <w:t xml:space="preserve">4. </w:t>
      </w:r>
      <w:r>
        <w:rPr>
          <w:rFonts w:ascii="Arial" w:hAnsi="Arial" w:cs="Arial"/>
          <w:b/>
          <w:sz w:val="22"/>
          <w:szCs w:val="22"/>
          <w:lang w:eastAsia="en-GB"/>
        </w:rPr>
        <w:tab/>
        <w:t xml:space="preserve"> Recommendation </w:t>
      </w:r>
    </w:p>
    <w:p w:rsidR="00B96E2C" w:rsidRPr="003F3F64" w:rsidRDefault="00B96E2C" w:rsidP="00B96E2C">
      <w:pPr>
        <w:jc w:val="both"/>
        <w:rPr>
          <w:rFonts w:ascii="Arial" w:hAnsi="Arial" w:cs="Arial"/>
          <w:sz w:val="16"/>
          <w:szCs w:val="16"/>
        </w:rPr>
      </w:pPr>
    </w:p>
    <w:p w:rsidR="00B96E2C" w:rsidRDefault="00B96E2C" w:rsidP="00B96E2C">
      <w:pPr>
        <w:jc w:val="both"/>
        <w:rPr>
          <w:rFonts w:ascii="Arial" w:hAnsi="Arial" w:cs="Arial"/>
          <w:sz w:val="22"/>
          <w:szCs w:val="22"/>
        </w:rPr>
      </w:pPr>
      <w:r>
        <w:rPr>
          <w:rFonts w:ascii="Arial" w:hAnsi="Arial" w:cs="Arial"/>
          <w:sz w:val="22"/>
          <w:szCs w:val="22"/>
        </w:rPr>
        <w:t xml:space="preserve">Members are asked to </w:t>
      </w:r>
      <w:r w:rsidR="000D7441">
        <w:rPr>
          <w:rFonts w:ascii="Arial" w:hAnsi="Arial" w:cs="Arial"/>
          <w:sz w:val="22"/>
          <w:szCs w:val="22"/>
        </w:rPr>
        <w:t>approve the attached Code of Conduct for use within NHS Golden Jubilee.</w:t>
      </w:r>
    </w:p>
    <w:p w:rsidR="00B96E2C" w:rsidRDefault="00B96E2C" w:rsidP="00B96E2C">
      <w:pPr>
        <w:jc w:val="both"/>
        <w:rPr>
          <w:rFonts w:ascii="Arial" w:hAnsi="Arial" w:cs="Arial"/>
          <w:sz w:val="22"/>
          <w:szCs w:val="22"/>
        </w:rPr>
      </w:pPr>
    </w:p>
    <w:p w:rsidR="00B96E2C" w:rsidRDefault="00B96E2C" w:rsidP="00B96E2C">
      <w:pPr>
        <w:jc w:val="both"/>
        <w:rPr>
          <w:rFonts w:ascii="Arial" w:hAnsi="Arial" w:cs="Arial"/>
          <w:sz w:val="22"/>
          <w:szCs w:val="22"/>
        </w:rPr>
      </w:pPr>
    </w:p>
    <w:p w:rsidR="00B96E2C" w:rsidRDefault="00B96E2C" w:rsidP="00B96E2C">
      <w:pPr>
        <w:jc w:val="both"/>
        <w:rPr>
          <w:rFonts w:ascii="Arial" w:hAnsi="Arial" w:cs="Arial"/>
          <w:sz w:val="22"/>
          <w:szCs w:val="22"/>
        </w:rPr>
      </w:pPr>
    </w:p>
    <w:p w:rsidR="00B96E2C" w:rsidRPr="008E3354" w:rsidRDefault="000D7441" w:rsidP="00B96E2C">
      <w:pPr>
        <w:spacing w:after="120"/>
        <w:jc w:val="both"/>
        <w:rPr>
          <w:rFonts w:ascii="Arial" w:hAnsi="Arial" w:cs="Arial"/>
          <w:b/>
          <w:sz w:val="22"/>
          <w:szCs w:val="22"/>
        </w:rPr>
      </w:pPr>
      <w:r>
        <w:rPr>
          <w:rFonts w:ascii="Arial" w:hAnsi="Arial" w:cs="Arial"/>
          <w:b/>
          <w:sz w:val="22"/>
          <w:szCs w:val="22"/>
        </w:rPr>
        <w:t>Jann Gardner</w:t>
      </w:r>
    </w:p>
    <w:p w:rsidR="00B96E2C" w:rsidRPr="008E3354" w:rsidRDefault="000D7441" w:rsidP="00B96E2C">
      <w:pPr>
        <w:spacing w:after="120"/>
        <w:jc w:val="both"/>
        <w:rPr>
          <w:rFonts w:ascii="Arial" w:hAnsi="Arial" w:cs="Arial"/>
          <w:b/>
          <w:sz w:val="22"/>
          <w:szCs w:val="22"/>
        </w:rPr>
      </w:pPr>
      <w:r>
        <w:rPr>
          <w:rFonts w:ascii="Arial" w:hAnsi="Arial" w:cs="Arial"/>
          <w:b/>
          <w:sz w:val="22"/>
          <w:szCs w:val="22"/>
        </w:rPr>
        <w:t>Chief Executive</w:t>
      </w:r>
    </w:p>
    <w:p w:rsidR="00B96E2C" w:rsidRPr="008E3354" w:rsidRDefault="000D7441" w:rsidP="00B96E2C">
      <w:pPr>
        <w:autoSpaceDE w:val="0"/>
        <w:autoSpaceDN w:val="0"/>
        <w:adjustRightInd w:val="0"/>
        <w:spacing w:after="120"/>
        <w:rPr>
          <w:rFonts w:ascii="Arial" w:hAnsi="Arial" w:cs="Arial"/>
          <w:b/>
          <w:sz w:val="22"/>
          <w:szCs w:val="22"/>
        </w:rPr>
      </w:pPr>
      <w:r>
        <w:rPr>
          <w:rFonts w:ascii="Arial" w:hAnsi="Arial" w:cs="Arial"/>
          <w:b/>
          <w:sz w:val="22"/>
          <w:szCs w:val="22"/>
        </w:rPr>
        <w:t>18 May 2022</w:t>
      </w:r>
    </w:p>
    <w:p w:rsidR="005C57C8" w:rsidRDefault="005C57C8"/>
    <w:sectPr w:rsidR="005C57C8" w:rsidSect="00BB655E">
      <w:headerReference w:type="default" r:id="rId7"/>
      <w:footerReference w:type="default" r:id="rId8"/>
      <w:pgSz w:w="12240" w:h="15840"/>
      <w:pgMar w:top="299" w:right="851" w:bottom="851" w:left="720"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E35" w:rsidRDefault="00E12E35" w:rsidP="00B96E2C">
      <w:r>
        <w:separator/>
      </w:r>
    </w:p>
  </w:endnote>
  <w:endnote w:type="continuationSeparator" w:id="0">
    <w:p w:rsidR="00E12E35" w:rsidRDefault="00E12E35" w:rsidP="00B9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AC" w:rsidRPr="000F0CA5" w:rsidRDefault="008423AB" w:rsidP="000971B4">
    <w:pPr>
      <w:pStyle w:val="Footer"/>
      <w:pBdr>
        <w:top w:val="single" w:sz="4" w:space="0" w:color="auto"/>
      </w:pBdr>
      <w:rPr>
        <w:rFonts w:ascii="Arial" w:hAnsi="Arial" w:cs="Arial"/>
        <w:sz w:val="16"/>
        <w:szCs w:val="16"/>
      </w:rPr>
    </w:pPr>
    <w:r w:rsidRPr="000F0CA5">
      <w:rPr>
        <w:rFonts w:ascii="Arial" w:hAnsi="Arial" w:cs="Arial"/>
        <w:sz w:val="18"/>
        <w:szCs w:val="18"/>
      </w:rPr>
      <w:tab/>
    </w:r>
    <w:r w:rsidRPr="000F0CA5">
      <w:rPr>
        <w:rFonts w:ascii="Arial" w:hAnsi="Arial" w:cs="Arial"/>
        <w:sz w:val="18"/>
        <w:szCs w:val="18"/>
      </w:rPr>
      <w:tab/>
    </w:r>
    <w:r w:rsidRPr="000F0CA5">
      <w:rPr>
        <w:rFonts w:ascii="Arial" w:hAnsi="Arial" w:cs="Arial"/>
        <w:sz w:val="16"/>
        <w:szCs w:val="16"/>
      </w:rPr>
      <w:t xml:space="preserve">Page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PAGE </w:instrText>
    </w:r>
    <w:r w:rsidRPr="000F0CA5">
      <w:rPr>
        <w:rStyle w:val="PageNumber"/>
        <w:rFonts w:ascii="Arial" w:hAnsi="Arial" w:cs="Arial"/>
        <w:sz w:val="16"/>
        <w:szCs w:val="16"/>
      </w:rPr>
      <w:fldChar w:fldCharType="separate"/>
    </w:r>
    <w:r w:rsidR="00773F3E">
      <w:rPr>
        <w:rStyle w:val="PageNumber"/>
        <w:rFonts w:ascii="Arial" w:hAnsi="Arial" w:cs="Arial"/>
        <w:noProof/>
        <w:sz w:val="16"/>
        <w:szCs w:val="16"/>
      </w:rPr>
      <w:t>1</w:t>
    </w:r>
    <w:r w:rsidRPr="000F0CA5">
      <w:rPr>
        <w:rStyle w:val="PageNumber"/>
        <w:rFonts w:ascii="Arial" w:hAnsi="Arial" w:cs="Arial"/>
        <w:sz w:val="16"/>
        <w:szCs w:val="16"/>
      </w:rPr>
      <w:fldChar w:fldCharType="end"/>
    </w:r>
    <w:r w:rsidRPr="000F0CA5">
      <w:rPr>
        <w:rStyle w:val="PageNumber"/>
        <w:rFonts w:ascii="Arial" w:hAnsi="Arial" w:cs="Arial"/>
        <w:sz w:val="16"/>
        <w:szCs w:val="16"/>
      </w:rPr>
      <w:t xml:space="preserve"> of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NUMPAGES </w:instrText>
    </w:r>
    <w:r w:rsidRPr="000F0CA5">
      <w:rPr>
        <w:rStyle w:val="PageNumber"/>
        <w:rFonts w:ascii="Arial" w:hAnsi="Arial" w:cs="Arial"/>
        <w:sz w:val="16"/>
        <w:szCs w:val="16"/>
      </w:rPr>
      <w:fldChar w:fldCharType="separate"/>
    </w:r>
    <w:r w:rsidR="00773F3E">
      <w:rPr>
        <w:rStyle w:val="PageNumber"/>
        <w:rFonts w:ascii="Arial" w:hAnsi="Arial" w:cs="Arial"/>
        <w:noProof/>
        <w:sz w:val="16"/>
        <w:szCs w:val="16"/>
      </w:rPr>
      <w:t>2</w:t>
    </w:r>
    <w:r w:rsidRPr="000F0CA5">
      <w:rPr>
        <w:rStyle w:val="PageNumber"/>
        <w:rFonts w:ascii="Arial" w:hAnsi="Arial" w:cs="Arial"/>
        <w:sz w:val="16"/>
        <w:szCs w:val="16"/>
      </w:rPr>
      <w:fldChar w:fldCharType="end"/>
    </w:r>
  </w:p>
  <w:p w:rsidR="00DB49AC" w:rsidRPr="004634BF" w:rsidRDefault="008423AB" w:rsidP="000971B4">
    <w:pPr>
      <w:pStyle w:val="Footer"/>
      <w:pBdr>
        <w:top w:val="single" w:sz="4" w:space="0" w:color="auto"/>
      </w:pBdr>
      <w:rPr>
        <w:rFonts w:ascii="Arial" w:hAnsi="Arial" w:cs="Arial"/>
        <w:sz w:val="16"/>
        <w:szCs w:val="16"/>
        <w:lang w:val="en-GB"/>
      </w:rPr>
    </w:pPr>
    <w:r w:rsidRPr="004634BF">
      <w:rPr>
        <w:rFonts w:ascii="Arial" w:hAnsi="Arial" w:cs="Arial"/>
        <w:sz w:val="16"/>
        <w:szCs w:val="16"/>
        <w:lang w:val="en-GB"/>
      </w:rPr>
      <w:tab/>
    </w:r>
    <w:r w:rsidRPr="004634BF">
      <w:rPr>
        <w:rFonts w:ascii="Arial" w:hAnsi="Arial" w:cs="Arial"/>
        <w:sz w:val="16"/>
        <w:szCs w:val="16"/>
        <w:lang w:val="en-GB"/>
      </w:rPr>
      <w:tab/>
    </w:r>
  </w:p>
  <w:p w:rsidR="00DB49AC" w:rsidRDefault="00773F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E35" w:rsidRDefault="00E12E35" w:rsidP="00B96E2C">
      <w:r>
        <w:separator/>
      </w:r>
    </w:p>
  </w:footnote>
  <w:footnote w:type="continuationSeparator" w:id="0">
    <w:p w:rsidR="00E12E35" w:rsidRDefault="00E12E35" w:rsidP="00B9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1B" w:rsidRPr="00BB655E" w:rsidRDefault="00BB655E" w:rsidP="00BB655E">
    <w:pPr>
      <w:pStyle w:val="Header"/>
      <w:jc w:val="center"/>
      <w:rPr>
        <w:rFonts w:ascii="Arial" w:hAnsi="Arial" w:cs="Arial"/>
        <w:b/>
        <w:color w:val="365F91" w:themeColor="accent1" w:themeShade="BF"/>
        <w:sz w:val="20"/>
        <w:szCs w:val="20"/>
      </w:rPr>
    </w:pPr>
    <w:r>
      <w:rPr>
        <w:rFonts w:ascii="Arial" w:hAnsi="Arial" w:cs="Arial"/>
        <w:b/>
        <w:color w:val="365F91" w:themeColor="accent1" w:themeShade="BF"/>
        <w:sz w:val="20"/>
        <w:szCs w:val="20"/>
      </w:rPr>
      <w:t xml:space="preserve">                                                                                                                       </w:t>
    </w:r>
    <w:r w:rsidR="00773F3E">
      <w:rPr>
        <w:rFonts w:ascii="Arial" w:hAnsi="Arial" w:cs="Arial"/>
        <w:b/>
        <w:color w:val="365F91" w:themeColor="accent1" w:themeShade="BF"/>
        <w:sz w:val="20"/>
        <w:szCs w:val="20"/>
      </w:rPr>
      <w:t xml:space="preserve">                        Item 9.3</w:t>
    </w:r>
    <w:r>
      <w:rPr>
        <w:rFonts w:ascii="Arial" w:hAnsi="Arial" w:cs="Arial"/>
        <w:b/>
        <w:color w:val="365F91" w:themeColor="accent1" w:themeShade="BF"/>
        <w:sz w:val="20"/>
        <w:szCs w:val="20"/>
      </w:rPr>
      <w:t xml:space="preserve">                                                                                                                                                 </w:t>
    </w:r>
  </w:p>
  <w:p w:rsidR="008F289C" w:rsidRDefault="005D477B">
    <w:r w:rsidRPr="007452FB">
      <w:rPr>
        <w:rFonts w:ascii="Arial" w:hAnsi="Arial" w:cs="Arial"/>
        <w:b/>
        <w:noProof/>
        <w:sz w:val="28"/>
        <w:szCs w:val="28"/>
        <w:lang w:val="en-GB" w:eastAsia="en-GB"/>
      </w:rPr>
      <w:drawing>
        <wp:anchor distT="0" distB="0" distL="114300" distR="114300" simplePos="0" relativeHeight="251663872" behindDoc="0" locked="0" layoutInCell="1" allowOverlap="1" wp14:anchorId="2C3D4639" wp14:editId="45BBB4B9">
          <wp:simplePos x="0" y="0"/>
          <wp:positionH relativeFrom="margin">
            <wp:posOffset>5440959</wp:posOffset>
          </wp:positionH>
          <wp:positionV relativeFrom="margin">
            <wp:posOffset>-158233</wp:posOffset>
          </wp:positionV>
          <wp:extent cx="1114425" cy="771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7728"/>
    <w:multiLevelType w:val="hybridMultilevel"/>
    <w:tmpl w:val="35684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387ABC"/>
    <w:multiLevelType w:val="hybridMultilevel"/>
    <w:tmpl w:val="A628E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A70437"/>
    <w:multiLevelType w:val="hybridMultilevel"/>
    <w:tmpl w:val="DEC0F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162125"/>
    <w:multiLevelType w:val="hybridMultilevel"/>
    <w:tmpl w:val="89FA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F93C62"/>
    <w:multiLevelType w:val="hybridMultilevel"/>
    <w:tmpl w:val="54721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96E2C"/>
    <w:rsid w:val="000D7441"/>
    <w:rsid w:val="0016246C"/>
    <w:rsid w:val="0024279C"/>
    <w:rsid w:val="00312C61"/>
    <w:rsid w:val="00471F2C"/>
    <w:rsid w:val="005C57C8"/>
    <w:rsid w:val="005D477B"/>
    <w:rsid w:val="006230C3"/>
    <w:rsid w:val="006A60BF"/>
    <w:rsid w:val="00764CA0"/>
    <w:rsid w:val="00773F3E"/>
    <w:rsid w:val="008423AB"/>
    <w:rsid w:val="008A6342"/>
    <w:rsid w:val="00916214"/>
    <w:rsid w:val="00B96E2C"/>
    <w:rsid w:val="00BB655E"/>
    <w:rsid w:val="00BE36CF"/>
    <w:rsid w:val="00C74236"/>
    <w:rsid w:val="00DE7BFB"/>
    <w:rsid w:val="00E12E35"/>
    <w:rsid w:val="00F00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5C1260"/>
  <w15:chartTrackingRefBased/>
  <w15:docId w15:val="{CEAF1C44-B2FA-479D-B11E-3F5F5D74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E2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96E2C"/>
    <w:pPr>
      <w:keepNext/>
      <w:outlineLvl w:val="0"/>
    </w:pPr>
    <w:rPr>
      <w:rFonts w:ascii="Arial" w:hAnsi="Arial" w:cs="Arial"/>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E2C"/>
    <w:rPr>
      <w:rFonts w:ascii="Arial" w:eastAsia="Times New Roman" w:hAnsi="Arial" w:cs="Arial"/>
      <w:b/>
      <w:bCs/>
      <w:sz w:val="28"/>
      <w:szCs w:val="24"/>
    </w:rPr>
  </w:style>
  <w:style w:type="paragraph" w:styleId="Header">
    <w:name w:val="header"/>
    <w:basedOn w:val="Normal"/>
    <w:link w:val="HeaderChar"/>
    <w:rsid w:val="00B96E2C"/>
    <w:pPr>
      <w:tabs>
        <w:tab w:val="center" w:pos="4320"/>
        <w:tab w:val="right" w:pos="8640"/>
      </w:tabs>
    </w:pPr>
  </w:style>
  <w:style w:type="character" w:customStyle="1" w:styleId="HeaderChar">
    <w:name w:val="Header Char"/>
    <w:basedOn w:val="DefaultParagraphFont"/>
    <w:link w:val="Header"/>
    <w:rsid w:val="00B96E2C"/>
    <w:rPr>
      <w:rFonts w:ascii="Times New Roman" w:eastAsia="Times New Roman" w:hAnsi="Times New Roman" w:cs="Times New Roman"/>
      <w:sz w:val="24"/>
      <w:szCs w:val="24"/>
      <w:lang w:val="en-US"/>
    </w:rPr>
  </w:style>
  <w:style w:type="paragraph" w:styleId="Footer">
    <w:name w:val="footer"/>
    <w:basedOn w:val="Normal"/>
    <w:link w:val="FooterChar"/>
    <w:rsid w:val="00B96E2C"/>
    <w:pPr>
      <w:tabs>
        <w:tab w:val="center" w:pos="4320"/>
        <w:tab w:val="right" w:pos="8640"/>
      </w:tabs>
    </w:pPr>
  </w:style>
  <w:style w:type="character" w:customStyle="1" w:styleId="FooterChar">
    <w:name w:val="Footer Char"/>
    <w:basedOn w:val="DefaultParagraphFont"/>
    <w:link w:val="Footer"/>
    <w:rsid w:val="00B96E2C"/>
    <w:rPr>
      <w:rFonts w:ascii="Times New Roman" w:eastAsia="Times New Roman" w:hAnsi="Times New Roman" w:cs="Times New Roman"/>
      <w:sz w:val="24"/>
      <w:szCs w:val="24"/>
      <w:lang w:val="en-US"/>
    </w:rPr>
  </w:style>
  <w:style w:type="character" w:styleId="PageNumber">
    <w:name w:val="page number"/>
    <w:basedOn w:val="DefaultParagraphFont"/>
    <w:rsid w:val="00B96E2C"/>
  </w:style>
  <w:style w:type="paragraph" w:styleId="BodyText2">
    <w:name w:val="Body Text 2"/>
    <w:basedOn w:val="Normal"/>
    <w:link w:val="BodyText2Char"/>
    <w:rsid w:val="00B96E2C"/>
    <w:pPr>
      <w:spacing w:after="120" w:line="480" w:lineRule="auto"/>
    </w:pPr>
    <w:rPr>
      <w:sz w:val="20"/>
      <w:szCs w:val="20"/>
      <w:lang w:val="en-GB"/>
    </w:rPr>
  </w:style>
  <w:style w:type="character" w:customStyle="1" w:styleId="BodyText2Char">
    <w:name w:val="Body Text 2 Char"/>
    <w:basedOn w:val="DefaultParagraphFont"/>
    <w:link w:val="BodyText2"/>
    <w:rsid w:val="00B96E2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Mackay</dc:creator>
  <cp:keywords/>
  <dc:description/>
  <cp:lastModifiedBy>Alison Mackay</cp:lastModifiedBy>
  <cp:revision>8</cp:revision>
  <dcterms:created xsi:type="dcterms:W3CDTF">2022-05-18T15:18:00Z</dcterms:created>
  <dcterms:modified xsi:type="dcterms:W3CDTF">2022-05-23T13:12:00Z</dcterms:modified>
</cp:coreProperties>
</file>