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87" w:rsidRPr="00734E87" w:rsidRDefault="000477B1" w:rsidP="00734E87">
      <w:pPr>
        <w:spacing w:after="0" w:line="360" w:lineRule="auto"/>
        <w:outlineLvl w:val="0"/>
        <w:rPr>
          <w:rFonts w:ascii="Arial" w:eastAsia="Arial" w:hAnsi="Arial" w:cs="Arial"/>
          <w:iCs/>
          <w:color w:val="212121"/>
          <w:lang w:eastAsia="en-GB"/>
        </w:rPr>
      </w:pPr>
      <w:r>
        <w:rPr>
          <w:rFonts w:ascii="Arial" w:eastAsia="Arial" w:hAnsi="Arial" w:cs="Arial"/>
          <w:b/>
          <w:bCs/>
          <w:iCs/>
          <w:sz w:val="24"/>
          <w:szCs w:val="24"/>
          <w:lang w:eastAsia="en-GB"/>
        </w:rPr>
        <w:t>Appendix 4</w:t>
      </w:r>
      <w:r w:rsidR="00734E87" w:rsidRPr="00734E87">
        <w:rPr>
          <w:rFonts w:ascii="Arial" w:eastAsia="Arial" w:hAnsi="Arial" w:cs="Arial"/>
          <w:b/>
          <w:bCs/>
          <w:iCs/>
          <w:sz w:val="24"/>
          <w:szCs w:val="24"/>
          <w:lang w:eastAsia="en-GB"/>
        </w:rPr>
        <w:t xml:space="preserve"> – The NHS Scotland Academy (NHSS Academy)</w:t>
      </w:r>
    </w:p>
    <w:p w:rsidR="00D6266E" w:rsidRPr="00D6266E" w:rsidRDefault="00D6266E" w:rsidP="00D6266E">
      <w:pPr>
        <w:spacing w:line="240" w:lineRule="auto"/>
        <w:rPr>
          <w:rFonts w:ascii="Arial" w:eastAsia="Times New Roman" w:hAnsi="Arial" w:cs="Arial"/>
          <w:color w:val="000000"/>
        </w:rPr>
      </w:pPr>
      <w:r w:rsidRPr="00D6266E">
        <w:rPr>
          <w:rFonts w:ascii="Arial" w:eastAsia="Times New Roman" w:hAnsi="Arial" w:cs="Arial"/>
          <w:iCs/>
          <w:color w:val="000000"/>
        </w:rPr>
        <w:t xml:space="preserve">This appendix provides a high-level outline of early priorities for the Academy. During April 2021, a joint business case will be developed providing detail on what will be delivered </w:t>
      </w:r>
      <w:r w:rsidRPr="00D6266E">
        <w:rPr>
          <w:rFonts w:ascii="Arial" w:eastAsia="Times New Roman" w:hAnsi="Arial" w:cs="Arial"/>
          <w:iCs/>
          <w:color w:val="000000"/>
        </w:rPr>
        <w:t>and the proposed funding model.</w:t>
      </w:r>
    </w:p>
    <w:p w:rsidR="00734E87" w:rsidRPr="00734E87" w:rsidRDefault="00734E87" w:rsidP="00734E87">
      <w:pPr>
        <w:spacing w:after="0" w:line="240" w:lineRule="auto"/>
        <w:outlineLvl w:val="0"/>
        <w:rPr>
          <w:rFonts w:ascii="Arial" w:eastAsia="Arial" w:hAnsi="Arial" w:cs="Arial"/>
          <w:iCs/>
          <w:lang w:eastAsia="en-GB"/>
        </w:rPr>
      </w:pPr>
      <w:r w:rsidRPr="00734E87">
        <w:rPr>
          <w:rFonts w:ascii="Arial" w:eastAsia="Arial" w:hAnsi="Arial" w:cs="Arial"/>
          <w:iCs/>
          <w:lang w:eastAsia="en-GB"/>
        </w:rPr>
        <w:t>The NHSS Academy will offe</w:t>
      </w:r>
      <w:bookmarkStart w:id="0" w:name="_GoBack"/>
      <w:bookmarkEnd w:id="0"/>
      <w:r w:rsidRPr="00734E87">
        <w:rPr>
          <w:rFonts w:ascii="Arial" w:eastAsia="Arial" w:hAnsi="Arial" w:cs="Arial"/>
          <w:iCs/>
          <w:lang w:eastAsia="en-GB"/>
        </w:rPr>
        <w:t>r accelerated training for a range of subjects and professions, aligned with and adding to existing clinical and simulation training across Scotland. The NHS Academy fits with the NHS Education for Scotland (NES) vision of ‘a skilled and sustainable workforce for a healthier Scotland’ and mission of ‘enabling excellence in health and care through education, workforce development and support’. This also fits with the NHS Golden Jubilee (NHS GJ) vision of ‘delivering care and education through collaboration’ and the NHSS Academy ambition to provide ‘excellence in learning to enable the development of a highly skilled NHS Scotland workforce of the future’.</w:t>
      </w:r>
    </w:p>
    <w:p w:rsidR="00734E87" w:rsidRPr="00734E87" w:rsidRDefault="00734E87" w:rsidP="00734E87">
      <w:pPr>
        <w:spacing w:after="0" w:line="240" w:lineRule="auto"/>
        <w:outlineLvl w:val="0"/>
        <w:rPr>
          <w:rFonts w:ascii="Arial" w:eastAsia="Arial" w:hAnsi="Arial" w:cs="Arial"/>
          <w:iCs/>
          <w:lang w:eastAsia="en-GB"/>
        </w:rPr>
      </w:pPr>
    </w:p>
    <w:p w:rsidR="00734E87" w:rsidRPr="00734E87" w:rsidRDefault="00734E87" w:rsidP="00734E87">
      <w:pPr>
        <w:spacing w:after="0" w:line="240" w:lineRule="auto"/>
        <w:outlineLvl w:val="0"/>
        <w:rPr>
          <w:rFonts w:ascii="Arial" w:eastAsia="Times New Roman" w:hAnsi="Arial" w:cs="Arial"/>
          <w:iCs/>
          <w:lang w:eastAsia="en-GB"/>
        </w:rPr>
      </w:pPr>
      <w:r w:rsidRPr="00734E87">
        <w:rPr>
          <w:rFonts w:ascii="Arial" w:eastAsia="Times New Roman" w:hAnsi="Arial" w:cs="Arial"/>
          <w:iCs/>
          <w:lang w:eastAsia="en-GB"/>
        </w:rPr>
        <w:t>The NHSS Academy will build on the respective skills and facilities of both organisations, bringing together NES’s experience in workforce development and digital learning with NHS GJ’s clinical and patient experience outcomes as well as training and hotel facilities. The next steps will be for NES and NHS GJ to agree the business case and budget, establish a governance structure and implement performance reporting.</w:t>
      </w:r>
    </w:p>
    <w:p w:rsidR="00734E87" w:rsidRPr="00734E87" w:rsidRDefault="00734E87" w:rsidP="00734E87">
      <w:pPr>
        <w:spacing w:after="0" w:line="240" w:lineRule="auto"/>
        <w:outlineLvl w:val="0"/>
        <w:rPr>
          <w:rFonts w:ascii="Arial" w:eastAsia="Times New Roman" w:hAnsi="Arial" w:cs="Arial"/>
          <w:iCs/>
          <w:lang w:eastAsia="en-GB"/>
        </w:rPr>
      </w:pPr>
    </w:p>
    <w:p w:rsidR="00734E87" w:rsidRPr="00734E87" w:rsidRDefault="00734E87" w:rsidP="00734E87">
      <w:pPr>
        <w:spacing w:after="0" w:line="240" w:lineRule="auto"/>
        <w:outlineLvl w:val="0"/>
        <w:rPr>
          <w:rFonts w:ascii="Arial" w:eastAsia="Times New Roman" w:hAnsi="Arial" w:cs="Arial"/>
          <w:iCs/>
          <w:lang w:eastAsia="en-GB"/>
        </w:rPr>
      </w:pPr>
      <w:r w:rsidRPr="00734E87">
        <w:rPr>
          <w:rFonts w:ascii="Arial" w:eastAsia="Times New Roman" w:hAnsi="Arial" w:cs="Arial"/>
          <w:iCs/>
          <w:lang w:eastAsia="en-GB"/>
        </w:rPr>
        <w:t>An initial estimate of the recurrent funding is shown below. These costs will be reviewed by the project team and aligned to the outline business case and they represent the initial areas of activity where the NHSS Academy can add value and pace to existing national provision. Further joint work will be undertaken to create a three-year financial plan, which would follow final agreement on the year one financials.</w:t>
      </w:r>
    </w:p>
    <w:p w:rsidR="00734E87" w:rsidRPr="00734E87" w:rsidRDefault="00734E87" w:rsidP="00734E87">
      <w:pPr>
        <w:spacing w:after="0" w:line="240" w:lineRule="auto"/>
        <w:rPr>
          <w:rFonts w:ascii="Times New Roman" w:eastAsia="Times New Roman" w:hAnsi="Times New Roman" w:cs="Times New Roman"/>
          <w:sz w:val="20"/>
          <w:szCs w:val="20"/>
          <w:lang w:eastAsia="en-GB"/>
        </w:rPr>
      </w:pPr>
    </w:p>
    <w:p w:rsidR="00734E87" w:rsidRPr="00734E87" w:rsidRDefault="00734E87" w:rsidP="00734E87">
      <w:pPr>
        <w:spacing w:after="0" w:line="240" w:lineRule="auto"/>
        <w:ind w:firstLine="555"/>
        <w:textAlignment w:val="baseline"/>
        <w:rPr>
          <w:rFonts w:ascii="Arial" w:eastAsia="Times New Roman" w:hAnsi="Arial" w:cs="Arial"/>
          <w:b/>
          <w:sz w:val="24"/>
          <w:szCs w:val="24"/>
          <w:lang w:eastAsia="en-GB"/>
        </w:rPr>
      </w:pPr>
      <w:r w:rsidRPr="00734E87">
        <w:rPr>
          <w:rFonts w:ascii="Arial" w:eastAsia="Times New Roman" w:hAnsi="Arial" w:cs="Arial"/>
          <w:b/>
          <w:sz w:val="20"/>
          <w:szCs w:val="20"/>
          <w:lang w:eastAsia="en-GB"/>
        </w:rPr>
        <w:t>NHSS Academy - Estimated Initial Recurring Funding Requirement for 2021/22</w:t>
      </w:r>
    </w:p>
    <w:tbl>
      <w:tblPr>
        <w:tblW w:w="10650" w:type="dxa"/>
        <w:tblInd w:w="-71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6"/>
        <w:gridCol w:w="4973"/>
        <w:gridCol w:w="731"/>
      </w:tblGrid>
      <w:tr w:rsidR="00734E87" w:rsidRPr="00734E87" w:rsidTr="00B94B3E">
        <w:tc>
          <w:tcPr>
            <w:tcW w:w="4946" w:type="dxa"/>
            <w:tcBorders>
              <w:top w:val="outset" w:sz="6" w:space="0" w:color="auto"/>
              <w:left w:val="outset" w:sz="6" w:space="0" w:color="auto"/>
              <w:bottom w:val="outset" w:sz="6" w:space="0" w:color="auto"/>
              <w:right w:val="outset" w:sz="6" w:space="0" w:color="auto"/>
            </w:tcBorders>
            <w:shd w:val="clear" w:color="auto" w:fill="DBDBDB"/>
            <w:hideMark/>
          </w:tcPr>
          <w:p w:rsidR="00734E87" w:rsidRPr="00734E87" w:rsidRDefault="00734E87" w:rsidP="00734E87">
            <w:pPr>
              <w:spacing w:after="0" w:line="240" w:lineRule="auto"/>
              <w:jc w:val="center"/>
              <w:textAlignment w:val="baseline"/>
              <w:rPr>
                <w:rFonts w:ascii="Arial" w:eastAsia="Times New Roman" w:hAnsi="Arial" w:cs="Arial"/>
                <w:b/>
                <w:bCs/>
                <w:sz w:val="20"/>
                <w:szCs w:val="20"/>
                <w:lang w:eastAsia="en-GB"/>
              </w:rPr>
            </w:pPr>
            <w:r w:rsidRPr="00734E87">
              <w:rPr>
                <w:rFonts w:ascii="Arial" w:eastAsia="Times New Roman" w:hAnsi="Arial" w:cs="Arial"/>
                <w:b/>
                <w:bCs/>
                <w:sz w:val="20"/>
                <w:szCs w:val="20"/>
                <w:lang w:eastAsia="en-GB"/>
              </w:rPr>
              <w:t>Activity</w:t>
            </w:r>
          </w:p>
        </w:tc>
        <w:tc>
          <w:tcPr>
            <w:tcW w:w="4973" w:type="dxa"/>
            <w:tcBorders>
              <w:top w:val="single" w:sz="6" w:space="0" w:color="auto"/>
              <w:left w:val="nil"/>
              <w:bottom w:val="single" w:sz="6" w:space="0" w:color="auto"/>
              <w:right w:val="single" w:sz="6" w:space="0" w:color="auto"/>
            </w:tcBorders>
            <w:shd w:val="clear" w:color="auto" w:fill="DBDBDB"/>
            <w:hideMark/>
          </w:tcPr>
          <w:p w:rsidR="00734E87" w:rsidRPr="00734E87" w:rsidRDefault="00734E87" w:rsidP="00734E87">
            <w:pPr>
              <w:spacing w:after="0" w:line="240" w:lineRule="auto"/>
              <w:jc w:val="center"/>
              <w:textAlignment w:val="baseline"/>
              <w:rPr>
                <w:rFonts w:ascii="Arial" w:eastAsia="Times New Roman" w:hAnsi="Arial" w:cs="Arial"/>
                <w:b/>
                <w:bCs/>
                <w:sz w:val="20"/>
                <w:szCs w:val="20"/>
                <w:lang w:eastAsia="en-GB"/>
              </w:rPr>
            </w:pPr>
            <w:r w:rsidRPr="00734E87">
              <w:rPr>
                <w:rFonts w:ascii="Arial" w:eastAsia="Times New Roman" w:hAnsi="Arial" w:cs="Arial"/>
                <w:b/>
                <w:bCs/>
                <w:sz w:val="20"/>
                <w:szCs w:val="20"/>
                <w:lang w:eastAsia="en-GB"/>
              </w:rPr>
              <w:t>Comments</w:t>
            </w:r>
          </w:p>
        </w:tc>
        <w:tc>
          <w:tcPr>
            <w:tcW w:w="731" w:type="dxa"/>
            <w:tcBorders>
              <w:top w:val="single" w:sz="6" w:space="0" w:color="auto"/>
              <w:left w:val="nil"/>
              <w:bottom w:val="single" w:sz="6" w:space="0" w:color="auto"/>
              <w:right w:val="single" w:sz="6" w:space="0" w:color="auto"/>
            </w:tcBorders>
            <w:shd w:val="clear" w:color="auto" w:fill="DBDBDB"/>
            <w:hideMark/>
          </w:tcPr>
          <w:p w:rsidR="00734E87" w:rsidRPr="00734E87" w:rsidRDefault="00734E87" w:rsidP="00734E87">
            <w:pPr>
              <w:spacing w:after="0" w:line="240" w:lineRule="auto"/>
              <w:jc w:val="center"/>
              <w:textAlignment w:val="baseline"/>
              <w:rPr>
                <w:rFonts w:ascii="Arial" w:eastAsia="Times New Roman" w:hAnsi="Arial" w:cs="Arial"/>
                <w:b/>
                <w:bCs/>
                <w:sz w:val="20"/>
                <w:szCs w:val="20"/>
                <w:lang w:eastAsia="en-GB"/>
              </w:rPr>
            </w:pPr>
            <w:r w:rsidRPr="00734E87">
              <w:rPr>
                <w:rFonts w:ascii="Arial" w:eastAsia="Times New Roman" w:hAnsi="Arial" w:cs="Arial"/>
                <w:b/>
                <w:bCs/>
                <w:sz w:val="20"/>
                <w:szCs w:val="20"/>
                <w:lang w:eastAsia="en-GB"/>
              </w:rPr>
              <w:t>Value</w:t>
            </w:r>
          </w:p>
        </w:tc>
      </w:tr>
      <w:tr w:rsidR="00734E87" w:rsidRPr="00734E87" w:rsidTr="00B94B3E">
        <w:tc>
          <w:tcPr>
            <w:tcW w:w="4946" w:type="dxa"/>
            <w:tcBorders>
              <w:top w:val="nil"/>
              <w:left w:val="single" w:sz="6" w:space="0" w:color="auto"/>
              <w:bottom w:val="single" w:sz="6" w:space="0" w:color="auto"/>
              <w:right w:val="single" w:sz="6" w:space="0" w:color="auto"/>
            </w:tcBorders>
            <w:shd w:val="clear" w:color="auto" w:fill="auto"/>
            <w:hideMark/>
          </w:tcPr>
          <w:p w:rsidR="00734E87" w:rsidRPr="00734E87" w:rsidRDefault="00734E87" w:rsidP="00734E87">
            <w:pPr>
              <w:numPr>
                <w:ilvl w:val="0"/>
                <w:numId w:val="1"/>
              </w:numPr>
              <w:spacing w:after="0" w:line="240" w:lineRule="auto"/>
              <w:contextualSpacing/>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Priority education for elective centre roles.  </w:t>
            </w:r>
          </w:p>
          <w:p w:rsidR="00734E87" w:rsidRPr="00734E87" w:rsidRDefault="00734E87" w:rsidP="00734E87">
            <w:pPr>
              <w:numPr>
                <w:ilvl w:val="0"/>
                <w:numId w:val="1"/>
              </w:numPr>
              <w:spacing w:after="0" w:line="240" w:lineRule="auto"/>
              <w:contextualSpacing/>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Specialty specific training for Band 5 scrub practitioners and recovery practitioners.  </w:t>
            </w:r>
          </w:p>
          <w:p w:rsidR="00734E87" w:rsidRPr="00734E87" w:rsidRDefault="00734E87" w:rsidP="00734E87">
            <w:pPr>
              <w:numPr>
                <w:ilvl w:val="0"/>
                <w:numId w:val="1"/>
              </w:numPr>
              <w:spacing w:after="0" w:line="240" w:lineRule="auto"/>
              <w:contextualSpacing/>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Education for Band 4 assistant scrub practitioners, physiotherapy/ occupational therapy/ generic AHP healthcare support workers, decontamination technicians and surgical and anaesthetic assistants. These roles will be delivered locally. </w:t>
            </w:r>
          </w:p>
        </w:tc>
        <w:tc>
          <w:tcPr>
            <w:tcW w:w="4973" w:type="dxa"/>
            <w:tcBorders>
              <w:top w:val="nil"/>
              <w:left w:val="nil"/>
              <w:bottom w:val="single" w:sz="6" w:space="0" w:color="auto"/>
              <w:right w:val="single" w:sz="6" w:space="0" w:color="auto"/>
            </w:tcBorders>
            <w:shd w:val="clear" w:color="auto" w:fill="auto"/>
            <w:hideMark/>
          </w:tcPr>
          <w:p w:rsidR="00734E87" w:rsidRPr="00734E87" w:rsidRDefault="00734E87" w:rsidP="00734E87">
            <w:pPr>
              <w:spacing w:after="0" w:line="240" w:lineRule="auto"/>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Approved by the National Elective Centre Programme Board as training which could be commissioned from the NHSS Academy (Dec 20). Subsequent approval will be required from the Integrated Planned Care Board. </w:t>
            </w:r>
          </w:p>
          <w:p w:rsidR="00734E87" w:rsidRPr="00734E87" w:rsidRDefault="00734E87" w:rsidP="00734E87">
            <w:pPr>
              <w:spacing w:after="0" w:line="240" w:lineRule="auto"/>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 </w:t>
            </w:r>
          </w:p>
          <w:p w:rsidR="00734E87" w:rsidRPr="00734E87" w:rsidRDefault="00734E87" w:rsidP="00734E87">
            <w:pPr>
              <w:spacing w:after="0" w:line="240" w:lineRule="auto"/>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 </w:t>
            </w:r>
          </w:p>
          <w:p w:rsidR="00734E87" w:rsidRPr="00734E87" w:rsidRDefault="00734E87" w:rsidP="00734E87">
            <w:pPr>
              <w:spacing w:after="0" w:line="240" w:lineRule="auto"/>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 </w:t>
            </w:r>
          </w:p>
        </w:tc>
        <w:tc>
          <w:tcPr>
            <w:tcW w:w="731" w:type="dxa"/>
            <w:tcBorders>
              <w:top w:val="nil"/>
              <w:left w:val="nil"/>
              <w:bottom w:val="single" w:sz="6" w:space="0" w:color="auto"/>
              <w:right w:val="single" w:sz="6" w:space="0" w:color="auto"/>
            </w:tcBorders>
            <w:shd w:val="clear" w:color="auto" w:fill="auto"/>
            <w:hideMark/>
          </w:tcPr>
          <w:p w:rsidR="00734E87" w:rsidRPr="00734E87" w:rsidRDefault="00734E87" w:rsidP="00734E87">
            <w:pPr>
              <w:spacing w:after="0" w:line="240" w:lineRule="auto"/>
              <w:jc w:val="right"/>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£250k - £350k  </w:t>
            </w:r>
          </w:p>
        </w:tc>
      </w:tr>
      <w:tr w:rsidR="00734E87" w:rsidRPr="00734E87" w:rsidTr="00B94B3E">
        <w:tc>
          <w:tcPr>
            <w:tcW w:w="4946" w:type="dxa"/>
            <w:tcBorders>
              <w:top w:val="nil"/>
              <w:left w:val="single" w:sz="6" w:space="0" w:color="auto"/>
              <w:bottom w:val="single" w:sz="6" w:space="0" w:color="auto"/>
              <w:right w:val="single" w:sz="6" w:space="0" w:color="auto"/>
            </w:tcBorders>
            <w:shd w:val="clear" w:color="auto" w:fill="auto"/>
            <w:hideMark/>
          </w:tcPr>
          <w:p w:rsidR="00734E87" w:rsidRPr="00734E87" w:rsidRDefault="00734E87" w:rsidP="00734E87">
            <w:pPr>
              <w:numPr>
                <w:ilvl w:val="0"/>
                <w:numId w:val="1"/>
              </w:numPr>
              <w:spacing w:after="0" w:line="240" w:lineRule="auto"/>
              <w:contextualSpacing/>
              <w:textAlignment w:val="baseline"/>
              <w:rPr>
                <w:rFonts w:ascii="Arial" w:eastAsia="Arial" w:hAnsi="Arial" w:cs="Arial"/>
                <w:sz w:val="18"/>
                <w:szCs w:val="18"/>
                <w:lang w:eastAsia="en-GB"/>
              </w:rPr>
            </w:pPr>
            <w:r w:rsidRPr="00734E87">
              <w:rPr>
                <w:rFonts w:ascii="Arial" w:eastAsia="Times New Roman" w:hAnsi="Arial" w:cs="Arial"/>
                <w:sz w:val="18"/>
                <w:szCs w:val="18"/>
                <w:lang w:eastAsia="en-GB"/>
              </w:rPr>
              <w:t>Endoscopy training; (1) enhanced capacity for service delivery; (2) academy approaches to accelerate training.</w:t>
            </w:r>
          </w:p>
        </w:tc>
        <w:tc>
          <w:tcPr>
            <w:tcW w:w="4973" w:type="dxa"/>
            <w:tcBorders>
              <w:top w:val="nil"/>
              <w:left w:val="nil"/>
              <w:bottom w:val="single" w:sz="6" w:space="0" w:color="auto"/>
              <w:right w:val="single" w:sz="6" w:space="0" w:color="auto"/>
            </w:tcBorders>
            <w:shd w:val="clear" w:color="auto" w:fill="auto"/>
            <w:hideMark/>
          </w:tcPr>
          <w:p w:rsidR="00734E87" w:rsidRPr="00734E87" w:rsidRDefault="00734E87" w:rsidP="00734E87">
            <w:pPr>
              <w:spacing w:after="0" w:line="240" w:lineRule="auto"/>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 xml:space="preserve">An SG bid will be submitted </w:t>
            </w:r>
            <w:r>
              <w:rPr>
                <w:rFonts w:ascii="Arial" w:eastAsia="Times New Roman" w:hAnsi="Arial" w:cs="Arial"/>
                <w:sz w:val="18"/>
                <w:szCs w:val="18"/>
                <w:lang w:eastAsia="en-GB"/>
              </w:rPr>
              <w:t xml:space="preserve">to SG </w:t>
            </w:r>
            <w:r w:rsidRPr="00734E87">
              <w:rPr>
                <w:rFonts w:ascii="Arial" w:eastAsia="Times New Roman" w:hAnsi="Arial" w:cs="Arial"/>
                <w:sz w:val="18"/>
                <w:szCs w:val="18"/>
                <w:lang w:eastAsia="en-GB"/>
              </w:rPr>
              <w:t>as part of the work on waiting list reduction. This service represents approx. 25% of the total backlog and will be subject to further analysis and dialogue</w:t>
            </w:r>
            <w:r>
              <w:rPr>
                <w:rFonts w:ascii="Arial" w:eastAsia="Times New Roman" w:hAnsi="Arial" w:cs="Arial"/>
                <w:sz w:val="18"/>
                <w:szCs w:val="18"/>
                <w:lang w:eastAsia="en-GB"/>
              </w:rPr>
              <w:t xml:space="preserve"> with SG</w:t>
            </w:r>
            <w:r w:rsidRPr="00734E87">
              <w:rPr>
                <w:rFonts w:ascii="Arial" w:eastAsia="Times New Roman" w:hAnsi="Arial" w:cs="Arial"/>
                <w:sz w:val="18"/>
                <w:szCs w:val="18"/>
                <w:lang w:eastAsia="en-GB"/>
              </w:rPr>
              <w:t xml:space="preserve">. </w:t>
            </w:r>
          </w:p>
        </w:tc>
        <w:tc>
          <w:tcPr>
            <w:tcW w:w="731" w:type="dxa"/>
            <w:tcBorders>
              <w:top w:val="nil"/>
              <w:left w:val="nil"/>
              <w:bottom w:val="single" w:sz="6" w:space="0" w:color="auto"/>
              <w:right w:val="single" w:sz="6" w:space="0" w:color="auto"/>
            </w:tcBorders>
            <w:shd w:val="clear" w:color="auto" w:fill="auto"/>
            <w:hideMark/>
          </w:tcPr>
          <w:p w:rsidR="00734E87" w:rsidRPr="00734E87" w:rsidRDefault="00734E87" w:rsidP="00734E87">
            <w:pPr>
              <w:spacing w:after="0" w:line="240" w:lineRule="auto"/>
              <w:jc w:val="right"/>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£500k </w:t>
            </w:r>
          </w:p>
        </w:tc>
      </w:tr>
      <w:tr w:rsidR="00734E87" w:rsidRPr="00734E87" w:rsidTr="00B94B3E">
        <w:tc>
          <w:tcPr>
            <w:tcW w:w="4946" w:type="dxa"/>
            <w:tcBorders>
              <w:top w:val="nil"/>
              <w:left w:val="single" w:sz="6" w:space="0" w:color="auto"/>
              <w:bottom w:val="single" w:sz="6" w:space="0" w:color="auto"/>
              <w:right w:val="single" w:sz="6" w:space="0" w:color="auto"/>
            </w:tcBorders>
            <w:shd w:val="clear" w:color="auto" w:fill="auto"/>
            <w:hideMark/>
          </w:tcPr>
          <w:p w:rsidR="00734E87" w:rsidRPr="00734E87" w:rsidRDefault="00734E87" w:rsidP="00734E87">
            <w:pPr>
              <w:numPr>
                <w:ilvl w:val="0"/>
                <w:numId w:val="1"/>
              </w:numPr>
              <w:spacing w:after="0" w:line="240" w:lineRule="auto"/>
              <w:contextualSpacing/>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Built environment </w:t>
            </w:r>
          </w:p>
        </w:tc>
        <w:tc>
          <w:tcPr>
            <w:tcW w:w="4973" w:type="dxa"/>
            <w:tcBorders>
              <w:top w:val="nil"/>
              <w:left w:val="nil"/>
              <w:bottom w:val="single" w:sz="6" w:space="0" w:color="auto"/>
              <w:right w:val="single" w:sz="6" w:space="0" w:color="auto"/>
            </w:tcBorders>
            <w:shd w:val="clear" w:color="auto" w:fill="auto"/>
            <w:hideMark/>
          </w:tcPr>
          <w:p w:rsidR="00734E87" w:rsidRPr="00734E87" w:rsidRDefault="00734E87" w:rsidP="00734E87">
            <w:pPr>
              <w:spacing w:after="0" w:line="240" w:lineRule="auto"/>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A range of training options to ensure staff have the skills to manage the engineering and mechanical elements of large capital projects and understand the assurance requirements.  </w:t>
            </w:r>
          </w:p>
        </w:tc>
        <w:tc>
          <w:tcPr>
            <w:tcW w:w="731" w:type="dxa"/>
            <w:tcBorders>
              <w:top w:val="nil"/>
              <w:left w:val="nil"/>
              <w:bottom w:val="single" w:sz="6" w:space="0" w:color="auto"/>
              <w:right w:val="single" w:sz="6" w:space="0" w:color="auto"/>
            </w:tcBorders>
            <w:shd w:val="clear" w:color="auto" w:fill="auto"/>
            <w:hideMark/>
          </w:tcPr>
          <w:p w:rsidR="00734E87" w:rsidRPr="00734E87" w:rsidRDefault="00734E87" w:rsidP="00734E87">
            <w:pPr>
              <w:spacing w:after="0" w:line="240" w:lineRule="auto"/>
              <w:jc w:val="right"/>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£200k </w:t>
            </w:r>
          </w:p>
        </w:tc>
      </w:tr>
      <w:tr w:rsidR="00734E87" w:rsidRPr="00734E87" w:rsidTr="00B94B3E">
        <w:tc>
          <w:tcPr>
            <w:tcW w:w="4946" w:type="dxa"/>
            <w:tcBorders>
              <w:top w:val="nil"/>
              <w:left w:val="single" w:sz="6" w:space="0" w:color="auto"/>
              <w:bottom w:val="single" w:sz="6" w:space="0" w:color="auto"/>
              <w:right w:val="single" w:sz="6" w:space="0" w:color="auto"/>
            </w:tcBorders>
            <w:shd w:val="clear" w:color="auto" w:fill="auto"/>
            <w:hideMark/>
          </w:tcPr>
          <w:p w:rsidR="00734E87" w:rsidRPr="00734E87" w:rsidRDefault="00734E87" w:rsidP="00734E87">
            <w:pPr>
              <w:numPr>
                <w:ilvl w:val="0"/>
                <w:numId w:val="1"/>
              </w:numPr>
              <w:spacing w:after="0" w:line="240" w:lineRule="auto"/>
              <w:contextualSpacing/>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Non-pay </w:t>
            </w:r>
          </w:p>
        </w:tc>
        <w:tc>
          <w:tcPr>
            <w:tcW w:w="4973" w:type="dxa"/>
            <w:tcBorders>
              <w:top w:val="nil"/>
              <w:left w:val="nil"/>
              <w:bottom w:val="single" w:sz="6" w:space="0" w:color="auto"/>
              <w:right w:val="single" w:sz="6" w:space="0" w:color="auto"/>
            </w:tcBorders>
            <w:shd w:val="clear" w:color="auto" w:fill="auto"/>
            <w:hideMark/>
          </w:tcPr>
          <w:p w:rsidR="00734E87" w:rsidRPr="00734E87" w:rsidRDefault="00734E87" w:rsidP="00734E87">
            <w:pPr>
              <w:spacing w:after="0" w:line="240" w:lineRule="auto"/>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To include items such as, set-up costs of theatres for training, additional equipment, and any associate non-pay costs. </w:t>
            </w:r>
          </w:p>
        </w:tc>
        <w:tc>
          <w:tcPr>
            <w:tcW w:w="731" w:type="dxa"/>
            <w:tcBorders>
              <w:top w:val="nil"/>
              <w:left w:val="nil"/>
              <w:bottom w:val="single" w:sz="6" w:space="0" w:color="auto"/>
              <w:right w:val="single" w:sz="6" w:space="0" w:color="auto"/>
            </w:tcBorders>
            <w:shd w:val="clear" w:color="auto" w:fill="auto"/>
            <w:hideMark/>
          </w:tcPr>
          <w:p w:rsidR="00734E87" w:rsidRPr="00734E87" w:rsidRDefault="00734E87" w:rsidP="00734E87">
            <w:pPr>
              <w:spacing w:after="0" w:line="240" w:lineRule="auto"/>
              <w:jc w:val="right"/>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£300k </w:t>
            </w:r>
          </w:p>
        </w:tc>
      </w:tr>
      <w:tr w:rsidR="00734E87" w:rsidRPr="00734E87" w:rsidTr="00B94B3E">
        <w:tc>
          <w:tcPr>
            <w:tcW w:w="4946" w:type="dxa"/>
            <w:tcBorders>
              <w:top w:val="nil"/>
              <w:left w:val="single" w:sz="6" w:space="0" w:color="auto"/>
              <w:bottom w:val="single" w:sz="6" w:space="0" w:color="auto"/>
              <w:right w:val="single" w:sz="6" w:space="0" w:color="auto"/>
            </w:tcBorders>
            <w:shd w:val="clear" w:color="auto" w:fill="auto"/>
            <w:hideMark/>
          </w:tcPr>
          <w:p w:rsidR="00734E87" w:rsidRPr="00734E87" w:rsidRDefault="00734E87" w:rsidP="00734E87">
            <w:pPr>
              <w:numPr>
                <w:ilvl w:val="0"/>
                <w:numId w:val="1"/>
              </w:numPr>
              <w:spacing w:after="0" w:line="240" w:lineRule="auto"/>
              <w:contextualSpacing/>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Core NHSS Academy staffing infrastructure </w:t>
            </w:r>
          </w:p>
        </w:tc>
        <w:tc>
          <w:tcPr>
            <w:tcW w:w="4973" w:type="dxa"/>
            <w:tcBorders>
              <w:top w:val="nil"/>
              <w:left w:val="nil"/>
              <w:bottom w:val="single" w:sz="6" w:space="0" w:color="auto"/>
              <w:right w:val="single" w:sz="6" w:space="0" w:color="auto"/>
            </w:tcBorders>
            <w:shd w:val="clear" w:color="auto" w:fill="auto"/>
            <w:hideMark/>
          </w:tcPr>
          <w:p w:rsidR="00734E87" w:rsidRPr="00734E87" w:rsidRDefault="00734E87" w:rsidP="00734E87">
            <w:pPr>
              <w:spacing w:after="0" w:line="240" w:lineRule="auto"/>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The exact skills mix required has yet to be formally agreed - the current estimate represents a team of nine WTE’s across both organisations for core infrastructure. </w:t>
            </w:r>
          </w:p>
        </w:tc>
        <w:tc>
          <w:tcPr>
            <w:tcW w:w="731" w:type="dxa"/>
            <w:tcBorders>
              <w:top w:val="nil"/>
              <w:left w:val="nil"/>
              <w:bottom w:val="single" w:sz="6" w:space="0" w:color="auto"/>
              <w:right w:val="single" w:sz="6" w:space="0" w:color="auto"/>
            </w:tcBorders>
            <w:shd w:val="clear" w:color="auto" w:fill="auto"/>
            <w:hideMark/>
          </w:tcPr>
          <w:p w:rsidR="00734E87" w:rsidRPr="00734E87" w:rsidRDefault="00734E87" w:rsidP="00734E87">
            <w:pPr>
              <w:spacing w:after="0" w:line="240" w:lineRule="auto"/>
              <w:jc w:val="right"/>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£750k </w:t>
            </w:r>
          </w:p>
        </w:tc>
      </w:tr>
      <w:tr w:rsidR="00734E87" w:rsidRPr="00734E87" w:rsidTr="00B94B3E">
        <w:tc>
          <w:tcPr>
            <w:tcW w:w="4946" w:type="dxa"/>
            <w:tcBorders>
              <w:top w:val="nil"/>
              <w:left w:val="single" w:sz="6" w:space="0" w:color="auto"/>
              <w:bottom w:val="single" w:sz="6" w:space="0" w:color="auto"/>
              <w:right w:val="nil"/>
            </w:tcBorders>
            <w:shd w:val="clear" w:color="auto" w:fill="8EAADB"/>
            <w:hideMark/>
          </w:tcPr>
          <w:p w:rsidR="00734E87" w:rsidRPr="00734E87" w:rsidRDefault="00734E87" w:rsidP="00734E87">
            <w:pPr>
              <w:spacing w:after="0" w:line="240" w:lineRule="auto"/>
              <w:textAlignment w:val="baseline"/>
              <w:rPr>
                <w:rFonts w:ascii="Arial" w:eastAsia="Times New Roman" w:hAnsi="Arial" w:cs="Arial"/>
                <w:sz w:val="18"/>
                <w:szCs w:val="18"/>
                <w:lang w:eastAsia="en-GB"/>
              </w:rPr>
            </w:pPr>
            <w:r w:rsidRPr="00734E87">
              <w:rPr>
                <w:rFonts w:ascii="Arial" w:eastAsia="Times New Roman" w:hAnsi="Arial" w:cs="Arial"/>
                <w:b/>
                <w:bCs/>
                <w:sz w:val="18"/>
                <w:szCs w:val="18"/>
                <w:lang w:eastAsia="en-GB"/>
              </w:rPr>
              <w:t>TOTAL</w:t>
            </w:r>
            <w:r w:rsidRPr="00734E87">
              <w:rPr>
                <w:rFonts w:ascii="Arial" w:eastAsia="Times New Roman" w:hAnsi="Arial" w:cs="Arial"/>
                <w:sz w:val="18"/>
                <w:szCs w:val="18"/>
                <w:lang w:eastAsia="en-GB"/>
              </w:rPr>
              <w:t>  </w:t>
            </w:r>
          </w:p>
        </w:tc>
        <w:tc>
          <w:tcPr>
            <w:tcW w:w="4973" w:type="dxa"/>
            <w:tcBorders>
              <w:top w:val="nil"/>
              <w:left w:val="nil"/>
              <w:bottom w:val="single" w:sz="6" w:space="0" w:color="auto"/>
              <w:right w:val="single" w:sz="6" w:space="0" w:color="auto"/>
            </w:tcBorders>
            <w:shd w:val="clear" w:color="auto" w:fill="8EAADB"/>
            <w:hideMark/>
          </w:tcPr>
          <w:p w:rsidR="00734E87" w:rsidRPr="00734E87" w:rsidRDefault="00734E87" w:rsidP="00734E87">
            <w:pPr>
              <w:spacing w:after="0" w:line="240" w:lineRule="auto"/>
              <w:jc w:val="center"/>
              <w:textAlignment w:val="baseline"/>
              <w:rPr>
                <w:rFonts w:ascii="Arial" w:eastAsia="Times New Roman" w:hAnsi="Arial" w:cs="Arial"/>
                <w:sz w:val="18"/>
                <w:szCs w:val="18"/>
                <w:lang w:eastAsia="en-GB"/>
              </w:rPr>
            </w:pPr>
            <w:r w:rsidRPr="00734E87">
              <w:rPr>
                <w:rFonts w:ascii="Arial" w:eastAsia="Times New Roman" w:hAnsi="Arial" w:cs="Arial"/>
                <w:sz w:val="18"/>
                <w:szCs w:val="18"/>
                <w:lang w:eastAsia="en-GB"/>
              </w:rPr>
              <w:t>  </w:t>
            </w:r>
          </w:p>
        </w:tc>
        <w:tc>
          <w:tcPr>
            <w:tcW w:w="731" w:type="dxa"/>
            <w:tcBorders>
              <w:top w:val="nil"/>
              <w:left w:val="nil"/>
              <w:bottom w:val="single" w:sz="6" w:space="0" w:color="auto"/>
              <w:right w:val="single" w:sz="6" w:space="0" w:color="auto"/>
            </w:tcBorders>
            <w:shd w:val="clear" w:color="auto" w:fill="8EAADB"/>
            <w:hideMark/>
          </w:tcPr>
          <w:p w:rsidR="00734E87" w:rsidRPr="00734E87" w:rsidRDefault="00734E87" w:rsidP="00734E87">
            <w:pPr>
              <w:spacing w:after="0" w:line="240" w:lineRule="auto"/>
              <w:jc w:val="right"/>
              <w:textAlignment w:val="baseline"/>
              <w:rPr>
                <w:rFonts w:ascii="Arial" w:eastAsia="Times New Roman" w:hAnsi="Arial" w:cs="Arial"/>
                <w:sz w:val="18"/>
                <w:szCs w:val="18"/>
                <w:lang w:eastAsia="en-GB"/>
              </w:rPr>
            </w:pPr>
            <w:r w:rsidRPr="00734E87">
              <w:rPr>
                <w:rFonts w:ascii="Arial" w:eastAsia="Times New Roman" w:hAnsi="Arial" w:cs="Arial"/>
                <w:b/>
                <w:bCs/>
                <w:sz w:val="18"/>
                <w:szCs w:val="18"/>
                <w:lang w:eastAsia="en-GB"/>
              </w:rPr>
              <w:t>£2m - £2.1m</w:t>
            </w:r>
          </w:p>
        </w:tc>
      </w:tr>
    </w:tbl>
    <w:p w:rsidR="00734E87" w:rsidRPr="00734E87" w:rsidRDefault="00734E87" w:rsidP="00734E87">
      <w:pPr>
        <w:pBdr>
          <w:top w:val="single" w:sz="4" w:space="1" w:color="auto"/>
        </w:pBdr>
        <w:spacing w:after="0" w:line="360" w:lineRule="auto"/>
        <w:ind w:left="567" w:hanging="567"/>
        <w:rPr>
          <w:rFonts w:ascii="Arial" w:eastAsia="Arial" w:hAnsi="Arial" w:cs="Arial"/>
          <w:b/>
          <w:bCs/>
          <w:lang w:eastAsia="en-GB"/>
        </w:rPr>
      </w:pPr>
    </w:p>
    <w:p w:rsidR="00446C5C" w:rsidRDefault="00446C5C"/>
    <w:sectPr w:rsidR="00446C5C" w:rsidSect="00446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5434"/>
    <w:multiLevelType w:val="hybridMultilevel"/>
    <w:tmpl w:val="3CC812FA"/>
    <w:lvl w:ilvl="0" w:tplc="190645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2"/>
  </w:compat>
  <w:rsids>
    <w:rsidRoot w:val="00734E87"/>
    <w:rsid w:val="000477B1"/>
    <w:rsid w:val="00446C5C"/>
    <w:rsid w:val="004A32E3"/>
    <w:rsid w:val="00734E87"/>
    <w:rsid w:val="00904BC5"/>
    <w:rsid w:val="009752A2"/>
    <w:rsid w:val="00D62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C16E"/>
  <w15:chartTrackingRefBased/>
  <w15:docId w15:val="{E8374184-419B-42EB-92B3-DAD6F949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Anderson</dc:creator>
  <cp:keywords/>
  <dc:description/>
  <cp:lastModifiedBy>Carole Anderson</cp:lastModifiedBy>
  <cp:revision>2</cp:revision>
  <dcterms:created xsi:type="dcterms:W3CDTF">2021-03-30T17:02:00Z</dcterms:created>
  <dcterms:modified xsi:type="dcterms:W3CDTF">2021-03-30T17:02:00Z</dcterms:modified>
</cp:coreProperties>
</file>