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06B43" w:rsidRDefault="004F34B9" w:rsidP="00E06B43">
      <w:pPr>
        <w:jc w:val="center"/>
        <w:rPr>
          <w:rFonts w:ascii="Stone Sans Semi Bold" w:hAnsi="Stone Sans Semi Bold"/>
          <w:b/>
          <w:color w:val="004380"/>
        </w:rPr>
      </w:pPr>
      <w:r>
        <w:rPr>
          <w:rFonts w:ascii="Stone Sans Semi Bold" w:hAnsi="Stone Sans Semi Bold"/>
          <w:b/>
          <w:noProof/>
          <w:color w:val="004380"/>
          <w:lang w:eastAsia="en-GB"/>
        </w:rPr>
        <w:drawing>
          <wp:anchor distT="0" distB="0" distL="114300" distR="114300" simplePos="0" relativeHeight="251658240" behindDoc="0" locked="0" layoutInCell="1" allowOverlap="1">
            <wp:simplePos x="0" y="0"/>
            <wp:positionH relativeFrom="page">
              <wp:posOffset>4772025</wp:posOffset>
            </wp:positionH>
            <wp:positionV relativeFrom="page">
              <wp:posOffset>638175</wp:posOffset>
            </wp:positionV>
            <wp:extent cx="1972945" cy="138780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945" cy="1387804"/>
                    </a:xfrm>
                    <a:prstGeom prst="rect">
                      <a:avLst/>
                    </a:prstGeom>
                    <a:noFill/>
                  </pic:spPr>
                </pic:pic>
              </a:graphicData>
            </a:graphic>
            <wp14:sizeRelH relativeFrom="page">
              <wp14:pctWidth>0</wp14:pctWidth>
            </wp14:sizeRelH>
            <wp14:sizeRelV relativeFrom="page">
              <wp14:pctHeight>0</wp14:pctHeight>
            </wp14:sizeRelV>
          </wp:anchor>
        </w:drawing>
      </w:r>
      <w:r w:rsidR="00DC6BF7" w:rsidRPr="000B57D1">
        <w:rPr>
          <w:noProof/>
          <w:lang w:eastAsia="en-GB"/>
        </w:rPr>
        <w:drawing>
          <wp:inline distT="0" distB="0" distL="0" distR="0" wp14:anchorId="5D91A911" wp14:editId="380FC911">
            <wp:extent cx="5731510" cy="8106405"/>
            <wp:effectExtent l="0" t="0" r="0" b="0"/>
            <wp:docPr id="4" name="Picture 4" descr="C:\Users\mackiej\AppData\Local\Microsoft\Windows\Temporary Internet Files\Content.Outlook\Q0K5ANXT\IPBR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kiej\AppData\Local\Microsoft\Windows\Temporary Internet Files\Content.Outlook\Q0K5ANXT\IPBR cover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106405"/>
                    </a:xfrm>
                    <a:prstGeom prst="rect">
                      <a:avLst/>
                    </a:prstGeom>
                    <a:noFill/>
                    <a:ln>
                      <a:noFill/>
                    </a:ln>
                  </pic:spPr>
                </pic:pic>
              </a:graphicData>
            </a:graphic>
          </wp:inline>
        </w:drawing>
      </w:r>
    </w:p>
    <w:p w:rsidR="000935D6" w:rsidRDefault="000935D6" w:rsidP="00E06B43">
      <w:pPr>
        <w:jc w:val="center"/>
        <w:rPr>
          <w:rFonts w:ascii="Stone Sans Semi Bold" w:hAnsi="Stone Sans Semi Bold"/>
          <w:b/>
          <w:color w:val="004380"/>
        </w:rPr>
      </w:pPr>
    </w:p>
    <w:p w:rsidR="000935D6" w:rsidRDefault="000935D6" w:rsidP="00E06B43">
      <w:pPr>
        <w:jc w:val="center"/>
        <w:rPr>
          <w:rFonts w:ascii="Stone Sans Semi Bold" w:hAnsi="Stone Sans Semi Bold"/>
          <w:b/>
          <w:color w:val="004380"/>
        </w:rPr>
      </w:pPr>
    </w:p>
    <w:p w:rsidR="000935D6" w:rsidRDefault="000935D6" w:rsidP="00E06B43">
      <w:pPr>
        <w:jc w:val="center"/>
        <w:rPr>
          <w:rFonts w:ascii="Stone Sans Semi Bold" w:hAnsi="Stone Sans Semi Bold"/>
          <w:b/>
          <w:color w:val="004380"/>
        </w:rPr>
      </w:pPr>
    </w:p>
    <w:p w:rsidR="000935D6" w:rsidRDefault="000935D6" w:rsidP="00E06B43">
      <w:pPr>
        <w:jc w:val="center"/>
        <w:rPr>
          <w:rFonts w:ascii="Stone Sans Semi Bold" w:hAnsi="Stone Sans Semi Bold"/>
          <w:b/>
          <w:color w:val="004380"/>
        </w:rPr>
      </w:pPr>
    </w:p>
    <w:p w:rsidR="000935D6" w:rsidRDefault="000935D6" w:rsidP="00E06B43">
      <w:pPr>
        <w:jc w:val="center"/>
        <w:rPr>
          <w:rFonts w:ascii="Stone Sans Semi Bold" w:hAnsi="Stone Sans Semi Bold"/>
          <w:b/>
          <w:color w:val="004380"/>
        </w:rPr>
      </w:pPr>
    </w:p>
    <w:p w:rsidR="00234ABE" w:rsidRPr="00B77BE0" w:rsidRDefault="00234ABE" w:rsidP="00E50634">
      <w:pPr>
        <w:pStyle w:val="Heading1"/>
        <w:rPr>
          <w:b w:val="0"/>
          <w:color w:val="17365D" w:themeColor="text2" w:themeShade="BF"/>
          <w:sz w:val="32"/>
          <w:szCs w:val="32"/>
        </w:rPr>
      </w:pPr>
      <w:r w:rsidRPr="00E50634">
        <w:lastRenderedPageBreak/>
        <w:t>Contents</w:t>
      </w:r>
      <w:r w:rsidRPr="00E50634">
        <w:tab/>
      </w:r>
      <w:r w:rsidRPr="00B77BE0">
        <w:rPr>
          <w:b w:val="0"/>
          <w:color w:val="17365D" w:themeColor="text2" w:themeShade="BF"/>
          <w:sz w:val="32"/>
          <w:szCs w:val="32"/>
        </w:rPr>
        <w:tab/>
      </w:r>
    </w:p>
    <w:p w:rsidR="0061763D" w:rsidRPr="00D13B1B" w:rsidRDefault="0061763D" w:rsidP="00882B57">
      <w:pPr>
        <w:rPr>
          <w:rFonts w:cs="Arial"/>
          <w:b/>
          <w:color w:val="17365D" w:themeColor="text2" w:themeShade="BF"/>
          <w:sz w:val="32"/>
          <w:szCs w:val="32"/>
          <w:highlight w:val="yellow"/>
        </w:rPr>
      </w:pPr>
    </w:p>
    <w:p w:rsidR="0061763D" w:rsidRPr="00D13B1B" w:rsidRDefault="0061763D" w:rsidP="00882B57">
      <w:pPr>
        <w:rPr>
          <w:rFonts w:cs="Arial"/>
          <w:color w:val="17365D" w:themeColor="text2" w:themeShade="BF"/>
          <w:szCs w:val="22"/>
          <w:highlight w:val="yellow"/>
        </w:rPr>
      </w:pPr>
    </w:p>
    <w:p w:rsidR="0040438D" w:rsidRPr="00D13B1B" w:rsidRDefault="0040438D" w:rsidP="001B4295">
      <w:pPr>
        <w:tabs>
          <w:tab w:val="left" w:pos="1418"/>
          <w:tab w:val="left" w:pos="1701"/>
          <w:tab w:val="left" w:pos="1985"/>
          <w:tab w:val="left" w:pos="2268"/>
          <w:tab w:val="right" w:pos="9072"/>
        </w:tabs>
        <w:rPr>
          <w:rFonts w:cs="Arial"/>
          <w:color w:val="17365D" w:themeColor="text2" w:themeShade="BF"/>
          <w:szCs w:val="22"/>
          <w:highlight w:val="yellow"/>
        </w:rPr>
      </w:pPr>
    </w:p>
    <w:p w:rsidR="0061763D" w:rsidRPr="00D13B1B" w:rsidRDefault="0061763D"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ED7630" w:rsidRPr="00D13B1B" w:rsidRDefault="00ED7630"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1B3EC4" w:rsidRPr="00B77BE0" w:rsidRDefault="001B3EC4" w:rsidP="001B4295">
      <w:pPr>
        <w:tabs>
          <w:tab w:val="left" w:pos="1418"/>
          <w:tab w:val="left" w:pos="1701"/>
          <w:tab w:val="left" w:pos="1985"/>
          <w:tab w:val="left" w:pos="2268"/>
          <w:tab w:val="right" w:pos="9072"/>
        </w:tabs>
        <w:rPr>
          <w:rFonts w:cs="Arial"/>
          <w:color w:val="17365D" w:themeColor="text2" w:themeShade="BF"/>
          <w:szCs w:val="22"/>
        </w:rPr>
      </w:pPr>
    </w:p>
    <w:p w:rsidR="0061763D" w:rsidRPr="00B77BE0" w:rsidRDefault="0061763D" w:rsidP="001B4295">
      <w:pPr>
        <w:tabs>
          <w:tab w:val="left" w:pos="1418"/>
          <w:tab w:val="left" w:pos="1701"/>
          <w:tab w:val="left" w:pos="1985"/>
          <w:tab w:val="left" w:pos="2268"/>
          <w:tab w:val="right" w:pos="9072"/>
        </w:tabs>
        <w:rPr>
          <w:rFonts w:cs="Arial"/>
          <w:color w:val="17365D" w:themeColor="text2" w:themeShade="BF"/>
          <w:szCs w:val="22"/>
        </w:rPr>
      </w:pPr>
    </w:p>
    <w:p w:rsidR="001B4295" w:rsidRPr="00B77BE0" w:rsidRDefault="001B3EC4" w:rsidP="00EE40D1">
      <w:pPr>
        <w:tabs>
          <w:tab w:val="left" w:pos="1418"/>
          <w:tab w:val="left" w:pos="1701"/>
          <w:tab w:val="left" w:pos="1985"/>
          <w:tab w:val="left" w:pos="2268"/>
          <w:tab w:val="right" w:pos="9072"/>
        </w:tabs>
        <w:rPr>
          <w:rFonts w:cs="Arial"/>
          <w:color w:val="17365D" w:themeColor="text2" w:themeShade="BF"/>
          <w:szCs w:val="22"/>
        </w:rPr>
      </w:pPr>
      <w:r w:rsidRPr="00B77BE0">
        <w:rPr>
          <w:rFonts w:cs="Arial"/>
          <w:color w:val="17365D" w:themeColor="text2" w:themeShade="BF"/>
          <w:szCs w:val="22"/>
        </w:rPr>
        <w:tab/>
      </w:r>
      <w:r w:rsidRPr="00B77BE0">
        <w:rPr>
          <w:rFonts w:cs="Arial"/>
          <w:color w:val="17365D" w:themeColor="text2" w:themeShade="BF"/>
          <w:szCs w:val="22"/>
        </w:rPr>
        <w:tab/>
      </w:r>
    </w:p>
    <w:p w:rsidR="0061763D" w:rsidRPr="00B77BE0" w:rsidRDefault="00957975" w:rsidP="00EE40D1">
      <w:pPr>
        <w:tabs>
          <w:tab w:val="left" w:pos="1418"/>
          <w:tab w:val="left" w:pos="1701"/>
          <w:tab w:val="left" w:pos="1985"/>
          <w:tab w:val="left" w:pos="2268"/>
          <w:tab w:val="right" w:pos="9072"/>
        </w:tabs>
        <w:rPr>
          <w:rFonts w:cs="Arial"/>
          <w:color w:val="17365D" w:themeColor="text2" w:themeShade="BF"/>
          <w:szCs w:val="22"/>
        </w:rPr>
      </w:pPr>
      <w:r>
        <w:rPr>
          <w:rFonts w:cs="Arial"/>
          <w:noProof/>
          <w:color w:val="17365D" w:themeColor="text2" w:themeShade="BF"/>
          <w:szCs w:val="22"/>
          <w:lang w:eastAsia="en-GB"/>
        </w:rPr>
        <w:pict w14:anchorId="6C0362B2">
          <v:rect id="_x0000_s1975" style="position:absolute;margin-left:-12.15pt;margin-top:-77.2pt;width:508.5pt;height:131.25pt;z-index:252897279" fillcolor="white [3212]">
            <v:textbox style="mso-next-textbox:#_x0000_s1975">
              <w:txbxContent>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Introduction</w:t>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00A8103D">
                    <w:rPr>
                      <w:b/>
                      <w:color w:val="17365D" w:themeColor="text2" w:themeShade="BF"/>
                      <w:sz w:val="24"/>
                      <w:szCs w:val="24"/>
                    </w:rPr>
                    <w:t>2</w:t>
                  </w:r>
                </w:p>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Performance Summary Dashboard</w:t>
                  </w:r>
                  <w:r w:rsidRPr="00B0435F">
                    <w:rPr>
                      <w:b/>
                      <w:color w:val="17365D" w:themeColor="text2" w:themeShade="BF"/>
                      <w:sz w:val="24"/>
                      <w:szCs w:val="24"/>
                    </w:rPr>
                    <w:tab/>
                    <w:t>4</w:t>
                  </w:r>
                </w:p>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4A02DD">
                  <w:pPr>
                    <w:pBdr>
                      <w:top w:val="single" w:sz="4" w:space="1" w:color="auto"/>
                      <w:left w:val="single" w:sz="4" w:space="4" w:color="auto"/>
                      <w:bottom w:val="single" w:sz="4" w:space="1" w:color="auto"/>
                      <w:right w:val="single" w:sz="4" w:space="4" w:color="auto"/>
                    </w:pBd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Integrated Performance Report: Executive Summa</w:t>
                  </w:r>
                  <w:r w:rsidR="005D4EEB">
                    <w:rPr>
                      <w:b/>
                      <w:color w:val="17365D" w:themeColor="text2" w:themeShade="BF"/>
                      <w:sz w:val="24"/>
                      <w:szCs w:val="24"/>
                    </w:rPr>
                    <w:t>ries</w:t>
                  </w:r>
                  <w:r w:rsidRPr="00B0435F">
                    <w:rPr>
                      <w:b/>
                      <w:color w:val="17365D" w:themeColor="text2" w:themeShade="BF"/>
                      <w:sz w:val="24"/>
                      <w:szCs w:val="24"/>
                    </w:rPr>
                    <w:tab/>
                  </w:r>
                  <w:r w:rsidR="0021543D">
                    <w:rPr>
                      <w:b/>
                      <w:color w:val="17365D" w:themeColor="text2" w:themeShade="BF"/>
                      <w:sz w:val="24"/>
                      <w:szCs w:val="24"/>
                    </w:rPr>
                    <w:t>7</w:t>
                  </w:r>
                </w:p>
              </w:txbxContent>
            </v:textbox>
          </v:rect>
        </w:pict>
      </w:r>
      <w:r w:rsidR="001B4295" w:rsidRPr="00B77BE0">
        <w:rPr>
          <w:rFonts w:cs="Arial"/>
          <w:color w:val="17365D" w:themeColor="text2" w:themeShade="BF"/>
          <w:szCs w:val="22"/>
        </w:rPr>
        <w:tab/>
      </w:r>
      <w:r w:rsidR="001B4295" w:rsidRPr="00B77BE0">
        <w:rPr>
          <w:rFonts w:cs="Arial"/>
          <w:color w:val="17365D" w:themeColor="text2" w:themeShade="BF"/>
          <w:szCs w:val="22"/>
        </w:rPr>
        <w:tab/>
      </w:r>
      <w:r w:rsidR="001B4295" w:rsidRPr="00B77BE0">
        <w:rPr>
          <w:rFonts w:cs="Arial"/>
          <w:color w:val="17365D" w:themeColor="text2" w:themeShade="BF"/>
          <w:szCs w:val="22"/>
        </w:rPr>
        <w:tab/>
      </w:r>
      <w:r w:rsidR="001B4295" w:rsidRPr="00B77BE0">
        <w:rPr>
          <w:rFonts w:cs="Arial"/>
          <w:color w:val="17365D" w:themeColor="text2" w:themeShade="BF"/>
          <w:szCs w:val="22"/>
        </w:rPr>
        <w:tab/>
      </w:r>
    </w:p>
    <w:p w:rsidR="009E0B90" w:rsidRPr="00D13B1B" w:rsidRDefault="009E0B90"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23158A" w:rsidRDefault="0023158A" w:rsidP="00882B57">
      <w:pPr>
        <w:rPr>
          <w:rFonts w:cs="Arial"/>
          <w:b/>
          <w:highlight w:val="yellow"/>
        </w:rPr>
      </w:pPr>
    </w:p>
    <w:p w:rsidR="00E50634" w:rsidRDefault="00E50634" w:rsidP="00882B57">
      <w:pPr>
        <w:rPr>
          <w:rFonts w:cs="Arial"/>
          <w:b/>
          <w:highlight w:val="yellow"/>
        </w:rPr>
      </w:pPr>
    </w:p>
    <w:p w:rsidR="00E50634" w:rsidRPr="00D13B1B" w:rsidRDefault="00E50634" w:rsidP="00882B57">
      <w:pPr>
        <w:rPr>
          <w:rFonts w:cs="Arial"/>
          <w:b/>
          <w:highlight w:val="yellow"/>
        </w:rPr>
      </w:pPr>
    </w:p>
    <w:p w:rsidR="00234ABE" w:rsidRPr="00AA1592" w:rsidRDefault="00E50634" w:rsidP="00AA1592">
      <w:pPr>
        <w:pStyle w:val="Heading1"/>
      </w:pPr>
      <w:r>
        <w:t xml:space="preserve">Section A: </w:t>
      </w:r>
      <w:r w:rsidR="00ED7630" w:rsidRPr="00AA1592">
        <w:t>Introduction</w:t>
      </w:r>
      <w:r w:rsidR="002668C8" w:rsidRPr="00AA1592">
        <w:tab/>
      </w:r>
    </w:p>
    <w:p w:rsidR="00AA1592" w:rsidRPr="00E92537" w:rsidRDefault="00AA1592" w:rsidP="00AA1592">
      <w:pPr>
        <w:spacing w:after="180"/>
        <w:jc w:val="both"/>
        <w:rPr>
          <w:rFonts w:cs="Arial"/>
          <w:szCs w:val="22"/>
        </w:rPr>
      </w:pPr>
      <w:r w:rsidRPr="00E92537">
        <w:rPr>
          <w:rFonts w:cs="Arial"/>
          <w:szCs w:val="22"/>
        </w:rPr>
        <w:t>The purpose of the Integrated Performance Report (IPR) is to provide assurance on NHS Golden Jubilee’s performance relating to National Standards, local priorities and significant risks.</w:t>
      </w:r>
    </w:p>
    <w:p w:rsidR="00AA1592" w:rsidRPr="00E92537" w:rsidRDefault="00AA1592" w:rsidP="00AA1592">
      <w:pPr>
        <w:spacing w:after="180"/>
        <w:jc w:val="both"/>
        <w:rPr>
          <w:rFonts w:cs="Arial"/>
          <w:szCs w:val="22"/>
        </w:rPr>
      </w:pPr>
      <w:r w:rsidRPr="00E92537">
        <w:rPr>
          <w:rFonts w:cs="Arial"/>
          <w:szCs w:val="22"/>
        </w:rPr>
        <w:t xml:space="preserve">The IPR comprises </w:t>
      </w:r>
      <w:r>
        <w:rPr>
          <w:rFonts w:cs="Arial"/>
          <w:szCs w:val="22"/>
        </w:rPr>
        <w:t>four section</w:t>
      </w:r>
      <w:r w:rsidR="00BA6637">
        <w:rPr>
          <w:rFonts w:cs="Arial"/>
          <w:szCs w:val="22"/>
        </w:rPr>
        <w:t>s</w:t>
      </w:r>
      <w:r>
        <w:rPr>
          <w:rFonts w:cs="Arial"/>
          <w:szCs w:val="22"/>
        </w:rPr>
        <w:t xml:space="preserve"> with each section being considered in detail by the appropriate Standing Committee</w:t>
      </w:r>
      <w:r w:rsidRPr="00E92537">
        <w:rPr>
          <w:rFonts w:cs="Arial"/>
          <w:szCs w:val="22"/>
        </w:rPr>
        <w:t>:</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A</w:t>
      </w:r>
      <w:r w:rsidRPr="00E92537">
        <w:rPr>
          <w:rFonts w:cs="Arial"/>
          <w:sz w:val="22"/>
          <w:szCs w:val="22"/>
        </w:rPr>
        <w:tab/>
        <w:t>Introduction</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B:1</w:t>
      </w:r>
      <w:r w:rsidRPr="00E92537">
        <w:rPr>
          <w:rFonts w:cs="Arial"/>
          <w:sz w:val="22"/>
          <w:szCs w:val="22"/>
        </w:rPr>
        <w:tab/>
        <w:t>Clinical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B:2</w:t>
      </w:r>
      <w:r w:rsidRPr="00E92537">
        <w:rPr>
          <w:rFonts w:cs="Arial"/>
          <w:sz w:val="22"/>
          <w:szCs w:val="22"/>
        </w:rPr>
        <w:tab/>
        <w:t>Staff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B:3</w:t>
      </w:r>
      <w:r w:rsidRPr="00E92537">
        <w:rPr>
          <w:rFonts w:cs="Arial"/>
          <w:sz w:val="22"/>
          <w:szCs w:val="22"/>
        </w:rPr>
        <w:tab/>
        <w:t>Finance, Performance &amp; Planning</w:t>
      </w:r>
    </w:p>
    <w:p w:rsidR="00AA1592" w:rsidRDefault="00AA1592" w:rsidP="00AA1592">
      <w:pPr>
        <w:spacing w:after="180"/>
        <w:jc w:val="both"/>
        <w:rPr>
          <w:rFonts w:cs="Arial"/>
          <w:szCs w:val="22"/>
        </w:rPr>
      </w:pPr>
    </w:p>
    <w:p w:rsidR="00AA1592" w:rsidRDefault="00AA1592" w:rsidP="00AA1592">
      <w:pPr>
        <w:spacing w:after="180"/>
        <w:jc w:val="both"/>
        <w:rPr>
          <w:rFonts w:cs="Arial"/>
          <w:szCs w:val="22"/>
        </w:rPr>
      </w:pPr>
      <w:r>
        <w:rPr>
          <w:rFonts w:cs="Arial"/>
          <w:szCs w:val="22"/>
        </w:rPr>
        <w:t>This Board Summary Report of the IPR is presented to the Board and contains the summaries from each section of the full IPR.</w:t>
      </w:r>
    </w:p>
    <w:p w:rsidR="00AA1592" w:rsidRDefault="00AA1592" w:rsidP="00AA1592">
      <w:pPr>
        <w:pStyle w:val="BodyTextIndent"/>
        <w:spacing w:after="0"/>
        <w:ind w:left="0" w:right="183"/>
        <w:rPr>
          <w:rFonts w:cs="Arial"/>
          <w:b/>
          <w:bCs/>
        </w:rPr>
      </w:pPr>
      <w:r>
        <w:rPr>
          <w:rFonts w:cs="Arial"/>
          <w:b/>
          <w:bCs/>
        </w:rPr>
        <w:t>Jann Gardner</w:t>
      </w:r>
      <w:r>
        <w:rPr>
          <w:rFonts w:cs="Arial"/>
          <w:b/>
          <w:bCs/>
        </w:rPr>
        <w:tab/>
      </w:r>
      <w:r>
        <w:rPr>
          <w:rFonts w:cs="Arial"/>
          <w:b/>
          <w:bCs/>
        </w:rPr>
        <w:tab/>
      </w:r>
      <w:r>
        <w:rPr>
          <w:rFonts w:cs="Arial"/>
          <w:b/>
          <w:bCs/>
        </w:rPr>
        <w:tab/>
        <w:t>Colin Neil</w:t>
      </w:r>
      <w:r>
        <w:rPr>
          <w:rFonts w:cs="Arial"/>
          <w:b/>
          <w:bCs/>
        </w:rPr>
        <w:tab/>
      </w:r>
      <w:r>
        <w:rPr>
          <w:rFonts w:cs="Arial"/>
          <w:b/>
          <w:bCs/>
        </w:rPr>
        <w:tab/>
      </w:r>
      <w:r>
        <w:rPr>
          <w:rFonts w:cs="Arial"/>
          <w:b/>
          <w:bCs/>
        </w:rPr>
        <w:tab/>
        <w:t>June Rogers</w:t>
      </w:r>
    </w:p>
    <w:p w:rsidR="00AA1592" w:rsidRDefault="00AA1592" w:rsidP="00AA1592">
      <w:pPr>
        <w:pStyle w:val="BodyTextIndent"/>
        <w:spacing w:after="0"/>
        <w:ind w:left="0" w:right="183"/>
        <w:rPr>
          <w:rFonts w:cs="Arial"/>
          <w:b/>
          <w:bCs/>
        </w:rPr>
      </w:pPr>
      <w:r>
        <w:rPr>
          <w:rFonts w:cs="Arial"/>
          <w:b/>
          <w:bCs/>
        </w:rPr>
        <w:t>Chief Executive</w:t>
      </w:r>
      <w:r>
        <w:rPr>
          <w:rFonts w:cs="Arial"/>
          <w:b/>
          <w:bCs/>
        </w:rPr>
        <w:tab/>
      </w:r>
      <w:r>
        <w:rPr>
          <w:rFonts w:cs="Arial"/>
          <w:b/>
          <w:bCs/>
        </w:rPr>
        <w:tab/>
        <w:t>Director of Finance</w:t>
      </w:r>
      <w:r>
        <w:rPr>
          <w:rFonts w:cs="Arial"/>
          <w:b/>
          <w:bCs/>
        </w:rPr>
        <w:tab/>
      </w:r>
      <w:r>
        <w:rPr>
          <w:rFonts w:cs="Arial"/>
          <w:b/>
          <w:bCs/>
        </w:rPr>
        <w:tab/>
        <w:t>Deputy Chief Executive</w:t>
      </w:r>
    </w:p>
    <w:p w:rsidR="005148A3" w:rsidRPr="00D13B1B" w:rsidRDefault="005148A3" w:rsidP="004C0D07">
      <w:pPr>
        <w:spacing w:after="180"/>
        <w:jc w:val="both"/>
        <w:rPr>
          <w:rFonts w:cs="Arial"/>
          <w:szCs w:val="22"/>
          <w:highlight w:val="yellow"/>
        </w:rPr>
        <w:sectPr w:rsidR="005148A3" w:rsidRPr="00D13B1B" w:rsidSect="00093B15">
          <w:footerReference w:type="default" r:id="rId10"/>
          <w:pgSz w:w="11906" w:h="16838" w:code="9"/>
          <w:pgMar w:top="720" w:right="720" w:bottom="720" w:left="720" w:header="709" w:footer="709" w:gutter="0"/>
          <w:cols w:space="708"/>
          <w:titlePg/>
          <w:docGrid w:linePitch="360"/>
        </w:sectPr>
      </w:pPr>
    </w:p>
    <w:p w:rsidR="00B42B0C" w:rsidRPr="007A64A0" w:rsidRDefault="0008461C" w:rsidP="00B42B0C">
      <w:pPr>
        <w:spacing w:after="180"/>
        <w:jc w:val="center"/>
        <w:rPr>
          <w:rFonts w:cs="Arial"/>
          <w:bCs/>
          <w:sz w:val="36"/>
          <w:szCs w:val="36"/>
        </w:rPr>
      </w:pPr>
      <w:r w:rsidRPr="007A64A0">
        <w:rPr>
          <w:rFonts w:cs="Arial"/>
          <w:bCs/>
          <w:sz w:val="36"/>
          <w:szCs w:val="36"/>
        </w:rPr>
        <w:lastRenderedPageBreak/>
        <w:t>Performance Summary</w:t>
      </w:r>
      <w:r w:rsidR="002341CE" w:rsidRPr="007A64A0">
        <w:rPr>
          <w:rFonts w:cs="Arial"/>
          <w:bCs/>
          <w:sz w:val="36"/>
          <w:szCs w:val="36"/>
        </w:rPr>
        <w:t xml:space="preserve"> </w:t>
      </w:r>
      <w:r w:rsidR="00CB2BFA" w:rsidRPr="007A64A0">
        <w:rPr>
          <w:rFonts w:cs="Arial"/>
          <w:bCs/>
          <w:sz w:val="36"/>
          <w:szCs w:val="36"/>
        </w:rPr>
        <w:t>Dashboard</w:t>
      </w:r>
      <w:r w:rsidR="00247F73" w:rsidRPr="007A64A0">
        <w:rPr>
          <w:rFonts w:cs="Arial"/>
          <w:bCs/>
          <w:sz w:val="36"/>
          <w:szCs w:val="36"/>
        </w:rPr>
        <w:t xml:space="preserve"> – Guidance</w:t>
      </w:r>
    </w:p>
    <w:p w:rsidR="00247F73" w:rsidRPr="00571E3D" w:rsidRDefault="00942B09" w:rsidP="00B42B0C">
      <w:pPr>
        <w:spacing w:after="180"/>
        <w:jc w:val="center"/>
        <w:rPr>
          <w:rFonts w:cs="Arial"/>
          <w:bCs/>
          <w:sz w:val="36"/>
          <w:szCs w:val="36"/>
        </w:rPr>
      </w:pPr>
      <w:r w:rsidRPr="007A64A0">
        <w:rPr>
          <w:rFonts w:cs="Arial"/>
          <w:noProof/>
          <w:lang w:eastAsia="en-GB"/>
        </w:rPr>
        <w:drawing>
          <wp:inline distT="0" distB="0" distL="0" distR="0" wp14:anchorId="332BF638" wp14:editId="3891A135">
            <wp:extent cx="8891270" cy="4181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1270" cy="4181148"/>
                    </a:xfrm>
                    <a:prstGeom prst="rect">
                      <a:avLst/>
                    </a:prstGeom>
                    <a:noFill/>
                    <a:ln>
                      <a:noFill/>
                    </a:ln>
                  </pic:spPr>
                </pic:pic>
              </a:graphicData>
            </a:graphic>
          </wp:inline>
        </w:drawing>
      </w:r>
    </w:p>
    <w:p w:rsidR="00247F73" w:rsidRPr="00571E3D" w:rsidRDefault="00894CA6" w:rsidP="00247F73">
      <w:pPr>
        <w:spacing w:after="180"/>
        <w:rPr>
          <w:rFonts w:cs="Arial"/>
          <w:bCs/>
          <w:color w:val="FF0000"/>
          <w:sz w:val="36"/>
          <w:szCs w:val="36"/>
        </w:rPr>
      </w:pPr>
      <w:r w:rsidRPr="00571E3D">
        <w:rPr>
          <w:rFonts w:cs="Arial"/>
          <w:bCs/>
          <w:sz w:val="36"/>
          <w:szCs w:val="36"/>
        </w:rPr>
        <w:t xml:space="preserve"> </w:t>
      </w:r>
    </w:p>
    <w:p w:rsidR="00573399" w:rsidRDefault="00573399" w:rsidP="00133250">
      <w:pPr>
        <w:spacing w:after="180"/>
        <w:jc w:val="center"/>
        <w:rPr>
          <w:rFonts w:cs="Arial"/>
          <w:bCs/>
          <w:sz w:val="36"/>
          <w:szCs w:val="36"/>
        </w:rPr>
      </w:pPr>
    </w:p>
    <w:p w:rsidR="00573399" w:rsidRDefault="00573399" w:rsidP="00133250">
      <w:pPr>
        <w:spacing w:after="180"/>
        <w:jc w:val="center"/>
        <w:rPr>
          <w:rFonts w:cs="Arial"/>
          <w:bCs/>
          <w:sz w:val="36"/>
          <w:szCs w:val="36"/>
        </w:rPr>
      </w:pPr>
    </w:p>
    <w:p w:rsidR="00573399" w:rsidRDefault="00573399" w:rsidP="00133250">
      <w:pPr>
        <w:spacing w:after="180"/>
        <w:jc w:val="center"/>
        <w:rPr>
          <w:rFonts w:cs="Arial"/>
          <w:bCs/>
          <w:sz w:val="36"/>
          <w:szCs w:val="36"/>
        </w:rPr>
      </w:pPr>
    </w:p>
    <w:p w:rsidR="000C38D4" w:rsidRPr="007608D8" w:rsidRDefault="000C38D4" w:rsidP="000C38D4">
      <w:pPr>
        <w:spacing w:after="180"/>
        <w:jc w:val="center"/>
        <w:rPr>
          <w:rFonts w:cs="Arial"/>
          <w:bCs/>
          <w:sz w:val="36"/>
          <w:szCs w:val="36"/>
        </w:rPr>
      </w:pPr>
      <w:r>
        <w:rPr>
          <w:rFonts w:cs="Arial"/>
          <w:bCs/>
          <w:sz w:val="36"/>
          <w:szCs w:val="36"/>
        </w:rPr>
        <w:lastRenderedPageBreak/>
        <w:t>Statistical Process Control</w:t>
      </w:r>
      <w:r w:rsidRPr="007608D8">
        <w:rPr>
          <w:rFonts w:cs="Arial"/>
          <w:bCs/>
          <w:sz w:val="36"/>
          <w:szCs w:val="36"/>
        </w:rPr>
        <w:t xml:space="preserve"> – Guidance</w:t>
      </w:r>
    </w:p>
    <w:p w:rsidR="000C38D4" w:rsidRDefault="000C38D4" w:rsidP="00133250">
      <w:pPr>
        <w:spacing w:after="180"/>
        <w:jc w:val="center"/>
        <w:rPr>
          <w:rFonts w:cs="Arial"/>
          <w:bCs/>
          <w:sz w:val="36"/>
          <w:szCs w:val="36"/>
        </w:rPr>
      </w:pPr>
      <w:r w:rsidRPr="00082BB6">
        <w:rPr>
          <w:noProof/>
          <w:lang w:eastAsia="en-GB"/>
        </w:rPr>
        <w:drawing>
          <wp:inline distT="0" distB="0" distL="0" distR="0" wp14:anchorId="4A47637B" wp14:editId="2FC05088">
            <wp:extent cx="8147685" cy="5145206"/>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0695" cy="5153422"/>
                    </a:xfrm>
                    <a:prstGeom prst="rect">
                      <a:avLst/>
                    </a:prstGeom>
                    <a:noFill/>
                    <a:ln>
                      <a:noFill/>
                    </a:ln>
                  </pic:spPr>
                </pic:pic>
              </a:graphicData>
            </a:graphic>
          </wp:inline>
        </w:drawing>
      </w:r>
    </w:p>
    <w:p w:rsidR="000C38D4" w:rsidRDefault="000C38D4" w:rsidP="00133250">
      <w:pPr>
        <w:spacing w:after="180"/>
        <w:jc w:val="center"/>
        <w:rPr>
          <w:rFonts w:cs="Arial"/>
          <w:bCs/>
          <w:sz w:val="36"/>
          <w:szCs w:val="36"/>
        </w:rPr>
      </w:pPr>
    </w:p>
    <w:p w:rsidR="00571E3D" w:rsidRDefault="008303CF" w:rsidP="00133250">
      <w:pPr>
        <w:spacing w:after="180"/>
        <w:jc w:val="center"/>
        <w:rPr>
          <w:rFonts w:cs="Arial"/>
          <w:bCs/>
          <w:sz w:val="36"/>
          <w:szCs w:val="36"/>
        </w:rPr>
      </w:pPr>
      <w:r w:rsidRPr="000C38D4">
        <w:rPr>
          <w:rFonts w:cs="Arial"/>
          <w:bCs/>
          <w:sz w:val="36"/>
          <w:szCs w:val="36"/>
        </w:rPr>
        <w:lastRenderedPageBreak/>
        <w:t>Board</w:t>
      </w:r>
      <w:r w:rsidR="00247F73" w:rsidRPr="000C38D4">
        <w:rPr>
          <w:rFonts w:cs="Arial"/>
          <w:bCs/>
          <w:sz w:val="36"/>
          <w:szCs w:val="36"/>
        </w:rPr>
        <w:t xml:space="preserve"> Performance Dashboard</w:t>
      </w:r>
      <w:r w:rsidR="00133250" w:rsidRPr="000C38D4">
        <w:rPr>
          <w:rFonts w:cs="Arial"/>
          <w:bCs/>
          <w:sz w:val="36"/>
          <w:szCs w:val="36"/>
        </w:rPr>
        <w:t xml:space="preserve"> – P</w:t>
      </w:r>
      <w:r w:rsidR="00D4735B" w:rsidRPr="000C38D4">
        <w:rPr>
          <w:rFonts w:cs="Arial"/>
          <w:bCs/>
          <w:sz w:val="36"/>
          <w:szCs w:val="36"/>
        </w:rPr>
        <w:t xml:space="preserve">art </w:t>
      </w:r>
      <w:r w:rsidR="00133250" w:rsidRPr="000C38D4">
        <w:rPr>
          <w:rFonts w:cs="Arial"/>
          <w:bCs/>
          <w:sz w:val="36"/>
          <w:szCs w:val="36"/>
        </w:rPr>
        <w:t>1</w:t>
      </w:r>
    </w:p>
    <w:p w:rsidR="0018793A" w:rsidRPr="000C38D4" w:rsidRDefault="0018793A" w:rsidP="0018793A">
      <w:pPr>
        <w:spacing w:after="180"/>
        <w:rPr>
          <w:rFonts w:cs="Arial"/>
          <w:bCs/>
          <w:sz w:val="36"/>
          <w:szCs w:val="36"/>
        </w:rPr>
      </w:pPr>
      <w:r>
        <w:rPr>
          <w:noProof/>
          <w:lang w:eastAsia="en-GB"/>
        </w:rPr>
        <w:drawing>
          <wp:inline distT="0" distB="0" distL="0" distR="0" wp14:anchorId="444F0D47" wp14:editId="13B957AF">
            <wp:extent cx="5810250" cy="485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250" cy="485775"/>
                    </a:xfrm>
                    <a:prstGeom prst="rect">
                      <a:avLst/>
                    </a:prstGeom>
                  </pic:spPr>
                </pic:pic>
              </a:graphicData>
            </a:graphic>
          </wp:inline>
        </w:drawing>
      </w:r>
    </w:p>
    <w:p w:rsidR="000C38D4" w:rsidRDefault="00DC6BF7" w:rsidP="00133250">
      <w:pPr>
        <w:spacing w:after="180"/>
        <w:jc w:val="center"/>
        <w:rPr>
          <w:rFonts w:cs="Arial"/>
          <w:bCs/>
          <w:sz w:val="36"/>
          <w:szCs w:val="36"/>
          <w:highlight w:val="yellow"/>
        </w:rPr>
      </w:pPr>
      <w:r w:rsidRPr="00DC6BF7">
        <w:rPr>
          <w:noProof/>
          <w:lang w:eastAsia="en-GB"/>
        </w:rPr>
        <w:drawing>
          <wp:inline distT="0" distB="0" distL="0" distR="0">
            <wp:extent cx="8891270" cy="2963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2963866"/>
                    </a:xfrm>
                    <a:prstGeom prst="rect">
                      <a:avLst/>
                    </a:prstGeom>
                    <a:noFill/>
                    <a:ln>
                      <a:noFill/>
                    </a:ln>
                  </pic:spPr>
                </pic:pic>
              </a:graphicData>
            </a:graphic>
          </wp:inline>
        </w:drawing>
      </w:r>
    </w:p>
    <w:p w:rsidR="00014189" w:rsidRDefault="00014189" w:rsidP="00133250">
      <w:pPr>
        <w:spacing w:after="180"/>
        <w:jc w:val="center"/>
        <w:rPr>
          <w:rFonts w:cs="Arial"/>
          <w:bCs/>
          <w:sz w:val="36"/>
          <w:szCs w:val="36"/>
          <w:highlight w:val="yellow"/>
        </w:rPr>
      </w:pPr>
    </w:p>
    <w:p w:rsidR="00573399" w:rsidRDefault="00573399" w:rsidP="00133250">
      <w:pPr>
        <w:spacing w:after="180"/>
        <w:jc w:val="center"/>
        <w:rPr>
          <w:rFonts w:cs="Arial"/>
          <w:bCs/>
          <w:sz w:val="36"/>
          <w:szCs w:val="36"/>
          <w:highlight w:val="yellow"/>
        </w:rPr>
      </w:pPr>
    </w:p>
    <w:p w:rsidR="00573399" w:rsidRDefault="00573399" w:rsidP="00133250">
      <w:pPr>
        <w:spacing w:after="180"/>
        <w:jc w:val="center"/>
        <w:rPr>
          <w:rFonts w:cs="Arial"/>
          <w:bCs/>
          <w:sz w:val="36"/>
          <w:szCs w:val="36"/>
          <w:highlight w:val="yellow"/>
        </w:rPr>
      </w:pPr>
    </w:p>
    <w:p w:rsidR="002F0639" w:rsidRDefault="002F0639" w:rsidP="00133250">
      <w:pPr>
        <w:spacing w:after="180"/>
        <w:jc w:val="center"/>
        <w:rPr>
          <w:rFonts w:cs="Arial"/>
          <w:bCs/>
          <w:sz w:val="36"/>
          <w:szCs w:val="36"/>
          <w:highlight w:val="yellow"/>
        </w:rPr>
      </w:pPr>
    </w:p>
    <w:p w:rsidR="000C38D4" w:rsidRDefault="000C38D4" w:rsidP="0018793A">
      <w:pPr>
        <w:spacing w:after="180"/>
        <w:rPr>
          <w:rFonts w:cs="Arial"/>
          <w:bCs/>
          <w:sz w:val="36"/>
          <w:szCs w:val="36"/>
          <w:highlight w:val="yellow"/>
        </w:rPr>
      </w:pPr>
    </w:p>
    <w:p w:rsidR="00133250" w:rsidRPr="000C38D4" w:rsidRDefault="008303CF" w:rsidP="00133250">
      <w:pPr>
        <w:spacing w:after="180"/>
        <w:jc w:val="center"/>
        <w:rPr>
          <w:rFonts w:cs="Arial"/>
          <w:bCs/>
          <w:sz w:val="36"/>
          <w:szCs w:val="36"/>
        </w:rPr>
      </w:pPr>
      <w:r w:rsidRPr="000C38D4">
        <w:rPr>
          <w:rFonts w:cs="Arial"/>
          <w:bCs/>
          <w:sz w:val="36"/>
          <w:szCs w:val="36"/>
        </w:rPr>
        <w:lastRenderedPageBreak/>
        <w:t>Board</w:t>
      </w:r>
      <w:r w:rsidR="00133250" w:rsidRPr="000C38D4">
        <w:rPr>
          <w:rFonts w:cs="Arial"/>
          <w:bCs/>
          <w:sz w:val="36"/>
          <w:szCs w:val="36"/>
        </w:rPr>
        <w:t xml:space="preserve"> Performance Dashboard – P</w:t>
      </w:r>
      <w:r w:rsidR="00D4735B" w:rsidRPr="000C38D4">
        <w:rPr>
          <w:rFonts w:cs="Arial"/>
          <w:bCs/>
          <w:sz w:val="36"/>
          <w:szCs w:val="36"/>
        </w:rPr>
        <w:t xml:space="preserve">art </w:t>
      </w:r>
      <w:r w:rsidR="00133250" w:rsidRPr="000C38D4">
        <w:rPr>
          <w:rFonts w:cs="Arial"/>
          <w:bCs/>
          <w:sz w:val="36"/>
          <w:szCs w:val="36"/>
        </w:rPr>
        <w:t>2</w:t>
      </w:r>
    </w:p>
    <w:p w:rsidR="00BD58C5" w:rsidRDefault="00BD58C5" w:rsidP="00A32056">
      <w:pPr>
        <w:spacing w:after="180"/>
        <w:rPr>
          <w:noProof/>
          <w:lang w:eastAsia="en-GB"/>
        </w:rPr>
      </w:pPr>
    </w:p>
    <w:p w:rsidR="000C38D4" w:rsidRDefault="00014189" w:rsidP="00A32056">
      <w:pPr>
        <w:spacing w:after="180"/>
        <w:rPr>
          <w:rFonts w:cs="Arial"/>
          <w:szCs w:val="22"/>
        </w:rPr>
      </w:pPr>
      <w:r w:rsidRPr="00A04378">
        <w:rPr>
          <w:noProof/>
          <w:lang w:eastAsia="en-GB"/>
        </w:rPr>
        <w:drawing>
          <wp:inline distT="0" distB="0" distL="0" distR="0" wp14:anchorId="027B4A8C" wp14:editId="4EE77BCE">
            <wp:extent cx="8891270" cy="88836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888365"/>
                    </a:xfrm>
                    <a:prstGeom prst="rect">
                      <a:avLst/>
                    </a:prstGeom>
                    <a:noFill/>
                    <a:ln>
                      <a:noFill/>
                    </a:ln>
                  </pic:spPr>
                </pic:pic>
              </a:graphicData>
            </a:graphic>
          </wp:inline>
        </w:drawing>
      </w:r>
      <w:r w:rsidR="00DC6BF7" w:rsidRPr="00DC6BF7">
        <w:rPr>
          <w:noProof/>
          <w:lang w:eastAsia="en-GB"/>
        </w:rPr>
        <w:drawing>
          <wp:inline distT="0" distB="0" distL="0" distR="0">
            <wp:extent cx="8891270" cy="2699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2699720"/>
                    </a:xfrm>
                    <a:prstGeom prst="rect">
                      <a:avLst/>
                    </a:prstGeom>
                    <a:noFill/>
                    <a:ln>
                      <a:noFill/>
                    </a:ln>
                  </pic:spPr>
                </pic:pic>
              </a:graphicData>
            </a:graphic>
          </wp:inline>
        </w:drawing>
      </w:r>
    </w:p>
    <w:p w:rsidR="00014189" w:rsidRDefault="00DC6BF7" w:rsidP="00A32056">
      <w:pPr>
        <w:spacing w:after="180"/>
        <w:rPr>
          <w:rFonts w:cs="Arial"/>
          <w:szCs w:val="22"/>
        </w:rPr>
        <w:sectPr w:rsidR="00014189" w:rsidSect="00551C36">
          <w:footerReference w:type="first" r:id="rId17"/>
          <w:pgSz w:w="16838" w:h="11906" w:orient="landscape" w:code="9"/>
          <w:pgMar w:top="1134" w:right="1418" w:bottom="1134" w:left="1418" w:header="709" w:footer="709" w:gutter="0"/>
          <w:cols w:space="708"/>
          <w:titlePg/>
          <w:docGrid w:linePitch="360"/>
        </w:sectPr>
      </w:pPr>
      <w:r w:rsidRPr="00DC6BF7">
        <w:rPr>
          <w:noProof/>
          <w:lang w:eastAsia="en-GB"/>
        </w:rPr>
        <w:drawing>
          <wp:inline distT="0" distB="0" distL="0" distR="0">
            <wp:extent cx="6378575" cy="1419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8575" cy="1419225"/>
                    </a:xfrm>
                    <a:prstGeom prst="rect">
                      <a:avLst/>
                    </a:prstGeom>
                    <a:noFill/>
                    <a:ln>
                      <a:noFill/>
                    </a:ln>
                  </pic:spPr>
                </pic:pic>
              </a:graphicData>
            </a:graphic>
          </wp:inline>
        </w:drawing>
      </w:r>
    </w:p>
    <w:p w:rsidR="00AA1592" w:rsidRPr="00442C2E" w:rsidRDefault="00AA1592" w:rsidP="00D717CD">
      <w:pPr>
        <w:spacing w:after="180"/>
        <w:rPr>
          <w:rFonts w:cs="Arial"/>
          <w:color w:val="000000" w:themeColor="text1"/>
          <w:szCs w:val="22"/>
        </w:rPr>
      </w:pPr>
      <w:r w:rsidRPr="00442C2E">
        <w:rPr>
          <w:rFonts w:cs="Arial"/>
          <w:color w:val="000000" w:themeColor="text1"/>
          <w:szCs w:val="22"/>
        </w:rPr>
        <w:lastRenderedPageBreak/>
        <w:t>At each meeting, the Standing Committees of NHS Golden Jubilee</w:t>
      </w:r>
      <w:r w:rsidR="002A1180">
        <w:rPr>
          <w:rFonts w:cs="Arial"/>
          <w:color w:val="000000" w:themeColor="text1"/>
          <w:szCs w:val="22"/>
        </w:rPr>
        <w:t xml:space="preserve"> (NHSGJ) </w:t>
      </w:r>
      <w:r w:rsidRPr="00442C2E">
        <w:rPr>
          <w:rFonts w:cs="Arial"/>
          <w:color w:val="000000" w:themeColor="text1"/>
          <w:szCs w:val="22"/>
        </w:rPr>
        <w:t xml:space="preserve">consider targets and </w:t>
      </w:r>
      <w:r w:rsidR="006A3CF5" w:rsidRPr="00442C2E">
        <w:rPr>
          <w:rFonts w:cs="Arial"/>
          <w:color w:val="000000" w:themeColor="text1"/>
          <w:szCs w:val="22"/>
        </w:rPr>
        <w:t>s</w:t>
      </w:r>
      <w:r w:rsidRPr="00442C2E">
        <w:rPr>
          <w:rFonts w:cs="Arial"/>
          <w:color w:val="000000" w:themeColor="text1"/>
          <w:szCs w:val="22"/>
        </w:rPr>
        <w:t>tandards specific to their area of remit</w:t>
      </w:r>
      <w:r w:rsidR="00B620AB" w:rsidRPr="00442C2E">
        <w:rPr>
          <w:rFonts w:cs="Arial"/>
          <w:color w:val="000000" w:themeColor="text1"/>
          <w:szCs w:val="22"/>
        </w:rPr>
        <w:t xml:space="preserve"> using the Integrated Performance Report (IPR)</w:t>
      </w:r>
      <w:r w:rsidRPr="00442C2E">
        <w:rPr>
          <w:rFonts w:cs="Arial"/>
          <w:color w:val="000000" w:themeColor="text1"/>
          <w:szCs w:val="22"/>
        </w:rPr>
        <w:t>. Th</w:t>
      </w:r>
      <w:r w:rsidR="00B620AB" w:rsidRPr="00442C2E">
        <w:rPr>
          <w:rFonts w:cs="Arial"/>
          <w:color w:val="000000" w:themeColor="text1"/>
          <w:szCs w:val="22"/>
        </w:rPr>
        <w:t>ere is a</w:t>
      </w:r>
      <w:r w:rsidRPr="00442C2E">
        <w:rPr>
          <w:rFonts w:cs="Arial"/>
          <w:color w:val="000000" w:themeColor="text1"/>
          <w:szCs w:val="22"/>
        </w:rPr>
        <w:t xml:space="preserve"> section of the IPR </w:t>
      </w:r>
      <w:r w:rsidR="00B620AB" w:rsidRPr="00442C2E">
        <w:rPr>
          <w:rFonts w:cs="Arial"/>
          <w:color w:val="000000" w:themeColor="text1"/>
          <w:szCs w:val="22"/>
        </w:rPr>
        <w:t xml:space="preserve">which </w:t>
      </w:r>
      <w:r w:rsidRPr="00442C2E">
        <w:rPr>
          <w:rFonts w:cs="Arial"/>
          <w:color w:val="000000" w:themeColor="text1"/>
          <w:szCs w:val="22"/>
        </w:rPr>
        <w:t>provides a summary of performance Standards and targets identified as areas of note</w:t>
      </w:r>
      <w:r w:rsidR="00B620AB" w:rsidRPr="00442C2E">
        <w:rPr>
          <w:rFonts w:cs="Arial"/>
          <w:color w:val="000000" w:themeColor="text1"/>
          <w:szCs w:val="22"/>
        </w:rPr>
        <w:t xml:space="preserve"> which is reproduced below</w:t>
      </w:r>
      <w:r w:rsidRPr="00442C2E">
        <w:rPr>
          <w:rFonts w:cs="Arial"/>
          <w:color w:val="000000" w:themeColor="text1"/>
          <w:szCs w:val="22"/>
        </w:rPr>
        <w:t>. Topics are grouped under the heading of the Committee responsible for scrutiny of performance.</w:t>
      </w:r>
    </w:p>
    <w:p w:rsidR="0077268D" w:rsidRPr="00AA1592" w:rsidRDefault="0077268D" w:rsidP="00D717CD">
      <w:pPr>
        <w:spacing w:after="180"/>
        <w:rPr>
          <w:rFonts w:cs="Arial"/>
          <w:color w:val="000000" w:themeColor="text1"/>
          <w:sz w:val="24"/>
          <w:szCs w:val="22"/>
        </w:rPr>
      </w:pPr>
    </w:p>
    <w:p w:rsidR="00025608" w:rsidRPr="00191F09" w:rsidRDefault="00025608" w:rsidP="00025608">
      <w:pPr>
        <w:pStyle w:val="Heading1"/>
      </w:pPr>
      <w:r w:rsidRPr="007A64A0">
        <w:t>Section B: 1 Clinical Governance</w:t>
      </w:r>
    </w:p>
    <w:tbl>
      <w:tblPr>
        <w:tblStyle w:val="TableGrid"/>
        <w:tblW w:w="9286" w:type="dxa"/>
        <w:tblLayout w:type="fixed"/>
        <w:tblLook w:val="04A0" w:firstRow="1" w:lastRow="0" w:firstColumn="1" w:lastColumn="0" w:noHBand="0" w:noVBand="1"/>
      </w:tblPr>
      <w:tblGrid>
        <w:gridCol w:w="2802"/>
        <w:gridCol w:w="567"/>
        <w:gridCol w:w="5917"/>
      </w:tblGrid>
      <w:tr w:rsidR="00DC6BF7" w:rsidRPr="00CF6A95" w:rsidTr="002764FE">
        <w:trPr>
          <w:trHeight w:val="132"/>
        </w:trPr>
        <w:tc>
          <w:tcPr>
            <w:tcW w:w="9286" w:type="dxa"/>
            <w:gridSpan w:val="3"/>
            <w:shd w:val="clear" w:color="auto" w:fill="B8CCE4" w:themeFill="accent1" w:themeFillTint="66"/>
          </w:tcPr>
          <w:p w:rsidR="00DC6BF7" w:rsidRPr="00CF6A95" w:rsidRDefault="00DC6BF7" w:rsidP="002764FE">
            <w:pPr>
              <w:jc w:val="both"/>
              <w:rPr>
                <w:rFonts w:cs="Arial"/>
                <w:b/>
                <w:sz w:val="24"/>
                <w:szCs w:val="24"/>
                <w:highlight w:val="yellow"/>
              </w:rPr>
            </w:pPr>
            <w:r w:rsidRPr="00CF6A95">
              <w:rPr>
                <w:rFonts w:cs="Arial"/>
                <w:b/>
                <w:sz w:val="24"/>
                <w:szCs w:val="24"/>
              </w:rPr>
              <w:t>Clinical Governance</w:t>
            </w:r>
          </w:p>
        </w:tc>
      </w:tr>
      <w:tr w:rsidR="00DC6BF7" w:rsidRPr="00CF6A95" w:rsidTr="002764FE">
        <w:trPr>
          <w:trHeight w:val="280"/>
        </w:trPr>
        <w:tc>
          <w:tcPr>
            <w:tcW w:w="2802" w:type="dxa"/>
          </w:tcPr>
          <w:p w:rsidR="00DC6BF7" w:rsidRPr="00CF6A95" w:rsidRDefault="00DC6BF7" w:rsidP="002764FE">
            <w:pPr>
              <w:jc w:val="both"/>
              <w:rPr>
                <w:rFonts w:cs="Arial"/>
                <w:b/>
                <w:sz w:val="24"/>
                <w:szCs w:val="24"/>
              </w:rPr>
            </w:pPr>
            <w:r w:rsidRPr="00CF6A95">
              <w:rPr>
                <w:rFonts w:cs="Arial"/>
                <w:b/>
                <w:sz w:val="24"/>
                <w:szCs w:val="24"/>
              </w:rPr>
              <w:t>KPI</w:t>
            </w:r>
          </w:p>
        </w:tc>
        <w:tc>
          <w:tcPr>
            <w:tcW w:w="567" w:type="dxa"/>
            <w:vAlign w:val="center"/>
          </w:tcPr>
          <w:p w:rsidR="00DC6BF7" w:rsidRPr="00CF6A95" w:rsidRDefault="00DC6BF7" w:rsidP="002764FE">
            <w:pPr>
              <w:jc w:val="center"/>
              <w:rPr>
                <w:rFonts w:cs="Arial"/>
                <w:b/>
                <w:sz w:val="24"/>
                <w:szCs w:val="24"/>
              </w:rPr>
            </w:pPr>
            <w:r w:rsidRPr="00CF6A95">
              <w:rPr>
                <w:rFonts w:cs="Arial"/>
                <w:b/>
                <w:sz w:val="14"/>
                <w:szCs w:val="24"/>
              </w:rPr>
              <w:t>RAG</w:t>
            </w:r>
          </w:p>
        </w:tc>
        <w:tc>
          <w:tcPr>
            <w:tcW w:w="5917" w:type="dxa"/>
          </w:tcPr>
          <w:p w:rsidR="00DC6BF7" w:rsidRPr="00CF6A95" w:rsidRDefault="00DC6BF7" w:rsidP="002764FE">
            <w:pPr>
              <w:jc w:val="both"/>
              <w:rPr>
                <w:rFonts w:cs="Arial"/>
                <w:b/>
                <w:sz w:val="24"/>
                <w:szCs w:val="24"/>
              </w:rPr>
            </w:pPr>
            <w:r w:rsidRPr="00CF6A95">
              <w:rPr>
                <w:rFonts w:cs="Arial"/>
                <w:b/>
                <w:sz w:val="24"/>
                <w:szCs w:val="24"/>
              </w:rPr>
              <w:t>Position:</w:t>
            </w:r>
          </w:p>
        </w:tc>
      </w:tr>
      <w:tr w:rsidR="00DC6BF7" w:rsidRPr="00952EAB" w:rsidTr="002764FE">
        <w:trPr>
          <w:trHeight w:val="551"/>
        </w:trPr>
        <w:tc>
          <w:tcPr>
            <w:tcW w:w="2802" w:type="dxa"/>
          </w:tcPr>
          <w:p w:rsidR="00DC6BF7" w:rsidRPr="00952EAB" w:rsidRDefault="00DC6BF7" w:rsidP="002764FE">
            <w:pPr>
              <w:rPr>
                <w:rFonts w:cs="Arial"/>
                <w:sz w:val="24"/>
                <w:szCs w:val="24"/>
              </w:rPr>
            </w:pPr>
            <w:r w:rsidRPr="00952EAB">
              <w:rPr>
                <w:rFonts w:cs="Arial"/>
                <w:sz w:val="24"/>
                <w:szCs w:val="24"/>
              </w:rPr>
              <w:t>Total complaints (Stage 1 and 2) by volume</w:t>
            </w:r>
          </w:p>
        </w:tc>
        <w:tc>
          <w:tcPr>
            <w:tcW w:w="567" w:type="dxa"/>
            <w:shd w:val="clear" w:color="auto" w:fill="D6E3BC" w:themeFill="accent3" w:themeFillTint="66"/>
          </w:tcPr>
          <w:p w:rsidR="00DC6BF7" w:rsidRPr="00952EAB" w:rsidRDefault="00DC6BF7" w:rsidP="002764FE">
            <w:pPr>
              <w:rPr>
                <w:rFonts w:cs="Arial"/>
                <w:sz w:val="24"/>
                <w:szCs w:val="24"/>
              </w:rPr>
            </w:pPr>
          </w:p>
        </w:tc>
        <w:tc>
          <w:tcPr>
            <w:tcW w:w="5917" w:type="dxa"/>
          </w:tcPr>
          <w:p w:rsidR="00DC6BF7" w:rsidRPr="00952EAB" w:rsidRDefault="00DC6BF7" w:rsidP="002764FE">
            <w:pPr>
              <w:rPr>
                <w:rFonts w:cs="Arial"/>
                <w:sz w:val="24"/>
                <w:szCs w:val="24"/>
              </w:rPr>
            </w:pPr>
            <w:r w:rsidRPr="00952EAB">
              <w:rPr>
                <w:rFonts w:cs="Arial"/>
                <w:sz w:val="24"/>
                <w:szCs w:val="24"/>
              </w:rPr>
              <w:t>In January 202</w:t>
            </w:r>
            <w:r>
              <w:rPr>
                <w:rFonts w:cs="Arial"/>
                <w:sz w:val="24"/>
                <w:szCs w:val="24"/>
              </w:rPr>
              <w:t>1</w:t>
            </w:r>
            <w:r w:rsidRPr="00952EAB">
              <w:rPr>
                <w:rFonts w:cs="Arial"/>
                <w:sz w:val="24"/>
                <w:szCs w:val="24"/>
              </w:rPr>
              <w:t xml:space="preserve"> there were six complaints reported. </w:t>
            </w:r>
          </w:p>
        </w:tc>
      </w:tr>
      <w:tr w:rsidR="00DC6BF7" w:rsidRPr="00952EAB" w:rsidTr="002764FE">
        <w:trPr>
          <w:trHeight w:val="551"/>
        </w:trPr>
        <w:tc>
          <w:tcPr>
            <w:tcW w:w="2802" w:type="dxa"/>
          </w:tcPr>
          <w:p w:rsidR="00DC6BF7" w:rsidRPr="00952EAB" w:rsidRDefault="00DC6BF7" w:rsidP="002764FE">
            <w:pPr>
              <w:rPr>
                <w:rFonts w:cs="Arial"/>
                <w:sz w:val="24"/>
                <w:szCs w:val="24"/>
              </w:rPr>
            </w:pPr>
            <w:r w:rsidRPr="00952EAB">
              <w:rPr>
                <w:rFonts w:cs="Arial"/>
                <w:sz w:val="24"/>
                <w:szCs w:val="24"/>
              </w:rPr>
              <w:t>Stage 1 complaints response time</w:t>
            </w:r>
          </w:p>
        </w:tc>
        <w:tc>
          <w:tcPr>
            <w:tcW w:w="567" w:type="dxa"/>
            <w:shd w:val="clear" w:color="auto" w:fill="D6E3BC" w:themeFill="accent3" w:themeFillTint="66"/>
          </w:tcPr>
          <w:p w:rsidR="00DC6BF7" w:rsidRPr="00952EAB" w:rsidRDefault="00DC6BF7" w:rsidP="002764FE">
            <w:pPr>
              <w:rPr>
                <w:rFonts w:cs="Arial"/>
                <w:sz w:val="24"/>
                <w:szCs w:val="24"/>
              </w:rPr>
            </w:pPr>
          </w:p>
        </w:tc>
        <w:tc>
          <w:tcPr>
            <w:tcW w:w="5917" w:type="dxa"/>
          </w:tcPr>
          <w:p w:rsidR="00DC6BF7" w:rsidRPr="00952EAB" w:rsidRDefault="00DC6BF7" w:rsidP="002764FE">
            <w:pPr>
              <w:rPr>
                <w:rFonts w:cs="Arial"/>
                <w:sz w:val="24"/>
                <w:szCs w:val="24"/>
              </w:rPr>
            </w:pPr>
            <w:r w:rsidRPr="00952EAB">
              <w:rPr>
                <w:rFonts w:cs="Arial"/>
                <w:sz w:val="24"/>
                <w:szCs w:val="24"/>
              </w:rPr>
              <w:t xml:space="preserve">In </w:t>
            </w:r>
            <w:r>
              <w:rPr>
                <w:rFonts w:cs="Arial"/>
                <w:sz w:val="24"/>
                <w:szCs w:val="24"/>
              </w:rPr>
              <w:t>January</w:t>
            </w:r>
            <w:r w:rsidRPr="00952EAB">
              <w:rPr>
                <w:rFonts w:cs="Arial"/>
                <w:sz w:val="24"/>
                <w:szCs w:val="24"/>
              </w:rPr>
              <w:t xml:space="preserve"> 202</w:t>
            </w:r>
            <w:r>
              <w:rPr>
                <w:rFonts w:cs="Arial"/>
                <w:sz w:val="24"/>
                <w:szCs w:val="24"/>
              </w:rPr>
              <w:t>1</w:t>
            </w:r>
            <w:r w:rsidRPr="00952EAB">
              <w:rPr>
                <w:rFonts w:cs="Arial"/>
                <w:sz w:val="24"/>
                <w:szCs w:val="24"/>
              </w:rPr>
              <w:t xml:space="preserve"> there was one Stage 1 complaint, which was responded to within the five day target (100%)</w:t>
            </w:r>
          </w:p>
        </w:tc>
      </w:tr>
      <w:tr w:rsidR="00DC6BF7" w:rsidRPr="00952EAB" w:rsidTr="002764FE">
        <w:tc>
          <w:tcPr>
            <w:tcW w:w="2802" w:type="dxa"/>
          </w:tcPr>
          <w:p w:rsidR="00DC6BF7" w:rsidRPr="00952EAB" w:rsidRDefault="00DC6BF7" w:rsidP="002764FE">
            <w:pPr>
              <w:rPr>
                <w:rFonts w:cs="Arial"/>
                <w:sz w:val="24"/>
                <w:szCs w:val="24"/>
              </w:rPr>
            </w:pPr>
            <w:r w:rsidRPr="00952EAB">
              <w:rPr>
                <w:rFonts w:cs="Arial"/>
                <w:sz w:val="24"/>
                <w:szCs w:val="24"/>
              </w:rPr>
              <w:t xml:space="preserve">Stage 2 complaints response time </w:t>
            </w:r>
          </w:p>
        </w:tc>
        <w:tc>
          <w:tcPr>
            <w:tcW w:w="567" w:type="dxa"/>
            <w:shd w:val="clear" w:color="auto" w:fill="E5B8B7" w:themeFill="accent2" w:themeFillTint="66"/>
          </w:tcPr>
          <w:p w:rsidR="00DC6BF7" w:rsidRPr="0090363C" w:rsidRDefault="00DC6BF7" w:rsidP="002764FE">
            <w:pPr>
              <w:rPr>
                <w:rFonts w:cs="Arial"/>
                <w:color w:val="FF0000"/>
                <w:sz w:val="24"/>
                <w:szCs w:val="24"/>
              </w:rPr>
            </w:pPr>
          </w:p>
        </w:tc>
        <w:tc>
          <w:tcPr>
            <w:tcW w:w="5917" w:type="dxa"/>
          </w:tcPr>
          <w:p w:rsidR="00DC6BF7" w:rsidRPr="00952EAB" w:rsidRDefault="00DC6BF7" w:rsidP="002764FE">
            <w:pPr>
              <w:rPr>
                <w:rFonts w:cs="Arial"/>
                <w:sz w:val="24"/>
                <w:szCs w:val="24"/>
              </w:rPr>
            </w:pPr>
            <w:r w:rsidRPr="00952EAB">
              <w:rPr>
                <w:rFonts w:cs="Arial"/>
                <w:sz w:val="24"/>
                <w:szCs w:val="24"/>
              </w:rPr>
              <w:t>In December 2020 there were four Stage 2 complaints, zero of which were responded to within 20 days (0%).</w:t>
            </w:r>
          </w:p>
        </w:tc>
      </w:tr>
      <w:tr w:rsidR="00DC6BF7" w:rsidRPr="00751A96" w:rsidTr="002764FE">
        <w:trPr>
          <w:trHeight w:val="321"/>
        </w:trPr>
        <w:tc>
          <w:tcPr>
            <w:tcW w:w="2802" w:type="dxa"/>
          </w:tcPr>
          <w:p w:rsidR="00DC6BF7" w:rsidRPr="00751A96" w:rsidRDefault="00DC6BF7" w:rsidP="002764FE">
            <w:pPr>
              <w:rPr>
                <w:rFonts w:cs="Arial"/>
                <w:sz w:val="24"/>
                <w:szCs w:val="24"/>
              </w:rPr>
            </w:pPr>
            <w:r w:rsidRPr="00751A96">
              <w:rPr>
                <w:rFonts w:cs="Arial"/>
                <w:sz w:val="24"/>
                <w:szCs w:val="24"/>
              </w:rPr>
              <w:t>Mortality</w:t>
            </w:r>
          </w:p>
        </w:tc>
        <w:tc>
          <w:tcPr>
            <w:tcW w:w="567" w:type="dxa"/>
            <w:shd w:val="clear" w:color="auto" w:fill="D6E3BC" w:themeFill="accent3" w:themeFillTint="66"/>
          </w:tcPr>
          <w:p w:rsidR="00DC6BF7" w:rsidRPr="00751A96" w:rsidRDefault="00DC6BF7" w:rsidP="002764FE">
            <w:pPr>
              <w:rPr>
                <w:rFonts w:cs="Arial"/>
                <w:sz w:val="24"/>
                <w:szCs w:val="24"/>
              </w:rPr>
            </w:pPr>
          </w:p>
        </w:tc>
        <w:tc>
          <w:tcPr>
            <w:tcW w:w="5917" w:type="dxa"/>
          </w:tcPr>
          <w:p w:rsidR="00DC6BF7" w:rsidRPr="00751A96" w:rsidRDefault="00DC6BF7" w:rsidP="002764FE">
            <w:pPr>
              <w:rPr>
                <w:rFonts w:cs="Arial"/>
                <w:sz w:val="24"/>
                <w:szCs w:val="24"/>
              </w:rPr>
            </w:pPr>
            <w:r w:rsidRPr="00751A96">
              <w:rPr>
                <w:rFonts w:cs="Arial"/>
                <w:sz w:val="24"/>
                <w:szCs w:val="24"/>
              </w:rPr>
              <w:t>The mortality figure for January 202</w:t>
            </w:r>
            <w:r>
              <w:rPr>
                <w:rFonts w:cs="Arial"/>
                <w:sz w:val="24"/>
                <w:szCs w:val="24"/>
              </w:rPr>
              <w:t>1</w:t>
            </w:r>
            <w:r w:rsidRPr="00751A96">
              <w:rPr>
                <w:rFonts w:cs="Arial"/>
                <w:sz w:val="24"/>
                <w:szCs w:val="24"/>
              </w:rPr>
              <w:t xml:space="preserve"> was reported as seven.</w:t>
            </w:r>
            <w:r>
              <w:rPr>
                <w:rFonts w:cs="Arial"/>
                <w:sz w:val="24"/>
                <w:szCs w:val="24"/>
              </w:rPr>
              <w:t xml:space="preserve"> </w:t>
            </w:r>
            <w:r w:rsidRPr="00751A96">
              <w:rPr>
                <w:rFonts w:cs="Arial"/>
                <w:sz w:val="24"/>
                <w:szCs w:val="24"/>
              </w:rPr>
              <w:t>There were eleven deaths in December 2020.</w:t>
            </w:r>
          </w:p>
        </w:tc>
      </w:tr>
      <w:tr w:rsidR="00DC6BF7" w:rsidRPr="00751A96" w:rsidTr="002764FE">
        <w:trPr>
          <w:trHeight w:val="321"/>
        </w:trPr>
        <w:tc>
          <w:tcPr>
            <w:tcW w:w="2802" w:type="dxa"/>
          </w:tcPr>
          <w:p w:rsidR="00DC6BF7" w:rsidRPr="00751A96" w:rsidRDefault="00DC6BF7" w:rsidP="002764FE">
            <w:pPr>
              <w:rPr>
                <w:rFonts w:cs="Arial"/>
                <w:sz w:val="24"/>
                <w:szCs w:val="24"/>
              </w:rPr>
            </w:pPr>
            <w:r w:rsidRPr="00751A96">
              <w:rPr>
                <w:rFonts w:cs="Arial"/>
                <w:sz w:val="24"/>
                <w:szCs w:val="24"/>
              </w:rPr>
              <w:t>Significant adverse events</w:t>
            </w:r>
          </w:p>
        </w:tc>
        <w:tc>
          <w:tcPr>
            <w:tcW w:w="567" w:type="dxa"/>
            <w:shd w:val="clear" w:color="auto" w:fill="D6E3BC" w:themeFill="accent3" w:themeFillTint="66"/>
          </w:tcPr>
          <w:p w:rsidR="00DC6BF7" w:rsidRPr="00751A96" w:rsidRDefault="00DC6BF7" w:rsidP="002764FE">
            <w:pPr>
              <w:rPr>
                <w:rFonts w:cs="Arial"/>
                <w:sz w:val="24"/>
                <w:szCs w:val="24"/>
              </w:rPr>
            </w:pPr>
          </w:p>
        </w:tc>
        <w:tc>
          <w:tcPr>
            <w:tcW w:w="5917" w:type="dxa"/>
          </w:tcPr>
          <w:p w:rsidR="00DC6BF7" w:rsidRPr="00751A96" w:rsidRDefault="00DC6BF7" w:rsidP="002764FE">
            <w:pPr>
              <w:rPr>
                <w:rFonts w:cs="Arial"/>
                <w:sz w:val="24"/>
                <w:szCs w:val="24"/>
              </w:rPr>
            </w:pPr>
            <w:r w:rsidRPr="00751A96">
              <w:rPr>
                <w:rFonts w:cs="Arial"/>
                <w:sz w:val="24"/>
                <w:szCs w:val="24"/>
              </w:rPr>
              <w:t>There was one s</w:t>
            </w:r>
            <w:r>
              <w:rPr>
                <w:rFonts w:cs="Arial"/>
                <w:sz w:val="24"/>
                <w:szCs w:val="24"/>
              </w:rPr>
              <w:t>ignificant adverse event review</w:t>
            </w:r>
            <w:r w:rsidRPr="00751A96">
              <w:rPr>
                <w:rFonts w:cs="Arial"/>
                <w:sz w:val="24"/>
                <w:szCs w:val="24"/>
              </w:rPr>
              <w:t xml:space="preserve"> in January 202</w:t>
            </w:r>
            <w:r>
              <w:rPr>
                <w:rFonts w:cs="Arial"/>
                <w:sz w:val="24"/>
                <w:szCs w:val="24"/>
              </w:rPr>
              <w:t>1</w:t>
            </w:r>
            <w:r w:rsidRPr="00751A96">
              <w:rPr>
                <w:rFonts w:cs="Arial"/>
                <w:sz w:val="24"/>
                <w:szCs w:val="24"/>
              </w:rPr>
              <w:t>.</w:t>
            </w:r>
          </w:p>
        </w:tc>
      </w:tr>
      <w:tr w:rsidR="00DC6BF7" w:rsidRPr="00135AC1" w:rsidTr="002764FE">
        <w:trPr>
          <w:trHeight w:val="321"/>
        </w:trPr>
        <w:tc>
          <w:tcPr>
            <w:tcW w:w="2802" w:type="dxa"/>
          </w:tcPr>
          <w:p w:rsidR="00DC6BF7" w:rsidRPr="00135AC1" w:rsidRDefault="00DC6BF7" w:rsidP="002764FE">
            <w:pPr>
              <w:rPr>
                <w:rFonts w:cs="Arial"/>
                <w:color w:val="000000" w:themeColor="text1"/>
                <w:sz w:val="24"/>
                <w:szCs w:val="24"/>
              </w:rPr>
            </w:pPr>
            <w:r w:rsidRPr="00135AC1">
              <w:rPr>
                <w:rFonts w:cs="Arial"/>
                <w:color w:val="000000" w:themeColor="text1"/>
                <w:sz w:val="24"/>
                <w:szCs w:val="24"/>
              </w:rPr>
              <w:t>MRSA/MSSA cases</w:t>
            </w:r>
          </w:p>
          <w:p w:rsidR="00DC6BF7" w:rsidRPr="00135AC1" w:rsidRDefault="00DC6BF7" w:rsidP="002764FE">
            <w:pPr>
              <w:rPr>
                <w:rFonts w:cs="Arial"/>
                <w:color w:val="000000" w:themeColor="text1"/>
                <w:sz w:val="24"/>
                <w:szCs w:val="24"/>
              </w:rPr>
            </w:pPr>
          </w:p>
        </w:tc>
        <w:tc>
          <w:tcPr>
            <w:tcW w:w="567" w:type="dxa"/>
            <w:shd w:val="clear" w:color="auto" w:fill="E5B8B7" w:themeFill="accent2" w:themeFillTint="66"/>
          </w:tcPr>
          <w:p w:rsidR="00DC6BF7" w:rsidRPr="00135AC1" w:rsidRDefault="00DC6BF7" w:rsidP="002764FE">
            <w:pPr>
              <w:rPr>
                <w:rFonts w:cs="Arial"/>
                <w:color w:val="000000" w:themeColor="text1"/>
                <w:sz w:val="24"/>
                <w:szCs w:val="24"/>
              </w:rPr>
            </w:pPr>
          </w:p>
        </w:tc>
        <w:tc>
          <w:tcPr>
            <w:tcW w:w="5917" w:type="dxa"/>
          </w:tcPr>
          <w:p w:rsidR="00DC6BF7" w:rsidRPr="00135AC1" w:rsidRDefault="00DC6BF7" w:rsidP="002764FE">
            <w:pPr>
              <w:rPr>
                <w:rFonts w:cs="Arial"/>
                <w:color w:val="000000" w:themeColor="text1"/>
                <w:sz w:val="24"/>
                <w:szCs w:val="24"/>
              </w:rPr>
            </w:pPr>
            <w:r w:rsidRPr="00135AC1">
              <w:rPr>
                <w:rFonts w:cs="Arial"/>
                <w:color w:val="000000" w:themeColor="text1"/>
                <w:sz w:val="24"/>
                <w:szCs w:val="24"/>
              </w:rPr>
              <w:t xml:space="preserve">There were three instances of Staphylococcus aureus Bacteraemia (SAB) reported in January 2021. Year to date the count is ten. </w:t>
            </w:r>
          </w:p>
        </w:tc>
      </w:tr>
      <w:tr w:rsidR="00DC6BF7" w:rsidRPr="00135AC1" w:rsidTr="002764FE">
        <w:trPr>
          <w:trHeight w:val="321"/>
        </w:trPr>
        <w:tc>
          <w:tcPr>
            <w:tcW w:w="2802" w:type="dxa"/>
          </w:tcPr>
          <w:p w:rsidR="00DC6BF7" w:rsidRPr="00135AC1" w:rsidRDefault="00DC6BF7" w:rsidP="002764FE">
            <w:pPr>
              <w:rPr>
                <w:rFonts w:cs="Arial"/>
                <w:color w:val="000000" w:themeColor="text1"/>
                <w:sz w:val="24"/>
                <w:szCs w:val="24"/>
              </w:rPr>
            </w:pPr>
            <w:r w:rsidRPr="00135AC1">
              <w:rPr>
                <w:rFonts w:cs="Arial"/>
                <w:color w:val="000000" w:themeColor="text1"/>
                <w:sz w:val="24"/>
                <w:szCs w:val="24"/>
              </w:rPr>
              <w:t>Clostridiodes Difficile</w:t>
            </w:r>
          </w:p>
        </w:tc>
        <w:tc>
          <w:tcPr>
            <w:tcW w:w="567" w:type="dxa"/>
            <w:shd w:val="clear" w:color="auto" w:fill="D6E3BC" w:themeFill="accent3" w:themeFillTint="66"/>
          </w:tcPr>
          <w:p w:rsidR="00DC6BF7" w:rsidRPr="00135AC1" w:rsidRDefault="00DC6BF7" w:rsidP="002764FE">
            <w:pPr>
              <w:rPr>
                <w:rFonts w:cs="Arial"/>
                <w:color w:val="000000" w:themeColor="text1"/>
                <w:sz w:val="24"/>
                <w:szCs w:val="24"/>
              </w:rPr>
            </w:pPr>
          </w:p>
        </w:tc>
        <w:tc>
          <w:tcPr>
            <w:tcW w:w="5917" w:type="dxa"/>
          </w:tcPr>
          <w:p w:rsidR="00DC6BF7" w:rsidRPr="00135AC1" w:rsidRDefault="00DC6BF7" w:rsidP="002764FE">
            <w:pPr>
              <w:rPr>
                <w:rFonts w:cs="Arial"/>
                <w:color w:val="000000" w:themeColor="text1"/>
                <w:sz w:val="24"/>
                <w:szCs w:val="24"/>
              </w:rPr>
            </w:pPr>
            <w:r w:rsidRPr="00135AC1">
              <w:rPr>
                <w:rFonts w:cs="Arial"/>
                <w:color w:val="000000" w:themeColor="text1"/>
                <w:sz w:val="24"/>
                <w:szCs w:val="24"/>
              </w:rPr>
              <w:t>There were zero Clostridiodes Difficile Infections (CDI) reported in January 2021.  Year to date the count is six.</w:t>
            </w:r>
          </w:p>
        </w:tc>
      </w:tr>
      <w:tr w:rsidR="00DC6BF7" w:rsidRPr="00135AC1" w:rsidTr="002764FE">
        <w:trPr>
          <w:trHeight w:val="321"/>
        </w:trPr>
        <w:tc>
          <w:tcPr>
            <w:tcW w:w="2802" w:type="dxa"/>
          </w:tcPr>
          <w:p w:rsidR="00DC6BF7" w:rsidRPr="00135AC1" w:rsidRDefault="00DC6BF7" w:rsidP="002764FE">
            <w:pPr>
              <w:rPr>
                <w:rFonts w:cs="Arial"/>
                <w:color w:val="000000" w:themeColor="text1"/>
                <w:sz w:val="24"/>
                <w:szCs w:val="24"/>
              </w:rPr>
            </w:pPr>
            <w:r w:rsidRPr="00135AC1">
              <w:rPr>
                <w:rFonts w:cs="Arial"/>
                <w:color w:val="000000" w:themeColor="text1"/>
                <w:sz w:val="24"/>
                <w:szCs w:val="24"/>
              </w:rPr>
              <w:t>Gram Negative Bacteraemia</w:t>
            </w:r>
          </w:p>
        </w:tc>
        <w:tc>
          <w:tcPr>
            <w:tcW w:w="567" w:type="dxa"/>
            <w:shd w:val="clear" w:color="auto" w:fill="D6E3BC" w:themeFill="accent3" w:themeFillTint="66"/>
          </w:tcPr>
          <w:p w:rsidR="00DC6BF7" w:rsidRPr="00135AC1" w:rsidRDefault="00DC6BF7" w:rsidP="002764FE">
            <w:pPr>
              <w:rPr>
                <w:rFonts w:cs="Arial"/>
                <w:color w:val="000000" w:themeColor="text1"/>
                <w:sz w:val="24"/>
                <w:szCs w:val="24"/>
              </w:rPr>
            </w:pPr>
          </w:p>
        </w:tc>
        <w:tc>
          <w:tcPr>
            <w:tcW w:w="5917" w:type="dxa"/>
          </w:tcPr>
          <w:p w:rsidR="00DC6BF7" w:rsidRPr="00135AC1" w:rsidRDefault="00DC6BF7" w:rsidP="002764FE">
            <w:pPr>
              <w:rPr>
                <w:rFonts w:cs="Arial"/>
                <w:color w:val="000000" w:themeColor="text1"/>
                <w:sz w:val="24"/>
                <w:szCs w:val="24"/>
              </w:rPr>
            </w:pPr>
            <w:r w:rsidRPr="00135AC1">
              <w:rPr>
                <w:rFonts w:cs="Arial"/>
                <w:color w:val="000000" w:themeColor="text1"/>
                <w:sz w:val="24"/>
                <w:szCs w:val="24"/>
              </w:rPr>
              <w:t>There were zero reported instances of Gram Negative Bacteraemia in January 2021. Year to date the count is three.</w:t>
            </w:r>
          </w:p>
        </w:tc>
      </w:tr>
      <w:tr w:rsidR="00DC6BF7" w:rsidRPr="00751A96" w:rsidTr="002764FE">
        <w:trPr>
          <w:trHeight w:val="321"/>
        </w:trPr>
        <w:tc>
          <w:tcPr>
            <w:tcW w:w="2802" w:type="dxa"/>
          </w:tcPr>
          <w:p w:rsidR="00DC6BF7" w:rsidRPr="00751A96" w:rsidRDefault="00DC6BF7" w:rsidP="002764FE">
            <w:pPr>
              <w:rPr>
                <w:rFonts w:cs="Arial"/>
                <w:sz w:val="24"/>
                <w:szCs w:val="24"/>
              </w:rPr>
            </w:pPr>
            <w:r w:rsidRPr="00751A96">
              <w:rPr>
                <w:rFonts w:cs="Arial"/>
                <w:sz w:val="24"/>
                <w:szCs w:val="24"/>
              </w:rPr>
              <w:t>Surgical Site Infections</w:t>
            </w:r>
          </w:p>
        </w:tc>
        <w:tc>
          <w:tcPr>
            <w:tcW w:w="567" w:type="dxa"/>
            <w:shd w:val="clear" w:color="auto" w:fill="D9D9D9" w:themeFill="background1" w:themeFillShade="D9"/>
          </w:tcPr>
          <w:p w:rsidR="00DC6BF7" w:rsidRPr="00751A96" w:rsidRDefault="00DC6BF7" w:rsidP="002764FE">
            <w:pPr>
              <w:rPr>
                <w:rFonts w:cs="Arial"/>
                <w:sz w:val="24"/>
                <w:szCs w:val="24"/>
              </w:rPr>
            </w:pPr>
          </w:p>
        </w:tc>
        <w:tc>
          <w:tcPr>
            <w:tcW w:w="5917" w:type="dxa"/>
          </w:tcPr>
          <w:p w:rsidR="00DC6BF7" w:rsidRPr="00751A96" w:rsidRDefault="00DC6BF7" w:rsidP="002764FE">
            <w:pPr>
              <w:rPr>
                <w:rFonts w:cs="Arial"/>
                <w:sz w:val="24"/>
                <w:szCs w:val="24"/>
              </w:rPr>
            </w:pPr>
            <w:r w:rsidRPr="00751A96">
              <w:rPr>
                <w:rFonts w:cs="Arial"/>
                <w:sz w:val="24"/>
                <w:szCs w:val="24"/>
              </w:rPr>
              <w:t>There are four new Surgical Site Infection indicators which appear on the dashboard. These indicators were last measured in February 202</w:t>
            </w:r>
            <w:r>
              <w:rPr>
                <w:rFonts w:cs="Arial"/>
                <w:sz w:val="24"/>
                <w:szCs w:val="24"/>
              </w:rPr>
              <w:t>0</w:t>
            </w:r>
            <w:r w:rsidRPr="00751A96">
              <w:rPr>
                <w:rFonts w:cs="Arial"/>
                <w:sz w:val="24"/>
                <w:szCs w:val="24"/>
              </w:rPr>
              <w:t xml:space="preserve"> with reporting paused due to Coronavirus.</w:t>
            </w:r>
          </w:p>
        </w:tc>
      </w:tr>
    </w:tbl>
    <w:p w:rsidR="00AA1592" w:rsidRPr="007F0372" w:rsidRDefault="00AA1592" w:rsidP="00AA1592">
      <w:pPr>
        <w:rPr>
          <w:sz w:val="24"/>
        </w:rPr>
      </w:pPr>
    </w:p>
    <w:p w:rsidR="00A33DAD" w:rsidRPr="00442C2E" w:rsidRDefault="00A33DAD" w:rsidP="00BB2C7D">
      <w:pPr>
        <w:spacing w:after="180"/>
        <w:rPr>
          <w:rFonts w:cs="Arial"/>
          <w:b/>
          <w:color w:val="000000" w:themeColor="text1"/>
          <w:szCs w:val="22"/>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21543D" w:rsidRDefault="0021543D" w:rsidP="00BB2C7D">
      <w:pPr>
        <w:spacing w:after="180"/>
        <w:rPr>
          <w:rFonts w:cs="Arial"/>
          <w:b/>
          <w:color w:val="000000" w:themeColor="text1"/>
          <w:sz w:val="28"/>
          <w:szCs w:val="28"/>
        </w:rPr>
      </w:pPr>
    </w:p>
    <w:p w:rsidR="00587A7C" w:rsidRDefault="00587A7C" w:rsidP="00BB2C7D">
      <w:pPr>
        <w:spacing w:after="180"/>
        <w:rPr>
          <w:rFonts w:cs="Arial"/>
          <w:b/>
          <w:color w:val="000000" w:themeColor="text1"/>
          <w:sz w:val="28"/>
          <w:szCs w:val="28"/>
        </w:rPr>
      </w:pPr>
    </w:p>
    <w:p w:rsidR="00CE50E8" w:rsidRDefault="00CE50E8" w:rsidP="00CE50E8">
      <w:pPr>
        <w:spacing w:after="180"/>
        <w:jc w:val="both"/>
        <w:rPr>
          <w:b/>
          <w:sz w:val="28"/>
          <w:szCs w:val="28"/>
        </w:rPr>
      </w:pPr>
      <w:r w:rsidRPr="00F85722">
        <w:rPr>
          <w:b/>
          <w:sz w:val="28"/>
          <w:szCs w:val="28"/>
        </w:rPr>
        <w:lastRenderedPageBreak/>
        <w:t>Clinical Governance Executive Summary</w:t>
      </w:r>
    </w:p>
    <w:p w:rsidR="00B966EB" w:rsidRPr="00553BB1" w:rsidRDefault="00B966EB" w:rsidP="00B966EB">
      <w:pPr>
        <w:ind w:right="2"/>
        <w:rPr>
          <w:rFonts w:cs="Arial"/>
          <w:b/>
        </w:rPr>
      </w:pPr>
      <w:r w:rsidRPr="00553BB1">
        <w:rPr>
          <w:rFonts w:cs="Arial"/>
          <w:b/>
        </w:rPr>
        <w:t xml:space="preserve">Executive Summary </w:t>
      </w:r>
      <w:r w:rsidR="00DC6BF7">
        <w:rPr>
          <w:rFonts w:cs="Arial"/>
          <w:b/>
        </w:rPr>
        <w:t>February 2021</w:t>
      </w:r>
    </w:p>
    <w:p w:rsidR="00B966EB" w:rsidRPr="00553BB1" w:rsidRDefault="00B966EB" w:rsidP="00B966EB">
      <w:pPr>
        <w:ind w:right="2"/>
        <w:rPr>
          <w:rFonts w:cs="Arial"/>
        </w:rPr>
      </w:pPr>
    </w:p>
    <w:p w:rsidR="00DC6BF7" w:rsidRDefault="00DC6BF7" w:rsidP="00DC6BF7">
      <w:pPr>
        <w:spacing w:after="180"/>
        <w:jc w:val="both"/>
        <w:rPr>
          <w:sz w:val="24"/>
          <w:szCs w:val="28"/>
        </w:rPr>
      </w:pPr>
      <w:r w:rsidRPr="00AC1256">
        <w:rPr>
          <w:sz w:val="24"/>
          <w:szCs w:val="28"/>
        </w:rPr>
        <w:t xml:space="preserve">January saw a similar level of complaints to the previous two months with </w:t>
      </w:r>
      <w:r>
        <w:rPr>
          <w:sz w:val="24"/>
          <w:szCs w:val="28"/>
        </w:rPr>
        <w:t>five</w:t>
      </w:r>
      <w:r w:rsidRPr="00AC1256">
        <w:rPr>
          <w:sz w:val="24"/>
          <w:szCs w:val="28"/>
        </w:rPr>
        <w:t xml:space="preserve"> stage 2 and </w:t>
      </w:r>
      <w:r>
        <w:rPr>
          <w:sz w:val="24"/>
          <w:szCs w:val="28"/>
        </w:rPr>
        <w:t>one</w:t>
      </w:r>
      <w:r w:rsidRPr="00AC1256">
        <w:rPr>
          <w:sz w:val="24"/>
          <w:szCs w:val="28"/>
        </w:rPr>
        <w:t xml:space="preserve"> stage 1.  </w:t>
      </w:r>
    </w:p>
    <w:p w:rsidR="00DC6BF7" w:rsidRDefault="00DC6BF7" w:rsidP="00DC6BF7">
      <w:pPr>
        <w:spacing w:after="180"/>
        <w:jc w:val="both"/>
        <w:rPr>
          <w:sz w:val="24"/>
          <w:szCs w:val="28"/>
        </w:rPr>
      </w:pPr>
      <w:r w:rsidRPr="00AC1256">
        <w:rPr>
          <w:sz w:val="24"/>
          <w:szCs w:val="28"/>
        </w:rPr>
        <w:t xml:space="preserve">The feedback levels are consistent with the previous year and when looked at as a percentage of activity is showing an increase in the last quarter which is beginning to level off.   Waiting times is the highest category.  </w:t>
      </w:r>
    </w:p>
    <w:p w:rsidR="00DC6BF7" w:rsidRDefault="00DC6BF7" w:rsidP="00DC6BF7">
      <w:pPr>
        <w:spacing w:after="180"/>
        <w:jc w:val="both"/>
        <w:rPr>
          <w:sz w:val="24"/>
          <w:szCs w:val="28"/>
        </w:rPr>
      </w:pPr>
      <w:r w:rsidRPr="00AC1256">
        <w:rPr>
          <w:sz w:val="24"/>
          <w:szCs w:val="28"/>
        </w:rPr>
        <w:t xml:space="preserve">Stage 1 response times are at 100% for the last month; stage 2 continue to be a challenge.  </w:t>
      </w:r>
    </w:p>
    <w:p w:rsidR="00DC6BF7" w:rsidRDefault="00DC6BF7" w:rsidP="00DC6BF7">
      <w:pPr>
        <w:spacing w:after="180"/>
        <w:jc w:val="both"/>
        <w:rPr>
          <w:sz w:val="24"/>
          <w:szCs w:val="28"/>
        </w:rPr>
      </w:pPr>
      <w:r w:rsidRPr="00AC1256">
        <w:rPr>
          <w:sz w:val="24"/>
          <w:szCs w:val="28"/>
        </w:rPr>
        <w:t xml:space="preserve">The average response time for stage two complaints during quarter 3 Oct- Dec 2020 was 28.9 days.  </w:t>
      </w:r>
    </w:p>
    <w:p w:rsidR="00DC6BF7" w:rsidRDefault="00DC6BF7" w:rsidP="00DC6BF7">
      <w:pPr>
        <w:spacing w:after="180"/>
        <w:jc w:val="both"/>
        <w:rPr>
          <w:sz w:val="24"/>
          <w:szCs w:val="28"/>
        </w:rPr>
      </w:pPr>
      <w:r w:rsidRPr="00AC1256">
        <w:rPr>
          <w:sz w:val="24"/>
          <w:szCs w:val="28"/>
        </w:rPr>
        <w:t xml:space="preserve">There have been delays at investigation and sign off level that have impacted on the response times.  </w:t>
      </w:r>
    </w:p>
    <w:p w:rsidR="00DC6BF7" w:rsidRDefault="00DC6BF7" w:rsidP="00DC6BF7">
      <w:pPr>
        <w:spacing w:after="180"/>
        <w:jc w:val="both"/>
        <w:rPr>
          <w:sz w:val="24"/>
          <w:szCs w:val="28"/>
        </w:rPr>
      </w:pPr>
      <w:r w:rsidRPr="00AC1256">
        <w:rPr>
          <w:sz w:val="24"/>
          <w:szCs w:val="28"/>
        </w:rPr>
        <w:t xml:space="preserve">One shared complaint has been delayed whilst we await a response from the referring Board.  </w:t>
      </w:r>
    </w:p>
    <w:p w:rsidR="00DC6BF7" w:rsidRPr="004533BF" w:rsidRDefault="00DC6BF7" w:rsidP="00DC6BF7">
      <w:pPr>
        <w:spacing w:after="180"/>
        <w:jc w:val="both"/>
        <w:rPr>
          <w:b/>
          <w:color w:val="000000" w:themeColor="text1"/>
          <w:sz w:val="28"/>
          <w:szCs w:val="28"/>
        </w:rPr>
      </w:pPr>
      <w:r w:rsidRPr="00AC1256">
        <w:rPr>
          <w:sz w:val="24"/>
          <w:szCs w:val="28"/>
        </w:rPr>
        <w:t xml:space="preserve">The delays in investigation from service level have been discussed with Division Management teams with weekly meetings in place to review progress and highlight where delays are occurring.  Executive sign off process has also been reviewed.  This will be closely monitored.    </w:t>
      </w:r>
    </w:p>
    <w:p w:rsidR="003259FB" w:rsidRDefault="003259FB" w:rsidP="00573399">
      <w:pPr>
        <w:shd w:val="clear" w:color="auto" w:fill="FFFFFF" w:themeFill="background1"/>
        <w:tabs>
          <w:tab w:val="left" w:pos="1418"/>
        </w:tabs>
        <w:spacing w:after="120"/>
        <w:jc w:val="both"/>
        <w:rPr>
          <w:rFonts w:cs="Arial"/>
          <w:b/>
          <w:u w:val="single"/>
        </w:rPr>
      </w:pPr>
    </w:p>
    <w:p w:rsidR="00573399" w:rsidRPr="00573399" w:rsidRDefault="00573399" w:rsidP="00573399">
      <w:pPr>
        <w:shd w:val="clear" w:color="auto" w:fill="FFFFFF" w:themeFill="background1"/>
        <w:tabs>
          <w:tab w:val="left" w:pos="1418"/>
        </w:tabs>
        <w:spacing w:after="120"/>
        <w:jc w:val="both"/>
        <w:rPr>
          <w:rFonts w:cs="Arial"/>
          <w:b/>
          <w:u w:val="single"/>
        </w:rPr>
      </w:pPr>
      <w:r w:rsidRPr="00573399">
        <w:rPr>
          <w:rFonts w:cs="Arial"/>
          <w:b/>
          <w:u w:val="single"/>
        </w:rPr>
        <w:t xml:space="preserve">Key Healthcare Associated Infection Headlines </w:t>
      </w:r>
      <w:r w:rsidR="003259FB">
        <w:rPr>
          <w:rFonts w:cs="Arial"/>
          <w:b/>
          <w:u w:val="single"/>
        </w:rPr>
        <w:t>– (</w:t>
      </w:r>
      <w:r w:rsidR="00DC6BF7">
        <w:rPr>
          <w:rFonts w:cs="Arial"/>
          <w:b/>
          <w:u w:val="single"/>
        </w:rPr>
        <w:t>January 2021 data</w:t>
      </w:r>
      <w:r w:rsidR="003259FB">
        <w:rPr>
          <w:rFonts w:cs="Arial"/>
          <w:b/>
          <w:u w:val="single"/>
        </w:rPr>
        <w:t>)</w:t>
      </w:r>
    </w:p>
    <w:p w:rsidR="00DC6BF7" w:rsidRPr="001B616A" w:rsidRDefault="00DC6BF7" w:rsidP="00DC6BF7">
      <w:pPr>
        <w:pStyle w:val="ListParagraph"/>
        <w:numPr>
          <w:ilvl w:val="0"/>
          <w:numId w:val="32"/>
        </w:numPr>
        <w:spacing w:after="100" w:afterAutospacing="1"/>
        <w:contextualSpacing/>
        <w:jc w:val="both"/>
        <w:rPr>
          <w:rFonts w:cs="Arial"/>
          <w:szCs w:val="24"/>
        </w:rPr>
      </w:pPr>
      <w:r w:rsidRPr="001B616A">
        <w:rPr>
          <w:rFonts w:cs="Arial"/>
          <w:b/>
          <w:i/>
          <w:iCs/>
          <w:szCs w:val="24"/>
        </w:rPr>
        <w:t>Staphylococcus aureus</w:t>
      </w:r>
      <w:r w:rsidRPr="001B616A">
        <w:rPr>
          <w:rFonts w:cs="Arial"/>
          <w:b/>
          <w:szCs w:val="24"/>
        </w:rPr>
        <w:t xml:space="preserve"> Bacteraemia- </w:t>
      </w:r>
      <w:r w:rsidRPr="001B616A">
        <w:rPr>
          <w:rFonts w:cs="Arial"/>
          <w:szCs w:val="24"/>
        </w:rPr>
        <w:t xml:space="preserve">10 cases in total since April 2020. </w:t>
      </w:r>
    </w:p>
    <w:p w:rsidR="00DC6BF7" w:rsidRPr="001B616A" w:rsidRDefault="00DC6BF7" w:rsidP="00DC6BF7">
      <w:pPr>
        <w:pStyle w:val="ListParagraph"/>
        <w:numPr>
          <w:ilvl w:val="0"/>
          <w:numId w:val="31"/>
        </w:numPr>
        <w:spacing w:after="100" w:afterAutospacing="1"/>
        <w:contextualSpacing/>
        <w:jc w:val="both"/>
        <w:rPr>
          <w:rFonts w:cs="Arial"/>
          <w:szCs w:val="24"/>
        </w:rPr>
      </w:pPr>
      <w:r w:rsidRPr="001B616A">
        <w:rPr>
          <w:rFonts w:cs="Arial"/>
          <w:b/>
          <w:i/>
          <w:iCs/>
          <w:szCs w:val="24"/>
        </w:rPr>
        <w:t>cases</w:t>
      </w:r>
      <w:r w:rsidRPr="001B616A">
        <w:rPr>
          <w:rFonts w:cs="Arial"/>
          <w:szCs w:val="24"/>
        </w:rPr>
        <w:t xml:space="preserve"> to report in January, source Dental, IABP and chest sepsis related. </w:t>
      </w:r>
    </w:p>
    <w:p w:rsidR="00DC6BF7" w:rsidRPr="002A1180" w:rsidRDefault="00DC6BF7" w:rsidP="002A1180">
      <w:pPr>
        <w:pStyle w:val="ListParagraph"/>
        <w:spacing w:after="100" w:afterAutospacing="1"/>
        <w:ind w:left="709"/>
        <w:jc w:val="both"/>
        <w:rPr>
          <w:rFonts w:cs="Arial"/>
          <w:szCs w:val="24"/>
        </w:rPr>
      </w:pPr>
      <w:r w:rsidRPr="001B616A">
        <w:rPr>
          <w:rFonts w:cs="Arial"/>
          <w:szCs w:val="24"/>
        </w:rPr>
        <w:t xml:space="preserve">5 of 11 cases to date are PVC </w:t>
      </w:r>
      <w:r w:rsidR="002A1180">
        <w:rPr>
          <w:rFonts w:cs="Arial"/>
          <w:szCs w:val="24"/>
        </w:rPr>
        <w:t>relat</w:t>
      </w:r>
      <w:r w:rsidRPr="001B616A">
        <w:rPr>
          <w:rFonts w:cs="Arial"/>
          <w:szCs w:val="24"/>
        </w:rPr>
        <w:t>ed. Clinical Governance are working with the PCIT and have updated PVC bundles to reflect learning points. Updated bundles are currently out for printing.</w:t>
      </w:r>
    </w:p>
    <w:p w:rsidR="00DC6BF7" w:rsidRPr="001B616A" w:rsidRDefault="00DC6BF7" w:rsidP="00DC6BF7">
      <w:pPr>
        <w:pStyle w:val="ListParagraph"/>
        <w:numPr>
          <w:ilvl w:val="0"/>
          <w:numId w:val="32"/>
        </w:numPr>
        <w:spacing w:after="100" w:afterAutospacing="1"/>
        <w:contextualSpacing/>
        <w:jc w:val="both"/>
        <w:rPr>
          <w:rFonts w:cs="Arial"/>
          <w:szCs w:val="24"/>
        </w:rPr>
      </w:pPr>
      <w:r w:rsidRPr="001B616A">
        <w:rPr>
          <w:rFonts w:cs="Arial"/>
          <w:b/>
          <w:i/>
          <w:szCs w:val="24"/>
        </w:rPr>
        <w:t>Clostridioides difficile</w:t>
      </w:r>
      <w:r w:rsidRPr="001B616A">
        <w:rPr>
          <w:rFonts w:cs="Arial"/>
          <w:b/>
          <w:szCs w:val="24"/>
        </w:rPr>
        <w:t xml:space="preserve"> infection (previously known as </w:t>
      </w:r>
      <w:r w:rsidRPr="001B616A">
        <w:rPr>
          <w:rFonts w:cs="Arial"/>
          <w:b/>
          <w:i/>
          <w:szCs w:val="24"/>
        </w:rPr>
        <w:t>Clostridium difficile</w:t>
      </w:r>
      <w:r w:rsidRPr="001B616A">
        <w:rPr>
          <w:rFonts w:cs="Arial"/>
          <w:szCs w:val="24"/>
        </w:rPr>
        <w:t xml:space="preserve">)- 0 cases in Jan. </w:t>
      </w:r>
    </w:p>
    <w:p w:rsidR="00DC6BF7" w:rsidRPr="001B616A" w:rsidRDefault="00DC6BF7" w:rsidP="00DC6BF7">
      <w:pPr>
        <w:pStyle w:val="ListParagraph"/>
        <w:spacing w:after="100" w:afterAutospacing="1"/>
        <w:ind w:left="709"/>
        <w:jc w:val="both"/>
        <w:rPr>
          <w:rFonts w:cs="Arial"/>
          <w:szCs w:val="24"/>
        </w:rPr>
      </w:pPr>
      <w:r w:rsidRPr="001B616A">
        <w:rPr>
          <w:rFonts w:cs="Arial"/>
          <w:szCs w:val="24"/>
        </w:rPr>
        <w:t xml:space="preserve">Oct-Dec 20 quarterly data indicates the CDI rate out with the national trajectory. </w:t>
      </w:r>
      <w:r w:rsidRPr="001B616A">
        <w:rPr>
          <w:rFonts w:cs="Arial"/>
          <w:iCs/>
          <w:szCs w:val="24"/>
        </w:rPr>
        <w:t>Our low CDI rate, coupled with a reduction in total occupied beds days a res</w:t>
      </w:r>
      <w:r w:rsidR="002A1180">
        <w:rPr>
          <w:rFonts w:cs="Arial"/>
          <w:iCs/>
          <w:szCs w:val="24"/>
        </w:rPr>
        <w:t>ulted in an obvious rise in NHS</w:t>
      </w:r>
      <w:r w:rsidRPr="001B616A">
        <w:rPr>
          <w:rFonts w:cs="Arial"/>
          <w:iCs/>
          <w:szCs w:val="24"/>
        </w:rPr>
        <w:t>GJ CDI rate.</w:t>
      </w:r>
      <w:r w:rsidRPr="001B616A">
        <w:rPr>
          <w:rFonts w:cs="Arial"/>
          <w:szCs w:val="24"/>
        </w:rPr>
        <w:t xml:space="preserve"> No patient crossover noted in any case. </w:t>
      </w:r>
    </w:p>
    <w:p w:rsidR="00DC6BF7" w:rsidRPr="001B616A" w:rsidRDefault="00DC6BF7" w:rsidP="00DC6BF7">
      <w:pPr>
        <w:pStyle w:val="NoSpacing"/>
        <w:numPr>
          <w:ilvl w:val="0"/>
          <w:numId w:val="32"/>
        </w:numPr>
        <w:rPr>
          <w:rFonts w:cs="Arial"/>
          <w:color w:val="000000" w:themeColor="text1"/>
          <w:szCs w:val="24"/>
        </w:rPr>
      </w:pPr>
      <w:r w:rsidRPr="001B616A">
        <w:rPr>
          <w:rFonts w:cs="Arial"/>
          <w:b/>
          <w:szCs w:val="24"/>
        </w:rPr>
        <w:t>Gram Negative/E.coli Bacteraemia (ECB)</w:t>
      </w:r>
      <w:r w:rsidRPr="001B616A">
        <w:rPr>
          <w:rFonts w:cs="Arial"/>
          <w:szCs w:val="24"/>
        </w:rPr>
        <w:t>- No cases to report.</w:t>
      </w:r>
    </w:p>
    <w:p w:rsidR="00DC6BF7" w:rsidRPr="001B616A" w:rsidRDefault="00DC6BF7" w:rsidP="00DC6BF7">
      <w:pPr>
        <w:pStyle w:val="NoSpacing"/>
        <w:ind w:left="720"/>
        <w:rPr>
          <w:rFonts w:cs="Arial"/>
          <w:color w:val="000000" w:themeColor="text1"/>
          <w:szCs w:val="24"/>
        </w:rPr>
      </w:pPr>
    </w:p>
    <w:p w:rsidR="00DC6BF7" w:rsidRPr="001B616A" w:rsidRDefault="00DC6BF7" w:rsidP="00DC6BF7">
      <w:pPr>
        <w:pStyle w:val="ListParagraph"/>
        <w:numPr>
          <w:ilvl w:val="0"/>
          <w:numId w:val="32"/>
        </w:numPr>
        <w:contextualSpacing/>
        <w:rPr>
          <w:rFonts w:cs="Arial"/>
          <w:color w:val="000000" w:themeColor="text1"/>
          <w:szCs w:val="24"/>
        </w:rPr>
      </w:pPr>
      <w:r w:rsidRPr="001B616A">
        <w:rPr>
          <w:rFonts w:cs="Arial"/>
          <w:b/>
          <w:szCs w:val="24"/>
        </w:rPr>
        <w:t>Hand Hygiene</w:t>
      </w:r>
      <w:r w:rsidRPr="001B616A">
        <w:rPr>
          <w:rFonts w:cs="Arial"/>
          <w:szCs w:val="24"/>
        </w:rPr>
        <w:t>-</w:t>
      </w:r>
      <w:r w:rsidRPr="001B616A">
        <w:rPr>
          <w:rFonts w:cs="Arial"/>
          <w:color w:val="000000" w:themeColor="text1"/>
          <w:szCs w:val="24"/>
        </w:rPr>
        <w:t xml:space="preserve"> The </w:t>
      </w:r>
      <w:r w:rsidRPr="001B616A">
        <w:rPr>
          <w:rFonts w:cs="Arial"/>
          <w:b/>
          <w:color w:val="000000" w:themeColor="text1"/>
          <w:szCs w:val="24"/>
        </w:rPr>
        <w:t>bimonthly</w:t>
      </w:r>
      <w:r w:rsidRPr="001B616A">
        <w:rPr>
          <w:rFonts w:cs="Arial"/>
          <w:color w:val="000000" w:themeColor="text1"/>
          <w:szCs w:val="24"/>
        </w:rPr>
        <w:t xml:space="preserve"> report from January indicates an overall compliance of 100% with hand hygiene opportunity and technique. Medical staff compliance has increased from 86% in November.</w:t>
      </w:r>
    </w:p>
    <w:p w:rsidR="00DC6BF7" w:rsidRPr="001B616A" w:rsidRDefault="00DC6BF7" w:rsidP="00DC6BF7">
      <w:pPr>
        <w:pStyle w:val="ListParagraph"/>
        <w:rPr>
          <w:rFonts w:cs="Arial"/>
          <w:b/>
          <w:szCs w:val="24"/>
        </w:rPr>
      </w:pPr>
    </w:p>
    <w:p w:rsidR="00DC6BF7" w:rsidRPr="001B616A" w:rsidRDefault="00DC6BF7" w:rsidP="00DC6BF7">
      <w:pPr>
        <w:pStyle w:val="ListParagraph"/>
        <w:numPr>
          <w:ilvl w:val="0"/>
          <w:numId w:val="32"/>
        </w:numPr>
        <w:contextualSpacing/>
        <w:rPr>
          <w:rFonts w:cs="Arial"/>
          <w:b/>
          <w:szCs w:val="24"/>
        </w:rPr>
      </w:pPr>
      <w:r w:rsidRPr="001B616A">
        <w:rPr>
          <w:rFonts w:cs="Arial"/>
          <w:b/>
          <w:szCs w:val="24"/>
        </w:rPr>
        <w:t>Cleaning and the Healthcare Environment- Facilities Management Tool</w:t>
      </w:r>
    </w:p>
    <w:p w:rsidR="00DC6BF7" w:rsidRPr="001B616A" w:rsidRDefault="00DC6BF7" w:rsidP="00DC6BF7">
      <w:pPr>
        <w:rPr>
          <w:rFonts w:cs="Arial"/>
          <w:sz w:val="24"/>
          <w:szCs w:val="24"/>
        </w:rPr>
      </w:pPr>
      <w:r w:rsidRPr="001B616A">
        <w:rPr>
          <w:rFonts w:cs="Arial"/>
          <w:b/>
          <w:sz w:val="24"/>
          <w:szCs w:val="24"/>
        </w:rPr>
        <w:t xml:space="preserve">            Housekeeping Compliance:  </w:t>
      </w:r>
      <w:r w:rsidRPr="001B616A">
        <w:rPr>
          <w:rFonts w:cs="Arial"/>
          <w:sz w:val="24"/>
          <w:szCs w:val="24"/>
        </w:rPr>
        <w:t>98.13%</w:t>
      </w:r>
      <w:r w:rsidRPr="001B616A">
        <w:rPr>
          <w:rFonts w:cs="Arial"/>
          <w:b/>
          <w:sz w:val="24"/>
          <w:szCs w:val="24"/>
        </w:rPr>
        <w:t xml:space="preserve">         Estates Compliance: </w:t>
      </w:r>
      <w:r w:rsidRPr="001B616A">
        <w:rPr>
          <w:rFonts w:cs="Arial"/>
          <w:sz w:val="24"/>
          <w:szCs w:val="24"/>
        </w:rPr>
        <w:t xml:space="preserve"> 98.27%</w:t>
      </w:r>
    </w:p>
    <w:p w:rsidR="00DC6BF7" w:rsidRPr="001B616A" w:rsidRDefault="00DC6BF7" w:rsidP="00DC6BF7">
      <w:pPr>
        <w:ind w:left="709"/>
        <w:rPr>
          <w:rFonts w:cs="Arial"/>
          <w:sz w:val="24"/>
          <w:szCs w:val="24"/>
        </w:rPr>
      </w:pPr>
    </w:p>
    <w:p w:rsidR="00DC6BF7" w:rsidRPr="001B616A" w:rsidRDefault="00DC6BF7" w:rsidP="001B616A">
      <w:pPr>
        <w:pStyle w:val="Default"/>
        <w:numPr>
          <w:ilvl w:val="0"/>
          <w:numId w:val="34"/>
        </w:numPr>
      </w:pPr>
      <w:r w:rsidRPr="001B616A">
        <w:rPr>
          <w:b/>
        </w:rPr>
        <w:t>Surgical Site Infection</w:t>
      </w:r>
      <w:r w:rsidRPr="001B616A">
        <w:t xml:space="preserve">- As per CE Letter 25/03/2020 “Temporary changes to routine surveillance requirements”, SSI surveillance has been paused until further notice. </w:t>
      </w:r>
    </w:p>
    <w:p w:rsidR="00573399" w:rsidRPr="00573399" w:rsidRDefault="00573399" w:rsidP="00573399">
      <w:pPr>
        <w:shd w:val="clear" w:color="auto" w:fill="FFFFFF" w:themeFill="background1"/>
        <w:tabs>
          <w:tab w:val="left" w:pos="1418"/>
        </w:tabs>
        <w:spacing w:after="120"/>
        <w:jc w:val="both"/>
        <w:rPr>
          <w:rFonts w:cs="Arial"/>
          <w:b/>
          <w:sz w:val="20"/>
          <w:u w:val="single"/>
        </w:rPr>
      </w:pPr>
    </w:p>
    <w:p w:rsidR="00014189" w:rsidRPr="00B966EB" w:rsidRDefault="00014189" w:rsidP="00014189">
      <w:pPr>
        <w:pStyle w:val="ListParagraph"/>
        <w:ind w:left="0"/>
        <w:rPr>
          <w:rFonts w:cs="Arial"/>
          <w:b/>
          <w:sz w:val="22"/>
          <w:szCs w:val="22"/>
        </w:rPr>
      </w:pPr>
    </w:p>
    <w:p w:rsidR="00014189" w:rsidRPr="001B616A" w:rsidRDefault="00014189" w:rsidP="00014189">
      <w:pPr>
        <w:pStyle w:val="ListParagraph"/>
        <w:ind w:left="0"/>
        <w:rPr>
          <w:rFonts w:cs="Arial"/>
          <w:b/>
          <w:szCs w:val="22"/>
        </w:rPr>
      </w:pPr>
      <w:r w:rsidRPr="001B616A">
        <w:rPr>
          <w:rFonts w:cs="Arial"/>
          <w:b/>
          <w:szCs w:val="22"/>
        </w:rPr>
        <w:t>Other HAI Related Activity</w:t>
      </w:r>
    </w:p>
    <w:p w:rsidR="00014189" w:rsidRPr="001B616A" w:rsidRDefault="00014189" w:rsidP="00DC6BF7">
      <w:pPr>
        <w:pStyle w:val="ListParagraph"/>
        <w:ind w:left="0"/>
        <w:rPr>
          <w:rFonts w:cs="Arial"/>
          <w:b/>
          <w:szCs w:val="22"/>
        </w:rPr>
      </w:pPr>
    </w:p>
    <w:p w:rsidR="00DC6BF7" w:rsidRPr="001B616A" w:rsidRDefault="00DC6BF7" w:rsidP="00DC6BF7">
      <w:pPr>
        <w:pStyle w:val="ListParagraph"/>
        <w:numPr>
          <w:ilvl w:val="0"/>
          <w:numId w:val="33"/>
        </w:numPr>
        <w:rPr>
          <w:rFonts w:cs="Arial"/>
          <w:szCs w:val="22"/>
        </w:rPr>
      </w:pPr>
      <w:r w:rsidRPr="001B616A">
        <w:rPr>
          <w:rFonts w:cs="Arial"/>
          <w:b/>
          <w:szCs w:val="22"/>
        </w:rPr>
        <w:t xml:space="preserve">Contact Tracing- </w:t>
      </w:r>
      <w:r w:rsidRPr="001B616A">
        <w:rPr>
          <w:rFonts w:cs="Arial"/>
          <w:szCs w:val="22"/>
        </w:rPr>
        <w:t>As community incidence of COVID 19 is increasing the team have been working with Occupational Health and clinical teams to ensure timeous contact tracing/ self-isolation.</w:t>
      </w:r>
    </w:p>
    <w:p w:rsidR="00DC6BF7" w:rsidRPr="001B616A" w:rsidRDefault="00DC6BF7" w:rsidP="00DC6BF7">
      <w:pPr>
        <w:pStyle w:val="ListParagraph"/>
        <w:ind w:left="0"/>
        <w:rPr>
          <w:rFonts w:cs="Arial"/>
          <w:szCs w:val="22"/>
        </w:rPr>
      </w:pPr>
    </w:p>
    <w:p w:rsidR="00DC6BF7" w:rsidRPr="001B616A" w:rsidRDefault="00DC6BF7" w:rsidP="00DC6BF7">
      <w:pPr>
        <w:pStyle w:val="ListParagraph"/>
        <w:numPr>
          <w:ilvl w:val="0"/>
          <w:numId w:val="33"/>
        </w:numPr>
        <w:rPr>
          <w:rFonts w:cs="Arial"/>
          <w:szCs w:val="22"/>
        </w:rPr>
      </w:pPr>
      <w:r w:rsidRPr="001B616A">
        <w:rPr>
          <w:rFonts w:cs="Arial"/>
          <w:b/>
          <w:szCs w:val="22"/>
        </w:rPr>
        <w:t>ARHAI-</w:t>
      </w:r>
      <w:r w:rsidR="002A1180">
        <w:rPr>
          <w:rFonts w:cs="Arial"/>
          <w:b/>
          <w:szCs w:val="22"/>
        </w:rPr>
        <w:t xml:space="preserve"> </w:t>
      </w:r>
      <w:r w:rsidRPr="001B616A">
        <w:rPr>
          <w:rFonts w:cs="Arial"/>
          <w:szCs w:val="22"/>
        </w:rPr>
        <w:t>Ongoing support to ARHAI re national guidance through weekly update meetings and consultation of patient pathways management.</w:t>
      </w:r>
    </w:p>
    <w:p w:rsidR="00DC6BF7" w:rsidRDefault="00DC6BF7" w:rsidP="00DC6BF7">
      <w:pPr>
        <w:pStyle w:val="ListParagraph"/>
        <w:ind w:left="0"/>
        <w:rPr>
          <w:rFonts w:cs="Arial"/>
          <w:sz w:val="22"/>
          <w:szCs w:val="22"/>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1B616A" w:rsidRDefault="001B616A" w:rsidP="00CE50E8">
      <w:pPr>
        <w:spacing w:after="200" w:line="276" w:lineRule="auto"/>
        <w:rPr>
          <w:rFonts w:cs="Arial"/>
          <w:b/>
          <w:sz w:val="24"/>
          <w:szCs w:val="24"/>
        </w:rPr>
      </w:pPr>
    </w:p>
    <w:p w:rsidR="002A1180" w:rsidRDefault="002A1180">
      <w:pPr>
        <w:spacing w:after="200" w:line="276" w:lineRule="auto"/>
        <w:rPr>
          <w:rFonts w:cs="Arial"/>
          <w:b/>
          <w:bCs/>
          <w:noProof/>
          <w:color w:val="FFFFFF" w:themeColor="background1"/>
          <w:kern w:val="32"/>
          <w:sz w:val="28"/>
          <w:szCs w:val="28"/>
          <w:lang w:eastAsia="en-GB"/>
        </w:rPr>
      </w:pPr>
      <w:r>
        <w:br w:type="page"/>
      </w:r>
    </w:p>
    <w:p w:rsidR="00025608" w:rsidRPr="007B3705" w:rsidRDefault="00025608" w:rsidP="00025608">
      <w:pPr>
        <w:pStyle w:val="Heading1"/>
      </w:pPr>
      <w:r w:rsidRPr="007B3705">
        <w:lastRenderedPageBreak/>
        <w:t>Section B:2 Staff Governance</w:t>
      </w:r>
    </w:p>
    <w:tbl>
      <w:tblPr>
        <w:tblStyle w:val="TableGrid"/>
        <w:tblW w:w="9286" w:type="dxa"/>
        <w:tblLayout w:type="fixed"/>
        <w:tblLook w:val="04A0" w:firstRow="1" w:lastRow="0" w:firstColumn="1" w:lastColumn="0" w:noHBand="0" w:noVBand="1"/>
      </w:tblPr>
      <w:tblGrid>
        <w:gridCol w:w="2802"/>
        <w:gridCol w:w="567"/>
        <w:gridCol w:w="5917"/>
      </w:tblGrid>
      <w:tr w:rsidR="001B616A" w:rsidRPr="00A170A9" w:rsidTr="002764FE">
        <w:trPr>
          <w:trHeight w:val="321"/>
        </w:trPr>
        <w:tc>
          <w:tcPr>
            <w:tcW w:w="9286" w:type="dxa"/>
            <w:gridSpan w:val="3"/>
            <w:shd w:val="clear" w:color="auto" w:fill="B2A1C7" w:themeFill="accent4" w:themeFillTint="99"/>
          </w:tcPr>
          <w:p w:rsidR="001B616A" w:rsidRPr="00A170A9" w:rsidRDefault="001B616A" w:rsidP="002764FE">
            <w:pPr>
              <w:rPr>
                <w:rFonts w:cs="Arial"/>
                <w:sz w:val="24"/>
                <w:szCs w:val="24"/>
              </w:rPr>
            </w:pPr>
            <w:r w:rsidRPr="00A170A9">
              <w:rPr>
                <w:rFonts w:cs="Arial"/>
                <w:b/>
                <w:sz w:val="24"/>
                <w:szCs w:val="24"/>
              </w:rPr>
              <w:t>Staff Governance</w:t>
            </w:r>
          </w:p>
        </w:tc>
      </w:tr>
      <w:tr w:rsidR="001B616A" w:rsidRPr="00751A96" w:rsidTr="002764FE">
        <w:trPr>
          <w:trHeight w:val="651"/>
        </w:trPr>
        <w:tc>
          <w:tcPr>
            <w:tcW w:w="2802" w:type="dxa"/>
            <w:shd w:val="clear" w:color="auto" w:fill="auto"/>
          </w:tcPr>
          <w:p w:rsidR="001B616A" w:rsidRPr="00751A96" w:rsidRDefault="001B616A" w:rsidP="002764FE">
            <w:pPr>
              <w:rPr>
                <w:rFonts w:cs="Arial"/>
                <w:sz w:val="24"/>
                <w:szCs w:val="24"/>
              </w:rPr>
            </w:pPr>
            <w:r w:rsidRPr="00751A96">
              <w:rPr>
                <w:rFonts w:cs="Arial"/>
                <w:sz w:val="24"/>
                <w:szCs w:val="24"/>
              </w:rPr>
              <w:t>Disciplinaries, Grievances and Bullying</w:t>
            </w:r>
          </w:p>
        </w:tc>
        <w:tc>
          <w:tcPr>
            <w:tcW w:w="567" w:type="dxa"/>
            <w:shd w:val="clear" w:color="auto" w:fill="D6E3BC" w:themeFill="accent3" w:themeFillTint="66"/>
          </w:tcPr>
          <w:p w:rsidR="001B616A" w:rsidRPr="00751A96" w:rsidRDefault="001B616A" w:rsidP="002764FE">
            <w:pPr>
              <w:rPr>
                <w:rFonts w:cs="Arial"/>
                <w:sz w:val="24"/>
                <w:szCs w:val="24"/>
                <w:highlight w:val="yellow"/>
              </w:rPr>
            </w:pPr>
          </w:p>
        </w:tc>
        <w:tc>
          <w:tcPr>
            <w:tcW w:w="5917" w:type="dxa"/>
          </w:tcPr>
          <w:p w:rsidR="001B616A" w:rsidRPr="00751A96" w:rsidRDefault="001B616A" w:rsidP="002764FE">
            <w:pPr>
              <w:rPr>
                <w:rFonts w:cs="Arial"/>
                <w:sz w:val="24"/>
                <w:szCs w:val="24"/>
              </w:rPr>
            </w:pPr>
            <w:r w:rsidRPr="00751A96">
              <w:rPr>
                <w:rFonts w:cs="Arial"/>
                <w:sz w:val="24"/>
                <w:szCs w:val="24"/>
              </w:rPr>
              <w:t>There were zero cases reported in January 202</w:t>
            </w:r>
            <w:r>
              <w:rPr>
                <w:rFonts w:cs="Arial"/>
                <w:sz w:val="24"/>
                <w:szCs w:val="24"/>
              </w:rPr>
              <w:t>1</w:t>
            </w:r>
            <w:r w:rsidRPr="00751A96">
              <w:rPr>
                <w:rFonts w:cs="Arial"/>
                <w:sz w:val="24"/>
                <w:szCs w:val="24"/>
              </w:rPr>
              <w:t>.</w:t>
            </w:r>
          </w:p>
        </w:tc>
      </w:tr>
      <w:tr w:rsidR="001B616A" w:rsidRPr="0078118A" w:rsidTr="002764FE">
        <w:trPr>
          <w:trHeight w:val="651"/>
        </w:trPr>
        <w:tc>
          <w:tcPr>
            <w:tcW w:w="2802" w:type="dxa"/>
            <w:shd w:val="clear" w:color="auto" w:fill="FFFFFF" w:themeFill="background1"/>
          </w:tcPr>
          <w:p w:rsidR="001B616A" w:rsidRPr="0078118A" w:rsidRDefault="001B616A" w:rsidP="002764FE">
            <w:pPr>
              <w:rPr>
                <w:rFonts w:cs="Arial"/>
                <w:sz w:val="24"/>
                <w:szCs w:val="24"/>
              </w:rPr>
            </w:pPr>
            <w:r w:rsidRPr="0078118A">
              <w:rPr>
                <w:rFonts w:cs="Arial"/>
                <w:sz w:val="24"/>
                <w:szCs w:val="24"/>
              </w:rPr>
              <w:t>Local Sickness absence</w:t>
            </w:r>
          </w:p>
        </w:tc>
        <w:tc>
          <w:tcPr>
            <w:tcW w:w="567" w:type="dxa"/>
            <w:shd w:val="clear" w:color="auto" w:fill="E5B8B7" w:themeFill="accent2" w:themeFillTint="66"/>
          </w:tcPr>
          <w:p w:rsidR="001B616A" w:rsidRPr="0078118A" w:rsidRDefault="001B616A" w:rsidP="002764FE">
            <w:pPr>
              <w:rPr>
                <w:rFonts w:cs="Arial"/>
                <w:sz w:val="24"/>
                <w:szCs w:val="24"/>
                <w:highlight w:val="yellow"/>
              </w:rPr>
            </w:pPr>
          </w:p>
        </w:tc>
        <w:tc>
          <w:tcPr>
            <w:tcW w:w="5917" w:type="dxa"/>
            <w:shd w:val="clear" w:color="auto" w:fill="FFFFFF" w:themeFill="background1"/>
          </w:tcPr>
          <w:p w:rsidR="001B616A" w:rsidRPr="0078118A" w:rsidRDefault="001B616A" w:rsidP="002764FE">
            <w:pPr>
              <w:rPr>
                <w:rFonts w:cs="Arial"/>
                <w:sz w:val="24"/>
                <w:szCs w:val="24"/>
              </w:rPr>
            </w:pPr>
            <w:r w:rsidRPr="0078118A">
              <w:rPr>
                <w:rFonts w:cs="Arial"/>
                <w:sz w:val="24"/>
                <w:szCs w:val="24"/>
              </w:rPr>
              <w:t>Sickness absence in January 202</w:t>
            </w:r>
            <w:r>
              <w:rPr>
                <w:rFonts w:cs="Arial"/>
                <w:sz w:val="24"/>
                <w:szCs w:val="24"/>
              </w:rPr>
              <w:t>1</w:t>
            </w:r>
            <w:r w:rsidRPr="0078118A">
              <w:rPr>
                <w:rFonts w:cs="Arial"/>
                <w:sz w:val="24"/>
                <w:szCs w:val="24"/>
              </w:rPr>
              <w:t xml:space="preserve"> was reported at 4.6%, an increase of 0.1%. Absence due to COVID-19 reasons was 3.8% in January (+1.7%) </w:t>
            </w:r>
          </w:p>
        </w:tc>
      </w:tr>
      <w:tr w:rsidR="001B616A" w:rsidRPr="004567AA" w:rsidTr="002764FE">
        <w:trPr>
          <w:trHeight w:val="651"/>
        </w:trPr>
        <w:tc>
          <w:tcPr>
            <w:tcW w:w="2802" w:type="dxa"/>
          </w:tcPr>
          <w:p w:rsidR="001B616A" w:rsidRPr="004567AA" w:rsidRDefault="001B616A" w:rsidP="002764FE">
            <w:pPr>
              <w:rPr>
                <w:rFonts w:cs="Arial"/>
                <w:sz w:val="24"/>
                <w:szCs w:val="24"/>
              </w:rPr>
            </w:pPr>
            <w:r w:rsidRPr="004567AA">
              <w:rPr>
                <w:rFonts w:cs="Arial"/>
                <w:sz w:val="24"/>
                <w:szCs w:val="24"/>
              </w:rPr>
              <w:t>Turnover</w:t>
            </w:r>
          </w:p>
        </w:tc>
        <w:tc>
          <w:tcPr>
            <w:tcW w:w="567" w:type="dxa"/>
            <w:shd w:val="clear" w:color="auto" w:fill="D6E3BC" w:themeFill="accent3" w:themeFillTint="66"/>
          </w:tcPr>
          <w:p w:rsidR="001B616A" w:rsidRPr="004567AA" w:rsidRDefault="001B616A" w:rsidP="002764FE">
            <w:pPr>
              <w:rPr>
                <w:rFonts w:cs="Arial"/>
                <w:sz w:val="24"/>
                <w:szCs w:val="24"/>
              </w:rPr>
            </w:pPr>
          </w:p>
        </w:tc>
        <w:tc>
          <w:tcPr>
            <w:tcW w:w="5917" w:type="dxa"/>
          </w:tcPr>
          <w:p w:rsidR="001B616A" w:rsidRPr="004567AA" w:rsidRDefault="001B616A" w:rsidP="002764FE">
            <w:pPr>
              <w:rPr>
                <w:rFonts w:cs="Arial"/>
                <w:sz w:val="24"/>
                <w:szCs w:val="24"/>
              </w:rPr>
            </w:pPr>
            <w:r w:rsidRPr="004567AA">
              <w:rPr>
                <w:rFonts w:cs="Arial"/>
                <w:sz w:val="24"/>
                <w:szCs w:val="24"/>
              </w:rPr>
              <w:t>Turnover in January 2021 was reported as within control limits at 0.4%</w:t>
            </w:r>
          </w:p>
        </w:tc>
      </w:tr>
      <w:tr w:rsidR="001B616A" w:rsidRPr="00E662E1" w:rsidTr="002764FE">
        <w:trPr>
          <w:trHeight w:val="707"/>
        </w:trPr>
        <w:tc>
          <w:tcPr>
            <w:tcW w:w="2802"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Medical appraisal with completed interview and form 4</w:t>
            </w:r>
          </w:p>
        </w:tc>
        <w:tc>
          <w:tcPr>
            <w:tcW w:w="567" w:type="dxa"/>
            <w:shd w:val="clear" w:color="auto" w:fill="D9D9D9" w:themeFill="background1" w:themeFillShade="D9"/>
          </w:tcPr>
          <w:p w:rsidR="001B616A" w:rsidRPr="00E662E1" w:rsidRDefault="001B616A" w:rsidP="002764FE">
            <w:pPr>
              <w:rPr>
                <w:rFonts w:cs="Arial"/>
                <w:color w:val="000000" w:themeColor="text1"/>
                <w:sz w:val="24"/>
                <w:szCs w:val="24"/>
              </w:rPr>
            </w:pPr>
          </w:p>
        </w:tc>
        <w:tc>
          <w:tcPr>
            <w:tcW w:w="5917"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 xml:space="preserve">January 2021 performance </w:t>
            </w:r>
            <w:r>
              <w:rPr>
                <w:rFonts w:cs="Arial"/>
                <w:color w:val="000000" w:themeColor="text1"/>
                <w:sz w:val="24"/>
                <w:szCs w:val="24"/>
              </w:rPr>
              <w:t xml:space="preserve">was </w:t>
            </w:r>
            <w:r w:rsidRPr="00E662E1">
              <w:rPr>
                <w:rFonts w:cs="Arial"/>
                <w:color w:val="000000" w:themeColor="text1"/>
                <w:sz w:val="24"/>
                <w:szCs w:val="24"/>
              </w:rPr>
              <w:t xml:space="preserve">reported as 22% (39/106). </w:t>
            </w:r>
          </w:p>
        </w:tc>
      </w:tr>
      <w:tr w:rsidR="001B616A" w:rsidRPr="00E662E1" w:rsidTr="002764FE">
        <w:trPr>
          <w:trHeight w:val="707"/>
        </w:trPr>
        <w:tc>
          <w:tcPr>
            <w:tcW w:w="2802"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TURAS Appraisal rates</w:t>
            </w:r>
          </w:p>
        </w:tc>
        <w:tc>
          <w:tcPr>
            <w:tcW w:w="567" w:type="dxa"/>
            <w:shd w:val="clear" w:color="auto" w:fill="E5B8B7" w:themeFill="accent2" w:themeFillTint="66"/>
          </w:tcPr>
          <w:p w:rsidR="001B616A" w:rsidRPr="00E662E1" w:rsidRDefault="001B616A" w:rsidP="002764FE">
            <w:pPr>
              <w:rPr>
                <w:rFonts w:cs="Arial"/>
                <w:color w:val="000000" w:themeColor="text1"/>
                <w:sz w:val="24"/>
                <w:szCs w:val="24"/>
              </w:rPr>
            </w:pPr>
          </w:p>
        </w:tc>
        <w:tc>
          <w:tcPr>
            <w:tcW w:w="5917"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The TURAS position for January 2021 reports the position at 53%, a 1% decrease on last month.</w:t>
            </w:r>
          </w:p>
        </w:tc>
      </w:tr>
      <w:tr w:rsidR="001B616A" w:rsidRPr="00E662E1" w:rsidTr="002764FE">
        <w:trPr>
          <w:trHeight w:val="651"/>
        </w:trPr>
        <w:tc>
          <w:tcPr>
            <w:tcW w:w="2802"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Job Planning: All hospital</w:t>
            </w:r>
          </w:p>
        </w:tc>
        <w:tc>
          <w:tcPr>
            <w:tcW w:w="567" w:type="dxa"/>
            <w:shd w:val="clear" w:color="auto" w:fill="D9D9D9" w:themeFill="background1" w:themeFillShade="D9"/>
          </w:tcPr>
          <w:p w:rsidR="001B616A" w:rsidRPr="00E662E1" w:rsidRDefault="001B616A" w:rsidP="002764FE">
            <w:pPr>
              <w:rPr>
                <w:rFonts w:cs="Arial"/>
                <w:color w:val="000000" w:themeColor="text1"/>
                <w:sz w:val="24"/>
                <w:szCs w:val="24"/>
              </w:rPr>
            </w:pPr>
          </w:p>
        </w:tc>
        <w:tc>
          <w:tcPr>
            <w:tcW w:w="5917"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 xml:space="preserve">The January 2021 performance reported as 37% (39/106). </w:t>
            </w:r>
          </w:p>
          <w:p w:rsidR="001B616A" w:rsidRPr="00E662E1" w:rsidRDefault="001B616A" w:rsidP="002764FE">
            <w:pPr>
              <w:rPr>
                <w:rFonts w:cs="Arial"/>
                <w:color w:val="000000" w:themeColor="text1"/>
                <w:sz w:val="24"/>
                <w:szCs w:val="24"/>
              </w:rPr>
            </w:pPr>
          </w:p>
        </w:tc>
      </w:tr>
    </w:tbl>
    <w:p w:rsidR="007F0372" w:rsidRPr="007F0372" w:rsidRDefault="007F0372" w:rsidP="00AA1592">
      <w:pPr>
        <w:rPr>
          <w:sz w:val="24"/>
        </w:rPr>
      </w:pPr>
    </w:p>
    <w:p w:rsidR="00AA1592" w:rsidRDefault="00AA1592"/>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CE50E8" w:rsidRDefault="00CE50E8"/>
    <w:p w:rsidR="0021543D" w:rsidRDefault="0021543D"/>
    <w:p w:rsidR="0021543D" w:rsidRDefault="0021543D"/>
    <w:p w:rsidR="00002804" w:rsidRDefault="00002804"/>
    <w:p w:rsidR="00036181" w:rsidRDefault="00036181"/>
    <w:p w:rsidR="001B616A" w:rsidRDefault="001B616A"/>
    <w:p w:rsidR="001B616A" w:rsidRDefault="001B616A"/>
    <w:p w:rsidR="001B616A" w:rsidRDefault="001B616A"/>
    <w:p w:rsidR="001B616A" w:rsidRDefault="001B616A"/>
    <w:p w:rsidR="00CE50E8" w:rsidRDefault="00CE50E8"/>
    <w:p w:rsidR="00CE50E8" w:rsidRPr="000C38D4" w:rsidRDefault="00CE50E8" w:rsidP="00CE50E8">
      <w:pPr>
        <w:spacing w:after="180"/>
        <w:rPr>
          <w:rFonts w:cs="Arial"/>
          <w:b/>
          <w:sz w:val="28"/>
          <w:szCs w:val="28"/>
        </w:rPr>
      </w:pPr>
      <w:r w:rsidRPr="000C38D4">
        <w:rPr>
          <w:rFonts w:cs="Arial"/>
          <w:b/>
          <w:sz w:val="28"/>
          <w:szCs w:val="28"/>
        </w:rPr>
        <w:lastRenderedPageBreak/>
        <w:t>Staff Governance Executive Summary</w:t>
      </w:r>
    </w:p>
    <w:p w:rsidR="00CE50E8" w:rsidRPr="0064786A" w:rsidRDefault="00CE50E8" w:rsidP="00CE50E8">
      <w:pPr>
        <w:ind w:right="2"/>
        <w:rPr>
          <w:rFonts w:cs="Arial"/>
        </w:rPr>
      </w:pPr>
    </w:p>
    <w:p w:rsidR="00014189" w:rsidRPr="00553BB1" w:rsidRDefault="00014189" w:rsidP="00014189">
      <w:pPr>
        <w:ind w:right="2"/>
        <w:rPr>
          <w:rFonts w:cs="Arial"/>
          <w:b/>
        </w:rPr>
      </w:pPr>
      <w:r w:rsidRPr="00553BB1">
        <w:rPr>
          <w:rFonts w:cs="Arial"/>
          <w:b/>
        </w:rPr>
        <w:t xml:space="preserve">Executive Summary </w:t>
      </w:r>
      <w:r w:rsidR="001B616A">
        <w:rPr>
          <w:rFonts w:cs="Arial"/>
          <w:b/>
        </w:rPr>
        <w:t>January 2021</w:t>
      </w:r>
    </w:p>
    <w:p w:rsidR="00014189" w:rsidRPr="00553BB1" w:rsidRDefault="00014189" w:rsidP="00014189">
      <w:pPr>
        <w:ind w:right="2"/>
        <w:rPr>
          <w:rFonts w:cs="Arial"/>
        </w:rPr>
      </w:pPr>
    </w:p>
    <w:p w:rsidR="001B616A" w:rsidRDefault="001B616A" w:rsidP="001B616A">
      <w:pPr>
        <w:ind w:right="2"/>
        <w:textAlignment w:val="baseline"/>
        <w:rPr>
          <w:color w:val="000000"/>
        </w:rPr>
      </w:pPr>
      <w:r>
        <w:rPr>
          <w:color w:val="000000"/>
        </w:rPr>
        <w:t>In January 2021 the Board’s sickness absence rate stood at 4.6%, up 0.1% on the previous month. Despite the increase sickness conti</w:t>
      </w:r>
      <w:r w:rsidRPr="00CE5695">
        <w:rPr>
          <w:color w:val="000000"/>
        </w:rPr>
        <w:t>nues to be reported within the normal range with January’s position being below average.</w:t>
      </w:r>
    </w:p>
    <w:p w:rsidR="004F61C3" w:rsidRDefault="001B616A" w:rsidP="001B616A">
      <w:pPr>
        <w:jc w:val="center"/>
      </w:pPr>
      <w:r>
        <w:rPr>
          <w:noProof/>
          <w:color w:val="000000"/>
          <w:lang w:eastAsia="en-GB"/>
        </w:rPr>
        <w:drawing>
          <wp:inline distT="0" distB="0" distL="0" distR="0" wp14:anchorId="2AACE36B" wp14:editId="459D4B79">
            <wp:extent cx="5635672" cy="276308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9638" cy="2818959"/>
                    </a:xfrm>
                    <a:prstGeom prst="rect">
                      <a:avLst/>
                    </a:prstGeom>
                    <a:noFill/>
                  </pic:spPr>
                </pic:pic>
              </a:graphicData>
            </a:graphic>
          </wp:inline>
        </w:drawing>
      </w:r>
    </w:p>
    <w:p w:rsidR="001B616A" w:rsidRDefault="001B616A" w:rsidP="001B616A">
      <w:pPr>
        <w:ind w:right="2"/>
        <w:textAlignment w:val="baseline"/>
        <w:rPr>
          <w:color w:val="000000"/>
        </w:rPr>
      </w:pPr>
    </w:p>
    <w:p w:rsidR="001B616A" w:rsidRDefault="001B616A" w:rsidP="001B616A">
      <w:pPr>
        <w:ind w:right="2"/>
        <w:textAlignment w:val="baseline"/>
        <w:rPr>
          <w:rFonts w:ascii="Calibri" w:hAnsi="Calibri"/>
          <w:color w:val="000000"/>
        </w:rPr>
      </w:pPr>
      <w:r>
        <w:rPr>
          <w:color w:val="000000"/>
        </w:rPr>
        <w:t>Across the Directorates absence was as follows:</w:t>
      </w:r>
    </w:p>
    <w:p w:rsidR="001B616A" w:rsidRDefault="001B616A" w:rsidP="001B616A">
      <w:pPr>
        <w:numPr>
          <w:ilvl w:val="0"/>
          <w:numId w:val="7"/>
        </w:numPr>
        <w:ind w:right="2"/>
        <w:textAlignment w:val="baseline"/>
        <w:rPr>
          <w:color w:val="000000"/>
        </w:rPr>
      </w:pPr>
      <w:r>
        <w:rPr>
          <w:color w:val="000000"/>
        </w:rPr>
        <w:t>Corporate: 3.9%, up from 3.6% the previous month;</w:t>
      </w:r>
    </w:p>
    <w:p w:rsidR="001B616A" w:rsidRDefault="001B616A" w:rsidP="001B616A">
      <w:pPr>
        <w:numPr>
          <w:ilvl w:val="0"/>
          <w:numId w:val="7"/>
        </w:numPr>
        <w:ind w:right="2"/>
        <w:textAlignment w:val="baseline"/>
        <w:rPr>
          <w:color w:val="000000"/>
        </w:rPr>
      </w:pPr>
      <w:r>
        <w:rPr>
          <w:color w:val="000000"/>
        </w:rPr>
        <w:t>Golden Jubilee Conference Hotel: 3.6%, up 0.7% on December;</w:t>
      </w:r>
    </w:p>
    <w:p w:rsidR="001B616A" w:rsidRDefault="001B616A" w:rsidP="001B616A">
      <w:pPr>
        <w:numPr>
          <w:ilvl w:val="0"/>
          <w:numId w:val="7"/>
        </w:numPr>
        <w:ind w:right="2"/>
        <w:textAlignment w:val="baseline"/>
        <w:rPr>
          <w:color w:val="000000"/>
        </w:rPr>
      </w:pPr>
      <w:r>
        <w:rPr>
          <w:color w:val="000000"/>
        </w:rPr>
        <w:t>Heart, Lung and Diagnostic Services: 5.0%, up from 4.0% in the previous month; and</w:t>
      </w:r>
    </w:p>
    <w:p w:rsidR="001B616A" w:rsidRDefault="001B616A" w:rsidP="001B616A">
      <w:pPr>
        <w:numPr>
          <w:ilvl w:val="0"/>
          <w:numId w:val="7"/>
        </w:numPr>
        <w:ind w:right="2"/>
        <w:textAlignment w:val="baseline"/>
        <w:rPr>
          <w:color w:val="000000"/>
        </w:rPr>
      </w:pPr>
      <w:r>
        <w:rPr>
          <w:color w:val="000000"/>
        </w:rPr>
        <w:t>National Elective Services: 5.0%, which was 1.4% lower than December.</w:t>
      </w:r>
    </w:p>
    <w:p w:rsidR="001B616A" w:rsidRDefault="001B616A" w:rsidP="001B616A">
      <w:pPr>
        <w:ind w:right="2"/>
        <w:textAlignment w:val="baseline"/>
        <w:rPr>
          <w:color w:val="000000"/>
        </w:rPr>
      </w:pPr>
    </w:p>
    <w:p w:rsidR="001B616A" w:rsidRDefault="001B616A" w:rsidP="001B616A">
      <w:pPr>
        <w:ind w:right="2"/>
        <w:textAlignment w:val="baseline"/>
      </w:pPr>
      <w:r>
        <w:rPr>
          <w:color w:val="000000"/>
        </w:rPr>
        <w:t xml:space="preserve">As with previous months, a large proportion of sickness absence </w:t>
      </w:r>
      <w:r>
        <w:t xml:space="preserve">was due to “Anxiety/stress/ depression/other psychiatric illnesses”.  It accounted for 25.4% of the Board’s sickness absence, 2.4% less than in December.  It was the main cause of sickness absence </w:t>
      </w:r>
      <w:r w:rsidR="00BA6637">
        <w:t xml:space="preserve">for </w:t>
      </w:r>
      <w:r>
        <w:t>three of the four directorates:</w:t>
      </w:r>
    </w:p>
    <w:p w:rsidR="001B616A" w:rsidRDefault="001B616A" w:rsidP="001B616A">
      <w:pPr>
        <w:numPr>
          <w:ilvl w:val="0"/>
          <w:numId w:val="21"/>
        </w:numPr>
        <w:ind w:right="2"/>
        <w:textAlignment w:val="baseline"/>
      </w:pPr>
      <w:r>
        <w:t>Corporate, 30.0%;</w:t>
      </w:r>
    </w:p>
    <w:p w:rsidR="001B616A" w:rsidRDefault="001B616A" w:rsidP="001B616A">
      <w:pPr>
        <w:numPr>
          <w:ilvl w:val="0"/>
          <w:numId w:val="21"/>
        </w:numPr>
        <w:ind w:right="2"/>
        <w:textAlignment w:val="baseline"/>
      </w:pPr>
      <w:r>
        <w:t>Heart, Lung and Diagnostic Services, 21.8%; and</w:t>
      </w:r>
    </w:p>
    <w:p w:rsidR="001B616A" w:rsidRDefault="001B616A" w:rsidP="001B616A">
      <w:pPr>
        <w:numPr>
          <w:ilvl w:val="0"/>
          <w:numId w:val="21"/>
        </w:numPr>
        <w:ind w:right="2"/>
        <w:textAlignment w:val="baseline"/>
      </w:pPr>
      <w:r>
        <w:t>National Elective Services, 29.2%.</w:t>
      </w:r>
    </w:p>
    <w:p w:rsidR="002A1180" w:rsidRDefault="002A1180" w:rsidP="00BA6637"/>
    <w:p w:rsidR="001B616A" w:rsidRDefault="001B616A" w:rsidP="00BA6637">
      <w:r>
        <w:t>In the Conference Hotel the main reason for sickness absence was “Unknown cause/not specified”, accounting for 68.1% of the Hotel’s sickness absence.</w:t>
      </w:r>
    </w:p>
    <w:p w:rsidR="004F61C3" w:rsidRDefault="004F61C3"/>
    <w:p w:rsidR="001B616A" w:rsidRDefault="001B616A" w:rsidP="001B616A">
      <w:pPr>
        <w:rPr>
          <w:b/>
          <w:bCs/>
        </w:rPr>
      </w:pPr>
      <w:r>
        <w:rPr>
          <w:b/>
          <w:bCs/>
        </w:rPr>
        <w:t>COVID-19</w:t>
      </w:r>
    </w:p>
    <w:p w:rsidR="001B616A" w:rsidRDefault="001B616A" w:rsidP="001B616A">
      <w:r>
        <w:t>In January COVID-19 special leave accounted for 3.8% of all contracted hours, up</w:t>
      </w:r>
      <w:r w:rsidR="002A1180">
        <w:t xml:space="preserve"> from 1.7% the previous month. </w:t>
      </w:r>
      <w:r>
        <w:t>The Directorate breakdown was:</w:t>
      </w:r>
    </w:p>
    <w:p w:rsidR="001B616A" w:rsidRDefault="001B616A" w:rsidP="001B616A">
      <w:pPr>
        <w:numPr>
          <w:ilvl w:val="0"/>
          <w:numId w:val="8"/>
        </w:numPr>
      </w:pPr>
      <w:r>
        <w:t>Corporate: 2.5%;</w:t>
      </w:r>
    </w:p>
    <w:p w:rsidR="001B616A" w:rsidRDefault="001B616A" w:rsidP="001B616A">
      <w:pPr>
        <w:numPr>
          <w:ilvl w:val="0"/>
          <w:numId w:val="8"/>
        </w:numPr>
      </w:pPr>
      <w:r>
        <w:t>Golden Jubilee Conference Hotel: 2.9%;</w:t>
      </w:r>
    </w:p>
    <w:p w:rsidR="001B616A" w:rsidRDefault="001B616A" w:rsidP="001B616A">
      <w:pPr>
        <w:numPr>
          <w:ilvl w:val="0"/>
          <w:numId w:val="8"/>
        </w:numPr>
      </w:pPr>
      <w:r>
        <w:t>Heart, Lung and Diagnostic Services: 3.7%; and</w:t>
      </w:r>
    </w:p>
    <w:p w:rsidR="001B616A" w:rsidRDefault="001B616A" w:rsidP="001B616A">
      <w:pPr>
        <w:numPr>
          <w:ilvl w:val="0"/>
          <w:numId w:val="8"/>
        </w:numPr>
      </w:pPr>
      <w:r>
        <w:t>National Elective Services: 5.3%.</w:t>
      </w:r>
    </w:p>
    <w:p w:rsidR="00BA6637" w:rsidRDefault="00BA6637" w:rsidP="001B616A"/>
    <w:p w:rsidR="001B616A" w:rsidRDefault="001B616A" w:rsidP="001B616A">
      <w:r>
        <w:t>The large increase is mainly due to members of staff having to shield due to underlying health conditions, which was not the case in December.</w:t>
      </w:r>
    </w:p>
    <w:p w:rsidR="001B616A" w:rsidRDefault="001B616A" w:rsidP="001B616A"/>
    <w:p w:rsidR="001B616A" w:rsidRDefault="001B616A" w:rsidP="001B616A">
      <w:r>
        <w:t>We will continue to provide a monthly summary of COVID-19 absences until the end of the pandemic.</w:t>
      </w:r>
    </w:p>
    <w:p w:rsidR="001B616A" w:rsidRDefault="001B616A"/>
    <w:p w:rsidR="001B616A" w:rsidRDefault="001B616A" w:rsidP="001B616A">
      <w:pPr>
        <w:ind w:right="2"/>
        <w:textAlignment w:val="baseline"/>
        <w:rPr>
          <w:b/>
          <w:bCs/>
        </w:rPr>
      </w:pPr>
    </w:p>
    <w:p w:rsidR="001B616A" w:rsidRDefault="001B616A" w:rsidP="001B616A">
      <w:pPr>
        <w:ind w:right="2"/>
        <w:textAlignment w:val="baseline"/>
        <w:rPr>
          <w:b/>
          <w:bCs/>
        </w:rPr>
      </w:pPr>
    </w:p>
    <w:p w:rsidR="001B616A" w:rsidRDefault="001B616A" w:rsidP="001B616A">
      <w:pPr>
        <w:ind w:right="2"/>
        <w:textAlignment w:val="baseline"/>
        <w:rPr>
          <w:b/>
          <w:bCs/>
        </w:rPr>
      </w:pPr>
      <w:r>
        <w:rPr>
          <w:b/>
          <w:bCs/>
        </w:rPr>
        <w:t>Agenda for Change appraisal</w:t>
      </w:r>
    </w:p>
    <w:p w:rsidR="001B616A" w:rsidRDefault="001B616A" w:rsidP="001B616A">
      <w:pPr>
        <w:ind w:right="2"/>
        <w:textAlignment w:val="baseline"/>
      </w:pPr>
      <w:r>
        <w:t xml:space="preserve">Within the year to 31 January </w:t>
      </w:r>
      <w:r w:rsidR="00BA6637">
        <w:t xml:space="preserve">2021 </w:t>
      </w:r>
      <w:r>
        <w:t>53% of staff who come under the Agenda for Change terms and conditions completed their appraisal using TURAS, which is down 1% on the previous month.  The Directorate breakdown is as follows:</w:t>
      </w:r>
    </w:p>
    <w:p w:rsidR="001B616A" w:rsidRDefault="001B616A" w:rsidP="001B616A">
      <w:pPr>
        <w:numPr>
          <w:ilvl w:val="0"/>
          <w:numId w:val="22"/>
        </w:numPr>
        <w:ind w:right="2"/>
        <w:textAlignment w:val="baseline"/>
      </w:pPr>
      <w:r>
        <w:t>Corporate:                                              </w:t>
      </w:r>
      <w:r w:rsidR="002A1180">
        <w:tab/>
      </w:r>
      <w:r>
        <w:t>36%, down 2%;</w:t>
      </w:r>
    </w:p>
    <w:p w:rsidR="001B616A" w:rsidRDefault="001B616A" w:rsidP="001B616A">
      <w:pPr>
        <w:numPr>
          <w:ilvl w:val="0"/>
          <w:numId w:val="22"/>
        </w:numPr>
        <w:ind w:right="2"/>
        <w:textAlignment w:val="baseline"/>
      </w:pPr>
      <w:r>
        <w:t xml:space="preserve">Golden Jubilee Conference Hotel:    </w:t>
      </w:r>
      <w:r w:rsidR="002A1180">
        <w:tab/>
      </w:r>
      <w:r>
        <w:t>74%, up 3%;</w:t>
      </w:r>
    </w:p>
    <w:p w:rsidR="00BA6637" w:rsidRDefault="001B616A" w:rsidP="001B616A">
      <w:pPr>
        <w:numPr>
          <w:ilvl w:val="0"/>
          <w:numId w:val="22"/>
        </w:numPr>
        <w:ind w:right="2"/>
        <w:textAlignment w:val="baseline"/>
      </w:pPr>
      <w:r>
        <w:t>Heart, Lung and Diagnostic Services:</w:t>
      </w:r>
      <w:r w:rsidR="002A1180">
        <w:tab/>
      </w:r>
      <w:r>
        <w:t>63%, up 1%; and</w:t>
      </w:r>
    </w:p>
    <w:p w:rsidR="001B616A" w:rsidRDefault="001B616A" w:rsidP="001B616A">
      <w:pPr>
        <w:numPr>
          <w:ilvl w:val="0"/>
          <w:numId w:val="22"/>
        </w:numPr>
        <w:ind w:right="2"/>
        <w:textAlignment w:val="baseline"/>
      </w:pPr>
      <w:r>
        <w:t>National Elective Services:                  </w:t>
      </w:r>
      <w:r w:rsidR="002A1180">
        <w:tab/>
      </w:r>
      <w:r>
        <w:t>54%, down 3%.</w:t>
      </w:r>
    </w:p>
    <w:p w:rsidR="004F61C3" w:rsidRDefault="004F61C3"/>
    <w:p w:rsidR="004F61C3" w:rsidRDefault="004F61C3"/>
    <w:p w:rsidR="004F61C3" w:rsidRDefault="004F61C3"/>
    <w:p w:rsidR="004F61C3" w:rsidRDefault="004F61C3"/>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1B616A" w:rsidRDefault="001B616A"/>
    <w:p w:rsidR="00C468AD" w:rsidRDefault="00C468AD"/>
    <w:p w:rsidR="00C468AD" w:rsidRDefault="00C468AD"/>
    <w:p w:rsidR="00A6577D" w:rsidRPr="007B3705" w:rsidRDefault="00A6577D" w:rsidP="00A6577D">
      <w:pPr>
        <w:pStyle w:val="Heading1"/>
      </w:pPr>
      <w:r w:rsidRPr="007B3705">
        <w:lastRenderedPageBreak/>
        <w:t>Section B:</w:t>
      </w:r>
      <w:r>
        <w:t>3</w:t>
      </w:r>
      <w:r w:rsidRPr="007B3705">
        <w:t xml:space="preserve"> </w:t>
      </w:r>
      <w:r>
        <w:t>Finance, Performance and Resources</w:t>
      </w:r>
    </w:p>
    <w:tbl>
      <w:tblPr>
        <w:tblStyle w:val="TableGrid"/>
        <w:tblW w:w="9286" w:type="dxa"/>
        <w:tblLayout w:type="fixed"/>
        <w:tblLook w:val="04A0" w:firstRow="1" w:lastRow="0" w:firstColumn="1" w:lastColumn="0" w:noHBand="0" w:noVBand="1"/>
      </w:tblPr>
      <w:tblGrid>
        <w:gridCol w:w="2802"/>
        <w:gridCol w:w="567"/>
        <w:gridCol w:w="5917"/>
      </w:tblGrid>
      <w:tr w:rsidR="001B616A" w:rsidRPr="00611F2F" w:rsidTr="002764FE">
        <w:trPr>
          <w:trHeight w:val="433"/>
        </w:trPr>
        <w:tc>
          <w:tcPr>
            <w:tcW w:w="9286" w:type="dxa"/>
            <w:gridSpan w:val="3"/>
            <w:shd w:val="clear" w:color="auto" w:fill="C4BC96" w:themeFill="background2" w:themeFillShade="BF"/>
          </w:tcPr>
          <w:p w:rsidR="001B616A" w:rsidRPr="00611F2F" w:rsidRDefault="001B616A" w:rsidP="002764FE">
            <w:pPr>
              <w:rPr>
                <w:rFonts w:cs="Arial"/>
                <w:sz w:val="24"/>
                <w:szCs w:val="24"/>
              </w:rPr>
            </w:pPr>
            <w:r w:rsidRPr="00611F2F">
              <w:rPr>
                <w:rFonts w:cs="Arial"/>
                <w:b/>
                <w:sz w:val="24"/>
                <w:szCs w:val="24"/>
              </w:rPr>
              <w:t>Finance, Performance and Resources</w:t>
            </w:r>
          </w:p>
        </w:tc>
      </w:tr>
      <w:tr w:rsidR="001B616A" w:rsidRPr="00E662E1" w:rsidTr="002764FE">
        <w:tc>
          <w:tcPr>
            <w:tcW w:w="2802"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Finance – Manage within annual budget limit</w:t>
            </w:r>
          </w:p>
        </w:tc>
        <w:tc>
          <w:tcPr>
            <w:tcW w:w="567" w:type="dxa"/>
            <w:shd w:val="clear" w:color="auto" w:fill="D6E3BC" w:themeFill="accent3" w:themeFillTint="66"/>
          </w:tcPr>
          <w:p w:rsidR="001B616A" w:rsidRPr="00E662E1" w:rsidRDefault="001B616A" w:rsidP="002764FE">
            <w:pPr>
              <w:rPr>
                <w:rFonts w:cs="Arial"/>
                <w:color w:val="000000" w:themeColor="text1"/>
                <w:sz w:val="24"/>
                <w:szCs w:val="24"/>
              </w:rPr>
            </w:pPr>
          </w:p>
        </w:tc>
        <w:tc>
          <w:tcPr>
            <w:tcW w:w="5917"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As at month ten the position was reported as a surplus of 225k.</w:t>
            </w:r>
          </w:p>
        </w:tc>
      </w:tr>
      <w:tr w:rsidR="001B616A" w:rsidRPr="00E662E1" w:rsidTr="002764FE">
        <w:tc>
          <w:tcPr>
            <w:tcW w:w="2802"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Finance – Efficiency savings</w:t>
            </w:r>
          </w:p>
        </w:tc>
        <w:tc>
          <w:tcPr>
            <w:tcW w:w="567" w:type="dxa"/>
            <w:shd w:val="clear" w:color="auto" w:fill="E5B8B7" w:themeFill="accent2" w:themeFillTint="66"/>
          </w:tcPr>
          <w:p w:rsidR="001B616A" w:rsidRPr="00E662E1" w:rsidRDefault="001B616A" w:rsidP="002764FE">
            <w:pPr>
              <w:rPr>
                <w:rFonts w:cs="Arial"/>
                <w:color w:val="000000" w:themeColor="text1"/>
                <w:sz w:val="24"/>
                <w:szCs w:val="24"/>
              </w:rPr>
            </w:pPr>
          </w:p>
        </w:tc>
        <w:tc>
          <w:tcPr>
            <w:tcW w:w="5917" w:type="dxa"/>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 xml:space="preserve">As at month ten efficiency savings of £1,835,00 were reported against a profile of £3,100,000. </w:t>
            </w:r>
          </w:p>
        </w:tc>
      </w:tr>
      <w:tr w:rsidR="001B616A" w:rsidRPr="00E662E1" w:rsidTr="002764FE">
        <w:tc>
          <w:tcPr>
            <w:tcW w:w="2802" w:type="dxa"/>
            <w:shd w:val="clear" w:color="auto" w:fill="auto"/>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 xml:space="preserve">Cancer 31 Day </w:t>
            </w:r>
          </w:p>
        </w:tc>
        <w:tc>
          <w:tcPr>
            <w:tcW w:w="567" w:type="dxa"/>
            <w:shd w:val="clear" w:color="auto" w:fill="D6E3BC" w:themeFill="accent3" w:themeFillTint="66"/>
          </w:tcPr>
          <w:p w:rsidR="001B616A" w:rsidRPr="00E662E1" w:rsidRDefault="001B616A" w:rsidP="002764FE">
            <w:pPr>
              <w:rPr>
                <w:rFonts w:cs="Arial"/>
                <w:color w:val="000000" w:themeColor="text1"/>
                <w:sz w:val="24"/>
                <w:szCs w:val="24"/>
              </w:rPr>
            </w:pPr>
          </w:p>
        </w:tc>
        <w:tc>
          <w:tcPr>
            <w:tcW w:w="5917" w:type="dxa"/>
            <w:shd w:val="clear" w:color="auto" w:fill="FFFFFF" w:themeFill="background1"/>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 xml:space="preserve">In December 2020 performance was reported as 97% (32/33) </w:t>
            </w:r>
          </w:p>
        </w:tc>
      </w:tr>
      <w:tr w:rsidR="001B616A" w:rsidRPr="004567AA" w:rsidTr="002764FE">
        <w:tc>
          <w:tcPr>
            <w:tcW w:w="2802" w:type="dxa"/>
          </w:tcPr>
          <w:p w:rsidR="001B616A" w:rsidRPr="004567AA" w:rsidRDefault="001B616A" w:rsidP="002764FE">
            <w:pPr>
              <w:rPr>
                <w:rFonts w:cs="Arial"/>
                <w:sz w:val="24"/>
                <w:szCs w:val="24"/>
              </w:rPr>
            </w:pPr>
            <w:r w:rsidRPr="004567AA">
              <w:rPr>
                <w:rFonts w:cs="Arial"/>
                <w:sz w:val="24"/>
                <w:szCs w:val="24"/>
              </w:rPr>
              <w:t>TTG: Number of patients who have breached the TTG</w:t>
            </w:r>
          </w:p>
        </w:tc>
        <w:tc>
          <w:tcPr>
            <w:tcW w:w="567" w:type="dxa"/>
            <w:shd w:val="clear" w:color="auto" w:fill="E5B8B7" w:themeFill="accent2" w:themeFillTint="66"/>
          </w:tcPr>
          <w:p w:rsidR="001B616A" w:rsidRPr="004567AA" w:rsidRDefault="001B616A" w:rsidP="002764FE">
            <w:pPr>
              <w:rPr>
                <w:rFonts w:cs="Arial"/>
                <w:sz w:val="24"/>
                <w:szCs w:val="24"/>
              </w:rPr>
            </w:pPr>
          </w:p>
        </w:tc>
        <w:tc>
          <w:tcPr>
            <w:tcW w:w="5917" w:type="dxa"/>
          </w:tcPr>
          <w:p w:rsidR="001B616A" w:rsidRPr="004567AA" w:rsidRDefault="001B616A" w:rsidP="002764FE">
            <w:pPr>
              <w:rPr>
                <w:rFonts w:cs="Arial"/>
                <w:sz w:val="24"/>
                <w:szCs w:val="24"/>
              </w:rPr>
            </w:pPr>
            <w:r w:rsidRPr="004567AA">
              <w:rPr>
                <w:rFonts w:cs="Arial"/>
                <w:sz w:val="24"/>
                <w:szCs w:val="24"/>
              </w:rPr>
              <w:t>In January 2021 there were 123 patients who exceeded their twelve week treatment time guarantee. This included 2 cardiac surgery patients,10 coronary patients,45 electrophysiology patients,6 device patients,4 respiratory patients,11 orthopaedic patients,45 ophthalmology patients.</w:t>
            </w:r>
          </w:p>
        </w:tc>
      </w:tr>
      <w:tr w:rsidR="001B616A" w:rsidRPr="003E1C72" w:rsidTr="002764FE">
        <w:tc>
          <w:tcPr>
            <w:tcW w:w="2802" w:type="dxa"/>
          </w:tcPr>
          <w:p w:rsidR="001B616A" w:rsidRPr="003E1C72" w:rsidRDefault="001B616A" w:rsidP="002764FE">
            <w:pPr>
              <w:rPr>
                <w:rFonts w:cs="Arial"/>
                <w:sz w:val="24"/>
                <w:szCs w:val="24"/>
                <w:highlight w:val="yellow"/>
              </w:rPr>
            </w:pPr>
            <w:r w:rsidRPr="003E1C72">
              <w:rPr>
                <w:rFonts w:cs="Arial"/>
                <w:sz w:val="24"/>
                <w:szCs w:val="24"/>
              </w:rPr>
              <w:t>TTG: Percentage of patients admitted within 12 weeks</w:t>
            </w:r>
          </w:p>
        </w:tc>
        <w:tc>
          <w:tcPr>
            <w:tcW w:w="567" w:type="dxa"/>
            <w:shd w:val="clear" w:color="auto" w:fill="E5B8B7" w:themeFill="accent2" w:themeFillTint="66"/>
          </w:tcPr>
          <w:p w:rsidR="001B616A" w:rsidRPr="003E1C72" w:rsidRDefault="001B616A" w:rsidP="002764FE">
            <w:pPr>
              <w:rPr>
                <w:rFonts w:cs="Arial"/>
                <w:sz w:val="24"/>
                <w:szCs w:val="24"/>
                <w:highlight w:val="yellow"/>
              </w:rPr>
            </w:pPr>
          </w:p>
        </w:tc>
        <w:tc>
          <w:tcPr>
            <w:tcW w:w="5917" w:type="dxa"/>
            <w:shd w:val="clear" w:color="auto" w:fill="auto"/>
          </w:tcPr>
          <w:p w:rsidR="001B616A" w:rsidRPr="003E1C72" w:rsidRDefault="001B616A" w:rsidP="002764FE">
            <w:pPr>
              <w:rPr>
                <w:rFonts w:cs="Arial"/>
                <w:sz w:val="24"/>
                <w:szCs w:val="24"/>
              </w:rPr>
            </w:pPr>
            <w:r w:rsidRPr="003E1C72">
              <w:rPr>
                <w:rFonts w:cs="Arial"/>
                <w:sz w:val="24"/>
                <w:szCs w:val="24"/>
              </w:rPr>
              <w:t>The percentage of patients who were admitted within their twelve week treatment time guarantee increased by 8.3% from 73.4% in December 2020 to 81.7% in January 2021. This reflects a decrease in the number of patients admitted over twelve weeks (-106).</w:t>
            </w:r>
          </w:p>
        </w:tc>
      </w:tr>
      <w:tr w:rsidR="001B616A" w:rsidRPr="003E1C72" w:rsidTr="002764FE">
        <w:tc>
          <w:tcPr>
            <w:tcW w:w="2802" w:type="dxa"/>
          </w:tcPr>
          <w:p w:rsidR="001B616A" w:rsidRPr="003E1C72" w:rsidRDefault="001B616A" w:rsidP="002764FE">
            <w:pPr>
              <w:rPr>
                <w:rFonts w:cs="Arial"/>
                <w:sz w:val="24"/>
                <w:szCs w:val="24"/>
              </w:rPr>
            </w:pPr>
            <w:r w:rsidRPr="003E1C72">
              <w:rPr>
                <w:rFonts w:cs="Arial"/>
                <w:sz w:val="24"/>
                <w:szCs w:val="24"/>
              </w:rPr>
              <w:t>Stage of Treatment Guarantee – Inpatient and DC cases (Heart &amp; Lung only)</w:t>
            </w:r>
          </w:p>
        </w:tc>
        <w:tc>
          <w:tcPr>
            <w:tcW w:w="567" w:type="dxa"/>
            <w:shd w:val="clear" w:color="auto" w:fill="E5B8B7" w:themeFill="accent2" w:themeFillTint="66"/>
          </w:tcPr>
          <w:p w:rsidR="001B616A" w:rsidRPr="003E1C72" w:rsidRDefault="001B616A" w:rsidP="002764FE">
            <w:pPr>
              <w:rPr>
                <w:rFonts w:cs="Arial"/>
                <w:sz w:val="24"/>
                <w:szCs w:val="24"/>
              </w:rPr>
            </w:pPr>
          </w:p>
        </w:tc>
        <w:tc>
          <w:tcPr>
            <w:tcW w:w="5917" w:type="dxa"/>
          </w:tcPr>
          <w:p w:rsidR="001B616A" w:rsidRPr="003E1C72" w:rsidRDefault="001B616A" w:rsidP="002764FE">
            <w:pPr>
              <w:rPr>
                <w:rFonts w:cs="Arial"/>
                <w:sz w:val="24"/>
                <w:szCs w:val="24"/>
              </w:rPr>
            </w:pPr>
            <w:r w:rsidRPr="003E1C72">
              <w:rPr>
                <w:rFonts w:cs="Arial"/>
                <w:sz w:val="24"/>
                <w:szCs w:val="24"/>
              </w:rPr>
              <w:t>73% of Heart and Lung patients were treated within 12 weeks in January 2021 (319/437 )</w:t>
            </w:r>
          </w:p>
        </w:tc>
      </w:tr>
      <w:tr w:rsidR="001B616A" w:rsidRPr="005A10E6" w:rsidTr="002764FE">
        <w:tc>
          <w:tcPr>
            <w:tcW w:w="2802" w:type="dxa"/>
          </w:tcPr>
          <w:p w:rsidR="001B616A" w:rsidRPr="005A10E6" w:rsidRDefault="001B616A" w:rsidP="002764FE">
            <w:pPr>
              <w:rPr>
                <w:rFonts w:cs="Arial"/>
                <w:sz w:val="24"/>
                <w:szCs w:val="24"/>
                <w:highlight w:val="yellow"/>
              </w:rPr>
            </w:pPr>
            <w:r w:rsidRPr="005A10E6">
              <w:rPr>
                <w:rFonts w:cs="Arial"/>
                <w:sz w:val="24"/>
                <w:szCs w:val="24"/>
              </w:rPr>
              <w:t>DOSA rate: Cardiac Surgery</w:t>
            </w:r>
          </w:p>
        </w:tc>
        <w:tc>
          <w:tcPr>
            <w:tcW w:w="567" w:type="dxa"/>
            <w:shd w:val="clear" w:color="auto" w:fill="D9D9D9" w:themeFill="background1" w:themeFillShade="D9"/>
          </w:tcPr>
          <w:p w:rsidR="001B616A" w:rsidRPr="005A10E6" w:rsidRDefault="001B616A" w:rsidP="002764FE">
            <w:pPr>
              <w:rPr>
                <w:rFonts w:cs="Arial"/>
                <w:sz w:val="24"/>
                <w:szCs w:val="24"/>
                <w:highlight w:val="yellow"/>
              </w:rPr>
            </w:pPr>
          </w:p>
        </w:tc>
        <w:tc>
          <w:tcPr>
            <w:tcW w:w="5917" w:type="dxa"/>
          </w:tcPr>
          <w:p w:rsidR="001B616A" w:rsidRPr="005A10E6" w:rsidRDefault="001B616A" w:rsidP="002764FE">
            <w:pPr>
              <w:rPr>
                <w:rFonts w:cs="Arial"/>
                <w:sz w:val="24"/>
                <w:szCs w:val="24"/>
                <w:highlight w:val="yellow"/>
              </w:rPr>
            </w:pPr>
            <w:r w:rsidRPr="005A10E6">
              <w:rPr>
                <w:rFonts w:cs="Arial"/>
                <w:sz w:val="24"/>
                <w:szCs w:val="24"/>
              </w:rPr>
              <w:t>The Cardiac DoSA targets had been paused till January 2021. Confirmation of when DoSA cases will restart is to be confirmed.</w:t>
            </w:r>
            <w:r>
              <w:rPr>
                <w:rFonts w:cs="Arial"/>
                <w:sz w:val="24"/>
                <w:szCs w:val="24"/>
              </w:rPr>
              <w:t xml:space="preserve"> There were no DoSA cases in month.</w:t>
            </w:r>
          </w:p>
        </w:tc>
      </w:tr>
      <w:tr w:rsidR="001B616A" w:rsidRPr="005A10E6" w:rsidTr="002764FE">
        <w:tc>
          <w:tcPr>
            <w:tcW w:w="2802" w:type="dxa"/>
          </w:tcPr>
          <w:p w:rsidR="001B616A" w:rsidRPr="005A10E6" w:rsidRDefault="001B616A" w:rsidP="002764FE">
            <w:pPr>
              <w:rPr>
                <w:rFonts w:cs="Arial"/>
                <w:sz w:val="24"/>
                <w:szCs w:val="24"/>
                <w:highlight w:val="yellow"/>
              </w:rPr>
            </w:pPr>
            <w:r w:rsidRPr="005A10E6">
              <w:rPr>
                <w:rFonts w:cs="Arial"/>
                <w:sz w:val="24"/>
                <w:szCs w:val="24"/>
              </w:rPr>
              <w:t>DOSA rate: Thoracic Surgery</w:t>
            </w:r>
          </w:p>
        </w:tc>
        <w:tc>
          <w:tcPr>
            <w:tcW w:w="567" w:type="dxa"/>
            <w:shd w:val="clear" w:color="auto" w:fill="D9D9D9" w:themeFill="background1" w:themeFillShade="D9"/>
          </w:tcPr>
          <w:p w:rsidR="001B616A" w:rsidRPr="0090363C" w:rsidRDefault="001B616A" w:rsidP="002764FE">
            <w:pPr>
              <w:rPr>
                <w:rFonts w:cs="Arial"/>
                <w:color w:val="FF0000"/>
                <w:sz w:val="24"/>
                <w:szCs w:val="24"/>
                <w:highlight w:val="yellow"/>
              </w:rPr>
            </w:pPr>
          </w:p>
        </w:tc>
        <w:tc>
          <w:tcPr>
            <w:tcW w:w="5917" w:type="dxa"/>
          </w:tcPr>
          <w:p w:rsidR="001B616A" w:rsidRPr="005A10E6" w:rsidRDefault="001B616A" w:rsidP="002764FE">
            <w:pPr>
              <w:rPr>
                <w:rFonts w:cs="Arial"/>
                <w:sz w:val="24"/>
                <w:szCs w:val="24"/>
                <w:highlight w:val="yellow"/>
              </w:rPr>
            </w:pPr>
            <w:r w:rsidRPr="005A10E6">
              <w:rPr>
                <w:rFonts w:cs="Arial"/>
                <w:sz w:val="24"/>
                <w:szCs w:val="24"/>
              </w:rPr>
              <w:t xml:space="preserve">The </w:t>
            </w:r>
            <w:r>
              <w:rPr>
                <w:rFonts w:cs="Arial"/>
                <w:sz w:val="24"/>
                <w:szCs w:val="24"/>
              </w:rPr>
              <w:t>Thoracic</w:t>
            </w:r>
            <w:r w:rsidRPr="005A10E6">
              <w:rPr>
                <w:rFonts w:cs="Arial"/>
                <w:sz w:val="24"/>
                <w:szCs w:val="24"/>
              </w:rPr>
              <w:t xml:space="preserve"> DoSA targets had been paused till January 2021. Confirmation of when DoSA cases will restart is to be confirmed.</w:t>
            </w:r>
            <w:r>
              <w:rPr>
                <w:rFonts w:cs="Arial"/>
                <w:sz w:val="24"/>
                <w:szCs w:val="24"/>
              </w:rPr>
              <w:t xml:space="preserve"> There were no DoSA cases in month.</w:t>
            </w:r>
          </w:p>
        </w:tc>
      </w:tr>
      <w:tr w:rsidR="001B616A" w:rsidRPr="009758E6" w:rsidTr="002764FE">
        <w:tc>
          <w:tcPr>
            <w:tcW w:w="2802" w:type="dxa"/>
          </w:tcPr>
          <w:p w:rsidR="001B616A" w:rsidRPr="009758E6" w:rsidRDefault="001B616A" w:rsidP="002764FE">
            <w:pPr>
              <w:rPr>
                <w:rFonts w:cs="Arial"/>
                <w:sz w:val="24"/>
                <w:szCs w:val="24"/>
                <w:highlight w:val="yellow"/>
              </w:rPr>
            </w:pPr>
            <w:r w:rsidRPr="009758E6">
              <w:rPr>
                <w:rFonts w:cs="Arial"/>
                <w:sz w:val="24"/>
                <w:szCs w:val="24"/>
              </w:rPr>
              <w:t>DOSA rate: Orthopaedics</w:t>
            </w:r>
          </w:p>
        </w:tc>
        <w:tc>
          <w:tcPr>
            <w:tcW w:w="567" w:type="dxa"/>
            <w:shd w:val="clear" w:color="auto" w:fill="D6E3BC" w:themeFill="accent3" w:themeFillTint="66"/>
          </w:tcPr>
          <w:p w:rsidR="001B616A" w:rsidRPr="009758E6" w:rsidRDefault="001B616A" w:rsidP="002764FE">
            <w:pPr>
              <w:rPr>
                <w:rFonts w:cs="Arial"/>
                <w:sz w:val="24"/>
                <w:szCs w:val="24"/>
                <w:highlight w:val="yellow"/>
              </w:rPr>
            </w:pPr>
          </w:p>
        </w:tc>
        <w:tc>
          <w:tcPr>
            <w:tcW w:w="5917" w:type="dxa"/>
          </w:tcPr>
          <w:p w:rsidR="001B616A" w:rsidRPr="009758E6" w:rsidRDefault="001B616A" w:rsidP="002764FE">
            <w:pPr>
              <w:rPr>
                <w:rFonts w:cs="Arial"/>
                <w:sz w:val="24"/>
                <w:szCs w:val="24"/>
                <w:highlight w:val="yellow"/>
              </w:rPr>
            </w:pPr>
            <w:r w:rsidRPr="009758E6">
              <w:rPr>
                <w:rFonts w:cs="Arial"/>
                <w:sz w:val="24"/>
                <w:szCs w:val="24"/>
              </w:rPr>
              <w:t>In January 2021 there were 187 Orthopaedic primary joint admissions, 86 (46%) of which were on the day of surgery.</w:t>
            </w:r>
            <w:r>
              <w:rPr>
                <w:rFonts w:cs="Arial"/>
                <w:sz w:val="24"/>
                <w:szCs w:val="24"/>
              </w:rPr>
              <w:t xml:space="preserve"> </w:t>
            </w:r>
          </w:p>
        </w:tc>
      </w:tr>
      <w:tr w:rsidR="001B616A" w:rsidRPr="005D4C50" w:rsidTr="002764FE">
        <w:tc>
          <w:tcPr>
            <w:tcW w:w="2802" w:type="dxa"/>
          </w:tcPr>
          <w:p w:rsidR="001B616A" w:rsidRPr="005D4C50" w:rsidRDefault="001B616A" w:rsidP="002764FE">
            <w:pPr>
              <w:rPr>
                <w:rFonts w:cs="Arial"/>
                <w:sz w:val="24"/>
                <w:szCs w:val="24"/>
                <w:highlight w:val="yellow"/>
              </w:rPr>
            </w:pPr>
            <w:r w:rsidRPr="005D4C50">
              <w:rPr>
                <w:rFonts w:cs="Arial"/>
                <w:sz w:val="24"/>
                <w:szCs w:val="24"/>
              </w:rPr>
              <w:t>Theatre Cancellation Rates</w:t>
            </w:r>
          </w:p>
        </w:tc>
        <w:tc>
          <w:tcPr>
            <w:tcW w:w="567" w:type="dxa"/>
            <w:shd w:val="clear" w:color="auto" w:fill="E5B8B7" w:themeFill="accent2" w:themeFillTint="66"/>
          </w:tcPr>
          <w:p w:rsidR="001B616A" w:rsidRPr="005D4C50" w:rsidRDefault="001B616A" w:rsidP="002764FE">
            <w:pPr>
              <w:rPr>
                <w:rFonts w:cs="Arial"/>
                <w:sz w:val="24"/>
                <w:szCs w:val="24"/>
                <w:highlight w:val="yellow"/>
              </w:rPr>
            </w:pPr>
          </w:p>
        </w:tc>
        <w:tc>
          <w:tcPr>
            <w:tcW w:w="5917" w:type="dxa"/>
          </w:tcPr>
          <w:p w:rsidR="001B616A" w:rsidRPr="005D4C50" w:rsidRDefault="001B616A" w:rsidP="002764FE">
            <w:pPr>
              <w:rPr>
                <w:rFonts w:cs="Arial"/>
                <w:sz w:val="24"/>
                <w:szCs w:val="24"/>
              </w:rPr>
            </w:pPr>
            <w:r w:rsidRPr="005D4C50">
              <w:rPr>
                <w:rFonts w:cs="Arial"/>
                <w:sz w:val="24"/>
                <w:szCs w:val="24"/>
              </w:rPr>
              <w:t>In January 2021 the overall hospital cancellation rate was 4.22%. There were 67 cancellations with 1586 procedures undertaken.</w:t>
            </w:r>
          </w:p>
        </w:tc>
      </w:tr>
      <w:tr w:rsidR="001B616A" w:rsidRPr="005D4C50" w:rsidTr="002764FE">
        <w:tc>
          <w:tcPr>
            <w:tcW w:w="2802" w:type="dxa"/>
          </w:tcPr>
          <w:p w:rsidR="001B616A" w:rsidRPr="005D4C50" w:rsidRDefault="001B616A" w:rsidP="002764FE">
            <w:pPr>
              <w:rPr>
                <w:rFonts w:cs="Arial"/>
                <w:sz w:val="24"/>
                <w:szCs w:val="24"/>
                <w:highlight w:val="yellow"/>
              </w:rPr>
            </w:pPr>
            <w:r w:rsidRPr="005D4C50">
              <w:rPr>
                <w:rFonts w:cs="Arial"/>
                <w:sz w:val="24"/>
                <w:szCs w:val="24"/>
              </w:rPr>
              <w:t>Hospital Bed Occupancy</w:t>
            </w:r>
          </w:p>
        </w:tc>
        <w:tc>
          <w:tcPr>
            <w:tcW w:w="567" w:type="dxa"/>
            <w:shd w:val="clear" w:color="auto" w:fill="FBD4B4" w:themeFill="accent6" w:themeFillTint="66"/>
          </w:tcPr>
          <w:p w:rsidR="001B616A" w:rsidRPr="005D4C50" w:rsidRDefault="001B616A" w:rsidP="002764FE">
            <w:pPr>
              <w:rPr>
                <w:rFonts w:cs="Arial"/>
                <w:sz w:val="24"/>
                <w:szCs w:val="24"/>
                <w:highlight w:val="yellow"/>
              </w:rPr>
            </w:pPr>
          </w:p>
        </w:tc>
        <w:tc>
          <w:tcPr>
            <w:tcW w:w="5917" w:type="dxa"/>
          </w:tcPr>
          <w:p w:rsidR="001B616A" w:rsidRPr="005D4C50" w:rsidRDefault="001B616A" w:rsidP="002764FE">
            <w:pPr>
              <w:rPr>
                <w:rFonts w:cs="Arial"/>
                <w:sz w:val="24"/>
                <w:szCs w:val="24"/>
              </w:rPr>
            </w:pPr>
            <w:r w:rsidRPr="005D4C50">
              <w:rPr>
                <w:rFonts w:cs="Arial"/>
                <w:sz w:val="24"/>
                <w:szCs w:val="24"/>
              </w:rPr>
              <w:t>Hospital wide bed occupancy was reported as 61.3% in January 2021.</w:t>
            </w:r>
          </w:p>
        </w:tc>
      </w:tr>
      <w:tr w:rsidR="001B616A" w:rsidRPr="005D4C50" w:rsidTr="002764FE">
        <w:tc>
          <w:tcPr>
            <w:tcW w:w="2802" w:type="dxa"/>
          </w:tcPr>
          <w:p w:rsidR="001B616A" w:rsidRPr="005D4C50" w:rsidRDefault="001B616A" w:rsidP="002764FE">
            <w:pPr>
              <w:rPr>
                <w:rFonts w:cs="Arial"/>
                <w:sz w:val="24"/>
                <w:szCs w:val="24"/>
              </w:rPr>
            </w:pPr>
            <w:r w:rsidRPr="005D4C50">
              <w:rPr>
                <w:rFonts w:cs="Arial"/>
                <w:sz w:val="24"/>
                <w:szCs w:val="24"/>
              </w:rPr>
              <w:t>Hotel KPIs</w:t>
            </w:r>
          </w:p>
        </w:tc>
        <w:tc>
          <w:tcPr>
            <w:tcW w:w="567" w:type="dxa"/>
            <w:shd w:val="clear" w:color="auto" w:fill="D9D9D9" w:themeFill="background1" w:themeFillShade="D9"/>
          </w:tcPr>
          <w:p w:rsidR="001B616A" w:rsidRPr="005D4C50" w:rsidRDefault="001B616A" w:rsidP="002764FE">
            <w:pPr>
              <w:rPr>
                <w:rFonts w:cs="Arial"/>
                <w:sz w:val="24"/>
                <w:szCs w:val="24"/>
              </w:rPr>
            </w:pPr>
          </w:p>
        </w:tc>
        <w:tc>
          <w:tcPr>
            <w:tcW w:w="5917" w:type="dxa"/>
          </w:tcPr>
          <w:p w:rsidR="001B616A" w:rsidRPr="005D4C50" w:rsidRDefault="001B616A" w:rsidP="002764FE">
            <w:pPr>
              <w:rPr>
                <w:rFonts w:cs="Arial"/>
                <w:sz w:val="24"/>
                <w:szCs w:val="24"/>
              </w:rPr>
            </w:pPr>
            <w:r w:rsidRPr="005D4C50">
              <w:rPr>
                <w:rFonts w:cs="Arial"/>
                <w:sz w:val="24"/>
                <w:szCs w:val="24"/>
              </w:rPr>
              <w:t>Hotel target thresholds for 2020/2021 are currently under review following the impact of Covid 19. For some KPIs reported positions will be provided but no assessment made.</w:t>
            </w:r>
          </w:p>
        </w:tc>
      </w:tr>
      <w:tr w:rsidR="001B616A" w:rsidRPr="006A1DD3" w:rsidTr="002764FE">
        <w:tc>
          <w:tcPr>
            <w:tcW w:w="2802" w:type="dxa"/>
          </w:tcPr>
          <w:p w:rsidR="001B616A" w:rsidRPr="006A1DD3" w:rsidRDefault="001B616A" w:rsidP="002764FE">
            <w:pPr>
              <w:rPr>
                <w:rFonts w:cs="Arial"/>
                <w:sz w:val="24"/>
                <w:szCs w:val="24"/>
              </w:rPr>
            </w:pPr>
            <w:r w:rsidRPr="006A1DD3">
              <w:rPr>
                <w:rFonts w:cs="Arial"/>
                <w:sz w:val="24"/>
                <w:szCs w:val="24"/>
              </w:rPr>
              <w:t>R&amp;I: New research projects approved</w:t>
            </w:r>
          </w:p>
        </w:tc>
        <w:tc>
          <w:tcPr>
            <w:tcW w:w="567" w:type="dxa"/>
            <w:shd w:val="clear" w:color="auto" w:fill="E5B8B7" w:themeFill="accent2" w:themeFillTint="66"/>
          </w:tcPr>
          <w:p w:rsidR="001B616A" w:rsidRPr="006A1DD3" w:rsidRDefault="001B616A" w:rsidP="002764FE">
            <w:pPr>
              <w:rPr>
                <w:rFonts w:cs="Arial"/>
                <w:sz w:val="24"/>
                <w:szCs w:val="24"/>
              </w:rPr>
            </w:pPr>
          </w:p>
        </w:tc>
        <w:tc>
          <w:tcPr>
            <w:tcW w:w="5917" w:type="dxa"/>
          </w:tcPr>
          <w:p w:rsidR="001B616A" w:rsidRPr="006A1DD3" w:rsidRDefault="001B616A" w:rsidP="002764FE">
            <w:pPr>
              <w:rPr>
                <w:rFonts w:cs="Arial"/>
                <w:sz w:val="24"/>
                <w:szCs w:val="24"/>
              </w:rPr>
            </w:pPr>
            <w:r w:rsidRPr="006A1DD3">
              <w:rPr>
                <w:rFonts w:cs="Arial"/>
                <w:sz w:val="24"/>
                <w:szCs w:val="24"/>
              </w:rPr>
              <w:t>4 projects were approved in Q3 2020. The target was 8</w:t>
            </w:r>
          </w:p>
        </w:tc>
      </w:tr>
      <w:tr w:rsidR="001B616A" w:rsidRPr="006A1DD3" w:rsidTr="002764FE">
        <w:tc>
          <w:tcPr>
            <w:tcW w:w="2802" w:type="dxa"/>
          </w:tcPr>
          <w:p w:rsidR="001B616A" w:rsidRPr="006A1DD3" w:rsidRDefault="001B616A" w:rsidP="002764FE">
            <w:pPr>
              <w:rPr>
                <w:rFonts w:cs="Arial"/>
                <w:sz w:val="24"/>
                <w:szCs w:val="24"/>
              </w:rPr>
            </w:pPr>
            <w:r w:rsidRPr="006A1DD3">
              <w:rPr>
                <w:rFonts w:cs="Arial"/>
                <w:sz w:val="24"/>
                <w:szCs w:val="24"/>
              </w:rPr>
              <w:t>R&amp;I: Income</w:t>
            </w:r>
          </w:p>
        </w:tc>
        <w:tc>
          <w:tcPr>
            <w:tcW w:w="567" w:type="dxa"/>
            <w:shd w:val="clear" w:color="auto" w:fill="E5B8B7" w:themeFill="accent2" w:themeFillTint="66"/>
          </w:tcPr>
          <w:p w:rsidR="001B616A" w:rsidRPr="006A1DD3" w:rsidRDefault="001B616A" w:rsidP="002764FE">
            <w:pPr>
              <w:rPr>
                <w:rFonts w:cs="Arial"/>
                <w:sz w:val="24"/>
                <w:szCs w:val="24"/>
              </w:rPr>
            </w:pPr>
          </w:p>
        </w:tc>
        <w:tc>
          <w:tcPr>
            <w:tcW w:w="5917" w:type="dxa"/>
          </w:tcPr>
          <w:p w:rsidR="001B616A" w:rsidRPr="006A1DD3" w:rsidRDefault="001B616A" w:rsidP="002764FE">
            <w:pPr>
              <w:rPr>
                <w:rFonts w:cs="Arial"/>
                <w:sz w:val="24"/>
                <w:szCs w:val="24"/>
              </w:rPr>
            </w:pPr>
            <w:r w:rsidRPr="006A1DD3">
              <w:rPr>
                <w:rFonts w:cs="Arial"/>
                <w:sz w:val="24"/>
                <w:szCs w:val="24"/>
              </w:rPr>
              <w:t>Year to date income is £1,084,239 compared to a target of £1,500,00 (-3.6%)</w:t>
            </w:r>
          </w:p>
        </w:tc>
      </w:tr>
      <w:tr w:rsidR="001B616A" w:rsidRPr="006A1DD3" w:rsidTr="002764FE">
        <w:tc>
          <w:tcPr>
            <w:tcW w:w="2802" w:type="dxa"/>
          </w:tcPr>
          <w:p w:rsidR="001B616A" w:rsidRPr="006A1DD3" w:rsidRDefault="001B616A" w:rsidP="002764FE">
            <w:pPr>
              <w:rPr>
                <w:rFonts w:cs="Arial"/>
                <w:sz w:val="24"/>
                <w:szCs w:val="24"/>
              </w:rPr>
            </w:pPr>
            <w:r w:rsidRPr="006A1DD3">
              <w:rPr>
                <w:rFonts w:cs="Arial"/>
                <w:sz w:val="24"/>
                <w:szCs w:val="24"/>
              </w:rPr>
              <w:t>R&amp;I: Motion Lab Income</w:t>
            </w:r>
          </w:p>
        </w:tc>
        <w:tc>
          <w:tcPr>
            <w:tcW w:w="567" w:type="dxa"/>
            <w:shd w:val="clear" w:color="auto" w:fill="D9D9D9" w:themeFill="background1" w:themeFillShade="D9"/>
          </w:tcPr>
          <w:p w:rsidR="001B616A" w:rsidRPr="006A1DD3" w:rsidRDefault="001B616A" w:rsidP="002764FE">
            <w:pPr>
              <w:rPr>
                <w:rFonts w:cs="Arial"/>
                <w:sz w:val="24"/>
                <w:szCs w:val="24"/>
              </w:rPr>
            </w:pPr>
          </w:p>
        </w:tc>
        <w:tc>
          <w:tcPr>
            <w:tcW w:w="5917" w:type="dxa"/>
          </w:tcPr>
          <w:p w:rsidR="001B616A" w:rsidRPr="006A1DD3" w:rsidRDefault="001B616A" w:rsidP="00BA6637">
            <w:pPr>
              <w:rPr>
                <w:rFonts w:cs="Arial"/>
                <w:sz w:val="24"/>
                <w:szCs w:val="24"/>
              </w:rPr>
            </w:pPr>
            <w:r w:rsidRPr="006A1DD3">
              <w:rPr>
                <w:rFonts w:cs="Arial"/>
                <w:sz w:val="24"/>
                <w:szCs w:val="24"/>
              </w:rPr>
              <w:t xml:space="preserve">No income </w:t>
            </w:r>
            <w:r w:rsidR="00BA6637">
              <w:rPr>
                <w:rFonts w:cs="Arial"/>
                <w:sz w:val="24"/>
                <w:szCs w:val="24"/>
              </w:rPr>
              <w:t>was</w:t>
            </w:r>
            <w:r w:rsidRPr="006A1DD3">
              <w:rPr>
                <w:rFonts w:cs="Arial"/>
                <w:sz w:val="24"/>
                <w:szCs w:val="24"/>
              </w:rPr>
              <w:t xml:space="preserve"> earned in Year 2020.</w:t>
            </w:r>
          </w:p>
        </w:tc>
      </w:tr>
      <w:tr w:rsidR="001B616A" w:rsidRPr="006A1DD3" w:rsidTr="002764FE">
        <w:tc>
          <w:tcPr>
            <w:tcW w:w="2802" w:type="dxa"/>
          </w:tcPr>
          <w:p w:rsidR="001B616A" w:rsidRPr="006A1DD3" w:rsidRDefault="001B616A" w:rsidP="002764FE">
            <w:pPr>
              <w:rPr>
                <w:rFonts w:cs="Arial"/>
                <w:sz w:val="24"/>
                <w:szCs w:val="24"/>
              </w:rPr>
            </w:pPr>
            <w:r w:rsidRPr="006A1DD3">
              <w:rPr>
                <w:rFonts w:cs="Arial"/>
                <w:sz w:val="24"/>
                <w:szCs w:val="24"/>
              </w:rPr>
              <w:t xml:space="preserve">R&amp;I: % Occupancy </w:t>
            </w:r>
            <w:r w:rsidRPr="006A1DD3">
              <w:rPr>
                <w:rFonts w:cs="Arial"/>
                <w:sz w:val="24"/>
                <w:szCs w:val="24"/>
              </w:rPr>
              <w:lastRenderedPageBreak/>
              <w:t>Clinical Skills Centre</w:t>
            </w:r>
          </w:p>
        </w:tc>
        <w:tc>
          <w:tcPr>
            <w:tcW w:w="567" w:type="dxa"/>
            <w:shd w:val="clear" w:color="auto" w:fill="D6E3BC" w:themeFill="accent3" w:themeFillTint="66"/>
          </w:tcPr>
          <w:p w:rsidR="001B616A" w:rsidRPr="006A1DD3" w:rsidRDefault="001B616A" w:rsidP="002764FE">
            <w:pPr>
              <w:rPr>
                <w:rFonts w:cs="Arial"/>
                <w:sz w:val="24"/>
                <w:szCs w:val="24"/>
              </w:rPr>
            </w:pPr>
          </w:p>
        </w:tc>
        <w:tc>
          <w:tcPr>
            <w:tcW w:w="5917" w:type="dxa"/>
          </w:tcPr>
          <w:p w:rsidR="001B616A" w:rsidRPr="006A1DD3" w:rsidRDefault="001B616A" w:rsidP="002764FE">
            <w:pPr>
              <w:rPr>
                <w:rFonts w:cs="Arial"/>
                <w:sz w:val="24"/>
                <w:szCs w:val="24"/>
              </w:rPr>
            </w:pPr>
            <w:r w:rsidRPr="006A1DD3">
              <w:rPr>
                <w:rFonts w:cs="Arial"/>
                <w:sz w:val="24"/>
                <w:szCs w:val="24"/>
              </w:rPr>
              <w:t xml:space="preserve">Occupancy was 82% in Quarter 3 2020. (Target </w:t>
            </w:r>
            <w:r w:rsidRPr="006A1DD3">
              <w:rPr>
                <w:rFonts w:cs="Arial"/>
                <w:sz w:val="24"/>
                <w:szCs w:val="24"/>
              </w:rPr>
              <w:lastRenderedPageBreak/>
              <w:t>75%)</w:t>
            </w:r>
          </w:p>
        </w:tc>
      </w:tr>
      <w:tr w:rsidR="001B616A" w:rsidRPr="006A1DD3" w:rsidTr="002764FE">
        <w:tc>
          <w:tcPr>
            <w:tcW w:w="2802" w:type="dxa"/>
          </w:tcPr>
          <w:p w:rsidR="001B616A" w:rsidRPr="006A1DD3" w:rsidRDefault="001B616A" w:rsidP="002764FE">
            <w:pPr>
              <w:rPr>
                <w:rFonts w:cs="Arial"/>
                <w:sz w:val="24"/>
                <w:szCs w:val="24"/>
              </w:rPr>
            </w:pPr>
            <w:r w:rsidRPr="006A1DD3">
              <w:rPr>
                <w:rFonts w:cs="Arial"/>
                <w:sz w:val="24"/>
                <w:szCs w:val="24"/>
              </w:rPr>
              <w:lastRenderedPageBreak/>
              <w:t>R&amp;I:% Occupancy Clinical Research Facility</w:t>
            </w:r>
          </w:p>
        </w:tc>
        <w:tc>
          <w:tcPr>
            <w:tcW w:w="567" w:type="dxa"/>
            <w:shd w:val="clear" w:color="auto" w:fill="E5B8B7" w:themeFill="accent2" w:themeFillTint="66"/>
          </w:tcPr>
          <w:p w:rsidR="001B616A" w:rsidRPr="006A1DD3" w:rsidRDefault="001B616A" w:rsidP="002764FE">
            <w:pPr>
              <w:rPr>
                <w:rFonts w:cs="Arial"/>
                <w:sz w:val="24"/>
                <w:szCs w:val="24"/>
              </w:rPr>
            </w:pPr>
          </w:p>
        </w:tc>
        <w:tc>
          <w:tcPr>
            <w:tcW w:w="5917" w:type="dxa"/>
          </w:tcPr>
          <w:p w:rsidR="001B616A" w:rsidRPr="006A1DD3" w:rsidRDefault="001B616A" w:rsidP="002764FE">
            <w:pPr>
              <w:rPr>
                <w:rFonts w:cs="Arial"/>
                <w:sz w:val="24"/>
                <w:szCs w:val="24"/>
              </w:rPr>
            </w:pPr>
            <w:r w:rsidRPr="006A1DD3">
              <w:rPr>
                <w:rFonts w:cs="Arial"/>
                <w:sz w:val="24"/>
                <w:szCs w:val="24"/>
              </w:rPr>
              <w:t>Occupancy was 57% in Quarter 3 2020. (Target 80%)</w:t>
            </w:r>
          </w:p>
        </w:tc>
      </w:tr>
      <w:tr w:rsidR="001B616A" w:rsidRPr="00B74909" w:rsidTr="002764FE">
        <w:tc>
          <w:tcPr>
            <w:tcW w:w="9286" w:type="dxa"/>
            <w:gridSpan w:val="3"/>
            <w:tcBorders>
              <w:top w:val="single" w:sz="4" w:space="0" w:color="auto"/>
              <w:left w:val="single" w:sz="4" w:space="0" w:color="auto"/>
              <w:bottom w:val="single" w:sz="4" w:space="0" w:color="auto"/>
            </w:tcBorders>
            <w:shd w:val="clear" w:color="auto" w:fill="C4BC96" w:themeFill="background2" w:themeFillShade="BF"/>
          </w:tcPr>
          <w:p w:rsidR="001B616A" w:rsidRPr="00B74909" w:rsidRDefault="001B616A" w:rsidP="002764FE">
            <w:pPr>
              <w:rPr>
                <w:rFonts w:cs="Arial"/>
                <w:sz w:val="24"/>
                <w:szCs w:val="24"/>
              </w:rPr>
            </w:pPr>
            <w:r w:rsidRPr="00B74909">
              <w:rPr>
                <w:rFonts w:cs="Arial"/>
                <w:sz w:val="24"/>
                <w:szCs w:val="24"/>
              </w:rPr>
              <w:t>National Comparison Table, Corporate Dashboard, Waiting list &amp; Productivity table</w:t>
            </w:r>
          </w:p>
        </w:tc>
      </w:tr>
      <w:tr w:rsidR="001B616A" w:rsidRPr="00E662E1" w:rsidTr="002764FE">
        <w:tc>
          <w:tcPr>
            <w:tcW w:w="9286" w:type="dxa"/>
            <w:gridSpan w:val="3"/>
            <w:tcBorders>
              <w:top w:val="single" w:sz="4" w:space="0" w:color="auto"/>
            </w:tcBorders>
          </w:tcPr>
          <w:p w:rsidR="001B616A" w:rsidRPr="00E662E1" w:rsidRDefault="002A1180" w:rsidP="002A1180">
            <w:pPr>
              <w:rPr>
                <w:rFonts w:cs="Arial"/>
                <w:color w:val="000000" w:themeColor="text1"/>
                <w:sz w:val="24"/>
                <w:szCs w:val="24"/>
              </w:rPr>
            </w:pPr>
            <w:r>
              <w:rPr>
                <w:rFonts w:cs="Arial"/>
                <w:color w:val="000000" w:themeColor="text1"/>
                <w:sz w:val="24"/>
                <w:szCs w:val="24"/>
              </w:rPr>
              <w:t>NHSGJ</w:t>
            </w:r>
            <w:r w:rsidRPr="00E662E1">
              <w:rPr>
                <w:rFonts w:cs="Arial"/>
                <w:color w:val="000000" w:themeColor="text1"/>
                <w:sz w:val="24"/>
                <w:szCs w:val="24"/>
              </w:rPr>
              <w:t xml:space="preserve"> </w:t>
            </w:r>
            <w:r w:rsidR="001B616A" w:rsidRPr="00E662E1">
              <w:rPr>
                <w:rFonts w:cs="Arial"/>
                <w:color w:val="000000" w:themeColor="text1"/>
                <w:sz w:val="24"/>
                <w:szCs w:val="24"/>
              </w:rPr>
              <w:t>nationally reported elective cancellation rate, in December 2020, was reported as 4.0%. This ranked GJNH as third out of 15. The Scotland rate was 7.5%.</w:t>
            </w:r>
          </w:p>
        </w:tc>
      </w:tr>
      <w:tr w:rsidR="001B616A" w:rsidRPr="00E662E1" w:rsidTr="002764FE">
        <w:tc>
          <w:tcPr>
            <w:tcW w:w="9286" w:type="dxa"/>
            <w:gridSpan w:val="3"/>
            <w:tcBorders>
              <w:top w:val="single" w:sz="4" w:space="0" w:color="auto"/>
            </w:tcBorders>
          </w:tcPr>
          <w:p w:rsidR="001B616A" w:rsidRPr="00E662E1" w:rsidRDefault="002A1180" w:rsidP="002764FE">
            <w:pPr>
              <w:rPr>
                <w:rFonts w:cs="Arial"/>
                <w:color w:val="000000" w:themeColor="text1"/>
                <w:sz w:val="24"/>
                <w:szCs w:val="24"/>
              </w:rPr>
            </w:pPr>
            <w:r>
              <w:rPr>
                <w:rFonts w:cs="Arial"/>
                <w:color w:val="000000" w:themeColor="text1"/>
                <w:sz w:val="24"/>
                <w:szCs w:val="24"/>
              </w:rPr>
              <w:t>NHSGJ</w:t>
            </w:r>
            <w:r w:rsidRPr="00E662E1">
              <w:rPr>
                <w:rFonts w:cs="Arial"/>
                <w:color w:val="000000" w:themeColor="text1"/>
                <w:sz w:val="24"/>
                <w:szCs w:val="24"/>
              </w:rPr>
              <w:t xml:space="preserve"> </w:t>
            </w:r>
            <w:r w:rsidR="001B616A" w:rsidRPr="00E662E1">
              <w:rPr>
                <w:rFonts w:cs="Arial"/>
                <w:color w:val="000000" w:themeColor="text1"/>
                <w:sz w:val="24"/>
                <w:szCs w:val="24"/>
              </w:rPr>
              <w:t xml:space="preserve">comparative performance against the national 31 Day Cancer target is reported using the Information Services Division (ISD) nationally published position. For Quarter 3 2020 </w:t>
            </w:r>
            <w:r>
              <w:rPr>
                <w:rFonts w:cs="Arial"/>
                <w:color w:val="000000" w:themeColor="text1"/>
                <w:sz w:val="24"/>
                <w:szCs w:val="24"/>
              </w:rPr>
              <w:t>NHSGJ</w:t>
            </w:r>
            <w:r w:rsidR="001B616A" w:rsidRPr="00E662E1">
              <w:rPr>
                <w:rFonts w:cs="Arial"/>
                <w:color w:val="000000" w:themeColor="text1"/>
                <w:sz w:val="24"/>
                <w:szCs w:val="24"/>
              </w:rPr>
              <w:t xml:space="preserve"> reported 100% o</w:t>
            </w:r>
            <w:bookmarkStart w:id="0" w:name="_GoBack"/>
            <w:bookmarkEnd w:id="0"/>
            <w:r w:rsidR="001B616A" w:rsidRPr="00E662E1">
              <w:rPr>
                <w:rFonts w:cs="Arial"/>
                <w:color w:val="000000" w:themeColor="text1"/>
                <w:sz w:val="24"/>
                <w:szCs w:val="24"/>
              </w:rPr>
              <w:t>f eligible patients treated within the target (Joint 1</w:t>
            </w:r>
            <w:r w:rsidR="001B616A" w:rsidRPr="00E662E1">
              <w:rPr>
                <w:rFonts w:cs="Arial"/>
                <w:color w:val="000000" w:themeColor="text1"/>
                <w:sz w:val="24"/>
                <w:szCs w:val="24"/>
                <w:vertAlign w:val="superscript"/>
              </w:rPr>
              <w:t>st</w:t>
            </w:r>
            <w:r w:rsidR="001B616A" w:rsidRPr="00E662E1">
              <w:rPr>
                <w:rFonts w:cs="Arial"/>
                <w:color w:val="000000" w:themeColor="text1"/>
                <w:sz w:val="24"/>
                <w:szCs w:val="24"/>
              </w:rPr>
              <w:t>)</w:t>
            </w:r>
          </w:p>
        </w:tc>
      </w:tr>
      <w:tr w:rsidR="001B616A" w:rsidRPr="00E662E1" w:rsidTr="002764FE">
        <w:trPr>
          <w:trHeight w:val="181"/>
        </w:trPr>
        <w:tc>
          <w:tcPr>
            <w:tcW w:w="9286" w:type="dxa"/>
            <w:gridSpan w:val="3"/>
          </w:tcPr>
          <w:p w:rsidR="001B616A" w:rsidRPr="00E662E1" w:rsidRDefault="001B616A" w:rsidP="002764FE">
            <w:pPr>
              <w:rPr>
                <w:rFonts w:cs="Arial"/>
                <w:color w:val="000000" w:themeColor="text1"/>
                <w:sz w:val="24"/>
                <w:szCs w:val="24"/>
              </w:rPr>
            </w:pPr>
            <w:r w:rsidRPr="00E662E1">
              <w:rPr>
                <w:rFonts w:cs="Arial"/>
                <w:color w:val="000000" w:themeColor="text1"/>
                <w:sz w:val="24"/>
                <w:szCs w:val="24"/>
              </w:rPr>
              <w:t xml:space="preserve">Health Protection Scotland published figures for Quarter 3 2020 report a </w:t>
            </w:r>
            <w:r w:rsidR="002A1180">
              <w:rPr>
                <w:rFonts w:cs="Arial"/>
                <w:color w:val="000000" w:themeColor="text1"/>
                <w:sz w:val="24"/>
                <w:szCs w:val="24"/>
              </w:rPr>
              <w:t>NHSGJ</w:t>
            </w:r>
            <w:r w:rsidRPr="00E662E1">
              <w:rPr>
                <w:rFonts w:cs="Arial"/>
                <w:color w:val="000000" w:themeColor="text1"/>
                <w:sz w:val="24"/>
                <w:szCs w:val="24"/>
              </w:rPr>
              <w:t xml:space="preserve"> incidence rate (per 100,000 total occupied bed days) of 10 for CDiff incidence and 20 for SAB. The Scotland rates were 17.4 and 17.3 respectively. </w:t>
            </w:r>
          </w:p>
        </w:tc>
      </w:tr>
      <w:tr w:rsidR="001B616A" w:rsidRPr="000C608B" w:rsidTr="002764FE">
        <w:tc>
          <w:tcPr>
            <w:tcW w:w="9286" w:type="dxa"/>
            <w:gridSpan w:val="3"/>
          </w:tcPr>
          <w:p w:rsidR="001B616A" w:rsidRPr="000C608B" w:rsidRDefault="001B616A" w:rsidP="002764FE">
            <w:pPr>
              <w:spacing w:after="180"/>
              <w:rPr>
                <w:rFonts w:cs="Arial"/>
                <w:sz w:val="24"/>
                <w:szCs w:val="24"/>
                <w:highlight w:val="yellow"/>
              </w:rPr>
            </w:pPr>
            <w:r w:rsidRPr="000C608B">
              <w:rPr>
                <w:rFonts w:cs="Arial"/>
                <w:sz w:val="24"/>
                <w:szCs w:val="24"/>
              </w:rPr>
              <w:t>Corporate sickness rates in January 2021 were 4.4%. Departments over the 4% threshold were: Catering, Estates, Finance, Research, Security, Business Services, Performance &amp; Planning, Procurement and Housekeeping.</w:t>
            </w:r>
          </w:p>
        </w:tc>
      </w:tr>
      <w:tr w:rsidR="001B616A" w:rsidRPr="00B74909" w:rsidTr="002764FE">
        <w:tc>
          <w:tcPr>
            <w:tcW w:w="9286" w:type="dxa"/>
            <w:gridSpan w:val="3"/>
          </w:tcPr>
          <w:p w:rsidR="001B616A" w:rsidRPr="00B74909" w:rsidRDefault="001B616A" w:rsidP="002764FE">
            <w:pPr>
              <w:spacing w:after="180"/>
              <w:rPr>
                <w:rFonts w:cs="Arial"/>
                <w:sz w:val="24"/>
                <w:szCs w:val="24"/>
              </w:rPr>
            </w:pPr>
            <w:r w:rsidRPr="00B74909">
              <w:rPr>
                <w:rFonts w:cs="Arial"/>
                <w:sz w:val="24"/>
                <w:szCs w:val="24"/>
              </w:rPr>
              <w:t>Referral numbers in January 2021 were significantly down on December 2020 with Orthopaedics and Ophthalmology both down on previous months.</w:t>
            </w:r>
          </w:p>
          <w:p w:rsidR="001B616A" w:rsidRPr="00B74909" w:rsidRDefault="001B616A" w:rsidP="002764FE">
            <w:pPr>
              <w:spacing w:after="180"/>
              <w:rPr>
                <w:rFonts w:cs="Arial"/>
                <w:sz w:val="24"/>
                <w:szCs w:val="24"/>
              </w:rPr>
            </w:pPr>
            <w:r w:rsidRPr="00B74909">
              <w:rPr>
                <w:rFonts w:cs="Arial"/>
                <w:sz w:val="24"/>
                <w:szCs w:val="24"/>
              </w:rPr>
              <w:t xml:space="preserve">The total outpatient waiting list decreased by 365 to 2913. </w:t>
            </w:r>
          </w:p>
          <w:p w:rsidR="001B616A" w:rsidRPr="00B74909" w:rsidRDefault="001B616A" w:rsidP="002764FE">
            <w:pPr>
              <w:spacing w:after="180"/>
              <w:rPr>
                <w:rFonts w:cs="Arial"/>
                <w:sz w:val="24"/>
                <w:szCs w:val="24"/>
              </w:rPr>
            </w:pPr>
            <w:r w:rsidRPr="00B74909">
              <w:rPr>
                <w:rFonts w:cs="Arial"/>
                <w:sz w:val="24"/>
                <w:szCs w:val="24"/>
              </w:rPr>
              <w:t>The total inpatient waiting list month end position decreased by 49 from 4618 to 4569.</w:t>
            </w:r>
          </w:p>
          <w:p w:rsidR="001B616A" w:rsidRPr="00B74909" w:rsidRDefault="001B616A" w:rsidP="002764FE">
            <w:pPr>
              <w:spacing w:after="180"/>
              <w:rPr>
                <w:rFonts w:cs="Arial"/>
                <w:sz w:val="24"/>
                <w:szCs w:val="24"/>
              </w:rPr>
            </w:pPr>
            <w:r w:rsidRPr="00B74909">
              <w:rPr>
                <w:rFonts w:cs="Arial"/>
                <w:sz w:val="24"/>
                <w:szCs w:val="24"/>
              </w:rPr>
              <w:t xml:space="preserve">For current inpatient waiters the number waiting between 12-26 decreased from 309 to 286 (-23) </w:t>
            </w:r>
          </w:p>
          <w:p w:rsidR="001B616A" w:rsidRPr="00B74909" w:rsidRDefault="001B616A" w:rsidP="002764FE">
            <w:pPr>
              <w:spacing w:after="180"/>
              <w:rPr>
                <w:rFonts w:cs="Arial"/>
                <w:sz w:val="24"/>
                <w:szCs w:val="24"/>
                <w:highlight w:val="yellow"/>
              </w:rPr>
            </w:pPr>
            <w:r w:rsidRPr="00B74909">
              <w:rPr>
                <w:rFonts w:cs="Arial"/>
                <w:sz w:val="24"/>
                <w:szCs w:val="24"/>
              </w:rPr>
              <w:t>The number of patients waiting over 26 weeks also decreased from 417 to 384 (-33).</w:t>
            </w:r>
          </w:p>
        </w:tc>
      </w:tr>
    </w:tbl>
    <w:p w:rsidR="004F61C3" w:rsidRPr="005473F3" w:rsidRDefault="004F61C3" w:rsidP="004F61C3">
      <w:pPr>
        <w:spacing w:after="200" w:line="276" w:lineRule="auto"/>
        <w:rPr>
          <w:rFonts w:cs="Arial"/>
          <w:b/>
          <w:bCs/>
          <w:noProof/>
          <w:color w:val="FF0000"/>
          <w:kern w:val="32"/>
          <w:sz w:val="28"/>
          <w:szCs w:val="28"/>
          <w:u w:val="single"/>
          <w:lang w:eastAsia="en-GB"/>
        </w:rPr>
      </w:pPr>
    </w:p>
    <w:p w:rsidR="00C8171B" w:rsidRDefault="00C8171B" w:rsidP="000F5444">
      <w:pPr>
        <w:pStyle w:val="NoSpacing"/>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C8171B" w:rsidRDefault="00C8171B" w:rsidP="007132BF">
      <w:pPr>
        <w:pStyle w:val="BodyText"/>
        <w:kinsoku w:val="0"/>
        <w:overflowPunct w:val="0"/>
        <w:spacing w:before="100" w:line="254" w:lineRule="auto"/>
        <w:ind w:left="1856" w:right="1639"/>
        <w:jc w:val="center"/>
        <w:rPr>
          <w:rFonts w:ascii="Arial" w:hAnsi="Arial" w:cs="Arial"/>
          <w:b/>
          <w:bCs/>
          <w:iCs/>
          <w:sz w:val="48"/>
          <w:szCs w:val="48"/>
        </w:rPr>
      </w:pPr>
    </w:p>
    <w:p w:rsidR="00036181" w:rsidRDefault="00036181" w:rsidP="003259FB">
      <w:pPr>
        <w:pStyle w:val="BodyText"/>
        <w:kinsoku w:val="0"/>
        <w:overflowPunct w:val="0"/>
        <w:spacing w:before="100" w:line="254" w:lineRule="auto"/>
        <w:ind w:right="1639"/>
        <w:rPr>
          <w:rFonts w:ascii="Arial" w:hAnsi="Arial" w:cs="Arial"/>
          <w:b/>
          <w:bCs/>
          <w:iCs/>
          <w:sz w:val="48"/>
          <w:szCs w:val="48"/>
        </w:rPr>
      </w:pPr>
    </w:p>
    <w:p w:rsidR="001B616A" w:rsidRDefault="001B616A" w:rsidP="000F5444">
      <w:pPr>
        <w:pStyle w:val="NoSpacing"/>
      </w:pPr>
    </w:p>
    <w:p w:rsidR="001B616A" w:rsidRPr="003357BA" w:rsidRDefault="001B616A" w:rsidP="007132BF">
      <w:pPr>
        <w:pStyle w:val="BodyText"/>
        <w:kinsoku w:val="0"/>
        <w:overflowPunct w:val="0"/>
        <w:spacing w:before="100" w:line="254" w:lineRule="auto"/>
        <w:ind w:left="1856" w:right="1639"/>
        <w:jc w:val="center"/>
        <w:rPr>
          <w:rFonts w:ascii="Arial" w:hAnsi="Arial" w:cs="Arial"/>
          <w:b/>
          <w:bCs/>
          <w:iCs/>
          <w:sz w:val="48"/>
          <w:szCs w:val="48"/>
        </w:rPr>
      </w:pPr>
      <w:r>
        <w:rPr>
          <w:rFonts w:ascii="Arial" w:hAnsi="Arial" w:cs="Arial"/>
          <w:b/>
          <w:bCs/>
          <w:iCs/>
          <w:sz w:val="48"/>
          <w:szCs w:val="48"/>
        </w:rPr>
        <w:t xml:space="preserve">NHS </w:t>
      </w:r>
      <w:r w:rsidRPr="003357BA">
        <w:rPr>
          <w:rFonts w:ascii="Arial" w:hAnsi="Arial" w:cs="Arial"/>
          <w:b/>
          <w:bCs/>
          <w:iCs/>
          <w:sz w:val="48"/>
          <w:szCs w:val="48"/>
        </w:rPr>
        <w:t>Golden Jubilee</w:t>
      </w:r>
    </w:p>
    <w:p w:rsidR="001B616A" w:rsidRPr="003357BA" w:rsidRDefault="001B616A" w:rsidP="001318A5">
      <w:pPr>
        <w:pStyle w:val="BodyText"/>
        <w:kinsoku w:val="0"/>
        <w:overflowPunct w:val="0"/>
        <w:spacing w:before="100" w:line="254" w:lineRule="auto"/>
        <w:ind w:left="1856" w:right="1639"/>
        <w:jc w:val="center"/>
        <w:rPr>
          <w:rFonts w:ascii="Arial" w:hAnsi="Arial" w:cs="Arial"/>
          <w:b/>
          <w:bCs/>
          <w:iCs/>
          <w:sz w:val="48"/>
          <w:szCs w:val="48"/>
        </w:rPr>
      </w:pPr>
      <w:r>
        <w:rPr>
          <w:rFonts w:ascii="Arial" w:hAnsi="Arial" w:cs="Arial"/>
          <w:b/>
          <w:bCs/>
          <w:iCs/>
          <w:sz w:val="48"/>
          <w:szCs w:val="48"/>
        </w:rPr>
        <w:t>Summary Finance Report</w:t>
      </w:r>
    </w:p>
    <w:p w:rsidR="001B616A" w:rsidRDefault="001B616A" w:rsidP="009A2C5F">
      <w:pPr>
        <w:pStyle w:val="BodyText"/>
        <w:kinsoku w:val="0"/>
        <w:overflowPunct w:val="0"/>
        <w:spacing w:before="100" w:line="254" w:lineRule="auto"/>
        <w:ind w:left="1560" w:right="1639"/>
        <w:jc w:val="center"/>
        <w:rPr>
          <w:rFonts w:ascii="Arial" w:hAnsi="Arial" w:cs="Arial"/>
          <w:b/>
          <w:bCs/>
          <w:iCs/>
          <w:sz w:val="44"/>
          <w:szCs w:val="44"/>
        </w:rPr>
      </w:pPr>
      <w:r w:rsidRPr="00034A8B">
        <w:rPr>
          <w:rFonts w:ascii="Arial" w:hAnsi="Arial" w:cs="Arial"/>
          <w:b/>
          <w:bCs/>
          <w:iCs/>
          <w:sz w:val="44"/>
          <w:szCs w:val="44"/>
        </w:rPr>
        <w:t>As at</w:t>
      </w:r>
      <w:r>
        <w:rPr>
          <w:rFonts w:ascii="Arial" w:hAnsi="Arial" w:cs="Arial"/>
          <w:b/>
          <w:bCs/>
          <w:iCs/>
          <w:sz w:val="44"/>
          <w:szCs w:val="44"/>
        </w:rPr>
        <w:t xml:space="preserve"> 31</w:t>
      </w:r>
      <w:r w:rsidRPr="00034A8B">
        <w:rPr>
          <w:rFonts w:ascii="Arial" w:hAnsi="Arial" w:cs="Arial"/>
          <w:b/>
          <w:bCs/>
          <w:iCs/>
          <w:sz w:val="44"/>
          <w:szCs w:val="44"/>
        </w:rPr>
        <w:t xml:space="preserve"> </w:t>
      </w:r>
      <w:r>
        <w:rPr>
          <w:rFonts w:ascii="Arial" w:hAnsi="Arial" w:cs="Arial"/>
          <w:b/>
          <w:bCs/>
          <w:iCs/>
          <w:sz w:val="44"/>
          <w:szCs w:val="44"/>
        </w:rPr>
        <w:t xml:space="preserve">January 2021 – </w:t>
      </w:r>
      <w:r w:rsidRPr="00034A8B">
        <w:rPr>
          <w:rFonts w:ascii="Arial" w:hAnsi="Arial" w:cs="Arial"/>
          <w:b/>
          <w:bCs/>
          <w:iCs/>
          <w:sz w:val="44"/>
          <w:szCs w:val="44"/>
        </w:rPr>
        <w:t>Mon</w:t>
      </w:r>
      <w:r>
        <w:rPr>
          <w:rFonts w:ascii="Arial" w:hAnsi="Arial" w:cs="Arial"/>
          <w:b/>
          <w:bCs/>
          <w:iCs/>
          <w:sz w:val="44"/>
          <w:szCs w:val="44"/>
        </w:rPr>
        <w:t>th 10</w:t>
      </w:r>
    </w:p>
    <w:p w:rsidR="001B616A" w:rsidRPr="00034A8B" w:rsidRDefault="001B616A" w:rsidP="009A2C5F">
      <w:pPr>
        <w:pStyle w:val="BodyText"/>
        <w:kinsoku w:val="0"/>
        <w:overflowPunct w:val="0"/>
        <w:spacing w:before="100" w:line="254" w:lineRule="auto"/>
        <w:ind w:left="1560" w:right="1639"/>
        <w:jc w:val="center"/>
        <w:rPr>
          <w:rFonts w:ascii="Arial" w:hAnsi="Arial" w:cs="Arial"/>
          <w:b/>
          <w:bCs/>
          <w:iCs/>
          <w:sz w:val="44"/>
          <w:szCs w:val="44"/>
        </w:rPr>
      </w:pPr>
    </w:p>
    <w:p w:rsidR="001B616A" w:rsidRDefault="001B616A" w:rsidP="001318A5">
      <w:pPr>
        <w:pStyle w:val="BodyText"/>
        <w:kinsoku w:val="0"/>
        <w:overflowPunct w:val="0"/>
        <w:spacing w:before="1"/>
        <w:rPr>
          <w:rFonts w:ascii="Arial" w:hAnsi="Arial" w:cs="Arial"/>
          <w:b/>
          <w:bCs/>
          <w:iCs/>
          <w:color w:val="4F82BD"/>
          <w:sz w:val="48"/>
          <w:szCs w:val="48"/>
        </w:rPr>
      </w:pPr>
    </w:p>
    <w:p w:rsidR="001B616A" w:rsidRDefault="001B616A" w:rsidP="001318A5">
      <w:pPr>
        <w:pStyle w:val="BodyText"/>
        <w:kinsoku w:val="0"/>
        <w:overflowPunct w:val="0"/>
        <w:spacing w:before="1"/>
        <w:rPr>
          <w:rFonts w:ascii="Georgia-BoldItalic" w:hAnsi="Georgia-BoldItalic" w:cs="Georgia-BoldItalic"/>
          <w:b/>
          <w:bCs/>
          <w:i/>
          <w:iCs/>
          <w:sz w:val="29"/>
          <w:szCs w:val="29"/>
        </w:rPr>
      </w:pPr>
    </w:p>
    <w:p w:rsidR="001B616A" w:rsidRDefault="001B616A" w:rsidP="001318A5">
      <w:pPr>
        <w:pStyle w:val="BodyText"/>
        <w:kinsoku w:val="0"/>
        <w:overflowPunct w:val="0"/>
        <w:jc w:val="center"/>
        <w:rPr>
          <w:color w:val="898989"/>
        </w:rPr>
        <w:sectPr w:rsidR="001B616A" w:rsidSect="0086191E">
          <w:headerReference w:type="even" r:id="rId20"/>
          <w:footerReference w:type="even" r:id="rId21"/>
          <w:footerReference w:type="default" r:id="rId22"/>
          <w:footerReference w:type="first" r:id="rId23"/>
          <w:pgSz w:w="11906" w:h="16838" w:code="9"/>
          <w:pgMar w:top="851" w:right="1418" w:bottom="1134" w:left="1418" w:header="709" w:footer="709" w:gutter="0"/>
          <w:cols w:space="708"/>
          <w:titlePg/>
          <w:docGrid w:linePitch="360"/>
        </w:sectPr>
      </w:pPr>
      <w:r>
        <w:rPr>
          <w:rFonts w:ascii="Georgia-BoldItalic" w:hAnsi="Georgia-BoldItalic" w:cs="Georgia-BoldItalic"/>
          <w:b/>
          <w:bCs/>
          <w:i/>
          <w:iCs/>
          <w:noProof/>
          <w:color w:val="4F82BD"/>
          <w:sz w:val="56"/>
          <w:szCs w:val="56"/>
          <w:lang w:eastAsia="en-GB"/>
        </w:rPr>
        <w:drawing>
          <wp:inline distT="0" distB="0" distL="0" distR="0" wp14:anchorId="2DD0B9AC" wp14:editId="3B6FC3DE">
            <wp:extent cx="6082812" cy="40552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tretch>
                      <a:fillRect/>
                    </a:stretch>
                  </pic:blipFill>
                  <pic:spPr bwMode="auto">
                    <a:xfrm>
                      <a:off x="0" y="0"/>
                      <a:ext cx="6095747" cy="4063831"/>
                    </a:xfrm>
                    <a:prstGeom prst="rect">
                      <a:avLst/>
                    </a:prstGeom>
                    <a:noFill/>
                    <a:ln>
                      <a:noFill/>
                    </a:ln>
                  </pic:spPr>
                </pic:pic>
              </a:graphicData>
            </a:graphic>
          </wp:inline>
        </w:drawing>
      </w:r>
    </w:p>
    <w:p w:rsidR="001B616A" w:rsidRPr="00031DCE" w:rsidRDefault="001B616A" w:rsidP="001318A5">
      <w:pPr>
        <w:pStyle w:val="BodyText"/>
        <w:kinsoku w:val="0"/>
        <w:overflowPunct w:val="0"/>
        <w:ind w:right="-613"/>
        <w:rPr>
          <w:rFonts w:ascii="Arial" w:hAnsi="Arial" w:cs="Arial"/>
          <w:b/>
          <w:bCs/>
          <w:iCs/>
          <w:color w:val="000000" w:themeColor="text1"/>
        </w:rPr>
      </w:pPr>
      <w:r>
        <w:rPr>
          <w:rFonts w:ascii="Arial" w:hAnsi="Arial" w:cs="Arial"/>
          <w:b/>
          <w:bCs/>
          <w:iCs/>
          <w:color w:val="000000" w:themeColor="text1"/>
        </w:rPr>
        <w:lastRenderedPageBreak/>
        <w:t>Financial Position as at 31 January 2021, Month 10</w:t>
      </w:r>
    </w:p>
    <w:p w:rsidR="001B616A" w:rsidRDefault="001B616A" w:rsidP="001318A5">
      <w:pPr>
        <w:pStyle w:val="BodyText"/>
        <w:kinsoku w:val="0"/>
        <w:overflowPunct w:val="0"/>
        <w:ind w:right="-613"/>
        <w:rPr>
          <w:rFonts w:ascii="Arial" w:hAnsi="Arial" w:cs="Arial"/>
          <w:bCs/>
          <w:iCs/>
          <w:color w:val="000000" w:themeColor="text1"/>
        </w:rPr>
      </w:pPr>
    </w:p>
    <w:p w:rsidR="001B616A" w:rsidRDefault="001B616A" w:rsidP="001318A5">
      <w:pPr>
        <w:pStyle w:val="BodyText"/>
        <w:kinsoku w:val="0"/>
        <w:overflowPunct w:val="0"/>
        <w:ind w:right="-613"/>
        <w:rPr>
          <w:rFonts w:ascii="Arial" w:hAnsi="Arial" w:cs="Arial"/>
          <w:bCs/>
          <w:iCs/>
          <w:color w:val="000000" w:themeColor="text1"/>
        </w:rPr>
      </w:pPr>
      <w:r w:rsidRPr="003A04F5">
        <w:rPr>
          <w:rFonts w:ascii="Arial" w:hAnsi="Arial" w:cs="Arial"/>
          <w:bCs/>
          <w:iCs/>
          <w:color w:val="000000" w:themeColor="text1"/>
        </w:rPr>
        <w:t>This</w:t>
      </w:r>
      <w:r w:rsidR="00BA6637">
        <w:rPr>
          <w:rFonts w:ascii="Arial" w:hAnsi="Arial" w:cs="Arial"/>
          <w:bCs/>
          <w:iCs/>
          <w:color w:val="000000" w:themeColor="text1"/>
        </w:rPr>
        <w:t xml:space="preserve"> S</w:t>
      </w:r>
      <w:r>
        <w:rPr>
          <w:rFonts w:ascii="Arial" w:hAnsi="Arial" w:cs="Arial"/>
          <w:bCs/>
          <w:iCs/>
          <w:color w:val="000000" w:themeColor="text1"/>
        </w:rPr>
        <w:t>ummary</w:t>
      </w:r>
      <w:r w:rsidR="00BA6637">
        <w:rPr>
          <w:rFonts w:ascii="Arial" w:hAnsi="Arial" w:cs="Arial"/>
          <w:bCs/>
          <w:iCs/>
          <w:color w:val="000000" w:themeColor="text1"/>
        </w:rPr>
        <w:t xml:space="preserve"> Finance R</w:t>
      </w:r>
      <w:r w:rsidRPr="003A04F5">
        <w:rPr>
          <w:rFonts w:ascii="Arial" w:hAnsi="Arial" w:cs="Arial"/>
          <w:bCs/>
          <w:iCs/>
          <w:color w:val="000000" w:themeColor="text1"/>
        </w:rPr>
        <w:t xml:space="preserve">eport </w:t>
      </w:r>
      <w:r>
        <w:rPr>
          <w:rFonts w:ascii="Arial" w:hAnsi="Arial" w:cs="Arial"/>
          <w:bCs/>
          <w:iCs/>
          <w:color w:val="000000" w:themeColor="text1"/>
        </w:rPr>
        <w:t>provides an overview of the</w:t>
      </w:r>
      <w:r w:rsidRPr="003A04F5">
        <w:rPr>
          <w:rFonts w:ascii="Arial" w:hAnsi="Arial" w:cs="Arial"/>
          <w:bCs/>
          <w:iCs/>
          <w:color w:val="000000" w:themeColor="text1"/>
        </w:rPr>
        <w:t xml:space="preserve"> </w:t>
      </w:r>
      <w:r>
        <w:rPr>
          <w:rFonts w:ascii="Arial" w:hAnsi="Arial" w:cs="Arial"/>
          <w:bCs/>
          <w:iCs/>
          <w:color w:val="000000" w:themeColor="text1"/>
        </w:rPr>
        <w:t xml:space="preserve">key points within the </w:t>
      </w:r>
      <w:r w:rsidRPr="003A04F5">
        <w:rPr>
          <w:rFonts w:ascii="Arial" w:hAnsi="Arial" w:cs="Arial"/>
          <w:bCs/>
          <w:iCs/>
          <w:color w:val="000000" w:themeColor="text1"/>
        </w:rPr>
        <w:t>financial position</w:t>
      </w:r>
      <w:r>
        <w:rPr>
          <w:rFonts w:ascii="Arial" w:hAnsi="Arial" w:cs="Arial"/>
          <w:bCs/>
          <w:iCs/>
          <w:color w:val="000000" w:themeColor="text1"/>
        </w:rPr>
        <w:t xml:space="preserve"> as reported at Month 10, for the period ending 31 January 2021</w:t>
      </w:r>
      <w:r w:rsidRPr="003A04F5">
        <w:rPr>
          <w:rFonts w:ascii="Arial" w:hAnsi="Arial" w:cs="Arial"/>
          <w:bCs/>
          <w:iCs/>
          <w:color w:val="000000" w:themeColor="text1"/>
        </w:rPr>
        <w:t xml:space="preserve">. </w:t>
      </w:r>
    </w:p>
    <w:p w:rsidR="001B616A" w:rsidRDefault="001B616A" w:rsidP="001318A5">
      <w:pPr>
        <w:pStyle w:val="BodyText"/>
        <w:kinsoku w:val="0"/>
        <w:overflowPunct w:val="0"/>
        <w:ind w:right="-613"/>
        <w:rPr>
          <w:rFonts w:ascii="Arial" w:hAnsi="Arial" w:cs="Arial"/>
          <w:bCs/>
          <w:iCs/>
          <w:color w:val="000000" w:themeColor="text1"/>
        </w:rPr>
      </w:pPr>
    </w:p>
    <w:p w:rsidR="001B616A" w:rsidRDefault="001B616A" w:rsidP="005321C8">
      <w:pPr>
        <w:pStyle w:val="BodyText"/>
        <w:kinsoku w:val="0"/>
        <w:overflowPunct w:val="0"/>
        <w:ind w:right="-613"/>
        <w:rPr>
          <w:rFonts w:ascii="Arial" w:hAnsi="Arial" w:cs="Arial"/>
        </w:rPr>
      </w:pPr>
      <w:r>
        <w:rPr>
          <w:rFonts w:ascii="Arial" w:hAnsi="Arial" w:cs="Arial"/>
        </w:rPr>
        <w:t xml:space="preserve">In line with previous communications reported with Scottish Government and final confirmation from Boards via the Month 9 Financial Performance returns </w:t>
      </w:r>
      <w:r w:rsidRPr="005321C8">
        <w:rPr>
          <w:rFonts w:ascii="Arial" w:hAnsi="Arial" w:cs="Arial"/>
        </w:rPr>
        <w:t xml:space="preserve">the balance of Covid funding </w:t>
      </w:r>
      <w:r>
        <w:rPr>
          <w:rFonts w:ascii="Arial" w:hAnsi="Arial" w:cs="Arial"/>
        </w:rPr>
        <w:t xml:space="preserve">of £2.275m was </w:t>
      </w:r>
      <w:r w:rsidRPr="005321C8">
        <w:rPr>
          <w:rFonts w:ascii="Arial" w:hAnsi="Arial" w:cs="Arial"/>
        </w:rPr>
        <w:t>receive</w:t>
      </w:r>
      <w:r>
        <w:rPr>
          <w:rFonts w:ascii="Arial" w:hAnsi="Arial" w:cs="Arial"/>
        </w:rPr>
        <w:t>d</w:t>
      </w:r>
      <w:r w:rsidRPr="005321C8">
        <w:rPr>
          <w:rFonts w:ascii="Arial" w:hAnsi="Arial" w:cs="Arial"/>
        </w:rPr>
        <w:t xml:space="preserve"> in January</w:t>
      </w:r>
      <w:r>
        <w:rPr>
          <w:rFonts w:ascii="Arial" w:hAnsi="Arial" w:cs="Arial"/>
        </w:rPr>
        <w:t xml:space="preserve"> 2021 RRL allocation.</w:t>
      </w:r>
    </w:p>
    <w:p w:rsidR="001B616A" w:rsidRDefault="001B616A" w:rsidP="005321C8">
      <w:pPr>
        <w:pStyle w:val="BodyText"/>
        <w:kinsoku w:val="0"/>
        <w:overflowPunct w:val="0"/>
        <w:ind w:right="-613"/>
        <w:rPr>
          <w:rFonts w:ascii="Arial" w:hAnsi="Arial" w:cs="Arial"/>
        </w:rPr>
      </w:pPr>
    </w:p>
    <w:p w:rsidR="001B616A" w:rsidRDefault="001B616A" w:rsidP="00385F6B">
      <w:pPr>
        <w:ind w:left="-5"/>
        <w:rPr>
          <w:rFonts w:cs="Arial"/>
          <w:sz w:val="24"/>
          <w:szCs w:val="24"/>
        </w:rPr>
      </w:pPr>
      <w:r>
        <w:rPr>
          <w:rFonts w:cs="Arial"/>
          <w:sz w:val="24"/>
          <w:szCs w:val="24"/>
        </w:rPr>
        <w:t xml:space="preserve">The focus is now on managing the final March 2020-21 year-end position, which based on detailed financial appraisal </w:t>
      </w:r>
      <w:r w:rsidRPr="00385F6B">
        <w:rPr>
          <w:rFonts w:cs="Arial"/>
          <w:sz w:val="24"/>
          <w:szCs w:val="24"/>
        </w:rPr>
        <w:t xml:space="preserve">recognised that flexibility of </w:t>
      </w:r>
      <w:r>
        <w:rPr>
          <w:rFonts w:cs="Arial"/>
          <w:sz w:val="24"/>
          <w:szCs w:val="24"/>
        </w:rPr>
        <w:t xml:space="preserve">up to </w:t>
      </w:r>
      <w:r w:rsidRPr="00385F6B">
        <w:rPr>
          <w:rFonts w:cs="Arial"/>
          <w:sz w:val="24"/>
          <w:szCs w:val="24"/>
        </w:rPr>
        <w:t xml:space="preserve">£0.5m </w:t>
      </w:r>
      <w:r>
        <w:rPr>
          <w:rFonts w:cs="Arial"/>
          <w:sz w:val="24"/>
          <w:szCs w:val="24"/>
        </w:rPr>
        <w:t xml:space="preserve">surplus </w:t>
      </w:r>
      <w:r w:rsidRPr="00385F6B">
        <w:rPr>
          <w:rFonts w:cs="Arial"/>
          <w:sz w:val="24"/>
          <w:szCs w:val="24"/>
        </w:rPr>
        <w:t xml:space="preserve">may be realised and this financial assessment </w:t>
      </w:r>
      <w:r>
        <w:rPr>
          <w:rFonts w:cs="Arial"/>
          <w:sz w:val="24"/>
          <w:szCs w:val="24"/>
        </w:rPr>
        <w:t>has</w:t>
      </w:r>
      <w:r w:rsidRPr="00385F6B">
        <w:rPr>
          <w:rFonts w:cs="Arial"/>
          <w:sz w:val="24"/>
          <w:szCs w:val="24"/>
        </w:rPr>
        <w:t xml:space="preserve"> therefore been reflected in the M10 FPR trajectory</w:t>
      </w:r>
      <w:r>
        <w:rPr>
          <w:rFonts w:cs="Arial"/>
          <w:sz w:val="24"/>
          <w:szCs w:val="24"/>
        </w:rPr>
        <w:t xml:space="preserve"> submitted to Scottish Government</w:t>
      </w:r>
      <w:r w:rsidRPr="00385F6B">
        <w:rPr>
          <w:rFonts w:cs="Arial"/>
          <w:sz w:val="24"/>
          <w:szCs w:val="24"/>
        </w:rPr>
        <w:t>.</w:t>
      </w:r>
      <w:r>
        <w:rPr>
          <w:rFonts w:cs="Arial"/>
          <w:sz w:val="24"/>
          <w:szCs w:val="24"/>
        </w:rPr>
        <w:t xml:space="preserve"> There are a number of areas requiring final assessment, which may impact this position, including the implications of the level of increased annual leave balances and associated financial provision. This will be clearly understood for month 11 reporting as all services have been asked to return detailed templates to allow for the full and robust consideration of the carry forward leave implications as at March 2021.</w:t>
      </w:r>
    </w:p>
    <w:p w:rsidR="001B616A" w:rsidRDefault="001B616A" w:rsidP="00385F6B">
      <w:pPr>
        <w:ind w:left="-5"/>
      </w:pPr>
    </w:p>
    <w:p w:rsidR="00BA6637" w:rsidRDefault="00BA6637" w:rsidP="005321C8">
      <w:pPr>
        <w:pStyle w:val="BodyText"/>
        <w:kinsoku w:val="0"/>
        <w:overflowPunct w:val="0"/>
        <w:ind w:right="-613"/>
        <w:rPr>
          <w:rFonts w:ascii="Arial" w:hAnsi="Arial" w:cs="Arial"/>
        </w:rPr>
      </w:pPr>
    </w:p>
    <w:p w:rsidR="001B616A" w:rsidRDefault="001B616A" w:rsidP="005321C8">
      <w:pPr>
        <w:pStyle w:val="BodyText"/>
        <w:kinsoku w:val="0"/>
        <w:overflowPunct w:val="0"/>
        <w:ind w:right="-613"/>
        <w:rPr>
          <w:rFonts w:ascii="Arial" w:hAnsi="Arial" w:cs="Arial"/>
        </w:rPr>
      </w:pPr>
      <w:r>
        <w:rPr>
          <w:rFonts w:ascii="Arial" w:hAnsi="Arial" w:cs="Arial"/>
        </w:rPr>
        <w:t>In addition to the management of the March 2021 year-end out-turn there has been significant focus on the 2021/22 1 year remobilisation plan submission in addition to the supporting financial templates and recovery financial assessment as issued from Scottish Government, all of which are to be returned by 26 February 2021 deadline. The planned activity targets for 2021/22 in addition to the previously approved rec</w:t>
      </w:r>
      <w:r w:rsidR="002A1180">
        <w:rPr>
          <w:rFonts w:ascii="Arial" w:hAnsi="Arial" w:cs="Arial"/>
        </w:rPr>
        <w:t>overy workforce by NHS</w:t>
      </w:r>
      <w:r w:rsidR="00BA6637">
        <w:rPr>
          <w:rFonts w:ascii="Arial" w:hAnsi="Arial" w:cs="Arial"/>
        </w:rPr>
        <w:t>GJ Gold C</w:t>
      </w:r>
      <w:r>
        <w:rPr>
          <w:rFonts w:ascii="Arial" w:hAnsi="Arial" w:cs="Arial"/>
        </w:rPr>
        <w:t>ommand</w:t>
      </w:r>
      <w:r w:rsidR="00BA6637">
        <w:rPr>
          <w:rFonts w:ascii="Arial" w:hAnsi="Arial" w:cs="Arial"/>
        </w:rPr>
        <w:t>,</w:t>
      </w:r>
      <w:r>
        <w:rPr>
          <w:rFonts w:ascii="Arial" w:hAnsi="Arial" w:cs="Arial"/>
        </w:rPr>
        <w:t xml:space="preserve"> provided a solid baseline to build this financial appraisal. This therefore reflects an additional funding ask for the </w:t>
      </w:r>
      <w:r w:rsidRPr="003569F6">
        <w:rPr>
          <w:rFonts w:ascii="Arial" w:hAnsi="Arial" w:cs="Arial"/>
        </w:rPr>
        <w:t>remobilisation of c£17m with and a further separate funding need for the planned Endoscopy Unit</w:t>
      </w:r>
      <w:r>
        <w:rPr>
          <w:rFonts w:ascii="Arial" w:hAnsi="Arial" w:cs="Arial"/>
        </w:rPr>
        <w:t xml:space="preserve"> of c£3.5m including rental, staffing and consumables. </w:t>
      </w:r>
    </w:p>
    <w:p w:rsidR="001B616A" w:rsidRDefault="001B616A" w:rsidP="00DF0F29">
      <w:pPr>
        <w:pStyle w:val="BodyText"/>
        <w:kinsoku w:val="0"/>
        <w:overflowPunct w:val="0"/>
        <w:ind w:right="-613"/>
        <w:rPr>
          <w:rFonts w:ascii="Arial" w:hAnsi="Arial" w:cs="Arial"/>
        </w:rPr>
      </w:pPr>
    </w:p>
    <w:p w:rsidR="001B616A" w:rsidRPr="0038355A" w:rsidRDefault="001B616A" w:rsidP="0038355A">
      <w:pPr>
        <w:rPr>
          <w:rFonts w:ascii="Calibri" w:hAnsi="Calibri" w:cs="Calibri"/>
        </w:rPr>
      </w:pPr>
      <w:r>
        <w:rPr>
          <w:rFonts w:cs="Arial"/>
          <w:sz w:val="24"/>
          <w:szCs w:val="24"/>
        </w:rPr>
        <w:t>Month 10 SLA monitoring summary reports on the top-slice SLA have been shared with both the Access Support Team and Other Boards SLA leads as at January 2021.  The December 2020 RRL Allocation reflected the reduced SLA top slice funding of £12.266m agreed at that stage, the final adjustment on March 2021 SLA out-turn against the Boards £12.266m indicates a further £2m reduction in funding on the top slice based on</w:t>
      </w:r>
      <w:r w:rsidR="00BA6637">
        <w:rPr>
          <w:rFonts w:cs="Arial"/>
          <w:sz w:val="24"/>
          <w:szCs w:val="24"/>
        </w:rPr>
        <w:t xml:space="preserve"> activity forecast to March 202</w:t>
      </w:r>
      <w:r>
        <w:rPr>
          <w:rFonts w:cs="Arial"/>
          <w:sz w:val="24"/>
          <w:szCs w:val="24"/>
        </w:rPr>
        <w:t xml:space="preserve">1. Discussions are in place with both Scottish Government and Boards around the detail behind this by Board and final adjustments by Board will be progressed for the March 2021 RRL allocations. </w:t>
      </w:r>
    </w:p>
    <w:p w:rsidR="001B616A" w:rsidRDefault="001B616A" w:rsidP="001318A5">
      <w:pPr>
        <w:pStyle w:val="BodyText"/>
        <w:kinsoku w:val="0"/>
        <w:overflowPunct w:val="0"/>
        <w:ind w:right="-613"/>
        <w:rPr>
          <w:rFonts w:ascii="Arial" w:hAnsi="Arial" w:cs="Arial"/>
          <w:bCs/>
          <w:iCs/>
          <w:color w:val="000000" w:themeColor="text1"/>
        </w:rPr>
      </w:pPr>
    </w:p>
    <w:p w:rsidR="001B616A" w:rsidRDefault="001B616A" w:rsidP="006D7D86">
      <w:pPr>
        <w:rPr>
          <w:rFonts w:cs="Arial"/>
          <w:sz w:val="24"/>
          <w:szCs w:val="24"/>
        </w:rPr>
      </w:pPr>
    </w:p>
    <w:p w:rsidR="00BA6637" w:rsidRDefault="00BA6637">
      <w:pPr>
        <w:spacing w:after="200" w:line="276" w:lineRule="auto"/>
        <w:rPr>
          <w:rFonts w:cs="Arial"/>
          <w:b/>
          <w:sz w:val="24"/>
          <w:szCs w:val="24"/>
        </w:rPr>
      </w:pPr>
      <w:r>
        <w:rPr>
          <w:rFonts w:cs="Arial"/>
          <w:b/>
          <w:sz w:val="24"/>
          <w:szCs w:val="24"/>
        </w:rPr>
        <w:br w:type="page"/>
      </w:r>
    </w:p>
    <w:p w:rsidR="001B616A" w:rsidRPr="00FA4BC6" w:rsidRDefault="001B616A" w:rsidP="00321E9D">
      <w:pPr>
        <w:rPr>
          <w:rFonts w:cs="Arial"/>
          <w:b/>
          <w:sz w:val="24"/>
          <w:szCs w:val="24"/>
        </w:rPr>
      </w:pPr>
      <w:r w:rsidRPr="00FA4BC6">
        <w:rPr>
          <w:rFonts w:cs="Arial"/>
          <w:b/>
          <w:sz w:val="24"/>
          <w:szCs w:val="24"/>
        </w:rPr>
        <w:lastRenderedPageBreak/>
        <w:t>Sum</w:t>
      </w:r>
      <w:r>
        <w:rPr>
          <w:rFonts w:cs="Arial"/>
          <w:b/>
          <w:sz w:val="24"/>
          <w:szCs w:val="24"/>
        </w:rPr>
        <w:t>mary Financial Position as at 31 January 2021</w:t>
      </w:r>
    </w:p>
    <w:p w:rsidR="001B616A" w:rsidRDefault="001B616A" w:rsidP="00321E9D">
      <w:pPr>
        <w:rPr>
          <w:rFonts w:cs="Arial"/>
          <w:sz w:val="24"/>
          <w:szCs w:val="24"/>
        </w:rPr>
      </w:pPr>
    </w:p>
    <w:p w:rsidR="001B616A" w:rsidRDefault="001B616A" w:rsidP="00321E9D">
      <w:pPr>
        <w:rPr>
          <w:rFonts w:cs="Arial"/>
          <w:sz w:val="24"/>
          <w:szCs w:val="24"/>
        </w:rPr>
      </w:pPr>
      <w:r>
        <w:rPr>
          <w:rFonts w:cs="Arial"/>
          <w:sz w:val="24"/>
          <w:szCs w:val="24"/>
        </w:rPr>
        <w:t xml:space="preserve">The tables below represent an extract of the summary financial position in line with reporting to the Scottish Government Health and Social Care Directorate as at month 10, 31January 2021. </w:t>
      </w:r>
    </w:p>
    <w:p w:rsidR="001B616A" w:rsidRDefault="001B616A" w:rsidP="00321E9D">
      <w:pPr>
        <w:rPr>
          <w:rFonts w:cs="Arial"/>
          <w:sz w:val="24"/>
          <w:szCs w:val="24"/>
        </w:rPr>
      </w:pPr>
    </w:p>
    <w:p w:rsidR="001B616A" w:rsidRDefault="001B616A" w:rsidP="006D7D86">
      <w:pPr>
        <w:rPr>
          <w:rFonts w:cs="Arial"/>
          <w:sz w:val="24"/>
          <w:szCs w:val="24"/>
        </w:rPr>
      </w:pPr>
      <w:r>
        <w:rPr>
          <w:rFonts w:cs="Arial"/>
          <w:sz w:val="24"/>
          <w:szCs w:val="24"/>
        </w:rPr>
        <w:t>The tables below clearly di</w:t>
      </w:r>
      <w:r w:rsidR="00410FCA">
        <w:rPr>
          <w:rFonts w:cs="Arial"/>
          <w:sz w:val="24"/>
          <w:szCs w:val="24"/>
        </w:rPr>
        <w:t>stinguish between the total NHS</w:t>
      </w:r>
      <w:r>
        <w:rPr>
          <w:rFonts w:cs="Arial"/>
          <w:sz w:val="24"/>
          <w:szCs w:val="24"/>
        </w:rPr>
        <w:t xml:space="preserve">GJ and the GJCH position separately in order to define the financial performance and drivers for variances on income performance. </w:t>
      </w:r>
    </w:p>
    <w:p w:rsidR="001B616A" w:rsidRDefault="001B616A" w:rsidP="006D7D86">
      <w:pPr>
        <w:rPr>
          <w:rFonts w:cs="Arial"/>
          <w:sz w:val="24"/>
          <w:szCs w:val="24"/>
        </w:rPr>
      </w:pPr>
    </w:p>
    <w:p w:rsidR="001B616A" w:rsidRDefault="001B616A" w:rsidP="008E5C77">
      <w:pPr>
        <w:jc w:val="both"/>
        <w:rPr>
          <w:rFonts w:cs="Arial"/>
          <w:b/>
          <w:sz w:val="24"/>
          <w:szCs w:val="24"/>
        </w:rPr>
      </w:pPr>
      <w:r w:rsidRPr="00BE209E">
        <w:rPr>
          <w:noProof/>
          <w:lang w:eastAsia="en-GB"/>
        </w:rPr>
        <w:drawing>
          <wp:inline distT="0" distB="0" distL="0" distR="0">
            <wp:extent cx="6263640" cy="46676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4667638"/>
                    </a:xfrm>
                    <a:prstGeom prst="rect">
                      <a:avLst/>
                    </a:prstGeom>
                    <a:noFill/>
                    <a:ln>
                      <a:noFill/>
                    </a:ln>
                  </pic:spPr>
                </pic:pic>
              </a:graphicData>
            </a:graphic>
          </wp:inline>
        </w:drawing>
      </w:r>
    </w:p>
    <w:p w:rsidR="001B616A" w:rsidRDefault="001B616A" w:rsidP="008E5C77">
      <w:pPr>
        <w:jc w:val="both"/>
        <w:rPr>
          <w:rFonts w:cs="Arial"/>
          <w:b/>
          <w:sz w:val="24"/>
          <w:szCs w:val="24"/>
        </w:rPr>
      </w:pPr>
    </w:p>
    <w:p w:rsidR="001B616A" w:rsidRDefault="001B616A" w:rsidP="008E5C77">
      <w:pPr>
        <w:jc w:val="both"/>
        <w:rPr>
          <w:rFonts w:cs="Arial"/>
          <w:b/>
          <w:sz w:val="24"/>
          <w:szCs w:val="24"/>
        </w:rPr>
      </w:pPr>
      <w:r w:rsidRPr="00BE209E">
        <w:rPr>
          <w:noProof/>
          <w:lang w:eastAsia="en-GB"/>
        </w:rPr>
        <w:lastRenderedPageBreak/>
        <w:drawing>
          <wp:inline distT="0" distB="0" distL="0" distR="0">
            <wp:extent cx="6263640" cy="329638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3640" cy="3296382"/>
                    </a:xfrm>
                    <a:prstGeom prst="rect">
                      <a:avLst/>
                    </a:prstGeom>
                    <a:noFill/>
                    <a:ln>
                      <a:noFill/>
                    </a:ln>
                  </pic:spPr>
                </pic:pic>
              </a:graphicData>
            </a:graphic>
          </wp:inline>
        </w:drawing>
      </w:r>
    </w:p>
    <w:p w:rsidR="001B616A" w:rsidRDefault="001B616A" w:rsidP="008E5C77">
      <w:pPr>
        <w:jc w:val="both"/>
        <w:rPr>
          <w:rFonts w:cs="Arial"/>
          <w:b/>
          <w:sz w:val="24"/>
          <w:szCs w:val="24"/>
        </w:rPr>
      </w:pPr>
    </w:p>
    <w:p w:rsidR="001B616A" w:rsidRPr="003D4BF2" w:rsidRDefault="001B616A" w:rsidP="008E5C77">
      <w:pPr>
        <w:jc w:val="both"/>
        <w:rPr>
          <w:rFonts w:cs="Arial"/>
          <w:sz w:val="24"/>
          <w:szCs w:val="24"/>
        </w:rPr>
      </w:pPr>
      <w:r w:rsidRPr="00B3459A">
        <w:rPr>
          <w:rFonts w:cs="Arial"/>
          <w:sz w:val="24"/>
          <w:szCs w:val="24"/>
        </w:rPr>
        <w:t xml:space="preserve">This clearly </w:t>
      </w:r>
      <w:r>
        <w:rPr>
          <w:rFonts w:cs="Arial"/>
          <w:sz w:val="24"/>
          <w:szCs w:val="24"/>
        </w:rPr>
        <w:t xml:space="preserve">demonstrates that the GJCH income loss is the </w:t>
      </w:r>
      <w:r w:rsidR="00410FCA">
        <w:rPr>
          <w:rFonts w:cs="Arial"/>
          <w:sz w:val="24"/>
          <w:szCs w:val="24"/>
        </w:rPr>
        <w:t>main driver for the overall NHS</w:t>
      </w:r>
      <w:r>
        <w:rPr>
          <w:rFonts w:cs="Arial"/>
          <w:sz w:val="24"/>
          <w:szCs w:val="24"/>
        </w:rPr>
        <w:t>GJ income underperformance and that the Core hospital position reflects a small under-recovery against revised planning of (£17k).</w:t>
      </w:r>
    </w:p>
    <w:p w:rsidR="001B616A" w:rsidRDefault="001B616A" w:rsidP="008E5C77">
      <w:pPr>
        <w:jc w:val="both"/>
        <w:rPr>
          <w:rFonts w:cs="Arial"/>
          <w:b/>
          <w:sz w:val="24"/>
          <w:szCs w:val="24"/>
        </w:rPr>
      </w:pPr>
    </w:p>
    <w:p w:rsidR="001B616A" w:rsidRDefault="001B616A" w:rsidP="008E5C77">
      <w:pPr>
        <w:jc w:val="both"/>
        <w:rPr>
          <w:rFonts w:cs="Arial"/>
          <w:b/>
          <w:sz w:val="24"/>
          <w:szCs w:val="24"/>
        </w:rPr>
      </w:pPr>
    </w:p>
    <w:p w:rsidR="001B616A" w:rsidRDefault="001B616A" w:rsidP="008E5C77">
      <w:pPr>
        <w:jc w:val="both"/>
        <w:rPr>
          <w:rFonts w:cs="Arial"/>
          <w:b/>
          <w:sz w:val="24"/>
          <w:szCs w:val="24"/>
        </w:rPr>
      </w:pPr>
      <w:r>
        <w:rPr>
          <w:rFonts w:cs="Arial"/>
          <w:b/>
          <w:sz w:val="24"/>
          <w:szCs w:val="24"/>
        </w:rPr>
        <w:t>Summary Points</w:t>
      </w:r>
    </w:p>
    <w:p w:rsidR="001B616A" w:rsidRDefault="001B616A" w:rsidP="008E5C77">
      <w:pPr>
        <w:jc w:val="both"/>
        <w:rPr>
          <w:rFonts w:cs="Arial"/>
          <w:b/>
          <w:sz w:val="24"/>
          <w:szCs w:val="24"/>
        </w:rPr>
      </w:pPr>
    </w:p>
    <w:p w:rsidR="001B616A" w:rsidRDefault="001B616A" w:rsidP="008E5C77">
      <w:pPr>
        <w:jc w:val="both"/>
        <w:rPr>
          <w:rFonts w:cs="Arial"/>
          <w:sz w:val="24"/>
          <w:szCs w:val="24"/>
        </w:rPr>
      </w:pPr>
      <w:r>
        <w:rPr>
          <w:rFonts w:cs="Arial"/>
          <w:b/>
          <w:sz w:val="24"/>
          <w:szCs w:val="24"/>
        </w:rPr>
        <w:t xml:space="preserve">Core </w:t>
      </w:r>
      <w:r w:rsidRPr="0015499C">
        <w:rPr>
          <w:rFonts w:cs="Arial"/>
          <w:b/>
          <w:sz w:val="24"/>
          <w:szCs w:val="24"/>
        </w:rPr>
        <w:t>Income</w:t>
      </w:r>
      <w:r>
        <w:rPr>
          <w:rFonts w:cs="Arial"/>
          <w:b/>
          <w:sz w:val="24"/>
          <w:szCs w:val="24"/>
        </w:rPr>
        <w:t xml:space="preserve"> excl. GJCH (£0</w:t>
      </w:r>
      <w:r w:rsidRPr="0015499C">
        <w:rPr>
          <w:rFonts w:cs="Arial"/>
          <w:b/>
          <w:sz w:val="24"/>
          <w:szCs w:val="24"/>
        </w:rPr>
        <w:t>.</w:t>
      </w:r>
      <w:r>
        <w:rPr>
          <w:rFonts w:cs="Arial"/>
          <w:b/>
          <w:sz w:val="24"/>
          <w:szCs w:val="24"/>
        </w:rPr>
        <w:t>017m) und</w:t>
      </w:r>
      <w:r w:rsidRPr="0015499C">
        <w:rPr>
          <w:rFonts w:cs="Arial"/>
          <w:b/>
          <w:sz w:val="24"/>
          <w:szCs w:val="24"/>
        </w:rPr>
        <w:t>er-recovered</w:t>
      </w:r>
      <w:r>
        <w:rPr>
          <w:rFonts w:cs="Arial"/>
          <w:sz w:val="24"/>
          <w:szCs w:val="24"/>
        </w:rPr>
        <w:t xml:space="preserve"> – As the SLA top slice reduced allocation has been actioned, the month 10 finance report now reflects the £8.178m movement within the Core RRL SLA line. Non-WoS activity account for a small (£0.055m) under recovery against original budget plan and mainly driven by;</w:t>
      </w:r>
    </w:p>
    <w:p w:rsidR="001B616A" w:rsidRDefault="001B616A" w:rsidP="001B616A">
      <w:pPr>
        <w:pStyle w:val="ListParagraph"/>
        <w:widowControl w:val="0"/>
        <w:numPr>
          <w:ilvl w:val="0"/>
          <w:numId w:val="35"/>
        </w:numPr>
        <w:autoSpaceDE w:val="0"/>
        <w:autoSpaceDN w:val="0"/>
        <w:adjustRightInd w:val="0"/>
        <w:spacing w:before="112"/>
        <w:jc w:val="both"/>
        <w:rPr>
          <w:rFonts w:cs="Arial"/>
        </w:rPr>
      </w:pPr>
      <w:r w:rsidRPr="000039D3">
        <w:rPr>
          <w:rFonts w:cs="Arial"/>
        </w:rPr>
        <w:t xml:space="preserve">Cardiology services at </w:t>
      </w:r>
      <w:r>
        <w:rPr>
          <w:rFonts w:cs="Arial"/>
        </w:rPr>
        <w:t xml:space="preserve">January </w:t>
      </w:r>
      <w:r w:rsidRPr="000039D3">
        <w:rPr>
          <w:rFonts w:cs="Arial"/>
        </w:rPr>
        <w:t xml:space="preserve">reporting for Mitraclip, TAVI and PFO procedures performing </w:t>
      </w:r>
      <w:r>
        <w:rPr>
          <w:rFonts w:cs="Arial"/>
        </w:rPr>
        <w:t xml:space="preserve">£0.146m positively </w:t>
      </w:r>
      <w:r w:rsidRPr="000039D3">
        <w:rPr>
          <w:rFonts w:cs="Arial"/>
        </w:rPr>
        <w:t>against year to date plan</w:t>
      </w:r>
      <w:r>
        <w:rPr>
          <w:rFonts w:cs="Arial"/>
        </w:rPr>
        <w:t>. This is in the main due to TAVI and as a result in increased procedure numbers for transfemoral activity for the West region on the back of reduced Non-Transfemoral cases (from 15% to 7%) noted in the East Unit. This reduced level of Non T/F cases was predict</w:t>
      </w:r>
      <w:r w:rsidR="00410FCA">
        <w:rPr>
          <w:rFonts w:cs="Arial"/>
        </w:rPr>
        <w:t>ed by the clinical team and NHS</w:t>
      </w:r>
      <w:r>
        <w:rPr>
          <w:rFonts w:cs="Arial"/>
        </w:rPr>
        <w:t xml:space="preserve">GJ Management are progressing a review of this and the 61 Pmp rate in collaboration with the West Regional planning lead and the National Planning Group. Approval has been received from the two Boards who are mainly impacted from the increased </w:t>
      </w:r>
      <w:r w:rsidR="00410FCA">
        <w:rPr>
          <w:rFonts w:cs="Arial"/>
        </w:rPr>
        <w:t>NHS</w:t>
      </w:r>
      <w:r>
        <w:rPr>
          <w:rFonts w:cs="Arial"/>
        </w:rPr>
        <w:t>GJ activity.</w:t>
      </w:r>
    </w:p>
    <w:p w:rsidR="001B616A" w:rsidRDefault="001B616A" w:rsidP="001B616A">
      <w:pPr>
        <w:pStyle w:val="ListParagraph"/>
        <w:widowControl w:val="0"/>
        <w:numPr>
          <w:ilvl w:val="0"/>
          <w:numId w:val="35"/>
        </w:numPr>
        <w:autoSpaceDE w:val="0"/>
        <w:autoSpaceDN w:val="0"/>
        <w:adjustRightInd w:val="0"/>
        <w:spacing w:before="112"/>
        <w:jc w:val="both"/>
        <w:rPr>
          <w:rFonts w:cs="Arial"/>
        </w:rPr>
      </w:pPr>
      <w:r w:rsidRPr="000039D3">
        <w:rPr>
          <w:rFonts w:cs="Arial"/>
        </w:rPr>
        <w:t>Cardiac is behind year to date plan</w:t>
      </w:r>
      <w:r>
        <w:rPr>
          <w:rFonts w:cs="Arial"/>
        </w:rPr>
        <w:t xml:space="preserve"> by (£0.151m) due to the ongoing and noted reduction in referral activity for Cardiac Surgery</w:t>
      </w:r>
    </w:p>
    <w:p w:rsidR="001B616A" w:rsidRDefault="001B616A" w:rsidP="001B616A">
      <w:pPr>
        <w:pStyle w:val="ListParagraph"/>
        <w:widowControl w:val="0"/>
        <w:numPr>
          <w:ilvl w:val="0"/>
          <w:numId w:val="35"/>
        </w:numPr>
        <w:autoSpaceDE w:val="0"/>
        <w:autoSpaceDN w:val="0"/>
        <w:adjustRightInd w:val="0"/>
        <w:spacing w:before="112"/>
        <w:jc w:val="both"/>
        <w:rPr>
          <w:rFonts w:cs="Arial"/>
        </w:rPr>
      </w:pPr>
      <w:r>
        <w:rPr>
          <w:rFonts w:cs="Arial"/>
        </w:rPr>
        <w:t>Thoracic performing behind year to date plan of (£0.051m) due to reduced activity throughput partly driven from 4 nations guidance implications</w:t>
      </w:r>
    </w:p>
    <w:p w:rsidR="001B616A" w:rsidRPr="000039D3" w:rsidRDefault="001B616A" w:rsidP="000039D3">
      <w:pPr>
        <w:ind w:left="360"/>
        <w:jc w:val="both"/>
        <w:rPr>
          <w:rFonts w:cs="Arial"/>
        </w:rPr>
      </w:pPr>
    </w:p>
    <w:p w:rsidR="001B616A" w:rsidRDefault="001B616A" w:rsidP="008E5C77">
      <w:pPr>
        <w:jc w:val="both"/>
        <w:rPr>
          <w:rFonts w:cs="Arial"/>
          <w:sz w:val="24"/>
          <w:szCs w:val="24"/>
        </w:rPr>
      </w:pPr>
      <w:r>
        <w:rPr>
          <w:rFonts w:cs="Arial"/>
          <w:sz w:val="24"/>
          <w:szCs w:val="24"/>
        </w:rPr>
        <w:t>As Covid-19 is a significant driving factor for most of the above, re-aligning the budget in Non-WoS Income will take place in Month 11 to take cognisance of these issues.</w:t>
      </w:r>
    </w:p>
    <w:p w:rsidR="001B616A" w:rsidRDefault="001B616A" w:rsidP="008E5C77">
      <w:pPr>
        <w:jc w:val="both"/>
        <w:rPr>
          <w:rFonts w:cs="Arial"/>
          <w:sz w:val="24"/>
          <w:szCs w:val="24"/>
        </w:rPr>
      </w:pPr>
    </w:p>
    <w:p w:rsidR="001B616A" w:rsidRDefault="001B616A" w:rsidP="008E5C77">
      <w:pPr>
        <w:jc w:val="both"/>
        <w:rPr>
          <w:rFonts w:cs="Arial"/>
          <w:sz w:val="24"/>
          <w:szCs w:val="24"/>
        </w:rPr>
      </w:pPr>
      <w:r>
        <w:rPr>
          <w:rFonts w:cs="Arial"/>
          <w:sz w:val="24"/>
          <w:szCs w:val="24"/>
        </w:rPr>
        <w:lastRenderedPageBreak/>
        <w:t>Underperformance against Additional Cost of Teaching (ACT) of (£0.035m) is also noted, however this is due to non-progression of previous bids against additional ACT allocation and can be re-accessed as required in future years.</w:t>
      </w:r>
    </w:p>
    <w:p w:rsidR="001B616A" w:rsidRDefault="001B616A" w:rsidP="008E5C77">
      <w:pPr>
        <w:jc w:val="both"/>
        <w:rPr>
          <w:rFonts w:cs="Arial"/>
          <w:sz w:val="24"/>
          <w:szCs w:val="24"/>
        </w:rPr>
      </w:pPr>
    </w:p>
    <w:p w:rsidR="001B616A" w:rsidRDefault="001B616A" w:rsidP="00C65B0E">
      <w:pPr>
        <w:jc w:val="both"/>
        <w:rPr>
          <w:rFonts w:cs="Arial"/>
          <w:sz w:val="24"/>
          <w:szCs w:val="24"/>
        </w:rPr>
      </w:pPr>
      <w:r>
        <w:rPr>
          <w:rFonts w:cs="Arial"/>
          <w:sz w:val="24"/>
          <w:szCs w:val="24"/>
        </w:rPr>
        <w:t>SPVU is also under performing by (£0.061m) – 14%, and the reduction in activity in the first quarter of the financial year remains the key factor to this position, the forecast is realigned to reflect current profile forecast for NSD services.</w:t>
      </w:r>
    </w:p>
    <w:p w:rsidR="001B616A" w:rsidRDefault="001B616A" w:rsidP="008E5C77">
      <w:pPr>
        <w:jc w:val="both"/>
        <w:rPr>
          <w:rFonts w:cs="Arial"/>
          <w:sz w:val="24"/>
          <w:szCs w:val="24"/>
        </w:rPr>
      </w:pPr>
    </w:p>
    <w:p w:rsidR="001B616A" w:rsidRDefault="001B616A" w:rsidP="008E5C77">
      <w:pPr>
        <w:jc w:val="both"/>
        <w:rPr>
          <w:rFonts w:cs="Arial"/>
          <w:sz w:val="24"/>
          <w:szCs w:val="24"/>
        </w:rPr>
      </w:pPr>
      <w:r>
        <w:rPr>
          <w:rFonts w:cs="Arial"/>
          <w:sz w:val="24"/>
          <w:szCs w:val="24"/>
        </w:rPr>
        <w:t>Other Income flows continue to reflect a small over recovery of £0.131m year to date which is offsetting some of the minor under-recoveries noted above.</w:t>
      </w:r>
    </w:p>
    <w:p w:rsidR="001B616A" w:rsidRDefault="001B616A" w:rsidP="008E5C77">
      <w:pPr>
        <w:jc w:val="both"/>
        <w:rPr>
          <w:rFonts w:cs="Arial"/>
          <w:sz w:val="24"/>
          <w:szCs w:val="24"/>
        </w:rPr>
      </w:pPr>
    </w:p>
    <w:p w:rsidR="001B616A" w:rsidRDefault="001B616A" w:rsidP="00973586">
      <w:pPr>
        <w:jc w:val="both"/>
        <w:rPr>
          <w:rFonts w:cs="Arial"/>
          <w:sz w:val="24"/>
          <w:szCs w:val="24"/>
        </w:rPr>
      </w:pPr>
      <w:r>
        <w:rPr>
          <w:rFonts w:cs="Arial"/>
          <w:b/>
          <w:sz w:val="24"/>
          <w:szCs w:val="24"/>
        </w:rPr>
        <w:t>GJCH Income (£4</w:t>
      </w:r>
      <w:r w:rsidRPr="0015499C">
        <w:rPr>
          <w:rFonts w:cs="Arial"/>
          <w:b/>
          <w:sz w:val="24"/>
          <w:szCs w:val="24"/>
        </w:rPr>
        <w:t>.</w:t>
      </w:r>
      <w:r>
        <w:rPr>
          <w:rFonts w:cs="Arial"/>
          <w:b/>
          <w:sz w:val="24"/>
          <w:szCs w:val="24"/>
        </w:rPr>
        <w:t>220</w:t>
      </w:r>
      <w:r w:rsidRPr="0015499C">
        <w:rPr>
          <w:rFonts w:cs="Arial"/>
          <w:b/>
          <w:sz w:val="24"/>
          <w:szCs w:val="24"/>
        </w:rPr>
        <w:t>m) under-recovered</w:t>
      </w:r>
    </w:p>
    <w:p w:rsidR="001B616A" w:rsidRDefault="001B616A" w:rsidP="008E5C77">
      <w:pPr>
        <w:jc w:val="both"/>
        <w:rPr>
          <w:rFonts w:cs="Arial"/>
          <w:sz w:val="24"/>
          <w:szCs w:val="24"/>
        </w:rPr>
      </w:pPr>
      <w:r>
        <w:rPr>
          <w:rFonts w:cs="Arial"/>
          <w:sz w:val="24"/>
          <w:szCs w:val="24"/>
        </w:rPr>
        <w:t>The element associated with the Hotel and Conference centre as previously reported has been incorporated and approved within our Local Mobilisation Plan (LMP) – net £3.651m performance loss and is all funded within the £7.108m formal allocations received in the September and January RRL allocations and has been fully allocated to GJCH expenditure. The £3.651m sits specifically against non-pays and this offsets the net year to date variance driven by the lost income opportunity to take the total hotel position to a small adverse position of £0.207m ytd. The adverse ytd position noted as at M10 is a phasing impact between budget and spend and the year-end position remain</w:t>
      </w:r>
      <w:r w:rsidR="00D3754B">
        <w:rPr>
          <w:rFonts w:cs="Arial"/>
          <w:sz w:val="24"/>
          <w:szCs w:val="24"/>
        </w:rPr>
        <w:t>s</w:t>
      </w:r>
      <w:r>
        <w:rPr>
          <w:rFonts w:cs="Arial"/>
          <w:sz w:val="24"/>
          <w:szCs w:val="24"/>
        </w:rPr>
        <w:t xml:space="preserve"> to be forecast at breakeven. The additional £2m regeneration funding allocation for the GJCH is released as bedroom work progresses up to March 2021.</w:t>
      </w:r>
    </w:p>
    <w:p w:rsidR="001B616A" w:rsidRDefault="001B616A" w:rsidP="008E5C77">
      <w:pPr>
        <w:jc w:val="both"/>
        <w:rPr>
          <w:rFonts w:cs="Arial"/>
          <w:sz w:val="24"/>
          <w:szCs w:val="24"/>
        </w:rPr>
      </w:pPr>
    </w:p>
    <w:p w:rsidR="001B616A" w:rsidRDefault="001B616A" w:rsidP="008E5C77">
      <w:pPr>
        <w:jc w:val="both"/>
        <w:rPr>
          <w:rFonts w:cs="Arial"/>
          <w:b/>
          <w:sz w:val="24"/>
          <w:szCs w:val="24"/>
        </w:rPr>
      </w:pPr>
    </w:p>
    <w:p w:rsidR="001B616A" w:rsidRDefault="001B616A" w:rsidP="008E5C77">
      <w:pPr>
        <w:jc w:val="both"/>
        <w:rPr>
          <w:rFonts w:cs="Arial"/>
          <w:sz w:val="24"/>
          <w:szCs w:val="24"/>
        </w:rPr>
      </w:pPr>
      <w:r>
        <w:rPr>
          <w:rFonts w:cs="Arial"/>
          <w:b/>
          <w:sz w:val="24"/>
          <w:szCs w:val="24"/>
        </w:rPr>
        <w:t>Core Expenditure excl. GJCH £0.449</w:t>
      </w:r>
      <w:r w:rsidRPr="0015499C">
        <w:rPr>
          <w:rFonts w:cs="Arial"/>
          <w:b/>
          <w:sz w:val="24"/>
          <w:szCs w:val="24"/>
        </w:rPr>
        <w:t>m underspend</w:t>
      </w:r>
      <w:r>
        <w:rPr>
          <w:rFonts w:cs="Arial"/>
          <w:sz w:val="24"/>
          <w:szCs w:val="24"/>
        </w:rPr>
        <w:t xml:space="preserve"> – There is a continued notable trend in expenditure increase aligned with the recovery plan target seen from M7 reporting ongoing through to month 10 reporting, expenditure levels have maintained at month 7 increased levels of £1.3m to £1.6m in comparison to September 2020. This is specifically evident in Surgical Supplies areas and close monitoring of this increase is in place considering reduced activity levels. Cath Lab supplies has been a focussed area of review as although activity is down overall between 2020/21 and 2019/20, expenditure continues at a higher cost per case. This is now understood to be a combination of the increased TAVI activity (small number but high cpc), there are 8 products identified where costs have increased and this is being monitored closely with the operational team in addition there has been no review to the minimum and maximum stock levels held within the Cath Lab on the back of the reduced activity. These areas have active </w:t>
      </w:r>
      <w:r w:rsidR="00410FCA">
        <w:rPr>
          <w:rFonts w:cs="Arial"/>
          <w:sz w:val="24"/>
          <w:szCs w:val="24"/>
        </w:rPr>
        <w:t>Action P</w:t>
      </w:r>
      <w:r>
        <w:rPr>
          <w:rFonts w:cs="Arial"/>
          <w:sz w:val="24"/>
          <w:szCs w:val="24"/>
        </w:rPr>
        <w:t>lans which will be closed down for the financial year end.</w:t>
      </w:r>
    </w:p>
    <w:p w:rsidR="001B616A" w:rsidRDefault="001B616A" w:rsidP="008E5C77">
      <w:pPr>
        <w:jc w:val="both"/>
        <w:rPr>
          <w:rFonts w:cs="Arial"/>
          <w:sz w:val="24"/>
          <w:szCs w:val="24"/>
        </w:rPr>
      </w:pPr>
    </w:p>
    <w:p w:rsidR="001B616A" w:rsidRDefault="00410FCA" w:rsidP="008E5C77">
      <w:pPr>
        <w:jc w:val="both"/>
        <w:rPr>
          <w:rFonts w:cs="Arial"/>
          <w:sz w:val="24"/>
          <w:szCs w:val="24"/>
        </w:rPr>
      </w:pPr>
      <w:r>
        <w:rPr>
          <w:rFonts w:cs="Arial"/>
          <w:sz w:val="24"/>
          <w:szCs w:val="24"/>
        </w:rPr>
        <w:t>In addition,</w:t>
      </w:r>
      <w:r w:rsidR="001B616A">
        <w:rPr>
          <w:rFonts w:cs="Arial"/>
          <w:sz w:val="24"/>
          <w:szCs w:val="24"/>
        </w:rPr>
        <w:t xml:space="preserve"> some key pressure areas within medical staffing recruitment are presenting additional financial costs to manage the impact on service activity, specifically within Cardiac Junior Doctors and the additional backfill to support Transplant rota gaps. There is some improvement in this area not</w:t>
      </w:r>
      <w:r>
        <w:rPr>
          <w:rFonts w:cs="Arial"/>
          <w:sz w:val="24"/>
          <w:szCs w:val="24"/>
        </w:rPr>
        <w:t>ed due to appointment of a new C</w:t>
      </w:r>
      <w:r w:rsidR="001B616A">
        <w:rPr>
          <w:rFonts w:cs="Arial"/>
          <w:sz w:val="24"/>
          <w:szCs w:val="24"/>
        </w:rPr>
        <w:t>onsultant. Anaesthetics is another high financial pressure area with high levels of waiting list initiatives to support vacant slots within the staffing budget and this is further compounded by some sickness / absence, including self-isolation as appropriate to government guidelines.</w:t>
      </w:r>
    </w:p>
    <w:p w:rsidR="001B616A" w:rsidRDefault="001B616A" w:rsidP="008E5C77">
      <w:pPr>
        <w:jc w:val="both"/>
        <w:rPr>
          <w:rFonts w:cs="Arial"/>
          <w:sz w:val="24"/>
          <w:szCs w:val="24"/>
        </w:rPr>
      </w:pPr>
    </w:p>
    <w:p w:rsidR="001B616A" w:rsidRDefault="001B616A" w:rsidP="00410FCA">
      <w:pPr>
        <w:rPr>
          <w:rFonts w:cs="Arial"/>
          <w:sz w:val="24"/>
          <w:szCs w:val="24"/>
        </w:rPr>
      </w:pPr>
      <w:r>
        <w:rPr>
          <w:rFonts w:cs="Arial"/>
          <w:sz w:val="24"/>
          <w:szCs w:val="24"/>
        </w:rPr>
        <w:t xml:space="preserve">As in previous months there have been reductions in supplementary spend for some specialties and most notably within nursing and clinical workforce groups due to a combination of reduced service provision, particularly during quarter 1, together with some historical vacancies.  Active recruitment to support achievement of the required </w:t>
      </w:r>
      <w:r>
        <w:rPr>
          <w:rFonts w:cs="Arial"/>
          <w:sz w:val="24"/>
          <w:szCs w:val="24"/>
        </w:rPr>
        <w:lastRenderedPageBreak/>
        <w:t>workforce needed to align to the ambitions of our recovery and routine vacancies is ongoing with increased social media presence for adverts to aid improved appointments in collaboration with Divisions, Human Resources and the Communications Department.</w:t>
      </w:r>
    </w:p>
    <w:p w:rsidR="001B616A" w:rsidRDefault="001B616A" w:rsidP="008E5C77">
      <w:pPr>
        <w:jc w:val="both"/>
        <w:rPr>
          <w:rFonts w:cs="Arial"/>
          <w:sz w:val="24"/>
          <w:szCs w:val="24"/>
        </w:rPr>
      </w:pPr>
    </w:p>
    <w:p w:rsidR="001B616A" w:rsidRPr="00EF6D85" w:rsidRDefault="001B616A" w:rsidP="005C7C12">
      <w:pPr>
        <w:rPr>
          <w:rFonts w:cs="Arial"/>
          <w:sz w:val="24"/>
          <w:szCs w:val="24"/>
        </w:rPr>
      </w:pPr>
      <w:r>
        <w:rPr>
          <w:rFonts w:cs="Arial"/>
          <w:sz w:val="24"/>
          <w:szCs w:val="24"/>
        </w:rPr>
        <w:t>The master recovery workforce control document a</w:t>
      </w:r>
      <w:r w:rsidR="00BA6637">
        <w:rPr>
          <w:rFonts w:cs="Arial"/>
          <w:sz w:val="24"/>
          <w:szCs w:val="24"/>
        </w:rPr>
        <w:t>pproved by Gold Co</w:t>
      </w:r>
      <w:r>
        <w:rPr>
          <w:rFonts w:cs="Arial"/>
          <w:sz w:val="24"/>
          <w:szCs w:val="24"/>
        </w:rPr>
        <w:t xml:space="preserve">mmand is in a continual process of review and update for actual and planned start dates against these roles, as at the end of January forecast costs of posts with agreed start dates equates to £1.6m to March 2021, with £0.823m through to January 2021, with supplementary staffing and staff in the recruitment process stage equating to a further planned £1.0m at this point. </w:t>
      </w:r>
      <w:r w:rsidRPr="005C7C12">
        <w:rPr>
          <w:rFonts w:cs="Arial"/>
          <w:sz w:val="24"/>
          <w:szCs w:val="24"/>
        </w:rPr>
        <w:t>There remain some high level assumptions to those recovery posts that do not yet have confirmed start dates, therefore the above cost information wi</w:t>
      </w:r>
      <w:r>
        <w:rPr>
          <w:rFonts w:cs="Arial"/>
          <w:sz w:val="24"/>
          <w:szCs w:val="24"/>
        </w:rPr>
        <w:t>ll be subject to some fluidity</w:t>
      </w:r>
      <w:r w:rsidRPr="005C7C12">
        <w:rPr>
          <w:rFonts w:cs="Arial"/>
          <w:sz w:val="24"/>
          <w:szCs w:val="24"/>
        </w:rPr>
        <w:t xml:space="preserve"> until commencement dates are</w:t>
      </w:r>
      <w:r>
        <w:rPr>
          <w:rFonts w:cs="Arial"/>
          <w:sz w:val="24"/>
          <w:szCs w:val="24"/>
        </w:rPr>
        <w:t xml:space="preserve"> clearly</w:t>
      </w:r>
      <w:r w:rsidRPr="005C7C12">
        <w:rPr>
          <w:rFonts w:cs="Arial"/>
          <w:sz w:val="24"/>
          <w:szCs w:val="24"/>
        </w:rPr>
        <w:t xml:space="preserve"> defined</w:t>
      </w:r>
      <w:r>
        <w:rPr>
          <w:rFonts w:cs="Arial"/>
          <w:sz w:val="24"/>
          <w:szCs w:val="24"/>
        </w:rPr>
        <w:t>.</w:t>
      </w:r>
      <w:r>
        <w:t xml:space="preserve"> </w:t>
      </w:r>
      <w:r w:rsidRPr="00EF6D85">
        <w:rPr>
          <w:rFonts w:cs="Arial"/>
          <w:sz w:val="24"/>
          <w:szCs w:val="24"/>
        </w:rPr>
        <w:t>However</w:t>
      </w:r>
      <w:r>
        <w:rPr>
          <w:rFonts w:cs="Arial"/>
          <w:sz w:val="24"/>
          <w:szCs w:val="24"/>
        </w:rPr>
        <w:t>,</w:t>
      </w:r>
      <w:r w:rsidRPr="00EF6D85">
        <w:rPr>
          <w:rFonts w:cs="Arial"/>
          <w:sz w:val="24"/>
          <w:szCs w:val="24"/>
        </w:rPr>
        <w:t xml:space="preserve"> it is recognised that </w:t>
      </w:r>
      <w:r>
        <w:rPr>
          <w:rFonts w:cs="Arial"/>
          <w:sz w:val="24"/>
          <w:szCs w:val="24"/>
        </w:rPr>
        <w:t>c</w:t>
      </w:r>
      <w:r w:rsidRPr="00EF6D85">
        <w:rPr>
          <w:rFonts w:cs="Arial"/>
          <w:sz w:val="24"/>
          <w:szCs w:val="24"/>
        </w:rPr>
        <w:t>urrent activity against remobilisation cancer activity against r</w:t>
      </w:r>
      <w:r>
        <w:rPr>
          <w:rFonts w:cs="Arial"/>
          <w:sz w:val="24"/>
          <w:szCs w:val="24"/>
        </w:rPr>
        <w:t>ecovery target as at month 10 is 286 below planned and this is reflected in reduced workforce cost and associated income and funding support ask of Scottish Government.</w:t>
      </w:r>
    </w:p>
    <w:p w:rsidR="001B616A" w:rsidRPr="00EF6D85" w:rsidRDefault="001B616A" w:rsidP="008E5C77">
      <w:pPr>
        <w:jc w:val="both"/>
        <w:rPr>
          <w:rFonts w:cs="Arial"/>
          <w:sz w:val="24"/>
          <w:szCs w:val="24"/>
        </w:rPr>
      </w:pPr>
    </w:p>
    <w:p w:rsidR="001B616A" w:rsidRPr="00B97D27" w:rsidRDefault="001B616A" w:rsidP="008E5C77">
      <w:pPr>
        <w:jc w:val="both"/>
        <w:rPr>
          <w:rFonts w:cs="Arial"/>
          <w:sz w:val="24"/>
          <w:szCs w:val="24"/>
        </w:rPr>
      </w:pPr>
    </w:p>
    <w:p w:rsidR="001B616A" w:rsidRDefault="001B616A" w:rsidP="00E62046">
      <w:pPr>
        <w:pStyle w:val="BodyText"/>
        <w:kinsoku w:val="0"/>
        <w:overflowPunct w:val="0"/>
        <w:ind w:right="-613"/>
        <w:rPr>
          <w:rFonts w:ascii="Arial" w:hAnsi="Arial" w:cs="Arial"/>
          <w:b/>
        </w:rPr>
      </w:pPr>
      <w:r>
        <w:rPr>
          <w:rFonts w:ascii="Arial" w:hAnsi="Arial" w:cs="Arial"/>
          <w:b/>
        </w:rPr>
        <w:t>GJCH Expenditure £4.013m underspend</w:t>
      </w:r>
    </w:p>
    <w:p w:rsidR="001B616A" w:rsidRPr="00BA6637" w:rsidRDefault="001B616A" w:rsidP="00E62046">
      <w:pPr>
        <w:pStyle w:val="BodyText"/>
        <w:kinsoku w:val="0"/>
        <w:overflowPunct w:val="0"/>
        <w:ind w:right="-613"/>
        <w:rPr>
          <w:rFonts w:ascii="Arial" w:hAnsi="Arial" w:cs="Arial"/>
        </w:rPr>
      </w:pPr>
      <w:r w:rsidRPr="005C7C12">
        <w:rPr>
          <w:rFonts w:ascii="Arial" w:hAnsi="Arial" w:cs="Arial"/>
        </w:rPr>
        <w:t xml:space="preserve">The release of SG LMP funding element for the GJCH </w:t>
      </w:r>
      <w:r>
        <w:rPr>
          <w:rFonts w:ascii="Arial" w:hAnsi="Arial" w:cs="Arial"/>
        </w:rPr>
        <w:t xml:space="preserve">under performance is included within </w:t>
      </w:r>
      <w:r w:rsidRPr="005C7C12">
        <w:rPr>
          <w:rFonts w:ascii="Arial" w:hAnsi="Arial" w:cs="Arial"/>
        </w:rPr>
        <w:t xml:space="preserve">the Hotel non-pays budget and therefore is the </w:t>
      </w:r>
      <w:r>
        <w:rPr>
          <w:rFonts w:ascii="Arial" w:hAnsi="Arial" w:cs="Arial"/>
        </w:rPr>
        <w:t xml:space="preserve">main contributor to the significant underspend variance </w:t>
      </w:r>
      <w:r w:rsidRPr="00EF6D85">
        <w:rPr>
          <w:rFonts w:ascii="Arial" w:hAnsi="Arial" w:cs="Arial"/>
        </w:rPr>
        <w:t>– directly offsetting the income loss as reported above.</w:t>
      </w:r>
    </w:p>
    <w:p w:rsidR="001B616A" w:rsidRDefault="001B616A" w:rsidP="00E62046">
      <w:pPr>
        <w:pStyle w:val="BodyText"/>
        <w:kinsoku w:val="0"/>
        <w:overflowPunct w:val="0"/>
        <w:ind w:right="-613"/>
        <w:rPr>
          <w:rFonts w:ascii="Arial" w:hAnsi="Arial" w:cs="Arial"/>
          <w:b/>
        </w:rPr>
      </w:pPr>
    </w:p>
    <w:tbl>
      <w:tblPr>
        <w:tblStyle w:val="TableGrid"/>
        <w:tblW w:w="0" w:type="auto"/>
        <w:tblInd w:w="108" w:type="dxa"/>
        <w:tblLook w:val="04A0" w:firstRow="1" w:lastRow="0" w:firstColumn="1" w:lastColumn="0" w:noHBand="0" w:noVBand="1"/>
      </w:tblPr>
      <w:tblGrid>
        <w:gridCol w:w="9178"/>
      </w:tblGrid>
      <w:tr w:rsidR="001B616A" w:rsidTr="00001D03">
        <w:tc>
          <w:tcPr>
            <w:tcW w:w="9520" w:type="dxa"/>
          </w:tcPr>
          <w:p w:rsidR="001B616A" w:rsidRPr="003A04F5" w:rsidRDefault="001B616A" w:rsidP="00001D03">
            <w:pPr>
              <w:pStyle w:val="BodyText"/>
              <w:kinsoku w:val="0"/>
              <w:overflowPunct w:val="0"/>
              <w:spacing w:before="2"/>
              <w:rPr>
                <w:rFonts w:ascii="Arial" w:hAnsi="Arial" w:cs="Arial"/>
                <w:b/>
                <w:bCs/>
                <w:iCs/>
                <w:color w:val="000000" w:themeColor="text1"/>
              </w:rPr>
            </w:pPr>
            <w:r w:rsidRPr="003A04F5">
              <w:rPr>
                <w:rFonts w:ascii="Arial" w:hAnsi="Arial" w:cs="Arial"/>
                <w:b/>
                <w:bCs/>
                <w:iCs/>
                <w:color w:val="000000" w:themeColor="text1"/>
              </w:rPr>
              <w:t xml:space="preserve">The Board are asked to </w:t>
            </w:r>
          </w:p>
          <w:p w:rsidR="001B616A" w:rsidRDefault="001B616A" w:rsidP="001B616A">
            <w:pPr>
              <w:pStyle w:val="BodyText"/>
              <w:widowControl w:val="0"/>
              <w:numPr>
                <w:ilvl w:val="0"/>
                <w:numId w:val="16"/>
              </w:numPr>
              <w:kinsoku w:val="0"/>
              <w:overflowPunct w:val="0"/>
              <w:autoSpaceDE w:val="0"/>
              <w:autoSpaceDN w:val="0"/>
              <w:adjustRightInd w:val="0"/>
              <w:spacing w:before="2" w:after="0"/>
              <w:rPr>
                <w:rFonts w:ascii="Arial" w:hAnsi="Arial" w:cs="Arial"/>
                <w:bCs/>
                <w:iCs/>
                <w:color w:val="000000" w:themeColor="text1"/>
              </w:rPr>
            </w:pPr>
            <w:r w:rsidRPr="00254480">
              <w:rPr>
                <w:rFonts w:ascii="Arial" w:hAnsi="Arial" w:cs="Arial"/>
                <w:bCs/>
                <w:iCs/>
                <w:color w:val="000000" w:themeColor="text1"/>
              </w:rPr>
              <w:t>Note the financ</w:t>
            </w:r>
            <w:r>
              <w:rPr>
                <w:rFonts w:ascii="Arial" w:hAnsi="Arial" w:cs="Arial"/>
                <w:bCs/>
                <w:iCs/>
                <w:color w:val="000000" w:themeColor="text1"/>
              </w:rPr>
              <w:t>ial position for Month 10, as at 31 January 2021 for the financial year 2020/21</w:t>
            </w:r>
          </w:p>
          <w:p w:rsidR="001B616A" w:rsidRPr="00254480" w:rsidRDefault="001B616A" w:rsidP="001B616A">
            <w:pPr>
              <w:pStyle w:val="BodyText"/>
              <w:widowControl w:val="0"/>
              <w:numPr>
                <w:ilvl w:val="0"/>
                <w:numId w:val="16"/>
              </w:numPr>
              <w:kinsoku w:val="0"/>
              <w:overflowPunct w:val="0"/>
              <w:autoSpaceDE w:val="0"/>
              <w:autoSpaceDN w:val="0"/>
              <w:adjustRightInd w:val="0"/>
              <w:spacing w:before="2" w:after="0"/>
              <w:rPr>
                <w:rFonts w:ascii="Arial" w:hAnsi="Arial" w:cs="Arial"/>
                <w:bCs/>
                <w:iCs/>
                <w:color w:val="000000" w:themeColor="text1"/>
              </w:rPr>
            </w:pPr>
            <w:r w:rsidRPr="00254480">
              <w:rPr>
                <w:rFonts w:ascii="Arial" w:hAnsi="Arial" w:cs="Arial"/>
                <w:bCs/>
                <w:iCs/>
                <w:color w:val="000000" w:themeColor="text1"/>
              </w:rPr>
              <w:t xml:space="preserve">Note the key messages as highlighted </w:t>
            </w:r>
            <w:r>
              <w:rPr>
                <w:rFonts w:ascii="Arial" w:hAnsi="Arial" w:cs="Arial"/>
                <w:bCs/>
                <w:iCs/>
                <w:color w:val="000000" w:themeColor="text1"/>
              </w:rPr>
              <w:t>below</w:t>
            </w:r>
          </w:p>
          <w:p w:rsidR="001B616A" w:rsidRPr="00095306" w:rsidRDefault="001B616A" w:rsidP="00E62046">
            <w:pPr>
              <w:pStyle w:val="BodyText"/>
              <w:kinsoku w:val="0"/>
              <w:overflowPunct w:val="0"/>
              <w:spacing w:before="2"/>
              <w:ind w:left="776"/>
              <w:rPr>
                <w:rFonts w:ascii="Arial" w:hAnsi="Arial" w:cs="Arial"/>
                <w:bCs/>
                <w:iCs/>
                <w:color w:val="000000" w:themeColor="text1"/>
              </w:rPr>
            </w:pPr>
          </w:p>
        </w:tc>
      </w:tr>
      <w:tr w:rsidR="001B616A" w:rsidTr="00001D03">
        <w:tc>
          <w:tcPr>
            <w:tcW w:w="9520" w:type="dxa"/>
          </w:tcPr>
          <w:p w:rsidR="001B616A" w:rsidRPr="002E6606" w:rsidRDefault="001B616A" w:rsidP="00001D03">
            <w:pPr>
              <w:pStyle w:val="BodyText"/>
              <w:kinsoku w:val="0"/>
              <w:overflowPunct w:val="0"/>
              <w:spacing w:before="2"/>
              <w:rPr>
                <w:rFonts w:ascii="Arial" w:hAnsi="Arial" w:cs="Arial"/>
                <w:b/>
                <w:bCs/>
                <w:iCs/>
              </w:rPr>
            </w:pPr>
            <w:r w:rsidRPr="00AE641D">
              <w:rPr>
                <w:rFonts w:ascii="Arial" w:hAnsi="Arial" w:cs="Arial"/>
                <w:b/>
                <w:bCs/>
                <w:iCs/>
              </w:rPr>
              <w:t xml:space="preserve">Key </w:t>
            </w:r>
            <w:r w:rsidRPr="002E6606">
              <w:rPr>
                <w:rFonts w:ascii="Arial" w:hAnsi="Arial" w:cs="Arial"/>
                <w:b/>
                <w:bCs/>
                <w:iCs/>
              </w:rPr>
              <w:t>Messages</w:t>
            </w:r>
          </w:p>
          <w:p w:rsidR="001B616A" w:rsidRPr="002E6606" w:rsidRDefault="001B616A" w:rsidP="00153205">
            <w:pPr>
              <w:pStyle w:val="BodyText"/>
              <w:kinsoku w:val="0"/>
              <w:overflowPunct w:val="0"/>
              <w:spacing w:before="114" w:line="254" w:lineRule="auto"/>
              <w:ind w:right="1043"/>
              <w:jc w:val="both"/>
              <w:rPr>
                <w:rFonts w:ascii="Arial" w:hAnsi="Arial" w:cs="Arial"/>
              </w:rPr>
            </w:pPr>
            <w:r w:rsidRPr="00A42BB2">
              <w:rPr>
                <w:rFonts w:ascii="Arial" w:hAnsi="Arial" w:cs="Arial"/>
              </w:rPr>
              <w:t xml:space="preserve">Total surplus as at Month 10, </w:t>
            </w:r>
            <w:r w:rsidRPr="00A42BB2">
              <w:rPr>
                <w:rFonts w:ascii="Arial" w:hAnsi="Arial" w:cs="Arial"/>
                <w:bCs/>
                <w:iCs/>
                <w:color w:val="000000" w:themeColor="text1"/>
              </w:rPr>
              <w:t xml:space="preserve">January </w:t>
            </w:r>
            <w:r w:rsidRPr="00A42BB2">
              <w:rPr>
                <w:rFonts w:ascii="Arial" w:hAnsi="Arial" w:cs="Arial"/>
              </w:rPr>
              <w:t>2021 of £0.225m (includes core, non-core and income).</w:t>
            </w:r>
          </w:p>
          <w:p w:rsidR="001B616A" w:rsidRPr="003C4631" w:rsidRDefault="001B616A" w:rsidP="00153205">
            <w:pPr>
              <w:pStyle w:val="BodyText"/>
              <w:kinsoku w:val="0"/>
              <w:overflowPunct w:val="0"/>
              <w:spacing w:before="114" w:line="254" w:lineRule="auto"/>
              <w:ind w:right="1043"/>
              <w:jc w:val="both"/>
              <w:rPr>
                <w:rFonts w:ascii="Arial" w:hAnsi="Arial" w:cs="Arial"/>
                <w:b/>
              </w:rPr>
            </w:pPr>
            <w:r>
              <w:rPr>
                <w:rFonts w:ascii="Arial" w:hAnsi="Arial" w:cs="Arial"/>
              </w:rPr>
              <w:t xml:space="preserve">The Golden Jubilee’s January Revenue Resource Limit (RRL) allocation on the 5 February </w:t>
            </w:r>
            <w:r w:rsidR="00BA6637">
              <w:rPr>
                <w:rFonts w:ascii="Arial" w:hAnsi="Arial" w:cs="Arial"/>
              </w:rPr>
              <w:t xml:space="preserve">2021 </w:t>
            </w:r>
            <w:r>
              <w:rPr>
                <w:rFonts w:ascii="Arial" w:hAnsi="Arial" w:cs="Arial"/>
              </w:rPr>
              <w:t>reflected a reduction on total funding allocations of (£4.748m), in the main this was associated with the non-core funding transfer (£7.302m) which is routinely progressed at this position in the financial year and partly offset by the £2.275m final Covid funding balance, £0.200m return for the National Boards Savings over deduction and £0.076m for distinction awards;</w:t>
            </w:r>
          </w:p>
          <w:p w:rsidR="001B616A" w:rsidRDefault="001B616A" w:rsidP="00565AD8">
            <w:pPr>
              <w:pStyle w:val="BodyText"/>
              <w:kinsoku w:val="0"/>
              <w:overflowPunct w:val="0"/>
              <w:spacing w:before="114" w:line="254" w:lineRule="auto"/>
              <w:ind w:right="1043"/>
              <w:jc w:val="both"/>
              <w:rPr>
                <w:rFonts w:ascii="Arial" w:hAnsi="Arial" w:cs="Arial"/>
              </w:rPr>
            </w:pPr>
            <w:r w:rsidRPr="00A65670">
              <w:rPr>
                <w:rFonts w:ascii="Arial" w:hAnsi="Arial" w:cs="Arial"/>
              </w:rPr>
              <w:t xml:space="preserve">Therefore, the </w:t>
            </w:r>
            <w:r w:rsidR="00410FCA">
              <w:rPr>
                <w:rFonts w:ascii="Arial" w:hAnsi="Arial" w:cs="Arial"/>
              </w:rPr>
              <w:t>NHSGJ</w:t>
            </w:r>
            <w:r w:rsidRPr="00A65670">
              <w:rPr>
                <w:rFonts w:ascii="Arial" w:hAnsi="Arial" w:cs="Arial"/>
              </w:rPr>
              <w:t xml:space="preserve"> financial reporting as at </w:t>
            </w:r>
            <w:r>
              <w:rPr>
                <w:rFonts w:ascii="Arial" w:hAnsi="Arial" w:cs="Arial"/>
              </w:rPr>
              <w:t>January</w:t>
            </w:r>
            <w:r w:rsidRPr="00A65670">
              <w:rPr>
                <w:rFonts w:ascii="Arial" w:hAnsi="Arial" w:cs="Arial"/>
              </w:rPr>
              <w:t xml:space="preserve"> </w:t>
            </w:r>
            <w:r>
              <w:rPr>
                <w:rFonts w:ascii="Arial" w:hAnsi="Arial" w:cs="Arial"/>
              </w:rPr>
              <w:t>2021</w:t>
            </w:r>
            <w:r w:rsidRPr="00A65670">
              <w:rPr>
                <w:rFonts w:ascii="Arial" w:hAnsi="Arial" w:cs="Arial"/>
              </w:rPr>
              <w:t xml:space="preserve"> takes into consideration </w:t>
            </w:r>
            <w:r>
              <w:rPr>
                <w:rFonts w:ascii="Arial" w:hAnsi="Arial" w:cs="Arial"/>
              </w:rPr>
              <w:t xml:space="preserve">the </w:t>
            </w:r>
            <w:r w:rsidRPr="00A65670">
              <w:rPr>
                <w:rFonts w:ascii="Arial" w:hAnsi="Arial" w:cs="Arial"/>
              </w:rPr>
              <w:t xml:space="preserve">remaining </w:t>
            </w:r>
            <w:r>
              <w:rPr>
                <w:rFonts w:ascii="Arial" w:hAnsi="Arial" w:cs="Arial"/>
              </w:rPr>
              <w:t xml:space="preserve">anticipated funding allocation </w:t>
            </w:r>
            <w:r w:rsidRPr="00A65670">
              <w:rPr>
                <w:rFonts w:ascii="Arial" w:hAnsi="Arial" w:cs="Arial"/>
              </w:rPr>
              <w:t xml:space="preserve">from the original </w:t>
            </w:r>
            <w:r w:rsidR="00410FCA">
              <w:rPr>
                <w:rFonts w:ascii="Arial" w:hAnsi="Arial" w:cs="Arial"/>
              </w:rPr>
              <w:t>NHSGJ</w:t>
            </w:r>
            <w:r w:rsidRPr="00A65670">
              <w:rPr>
                <w:rFonts w:ascii="Arial" w:hAnsi="Arial" w:cs="Arial"/>
              </w:rPr>
              <w:t xml:space="preserve"> Annual Operating Plan (AOP) submission – including the </w:t>
            </w:r>
            <w:r>
              <w:rPr>
                <w:rFonts w:ascii="Arial" w:hAnsi="Arial" w:cs="Arial"/>
              </w:rPr>
              <w:t>following;</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Centre for Sustainability workforce resource and associated non-pay costs to be incurred during 2020/21 of £1.877m</w:t>
            </w:r>
          </w:p>
          <w:p w:rsidR="001B616A" w:rsidRDefault="001B616A" w:rsidP="00565AD8">
            <w:pPr>
              <w:pStyle w:val="BodyText"/>
              <w:kinsoku w:val="0"/>
              <w:overflowPunct w:val="0"/>
              <w:spacing w:before="114" w:line="254" w:lineRule="auto"/>
              <w:ind w:right="1043"/>
              <w:jc w:val="both"/>
              <w:rPr>
                <w:rFonts w:ascii="Arial" w:hAnsi="Arial" w:cs="Arial"/>
              </w:rPr>
            </w:pPr>
            <w:r w:rsidRPr="00A65670">
              <w:rPr>
                <w:rFonts w:ascii="Arial" w:hAnsi="Arial" w:cs="Arial"/>
              </w:rPr>
              <w:t>COVID-19 Local Mobilisation Plans (LMP)</w:t>
            </w:r>
            <w:r>
              <w:rPr>
                <w:rFonts w:ascii="Arial" w:hAnsi="Arial" w:cs="Arial"/>
              </w:rPr>
              <w:t xml:space="preserve"> </w:t>
            </w:r>
            <w:r w:rsidRPr="00A65670">
              <w:rPr>
                <w:rFonts w:ascii="Arial" w:hAnsi="Arial" w:cs="Arial"/>
              </w:rPr>
              <w:t>bala</w:t>
            </w:r>
            <w:r>
              <w:rPr>
                <w:rFonts w:ascii="Arial" w:hAnsi="Arial" w:cs="Arial"/>
              </w:rPr>
              <w:t xml:space="preserve">nce of funding which is updated as part of the Quarter 2 return process – based on M6 reporting </w:t>
            </w:r>
            <w:r>
              <w:rPr>
                <w:rFonts w:ascii="Arial" w:hAnsi="Arial" w:cs="Arial"/>
              </w:rPr>
              <w:lastRenderedPageBreak/>
              <w:t>this reflected £4.617m (£15.550m LMP costs less both £6.1m and £4.833m received to date)</w:t>
            </w:r>
            <w:r w:rsidRPr="00A65670">
              <w:rPr>
                <w:rFonts w:ascii="Arial" w:hAnsi="Arial" w:cs="Arial"/>
              </w:rPr>
              <w:t xml:space="preserve"> including effic</w:t>
            </w:r>
            <w:r>
              <w:rPr>
                <w:rFonts w:ascii="Arial" w:hAnsi="Arial" w:cs="Arial"/>
              </w:rPr>
              <w:t xml:space="preserve">iency savings underachievement and broken down as below; </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Recovery Plan                                </w:t>
            </w:r>
            <w:r w:rsidR="00BA6637">
              <w:rPr>
                <w:rFonts w:ascii="Arial" w:hAnsi="Arial" w:cs="Arial"/>
              </w:rPr>
              <w:t xml:space="preserve">    </w:t>
            </w:r>
            <w:r w:rsidR="00410FCA">
              <w:rPr>
                <w:rFonts w:ascii="Arial" w:hAnsi="Arial" w:cs="Arial"/>
              </w:rPr>
              <w:t xml:space="preserve"> </w:t>
            </w:r>
            <w:r>
              <w:rPr>
                <w:rFonts w:ascii="Arial" w:hAnsi="Arial" w:cs="Arial"/>
              </w:rPr>
              <w:t>- £6.085m (Plus £2m Capital)</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GJCH Income loss                             </w:t>
            </w:r>
            <w:r w:rsidR="00410FCA">
              <w:rPr>
                <w:rFonts w:ascii="Arial" w:hAnsi="Arial" w:cs="Arial"/>
              </w:rPr>
              <w:t xml:space="preserve"> </w:t>
            </w:r>
            <w:r>
              <w:rPr>
                <w:rFonts w:ascii="Arial" w:hAnsi="Arial" w:cs="Arial"/>
              </w:rPr>
              <w:t>- £3.651m</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GJCH regeneration                            </w:t>
            </w:r>
            <w:r w:rsidR="00410FCA">
              <w:rPr>
                <w:rFonts w:ascii="Arial" w:hAnsi="Arial" w:cs="Arial"/>
              </w:rPr>
              <w:t xml:space="preserve"> </w:t>
            </w:r>
            <w:r>
              <w:rPr>
                <w:rFonts w:ascii="Arial" w:hAnsi="Arial" w:cs="Arial"/>
              </w:rPr>
              <w:t>- £2.000m</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Equipment/IT                                    </w:t>
            </w:r>
            <w:r w:rsidR="00410FCA">
              <w:rPr>
                <w:rFonts w:ascii="Arial" w:hAnsi="Arial" w:cs="Arial"/>
              </w:rPr>
              <w:t xml:space="preserve"> </w:t>
            </w:r>
            <w:r>
              <w:rPr>
                <w:rFonts w:ascii="Arial" w:hAnsi="Arial" w:cs="Arial"/>
              </w:rPr>
              <w:t xml:space="preserve">  - £0.136m</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Deep cleans/vaccinations/other         </w:t>
            </w:r>
            <w:r w:rsidR="00410FCA">
              <w:rPr>
                <w:rFonts w:ascii="Arial" w:hAnsi="Arial" w:cs="Arial"/>
              </w:rPr>
              <w:t xml:space="preserve"> </w:t>
            </w:r>
            <w:r>
              <w:rPr>
                <w:rFonts w:ascii="Arial" w:hAnsi="Arial" w:cs="Arial"/>
              </w:rPr>
              <w:t>- £0.160m</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Additional staff                                   </w:t>
            </w:r>
            <w:r w:rsidR="00410FCA">
              <w:rPr>
                <w:rFonts w:ascii="Arial" w:hAnsi="Arial" w:cs="Arial"/>
              </w:rPr>
              <w:t xml:space="preserve"> </w:t>
            </w:r>
            <w:r>
              <w:rPr>
                <w:rFonts w:ascii="Arial" w:hAnsi="Arial" w:cs="Arial"/>
              </w:rPr>
              <w:t xml:space="preserve"> - £0.980m</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Research Income                               </w:t>
            </w:r>
            <w:r w:rsidR="00410FCA">
              <w:rPr>
                <w:rFonts w:ascii="Arial" w:hAnsi="Arial" w:cs="Arial"/>
              </w:rPr>
              <w:t xml:space="preserve"> </w:t>
            </w:r>
            <w:r>
              <w:rPr>
                <w:rFonts w:ascii="Arial" w:hAnsi="Arial" w:cs="Arial"/>
              </w:rPr>
              <w:t>- £0.543m</w:t>
            </w:r>
          </w:p>
          <w:p w:rsidR="001B616A" w:rsidRDefault="001B616A" w:rsidP="001B616A">
            <w:pPr>
              <w:pStyle w:val="BodyText"/>
              <w:widowControl w:val="0"/>
              <w:numPr>
                <w:ilvl w:val="0"/>
                <w:numId w:val="36"/>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Underachieved efficiency                   </w:t>
            </w:r>
            <w:r w:rsidR="00410FCA">
              <w:rPr>
                <w:rFonts w:ascii="Arial" w:hAnsi="Arial" w:cs="Arial"/>
              </w:rPr>
              <w:t xml:space="preserve"> </w:t>
            </w:r>
            <w:r>
              <w:rPr>
                <w:rFonts w:ascii="Arial" w:hAnsi="Arial" w:cs="Arial"/>
              </w:rPr>
              <w:t>- £1.995m</w:t>
            </w:r>
          </w:p>
          <w:p w:rsidR="001B616A" w:rsidRPr="00D90454" w:rsidRDefault="001B616A" w:rsidP="0029798E">
            <w:pPr>
              <w:pStyle w:val="BodyText"/>
              <w:kinsoku w:val="0"/>
              <w:overflowPunct w:val="0"/>
              <w:spacing w:before="114" w:line="254" w:lineRule="auto"/>
              <w:ind w:right="1043"/>
              <w:jc w:val="both"/>
              <w:rPr>
                <w:rFonts w:ascii="Arial" w:hAnsi="Arial" w:cs="Arial"/>
                <w:b/>
              </w:rPr>
            </w:pPr>
            <w:r w:rsidRPr="00D90454">
              <w:rPr>
                <w:rFonts w:ascii="Arial" w:hAnsi="Arial" w:cs="Arial"/>
                <w:b/>
              </w:rPr>
              <w:t xml:space="preserve">Total of above </w:t>
            </w:r>
            <w:r>
              <w:rPr>
                <w:rFonts w:ascii="Arial" w:hAnsi="Arial" w:cs="Arial"/>
                <w:b/>
              </w:rPr>
              <w:t xml:space="preserve">                                 </w:t>
            </w:r>
            <w:r w:rsidR="00BA6637">
              <w:rPr>
                <w:rFonts w:ascii="Arial" w:hAnsi="Arial" w:cs="Arial"/>
                <w:b/>
              </w:rPr>
              <w:t xml:space="preserve">          </w:t>
            </w:r>
            <w:r>
              <w:rPr>
                <w:rFonts w:ascii="Arial" w:hAnsi="Arial" w:cs="Arial"/>
                <w:b/>
              </w:rPr>
              <w:t xml:space="preserve"> </w:t>
            </w:r>
            <w:r w:rsidR="00410FCA">
              <w:rPr>
                <w:rFonts w:ascii="Arial" w:hAnsi="Arial" w:cs="Arial"/>
                <w:b/>
              </w:rPr>
              <w:t xml:space="preserve"> </w:t>
            </w:r>
            <w:r>
              <w:rPr>
                <w:rFonts w:ascii="Arial" w:hAnsi="Arial" w:cs="Arial"/>
                <w:b/>
              </w:rPr>
              <w:t>- £15.550m</w:t>
            </w:r>
          </w:p>
          <w:p w:rsidR="001B616A" w:rsidRDefault="001B616A" w:rsidP="00D90454">
            <w:pPr>
              <w:pStyle w:val="BodyText"/>
              <w:kinsoku w:val="0"/>
              <w:overflowPunct w:val="0"/>
              <w:spacing w:before="114" w:line="254" w:lineRule="auto"/>
              <w:ind w:right="1043"/>
              <w:jc w:val="both"/>
              <w:rPr>
                <w:rFonts w:ascii="Arial" w:hAnsi="Arial" w:cs="Arial"/>
              </w:rPr>
            </w:pPr>
            <w:r>
              <w:rPr>
                <w:rFonts w:ascii="Arial" w:hAnsi="Arial" w:cs="Arial"/>
              </w:rPr>
              <w:t>Some movement in key lines from month 6 as previously reported reflects a reduced requirement of funding due to the following areas;</w:t>
            </w:r>
          </w:p>
          <w:p w:rsidR="001B616A"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Recovery Plan reduction                     </w:t>
            </w:r>
            <w:r w:rsidR="00410FCA">
              <w:rPr>
                <w:rFonts w:ascii="Arial" w:hAnsi="Arial" w:cs="Arial"/>
              </w:rPr>
              <w:t xml:space="preserve">   </w:t>
            </w:r>
            <w:r>
              <w:rPr>
                <w:rFonts w:ascii="Arial" w:hAnsi="Arial" w:cs="Arial"/>
              </w:rPr>
              <w:t xml:space="preserve">- (£1.484m)   </w:t>
            </w:r>
          </w:p>
          <w:p w:rsidR="001B616A"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Efficiency savings improvement         </w:t>
            </w:r>
            <w:r w:rsidR="00410FCA">
              <w:rPr>
                <w:rFonts w:ascii="Arial" w:hAnsi="Arial" w:cs="Arial"/>
              </w:rPr>
              <w:t xml:space="preserve">   </w:t>
            </w:r>
            <w:r>
              <w:rPr>
                <w:rFonts w:ascii="Arial" w:hAnsi="Arial" w:cs="Arial"/>
              </w:rPr>
              <w:t xml:space="preserve"> - (£0.668m)</w:t>
            </w:r>
          </w:p>
          <w:p w:rsidR="001B616A"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Additional staff cost reduction              </w:t>
            </w:r>
            <w:r w:rsidR="00410FCA">
              <w:rPr>
                <w:rFonts w:ascii="Arial" w:hAnsi="Arial" w:cs="Arial"/>
              </w:rPr>
              <w:t xml:space="preserve">  </w:t>
            </w:r>
            <w:r>
              <w:rPr>
                <w:rFonts w:ascii="Arial" w:hAnsi="Arial" w:cs="Arial"/>
              </w:rPr>
              <w:t xml:space="preserve">- (£0.274m) </w:t>
            </w:r>
          </w:p>
          <w:p w:rsidR="001B616A"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 xml:space="preserve">Addition of vaccination cost estimate    </w:t>
            </w:r>
            <w:r w:rsidR="00410FCA">
              <w:rPr>
                <w:rFonts w:ascii="Arial" w:hAnsi="Arial" w:cs="Arial"/>
              </w:rPr>
              <w:t xml:space="preserve"> </w:t>
            </w:r>
            <w:r>
              <w:rPr>
                <w:rFonts w:ascii="Arial" w:hAnsi="Arial" w:cs="Arial"/>
              </w:rPr>
              <w:t xml:space="preserve">- £0.084m </w:t>
            </w:r>
          </w:p>
          <w:p w:rsidR="001B616A" w:rsidRPr="00FD15C0"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b/>
              </w:rPr>
            </w:pPr>
            <w:r w:rsidRPr="00FD15C0">
              <w:rPr>
                <w:rFonts w:ascii="Arial" w:hAnsi="Arial" w:cs="Arial"/>
                <w:b/>
              </w:rPr>
              <w:t>Revised Total F</w:t>
            </w:r>
            <w:r>
              <w:rPr>
                <w:rFonts w:ascii="Arial" w:hAnsi="Arial" w:cs="Arial"/>
                <w:b/>
              </w:rPr>
              <w:t xml:space="preserve">unding need              </w:t>
            </w:r>
            <w:r w:rsidRPr="00FD15C0">
              <w:rPr>
                <w:rFonts w:ascii="Arial" w:hAnsi="Arial" w:cs="Arial"/>
                <w:b/>
              </w:rPr>
              <w:t xml:space="preserve"> -£13.208m</w:t>
            </w:r>
          </w:p>
          <w:p w:rsidR="001B616A"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rPr>
            </w:pPr>
            <w:r>
              <w:rPr>
                <w:rFonts w:ascii="Arial" w:hAnsi="Arial" w:cs="Arial"/>
              </w:rPr>
              <w:t>Funding received to date                        £13.208m</w:t>
            </w:r>
          </w:p>
          <w:p w:rsidR="001B616A" w:rsidRPr="00096003" w:rsidRDefault="001B616A" w:rsidP="001B616A">
            <w:pPr>
              <w:pStyle w:val="BodyText"/>
              <w:widowControl w:val="0"/>
              <w:numPr>
                <w:ilvl w:val="0"/>
                <w:numId w:val="37"/>
              </w:numPr>
              <w:kinsoku w:val="0"/>
              <w:overflowPunct w:val="0"/>
              <w:autoSpaceDE w:val="0"/>
              <w:autoSpaceDN w:val="0"/>
              <w:adjustRightInd w:val="0"/>
              <w:spacing w:before="114" w:after="0" w:line="254" w:lineRule="auto"/>
              <w:ind w:right="1043"/>
              <w:jc w:val="both"/>
              <w:rPr>
                <w:rFonts w:ascii="Arial" w:hAnsi="Arial" w:cs="Arial"/>
                <w:b/>
              </w:rPr>
            </w:pPr>
            <w:r>
              <w:rPr>
                <w:rFonts w:ascii="Arial" w:hAnsi="Arial" w:cs="Arial"/>
                <w:b/>
              </w:rPr>
              <w:t xml:space="preserve">Outstanding level of allocations  </w:t>
            </w:r>
            <w:r w:rsidRPr="00096003">
              <w:rPr>
                <w:rFonts w:ascii="Arial" w:hAnsi="Arial" w:cs="Arial"/>
                <w:b/>
              </w:rPr>
              <w:t xml:space="preserve"> </w:t>
            </w:r>
            <w:r>
              <w:rPr>
                <w:rFonts w:ascii="Arial" w:hAnsi="Arial" w:cs="Arial"/>
                <w:b/>
              </w:rPr>
              <w:t xml:space="preserve">               £0</w:t>
            </w:r>
            <w:r w:rsidRPr="00096003">
              <w:rPr>
                <w:rFonts w:ascii="Arial" w:hAnsi="Arial" w:cs="Arial"/>
                <w:b/>
              </w:rPr>
              <w:t xml:space="preserve">m                    </w:t>
            </w:r>
          </w:p>
          <w:p w:rsidR="001B616A" w:rsidRPr="00791D9C" w:rsidRDefault="001B616A" w:rsidP="00E62046">
            <w:pPr>
              <w:pStyle w:val="BodyText"/>
              <w:kinsoku w:val="0"/>
              <w:overflowPunct w:val="0"/>
              <w:spacing w:before="114" w:line="254" w:lineRule="auto"/>
              <w:ind w:right="1043"/>
              <w:jc w:val="both"/>
              <w:rPr>
                <w:rFonts w:ascii="Arial" w:hAnsi="Arial" w:cs="Arial"/>
                <w:b/>
              </w:rPr>
            </w:pPr>
            <w:r w:rsidRPr="00791D9C">
              <w:rPr>
                <w:rFonts w:ascii="Arial" w:hAnsi="Arial" w:cs="Arial"/>
                <w:b/>
              </w:rPr>
              <w:t xml:space="preserve">Additional Areas to Note </w:t>
            </w:r>
          </w:p>
          <w:p w:rsidR="001B616A" w:rsidRPr="003E1DB6" w:rsidRDefault="001B616A" w:rsidP="00FD15C0">
            <w:pPr>
              <w:pStyle w:val="BodyText"/>
              <w:kinsoku w:val="0"/>
              <w:overflowPunct w:val="0"/>
              <w:spacing w:before="114" w:line="254" w:lineRule="auto"/>
              <w:ind w:right="1043"/>
              <w:jc w:val="both"/>
              <w:rPr>
                <w:rFonts w:ascii="Arial" w:hAnsi="Arial" w:cs="Arial"/>
              </w:rPr>
            </w:pPr>
            <w:r w:rsidRPr="003E1DB6">
              <w:rPr>
                <w:rFonts w:ascii="Arial" w:hAnsi="Arial" w:cs="Arial"/>
              </w:rPr>
              <w:t>Capital Resource Limit (CRL) allocation. Expenditure programmes associated with CRL funding allocations are progressing well for this time of the financial year. The core Formula Capital Allocation of £2.691m is being increased by £</w:t>
            </w:r>
            <w:r w:rsidR="00BA6637">
              <w:rPr>
                <w:rFonts w:ascii="Arial" w:hAnsi="Arial" w:cs="Arial"/>
              </w:rPr>
              <w:t>530k which was included in the Annual P</w:t>
            </w:r>
            <w:r w:rsidRPr="003E1DB6">
              <w:rPr>
                <w:rFonts w:ascii="Arial" w:hAnsi="Arial" w:cs="Arial"/>
              </w:rPr>
              <w:t>lan, and an addi</w:t>
            </w:r>
            <w:r w:rsidR="00BA6637">
              <w:rPr>
                <w:rFonts w:ascii="Arial" w:hAnsi="Arial" w:cs="Arial"/>
              </w:rPr>
              <w:t>tional £2m associated with our Recovery P</w:t>
            </w:r>
            <w:r w:rsidRPr="003E1DB6">
              <w:rPr>
                <w:rFonts w:ascii="Arial" w:hAnsi="Arial" w:cs="Arial"/>
              </w:rPr>
              <w:t xml:space="preserve">lan. </w:t>
            </w:r>
          </w:p>
          <w:p w:rsidR="001B616A" w:rsidRPr="003E1DB6" w:rsidRDefault="001B616A" w:rsidP="001F393D">
            <w:pPr>
              <w:pStyle w:val="BodyText"/>
              <w:kinsoku w:val="0"/>
              <w:overflowPunct w:val="0"/>
              <w:spacing w:before="114" w:line="254" w:lineRule="auto"/>
              <w:ind w:left="59" w:right="1043"/>
              <w:jc w:val="both"/>
              <w:rPr>
                <w:rFonts w:ascii="Arial" w:hAnsi="Arial" w:cs="Arial"/>
              </w:rPr>
            </w:pPr>
            <w:r w:rsidRPr="003E1DB6">
              <w:rPr>
                <w:rFonts w:ascii="Arial" w:hAnsi="Arial" w:cs="Arial"/>
              </w:rPr>
              <w:t>The core capital allocation is progressing in line with plan and the forecast shows this being achieved by the year-end.</w:t>
            </w:r>
          </w:p>
          <w:p w:rsidR="001B616A" w:rsidRPr="003E1DB6" w:rsidRDefault="001B616A" w:rsidP="001F393D">
            <w:pPr>
              <w:pStyle w:val="BodyText"/>
              <w:kinsoku w:val="0"/>
              <w:overflowPunct w:val="0"/>
              <w:spacing w:before="114" w:line="254" w:lineRule="auto"/>
              <w:ind w:left="59" w:right="1043"/>
              <w:jc w:val="both"/>
              <w:rPr>
                <w:rFonts w:ascii="Arial" w:hAnsi="Arial" w:cs="Arial"/>
              </w:rPr>
            </w:pPr>
            <w:r w:rsidRPr="003E1DB6">
              <w:rPr>
                <w:rFonts w:ascii="Arial" w:hAnsi="Arial" w:cs="Arial"/>
              </w:rPr>
              <w:t>This will be increased further by the formal allocations for Phase I and Phase II expansion programmes. Formal approval is in place with Scot</w:t>
            </w:r>
            <w:r w:rsidR="00410FCA">
              <w:rPr>
                <w:rFonts w:ascii="Arial" w:hAnsi="Arial" w:cs="Arial"/>
              </w:rPr>
              <w:t>tish Government colleagues for P</w:t>
            </w:r>
            <w:r w:rsidRPr="003E1DB6">
              <w:rPr>
                <w:rFonts w:ascii="Arial" w:hAnsi="Arial" w:cs="Arial"/>
              </w:rPr>
              <w:t xml:space="preserve">hase II costs being enacted between April and December 2020, prior to final approval of the FBC assurance programme process. </w:t>
            </w:r>
          </w:p>
          <w:p w:rsidR="001B616A" w:rsidRPr="003E1DB6" w:rsidRDefault="001B616A" w:rsidP="001F393D">
            <w:pPr>
              <w:pStyle w:val="BodyText"/>
              <w:kinsoku w:val="0"/>
              <w:overflowPunct w:val="0"/>
              <w:spacing w:before="114" w:line="254" w:lineRule="auto"/>
              <w:ind w:left="59" w:right="1043"/>
              <w:jc w:val="both"/>
              <w:rPr>
                <w:rFonts w:ascii="Arial" w:hAnsi="Arial" w:cs="Arial"/>
              </w:rPr>
            </w:pPr>
            <w:r w:rsidRPr="003E1DB6">
              <w:rPr>
                <w:rFonts w:ascii="Arial" w:hAnsi="Arial" w:cs="Arial"/>
              </w:rPr>
              <w:t>We are working t</w:t>
            </w:r>
            <w:r w:rsidR="00BA6637">
              <w:rPr>
                <w:rFonts w:ascii="Arial" w:hAnsi="Arial" w:cs="Arial"/>
              </w:rPr>
              <w:t>o agree the final accounts for Cath Lab 5 and Phase O</w:t>
            </w:r>
            <w:r w:rsidRPr="003E1DB6">
              <w:rPr>
                <w:rFonts w:ascii="Arial" w:hAnsi="Arial" w:cs="Arial"/>
              </w:rPr>
              <w:t>ne of the expansion, both of these are complicated pieces of work with the aim to agree both final accounts by the end of the financial year.</w:t>
            </w:r>
          </w:p>
          <w:p w:rsidR="001B616A" w:rsidRPr="008A4706" w:rsidRDefault="001B616A" w:rsidP="00410FCA">
            <w:pPr>
              <w:pStyle w:val="BodyText"/>
              <w:kinsoku w:val="0"/>
              <w:overflowPunct w:val="0"/>
              <w:spacing w:before="114" w:line="254" w:lineRule="auto"/>
              <w:ind w:left="59" w:right="1043"/>
              <w:jc w:val="both"/>
              <w:rPr>
                <w:rFonts w:ascii="Arial" w:hAnsi="Arial" w:cs="Arial"/>
              </w:rPr>
            </w:pPr>
            <w:r w:rsidRPr="003E1DB6">
              <w:rPr>
                <w:rFonts w:ascii="Arial" w:hAnsi="Arial" w:cs="Arial"/>
              </w:rPr>
              <w:t xml:space="preserve">The Board valuers have been on site to value Phase One and Cath Lab 5 works, to ensure any appropriate impairments are captured and accounted for.  This valuation exercise </w:t>
            </w:r>
            <w:r w:rsidR="00BA6637">
              <w:rPr>
                <w:rFonts w:ascii="Arial" w:hAnsi="Arial" w:cs="Arial"/>
              </w:rPr>
              <w:t>cannot</w:t>
            </w:r>
            <w:r w:rsidRPr="003E1DB6">
              <w:rPr>
                <w:rFonts w:ascii="Arial" w:hAnsi="Arial" w:cs="Arial"/>
              </w:rPr>
              <w:t xml:space="preserve"> be finalis</w:t>
            </w:r>
            <w:r w:rsidR="00BA6637">
              <w:rPr>
                <w:rFonts w:ascii="Arial" w:hAnsi="Arial" w:cs="Arial"/>
              </w:rPr>
              <w:t xml:space="preserve">ed until the final </w:t>
            </w:r>
            <w:r w:rsidR="00BA6637">
              <w:rPr>
                <w:rFonts w:ascii="Arial" w:hAnsi="Arial" w:cs="Arial"/>
              </w:rPr>
              <w:lastRenderedPageBreak/>
              <w:t>account for Phase O</w:t>
            </w:r>
            <w:r w:rsidRPr="003E1DB6">
              <w:rPr>
                <w:rFonts w:ascii="Arial" w:hAnsi="Arial" w:cs="Arial"/>
              </w:rPr>
              <w:t>ne is received.</w:t>
            </w:r>
          </w:p>
          <w:p w:rsidR="001B616A" w:rsidRPr="00F5097F" w:rsidRDefault="001B616A" w:rsidP="00645464">
            <w:pPr>
              <w:pStyle w:val="BodyText"/>
              <w:kinsoku w:val="0"/>
              <w:overflowPunct w:val="0"/>
              <w:spacing w:before="114" w:line="254" w:lineRule="auto"/>
              <w:ind w:right="1043"/>
              <w:rPr>
                <w:rFonts w:ascii="Arial" w:hAnsi="Arial" w:cs="Arial"/>
              </w:rPr>
            </w:pPr>
            <w:r>
              <w:rPr>
                <w:rFonts w:ascii="Arial" w:hAnsi="Arial" w:cs="Arial"/>
              </w:rPr>
              <w:t xml:space="preserve">As a result of the prioritised focus on the Boards </w:t>
            </w:r>
            <w:r w:rsidRPr="009B136E">
              <w:rPr>
                <w:rFonts w:ascii="Arial" w:hAnsi="Arial" w:cs="Arial"/>
              </w:rPr>
              <w:t xml:space="preserve">Efficiency Savings </w:t>
            </w:r>
            <w:r>
              <w:rPr>
                <w:rFonts w:ascii="Arial" w:hAnsi="Arial" w:cs="Arial"/>
              </w:rPr>
              <w:t>agenda for 2020/21 through Divisional performance review robust savings appraisal there is a re-energised drive through monthly budget meetings and wider Divisional clinical and management leads meetings and this has continued to generate improvement in identifying savings already achieved and other future opportunities. It should be noted that this improvement is for non-recurring planned cash savings to support the wider financial performance agenda. As at month 10 reporting the Board has achieved £1.809m of efficiency savings, £0.891m of which are non-recurring in nature, with a current forecast target of £2.4m by March 2021. The current run rate is however capturing further non-recurring gains given the net underspend being reported.</w:t>
            </w:r>
          </w:p>
        </w:tc>
      </w:tr>
    </w:tbl>
    <w:p w:rsidR="001B616A" w:rsidRDefault="001B616A" w:rsidP="008E5C77">
      <w:pPr>
        <w:jc w:val="both"/>
        <w:rPr>
          <w:rFonts w:cs="Arial"/>
          <w:b/>
          <w:sz w:val="24"/>
          <w:szCs w:val="24"/>
        </w:rPr>
      </w:pPr>
    </w:p>
    <w:p w:rsidR="001B616A" w:rsidRDefault="001B616A" w:rsidP="008E5C77">
      <w:pPr>
        <w:jc w:val="both"/>
        <w:rPr>
          <w:rFonts w:cs="Arial"/>
          <w:b/>
          <w:sz w:val="24"/>
          <w:szCs w:val="24"/>
        </w:rPr>
      </w:pPr>
    </w:p>
    <w:p w:rsidR="001B616A" w:rsidRDefault="001B616A" w:rsidP="008E5C77">
      <w:pPr>
        <w:jc w:val="both"/>
        <w:rPr>
          <w:rFonts w:cs="Arial"/>
          <w:b/>
          <w:sz w:val="24"/>
          <w:szCs w:val="24"/>
        </w:rPr>
      </w:pPr>
    </w:p>
    <w:p w:rsidR="001B616A" w:rsidRPr="00F06F4B" w:rsidRDefault="001B616A" w:rsidP="008E5C77">
      <w:pPr>
        <w:jc w:val="both"/>
        <w:rPr>
          <w:rFonts w:cs="Arial"/>
          <w:b/>
          <w:sz w:val="24"/>
          <w:szCs w:val="24"/>
        </w:rPr>
      </w:pPr>
      <w:r w:rsidRPr="00F06F4B">
        <w:rPr>
          <w:rFonts w:cs="Arial"/>
          <w:b/>
          <w:sz w:val="24"/>
          <w:szCs w:val="24"/>
        </w:rPr>
        <w:t>Director of Finance</w:t>
      </w:r>
    </w:p>
    <w:p w:rsidR="001B616A" w:rsidRPr="007D4EEF" w:rsidRDefault="001B616A" w:rsidP="007D4EEF">
      <w:pPr>
        <w:jc w:val="both"/>
        <w:rPr>
          <w:rFonts w:cs="Arial"/>
          <w:b/>
          <w:sz w:val="24"/>
          <w:szCs w:val="24"/>
        </w:rPr>
      </w:pPr>
      <w:r>
        <w:rPr>
          <w:rFonts w:cs="Arial"/>
          <w:b/>
          <w:sz w:val="24"/>
          <w:szCs w:val="24"/>
        </w:rPr>
        <w:t>NHS Golden Jubilee</w:t>
      </w:r>
      <w:r w:rsidRPr="00527DCA">
        <w:rPr>
          <w:rFonts w:cs="Arial"/>
          <w:b/>
          <w:color w:val="1F497D" w:themeColor="text2"/>
          <w:sz w:val="18"/>
          <w:szCs w:val="18"/>
        </w:rPr>
        <w:t xml:space="preserve"> </w:t>
      </w:r>
    </w:p>
    <w:p w:rsidR="00B966EB" w:rsidRDefault="00B966EB" w:rsidP="000F5444">
      <w:pPr>
        <w:pStyle w:val="NoSpacing"/>
      </w:pPr>
    </w:p>
    <w:sectPr w:rsidR="00B966EB" w:rsidSect="00E809DB">
      <w:headerReference w:type="even" r:id="rId27"/>
      <w:footerReference w:type="even" r:id="rId28"/>
      <w:pgSz w:w="11906" w:h="16838" w:code="9"/>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08" w:rsidRDefault="00916408" w:rsidP="005A1C4D">
      <w:r>
        <w:separator/>
      </w:r>
    </w:p>
  </w:endnote>
  <w:endnote w:type="continuationSeparator" w:id="0">
    <w:p w:rsidR="00916408" w:rsidRDefault="00916408" w:rsidP="005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tone Sans Semi Bold">
    <w:altName w:val="Calibri"/>
    <w:charset w:val="00"/>
    <w:family w:val="auto"/>
    <w:pitch w:val="variable"/>
    <w:sig w:usb0="00000001" w:usb1="00000000" w:usb2="00000000" w:usb3="00000000" w:csb0="00000009" w:csb1="00000000"/>
  </w:font>
  <w:font w:name="Georgia-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3936"/>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957975">
          <w:rPr>
            <w:noProof/>
          </w:rPr>
          <w:t>6</w:t>
        </w:r>
        <w:r>
          <w:rPr>
            <w:noProof/>
          </w:rPr>
          <w:fldChar w:fldCharType="end"/>
        </w:r>
      </w:p>
    </w:sdtContent>
  </w:sdt>
  <w:p w:rsidR="009A4D4A" w:rsidRDefault="009A4D4A" w:rsidP="00A403AC">
    <w:pPr>
      <w:pStyle w:val="Footer"/>
      <w:tabs>
        <w:tab w:val="clear" w:pos="4320"/>
        <w:tab w:val="clear" w:pos="8640"/>
        <w:tab w:val="right"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500"/>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957975">
          <w:rPr>
            <w:noProof/>
          </w:rPr>
          <w:t>3</w:t>
        </w:r>
        <w:r>
          <w:rPr>
            <w:noProof/>
          </w:rPr>
          <w:fldChar w:fldCharType="end"/>
        </w:r>
      </w:p>
    </w:sdtContent>
  </w:sdt>
  <w:p w:rsidR="009A4D4A" w:rsidRPr="0000750A" w:rsidRDefault="009A4D4A" w:rsidP="0000750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6A" w:rsidRDefault="001B616A">
    <w:pPr>
      <w:pStyle w:val="Foote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rsidR="001B616A" w:rsidRDefault="001B61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0862"/>
      <w:docPartObj>
        <w:docPartGallery w:val="Page Numbers (Bottom of Page)"/>
        <w:docPartUnique/>
      </w:docPartObj>
    </w:sdtPr>
    <w:sdtEndPr/>
    <w:sdtContent>
      <w:sdt>
        <w:sdtPr>
          <w:id w:val="565050477"/>
          <w:docPartObj>
            <w:docPartGallery w:val="Page Numbers (Top of Page)"/>
            <w:docPartUnique/>
          </w:docPartObj>
        </w:sdtPr>
        <w:sdtEndPr/>
        <w:sdtContent>
          <w:p w:rsidR="001B616A" w:rsidRDefault="001B616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57975">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57975">
              <w:rPr>
                <w:b/>
                <w:noProof/>
              </w:rPr>
              <w:t>22</w:t>
            </w:r>
            <w:r>
              <w:rPr>
                <w:b/>
                <w:sz w:val="24"/>
                <w:szCs w:val="24"/>
              </w:rPr>
              <w:fldChar w:fldCharType="end"/>
            </w:r>
          </w:p>
        </w:sdtContent>
      </w:sdt>
    </w:sdtContent>
  </w:sdt>
  <w:p w:rsidR="001B616A" w:rsidRDefault="001B61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33623"/>
      <w:docPartObj>
        <w:docPartGallery w:val="Page Numbers (Bottom of Page)"/>
        <w:docPartUnique/>
      </w:docPartObj>
    </w:sdtPr>
    <w:sdtEndPr/>
    <w:sdtContent>
      <w:sdt>
        <w:sdtPr>
          <w:id w:val="1728636285"/>
          <w:docPartObj>
            <w:docPartGallery w:val="Page Numbers (Top of Page)"/>
            <w:docPartUnique/>
          </w:docPartObj>
        </w:sdtPr>
        <w:sdtEndPr/>
        <w:sdtContent>
          <w:p w:rsidR="002A1180" w:rsidRDefault="002A11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797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7975">
              <w:rPr>
                <w:b/>
                <w:bCs/>
                <w:noProof/>
              </w:rPr>
              <w:t>22</w:t>
            </w:r>
            <w:r>
              <w:rPr>
                <w:b/>
                <w:bCs/>
                <w:sz w:val="24"/>
                <w:szCs w:val="24"/>
              </w:rPr>
              <w:fldChar w:fldCharType="end"/>
            </w:r>
          </w:p>
        </w:sdtContent>
      </w:sdt>
    </w:sdtContent>
  </w:sdt>
  <w:p w:rsidR="001B616A" w:rsidRDefault="001B61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FB" w:rsidRDefault="003259FB">
    <w:pPr>
      <w:pStyle w:val="Foote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rsidR="003259FB" w:rsidRDefault="0032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08" w:rsidRDefault="00916408" w:rsidP="005A1C4D">
      <w:r>
        <w:separator/>
      </w:r>
    </w:p>
  </w:footnote>
  <w:footnote w:type="continuationSeparator" w:id="0">
    <w:p w:rsidR="00916408" w:rsidRDefault="00916408" w:rsidP="005A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6A" w:rsidRDefault="001B616A" w:rsidP="00577564">
    <w:pPr>
      <w:pStyle w:val="BodyText"/>
      <w:kinsoku w:val="0"/>
      <w:overflowPunct w:val="0"/>
      <w:spacing w:before="19"/>
      <w:ind w:left="20"/>
    </w:pPr>
    <w:r>
      <w:tab/>
    </w:r>
  </w:p>
  <w:p w:rsidR="001B616A" w:rsidRDefault="001B616A" w:rsidP="00577564">
    <w:pPr>
      <w:pStyle w:val="BodyText"/>
      <w:kinsoku w:val="0"/>
      <w:overflowPunct w:val="0"/>
      <w:spacing w:before="19"/>
      <w:ind w:left="20"/>
      <w:rPr>
        <w:rFonts w:ascii="Georgia-BoldItalic" w:hAnsi="Georgia-BoldItalic" w:cs="Georgia-BoldItalic"/>
        <w:b/>
        <w:bCs/>
        <w:i/>
        <w:iCs/>
        <w:color w:val="0070C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FB" w:rsidRDefault="003259FB" w:rsidP="00577564">
    <w:pPr>
      <w:pStyle w:val="BodyText"/>
      <w:kinsoku w:val="0"/>
      <w:overflowPunct w:val="0"/>
      <w:spacing w:before="19"/>
      <w:ind w:left="20"/>
    </w:pPr>
    <w:r>
      <w:tab/>
    </w:r>
  </w:p>
  <w:p w:rsidR="003259FB" w:rsidRDefault="003259FB" w:rsidP="00577564">
    <w:pPr>
      <w:pStyle w:val="BodyText"/>
      <w:kinsoku w:val="0"/>
      <w:overflowPunct w:val="0"/>
      <w:spacing w:before="19"/>
      <w:ind w:left="20"/>
      <w:rPr>
        <w:rFonts w:ascii="Georgia-BoldItalic" w:hAnsi="Georgia-BoldItalic" w:cs="Georgia-BoldItalic"/>
        <w:b/>
        <w:bCs/>
        <w:i/>
        <w:iCs/>
        <w:color w:val="0070C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2pt;height:12pt" o:bullet="t">
        <v:imagedata r:id="rId1" o:title=""/>
      </v:shape>
    </w:pict>
  </w:numPicBullet>
  <w:numPicBullet w:numPicBulletId="1">
    <w:pict>
      <v:shape id="_x0000_i1113" type="#_x0000_t75" style="width:12pt;height:12pt" o:bullet="t">
        <v:imagedata r:id="rId2" o:title="mso6BF8"/>
      </v:shape>
    </w:pict>
  </w:numPicBullet>
  <w:abstractNum w:abstractNumId="0" w15:restartNumberingAfterBreak="0">
    <w:nsid w:val="00A2703A"/>
    <w:multiLevelType w:val="hybridMultilevel"/>
    <w:tmpl w:val="0B60AD18"/>
    <w:lvl w:ilvl="0" w:tplc="EF0E84EE">
      <w:start w:val="3"/>
      <w:numFmt w:val="decimal"/>
      <w:lvlText w:val="%1"/>
      <w:lvlJc w:val="left"/>
      <w:pPr>
        <w:ind w:left="1069" w:hanging="360"/>
      </w:pPr>
      <w:rPr>
        <w:rFonts w:hint="default"/>
        <w:b/>
        <w:i/>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0E75A56"/>
    <w:multiLevelType w:val="hybridMultilevel"/>
    <w:tmpl w:val="61B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66280"/>
    <w:multiLevelType w:val="hybridMultilevel"/>
    <w:tmpl w:val="2E36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94D3F"/>
    <w:multiLevelType w:val="hybridMultilevel"/>
    <w:tmpl w:val="725A6E72"/>
    <w:lvl w:ilvl="0" w:tplc="4A841968">
      <w:start w:val="1"/>
      <w:numFmt w:val="bullet"/>
      <w:lvlText w:val="o"/>
      <w:lvlJc w:val="left"/>
      <w:pPr>
        <w:ind w:left="2535"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66AC4"/>
    <w:multiLevelType w:val="hybridMultilevel"/>
    <w:tmpl w:val="4048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D0331"/>
    <w:multiLevelType w:val="hybridMultilevel"/>
    <w:tmpl w:val="830A9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126B5"/>
    <w:multiLevelType w:val="multilevel"/>
    <w:tmpl w:val="6EE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4476E"/>
    <w:multiLevelType w:val="hybridMultilevel"/>
    <w:tmpl w:val="94F6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135A3"/>
    <w:multiLevelType w:val="hybridMultilevel"/>
    <w:tmpl w:val="2E52854E"/>
    <w:lvl w:ilvl="0" w:tplc="61AEC676">
      <w:start w:val="1"/>
      <w:numFmt w:val="bullet"/>
      <w:lvlText w:val="o"/>
      <w:lvlJc w:val="left"/>
      <w:pPr>
        <w:ind w:left="2534"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92927"/>
    <w:multiLevelType w:val="hybridMultilevel"/>
    <w:tmpl w:val="E73215A0"/>
    <w:lvl w:ilvl="0" w:tplc="0409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15:restartNumberingAfterBreak="0">
    <w:nsid w:val="230668A6"/>
    <w:multiLevelType w:val="hybridMultilevel"/>
    <w:tmpl w:val="FB1A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94D2A"/>
    <w:multiLevelType w:val="hybridMultilevel"/>
    <w:tmpl w:val="9162E286"/>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55041"/>
    <w:multiLevelType w:val="hybridMultilevel"/>
    <w:tmpl w:val="3B96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58633C"/>
    <w:multiLevelType w:val="hybridMultilevel"/>
    <w:tmpl w:val="30580648"/>
    <w:lvl w:ilvl="0" w:tplc="94949CB8">
      <w:start w:val="1"/>
      <w:numFmt w:val="bullet"/>
      <w:pStyle w:val="TableBullet2"/>
      <w:lvlText w:val=""/>
      <w:lvlJc w:val="left"/>
      <w:pPr>
        <w:tabs>
          <w:tab w:val="num" w:pos="681"/>
        </w:tabs>
        <w:ind w:left="681" w:hanging="284"/>
      </w:pPr>
      <w:rPr>
        <w:rFonts w:ascii="Symbol" w:hAnsi="Symbol" w:hint="default"/>
        <w:color w:val="auto"/>
      </w:rPr>
    </w:lvl>
    <w:lvl w:ilvl="1" w:tplc="04090019"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14" w15:restartNumberingAfterBreak="0">
    <w:nsid w:val="287B2C59"/>
    <w:multiLevelType w:val="hybridMultilevel"/>
    <w:tmpl w:val="F4B6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A7DF0"/>
    <w:multiLevelType w:val="hybridMultilevel"/>
    <w:tmpl w:val="4A7E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E91074"/>
    <w:multiLevelType w:val="hybridMultilevel"/>
    <w:tmpl w:val="C2DC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859FD"/>
    <w:multiLevelType w:val="hybridMultilevel"/>
    <w:tmpl w:val="FB0213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00F01"/>
    <w:multiLevelType w:val="hybridMultilevel"/>
    <w:tmpl w:val="49D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91153"/>
    <w:multiLevelType w:val="hybridMultilevel"/>
    <w:tmpl w:val="4D0C375A"/>
    <w:lvl w:ilvl="0" w:tplc="6896B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3018A"/>
    <w:multiLevelType w:val="hybridMultilevel"/>
    <w:tmpl w:val="69463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994CCC"/>
    <w:multiLevelType w:val="hybridMultilevel"/>
    <w:tmpl w:val="AB6CF5A0"/>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53666"/>
    <w:multiLevelType w:val="hybridMultilevel"/>
    <w:tmpl w:val="2B2E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04CAA"/>
    <w:multiLevelType w:val="hybridMultilevel"/>
    <w:tmpl w:val="A0E85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3E4C21"/>
    <w:multiLevelType w:val="multilevel"/>
    <w:tmpl w:val="98C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36A2C"/>
    <w:multiLevelType w:val="hybridMultilevel"/>
    <w:tmpl w:val="E43EBCBA"/>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20A69"/>
    <w:multiLevelType w:val="multilevel"/>
    <w:tmpl w:val="B664B4F2"/>
    <w:lvl w:ilvl="0">
      <w:start w:val="1"/>
      <w:numFmt w:val="none"/>
      <w:lvlText w:val=""/>
      <w:lvlJc w:val="left"/>
      <w:pPr>
        <w:ind w:left="432" w:hanging="432"/>
      </w:pPr>
      <w:rPr>
        <w:rFonts w:hint="default"/>
      </w:rPr>
    </w:lvl>
    <w:lvl w:ilvl="1">
      <w:start w:val="1"/>
      <w:numFmt w:val="decimal"/>
      <w:lvlRestart w:val="0"/>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51B55A9"/>
    <w:multiLevelType w:val="hybridMultilevel"/>
    <w:tmpl w:val="0792DCCE"/>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76A15"/>
    <w:multiLevelType w:val="hybridMultilevel"/>
    <w:tmpl w:val="177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16BC3"/>
    <w:multiLevelType w:val="hybridMultilevel"/>
    <w:tmpl w:val="7992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71448"/>
    <w:multiLevelType w:val="hybridMultilevel"/>
    <w:tmpl w:val="E222DB52"/>
    <w:lvl w:ilvl="0" w:tplc="E01E9CDA">
      <w:start w:val="1"/>
      <w:numFmt w:val="bullet"/>
      <w:lvlText w:val="o"/>
      <w:lvlJc w:val="left"/>
      <w:pPr>
        <w:ind w:left="2535"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71ECE"/>
    <w:multiLevelType w:val="hybridMultilevel"/>
    <w:tmpl w:val="05D4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06BD8"/>
    <w:multiLevelType w:val="hybridMultilevel"/>
    <w:tmpl w:val="FE0E25F4"/>
    <w:lvl w:ilvl="0" w:tplc="1610C0A4">
      <w:start w:val="1"/>
      <w:numFmt w:val="bullet"/>
      <w:lvlText w:val="o"/>
      <w:lvlJc w:val="left"/>
      <w:pPr>
        <w:ind w:left="2535"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8337E"/>
    <w:multiLevelType w:val="hybridMultilevel"/>
    <w:tmpl w:val="561E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83F08"/>
    <w:multiLevelType w:val="hybridMultilevel"/>
    <w:tmpl w:val="C142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7595F"/>
    <w:multiLevelType w:val="hybridMultilevel"/>
    <w:tmpl w:val="E97E3A16"/>
    <w:lvl w:ilvl="0" w:tplc="B6C8BFF0">
      <w:start w:val="1"/>
      <w:numFmt w:val="bullet"/>
      <w:lvlText w:val="o"/>
      <w:lvlJc w:val="left"/>
      <w:pPr>
        <w:ind w:left="2535"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31BDF"/>
    <w:multiLevelType w:val="hybridMultilevel"/>
    <w:tmpl w:val="5D5AC7FA"/>
    <w:lvl w:ilvl="0" w:tplc="A56EEFE2">
      <w:start w:val="1"/>
      <w:numFmt w:val="bullet"/>
      <w:lvlText w:val=""/>
      <w:lvlJc w:val="left"/>
      <w:pPr>
        <w:ind w:left="1077" w:hanging="357"/>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3"/>
  </w:num>
  <w:num w:numId="4">
    <w:abstractNumId w:val="2"/>
  </w:num>
  <w:num w:numId="5">
    <w:abstractNumId w:val="6"/>
  </w:num>
  <w:num w:numId="6">
    <w:abstractNumId w:val="24"/>
  </w:num>
  <w:num w:numId="7">
    <w:abstractNumId w:val="23"/>
  </w:num>
  <w:num w:numId="8">
    <w:abstractNumId w:val="20"/>
  </w:num>
  <w:num w:numId="9">
    <w:abstractNumId w:val="25"/>
  </w:num>
  <w:num w:numId="10">
    <w:abstractNumId w:val="11"/>
  </w:num>
  <w:num w:numId="11">
    <w:abstractNumId w:val="27"/>
  </w:num>
  <w:num w:numId="12">
    <w:abstractNumId w:val="14"/>
  </w:num>
  <w:num w:numId="13">
    <w:abstractNumId w:val="1"/>
  </w:num>
  <w:num w:numId="14">
    <w:abstractNumId w:val="33"/>
  </w:num>
  <w:num w:numId="15">
    <w:abstractNumId w:val="36"/>
  </w:num>
  <w:num w:numId="16">
    <w:abstractNumId w:val="9"/>
  </w:num>
  <w:num w:numId="17">
    <w:abstractNumId w:val="29"/>
  </w:num>
  <w:num w:numId="18">
    <w:abstractNumId w:val="10"/>
  </w:num>
  <w:num w:numId="19">
    <w:abstractNumId w:val="4"/>
  </w:num>
  <w:num w:numId="20">
    <w:abstractNumId w:val="7"/>
  </w:num>
  <w:num w:numId="21">
    <w:abstractNumId w:val="12"/>
  </w:num>
  <w:num w:numId="22">
    <w:abstractNumId w:val="15"/>
  </w:num>
  <w:num w:numId="23">
    <w:abstractNumId w:val="21"/>
  </w:num>
  <w:num w:numId="24">
    <w:abstractNumId w:val="5"/>
  </w:num>
  <w:num w:numId="25">
    <w:abstractNumId w:val="34"/>
  </w:num>
  <w:num w:numId="26">
    <w:abstractNumId w:val="35"/>
  </w:num>
  <w:num w:numId="27">
    <w:abstractNumId w:val="30"/>
  </w:num>
  <w:num w:numId="28">
    <w:abstractNumId w:val="32"/>
  </w:num>
  <w:num w:numId="29">
    <w:abstractNumId w:val="3"/>
  </w:num>
  <w:num w:numId="30">
    <w:abstractNumId w:val="8"/>
  </w:num>
  <w:num w:numId="31">
    <w:abstractNumId w:val="0"/>
  </w:num>
  <w:num w:numId="32">
    <w:abstractNumId w:val="18"/>
  </w:num>
  <w:num w:numId="33">
    <w:abstractNumId w:val="22"/>
  </w:num>
  <w:num w:numId="34">
    <w:abstractNumId w:val="16"/>
  </w:num>
  <w:num w:numId="35">
    <w:abstractNumId w:val="17"/>
  </w:num>
  <w:num w:numId="36">
    <w:abstractNumId w:val="28"/>
  </w:num>
  <w:num w:numId="3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drawingGridHorizontalSpacing w:val="110"/>
  <w:displayHorizontalDrawingGridEvery w:val="2"/>
  <w:characterSpacingControl w:val="doNotCompress"/>
  <w:hdrShapeDefaults>
    <o:shapedefaults v:ext="edit" spidmax="2049"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w:hdrShapeDefaults>
  <w:footnotePr>
    <w:footnote w:id="-1"/>
    <w:footnote w:id="0"/>
  </w:footnotePr>
  <w:endnotePr>
    <w:endnote w:id="-1"/>
    <w:endnote w:id="0"/>
  </w:endnotePr>
  <w:compat>
    <w:compatSetting w:name="compatibilityMode" w:uri="http://schemas.microsoft.com/office/word" w:val="12"/>
  </w:compat>
  <w:rsids>
    <w:rsidRoot w:val="00234ABE"/>
    <w:rsid w:val="00000344"/>
    <w:rsid w:val="00000522"/>
    <w:rsid w:val="0000063A"/>
    <w:rsid w:val="00000641"/>
    <w:rsid w:val="00000EF3"/>
    <w:rsid w:val="00001653"/>
    <w:rsid w:val="00001DD4"/>
    <w:rsid w:val="00001DDC"/>
    <w:rsid w:val="00001F33"/>
    <w:rsid w:val="00002666"/>
    <w:rsid w:val="00002804"/>
    <w:rsid w:val="00002A14"/>
    <w:rsid w:val="0000389C"/>
    <w:rsid w:val="00003FDF"/>
    <w:rsid w:val="00004163"/>
    <w:rsid w:val="00004A7E"/>
    <w:rsid w:val="0000552B"/>
    <w:rsid w:val="00005B93"/>
    <w:rsid w:val="00006715"/>
    <w:rsid w:val="0000750A"/>
    <w:rsid w:val="000077B8"/>
    <w:rsid w:val="00007A8F"/>
    <w:rsid w:val="000102D0"/>
    <w:rsid w:val="00010603"/>
    <w:rsid w:val="00010862"/>
    <w:rsid w:val="00010DAB"/>
    <w:rsid w:val="00011268"/>
    <w:rsid w:val="00011BD0"/>
    <w:rsid w:val="00012ADE"/>
    <w:rsid w:val="00012D8A"/>
    <w:rsid w:val="00013344"/>
    <w:rsid w:val="00013BAD"/>
    <w:rsid w:val="00014189"/>
    <w:rsid w:val="00015DEE"/>
    <w:rsid w:val="0001741C"/>
    <w:rsid w:val="000179EB"/>
    <w:rsid w:val="00022A8F"/>
    <w:rsid w:val="00022C08"/>
    <w:rsid w:val="00022EC3"/>
    <w:rsid w:val="00023BDC"/>
    <w:rsid w:val="00023C1D"/>
    <w:rsid w:val="00023F59"/>
    <w:rsid w:val="0002479D"/>
    <w:rsid w:val="00024F25"/>
    <w:rsid w:val="000252BF"/>
    <w:rsid w:val="000254F5"/>
    <w:rsid w:val="000255FB"/>
    <w:rsid w:val="00025608"/>
    <w:rsid w:val="00026AD3"/>
    <w:rsid w:val="0002776F"/>
    <w:rsid w:val="0002792E"/>
    <w:rsid w:val="00027F88"/>
    <w:rsid w:val="00030119"/>
    <w:rsid w:val="00030FD4"/>
    <w:rsid w:val="00031036"/>
    <w:rsid w:val="00031610"/>
    <w:rsid w:val="00031C47"/>
    <w:rsid w:val="00031CC0"/>
    <w:rsid w:val="000320E7"/>
    <w:rsid w:val="00032476"/>
    <w:rsid w:val="000325C5"/>
    <w:rsid w:val="00032EFB"/>
    <w:rsid w:val="00033537"/>
    <w:rsid w:val="00034CC9"/>
    <w:rsid w:val="000352C2"/>
    <w:rsid w:val="000354E8"/>
    <w:rsid w:val="000359CC"/>
    <w:rsid w:val="00036181"/>
    <w:rsid w:val="0003663A"/>
    <w:rsid w:val="0003678D"/>
    <w:rsid w:val="0003690B"/>
    <w:rsid w:val="00036AAC"/>
    <w:rsid w:val="00037409"/>
    <w:rsid w:val="000425C2"/>
    <w:rsid w:val="00043005"/>
    <w:rsid w:val="0004300E"/>
    <w:rsid w:val="000441AE"/>
    <w:rsid w:val="00044433"/>
    <w:rsid w:val="00045EEB"/>
    <w:rsid w:val="00045F20"/>
    <w:rsid w:val="000469A3"/>
    <w:rsid w:val="000477B7"/>
    <w:rsid w:val="000508AC"/>
    <w:rsid w:val="0005279E"/>
    <w:rsid w:val="00053EB2"/>
    <w:rsid w:val="0005542B"/>
    <w:rsid w:val="000556F0"/>
    <w:rsid w:val="0005676F"/>
    <w:rsid w:val="00057658"/>
    <w:rsid w:val="00057D18"/>
    <w:rsid w:val="0006009C"/>
    <w:rsid w:val="000605F7"/>
    <w:rsid w:val="00060807"/>
    <w:rsid w:val="00060D50"/>
    <w:rsid w:val="00060ED7"/>
    <w:rsid w:val="00063741"/>
    <w:rsid w:val="000637D1"/>
    <w:rsid w:val="00063CA5"/>
    <w:rsid w:val="00064152"/>
    <w:rsid w:val="00064A0C"/>
    <w:rsid w:val="00064EF8"/>
    <w:rsid w:val="00066620"/>
    <w:rsid w:val="00067F6C"/>
    <w:rsid w:val="00070FA2"/>
    <w:rsid w:val="000717ED"/>
    <w:rsid w:val="00072EAD"/>
    <w:rsid w:val="00073169"/>
    <w:rsid w:val="0007331A"/>
    <w:rsid w:val="00073418"/>
    <w:rsid w:val="0007351C"/>
    <w:rsid w:val="00073658"/>
    <w:rsid w:val="000744B6"/>
    <w:rsid w:val="00074632"/>
    <w:rsid w:val="00075929"/>
    <w:rsid w:val="00075F91"/>
    <w:rsid w:val="000777BF"/>
    <w:rsid w:val="0008052D"/>
    <w:rsid w:val="00080A82"/>
    <w:rsid w:val="00080FEB"/>
    <w:rsid w:val="00081403"/>
    <w:rsid w:val="00081C6A"/>
    <w:rsid w:val="0008456B"/>
    <w:rsid w:val="0008461C"/>
    <w:rsid w:val="00085A9C"/>
    <w:rsid w:val="00085CD3"/>
    <w:rsid w:val="00086167"/>
    <w:rsid w:val="00086388"/>
    <w:rsid w:val="000865FF"/>
    <w:rsid w:val="00087C06"/>
    <w:rsid w:val="00087C84"/>
    <w:rsid w:val="00087EF4"/>
    <w:rsid w:val="00091498"/>
    <w:rsid w:val="00091952"/>
    <w:rsid w:val="000926D3"/>
    <w:rsid w:val="00092955"/>
    <w:rsid w:val="00093559"/>
    <w:rsid w:val="000935D6"/>
    <w:rsid w:val="00093A56"/>
    <w:rsid w:val="00093B15"/>
    <w:rsid w:val="00094F31"/>
    <w:rsid w:val="000951FE"/>
    <w:rsid w:val="0009546E"/>
    <w:rsid w:val="00095479"/>
    <w:rsid w:val="00095904"/>
    <w:rsid w:val="00096022"/>
    <w:rsid w:val="00096B7B"/>
    <w:rsid w:val="00096E25"/>
    <w:rsid w:val="00097425"/>
    <w:rsid w:val="00097A2C"/>
    <w:rsid w:val="000A09BA"/>
    <w:rsid w:val="000A0E90"/>
    <w:rsid w:val="000A1EE7"/>
    <w:rsid w:val="000A49C0"/>
    <w:rsid w:val="000A4F39"/>
    <w:rsid w:val="000A4FD6"/>
    <w:rsid w:val="000A5272"/>
    <w:rsid w:val="000A6B2A"/>
    <w:rsid w:val="000A6BC0"/>
    <w:rsid w:val="000A7070"/>
    <w:rsid w:val="000A72F3"/>
    <w:rsid w:val="000A73CC"/>
    <w:rsid w:val="000A7A2F"/>
    <w:rsid w:val="000B00C3"/>
    <w:rsid w:val="000B0C4B"/>
    <w:rsid w:val="000B1464"/>
    <w:rsid w:val="000B19D9"/>
    <w:rsid w:val="000B2AE3"/>
    <w:rsid w:val="000B32C2"/>
    <w:rsid w:val="000B38A4"/>
    <w:rsid w:val="000B3D2C"/>
    <w:rsid w:val="000B41FE"/>
    <w:rsid w:val="000B4E79"/>
    <w:rsid w:val="000B5257"/>
    <w:rsid w:val="000B567C"/>
    <w:rsid w:val="000B6E0E"/>
    <w:rsid w:val="000B6F4A"/>
    <w:rsid w:val="000B764E"/>
    <w:rsid w:val="000C0299"/>
    <w:rsid w:val="000C293D"/>
    <w:rsid w:val="000C3735"/>
    <w:rsid w:val="000C38D4"/>
    <w:rsid w:val="000C38E4"/>
    <w:rsid w:val="000C40BD"/>
    <w:rsid w:val="000C46DB"/>
    <w:rsid w:val="000C4BED"/>
    <w:rsid w:val="000C55B5"/>
    <w:rsid w:val="000C77EF"/>
    <w:rsid w:val="000C78D2"/>
    <w:rsid w:val="000D02CB"/>
    <w:rsid w:val="000D0BB5"/>
    <w:rsid w:val="000D1107"/>
    <w:rsid w:val="000D1572"/>
    <w:rsid w:val="000D1BC6"/>
    <w:rsid w:val="000D262A"/>
    <w:rsid w:val="000D3B61"/>
    <w:rsid w:val="000D5DD0"/>
    <w:rsid w:val="000D6AA3"/>
    <w:rsid w:val="000D71EE"/>
    <w:rsid w:val="000E0520"/>
    <w:rsid w:val="000E0D85"/>
    <w:rsid w:val="000E0FA7"/>
    <w:rsid w:val="000E0FE5"/>
    <w:rsid w:val="000E1262"/>
    <w:rsid w:val="000E1402"/>
    <w:rsid w:val="000E15AA"/>
    <w:rsid w:val="000E1D6B"/>
    <w:rsid w:val="000E25EF"/>
    <w:rsid w:val="000E2718"/>
    <w:rsid w:val="000E2856"/>
    <w:rsid w:val="000E2BD8"/>
    <w:rsid w:val="000E2BF3"/>
    <w:rsid w:val="000E2CC3"/>
    <w:rsid w:val="000E3118"/>
    <w:rsid w:val="000E3BA6"/>
    <w:rsid w:val="000E45BE"/>
    <w:rsid w:val="000E5364"/>
    <w:rsid w:val="000E61C1"/>
    <w:rsid w:val="000E66BE"/>
    <w:rsid w:val="000E6A64"/>
    <w:rsid w:val="000E713E"/>
    <w:rsid w:val="000E7DD3"/>
    <w:rsid w:val="000E7F8A"/>
    <w:rsid w:val="000F0446"/>
    <w:rsid w:val="000F08D5"/>
    <w:rsid w:val="000F1B81"/>
    <w:rsid w:val="000F1DB5"/>
    <w:rsid w:val="000F1E91"/>
    <w:rsid w:val="000F2544"/>
    <w:rsid w:val="000F2BBC"/>
    <w:rsid w:val="000F36A2"/>
    <w:rsid w:val="000F3C26"/>
    <w:rsid w:val="000F3F5E"/>
    <w:rsid w:val="000F469D"/>
    <w:rsid w:val="000F4881"/>
    <w:rsid w:val="000F4E75"/>
    <w:rsid w:val="000F5356"/>
    <w:rsid w:val="000F53B0"/>
    <w:rsid w:val="000F5AB8"/>
    <w:rsid w:val="000F5CA5"/>
    <w:rsid w:val="000F62EC"/>
    <w:rsid w:val="000F6827"/>
    <w:rsid w:val="000F6BCA"/>
    <w:rsid w:val="000F6BDA"/>
    <w:rsid w:val="000F7C49"/>
    <w:rsid w:val="001000CB"/>
    <w:rsid w:val="001000F9"/>
    <w:rsid w:val="00100408"/>
    <w:rsid w:val="0010071A"/>
    <w:rsid w:val="00100E12"/>
    <w:rsid w:val="00101A8D"/>
    <w:rsid w:val="00102028"/>
    <w:rsid w:val="00102148"/>
    <w:rsid w:val="001022C4"/>
    <w:rsid w:val="0010268D"/>
    <w:rsid w:val="00103120"/>
    <w:rsid w:val="00103142"/>
    <w:rsid w:val="00104F89"/>
    <w:rsid w:val="00105869"/>
    <w:rsid w:val="00105BC1"/>
    <w:rsid w:val="00106CD5"/>
    <w:rsid w:val="00106E28"/>
    <w:rsid w:val="00106F79"/>
    <w:rsid w:val="00106FB8"/>
    <w:rsid w:val="0011005D"/>
    <w:rsid w:val="00110FA4"/>
    <w:rsid w:val="001117EA"/>
    <w:rsid w:val="00111BF9"/>
    <w:rsid w:val="00111FB0"/>
    <w:rsid w:val="001129D9"/>
    <w:rsid w:val="00113A09"/>
    <w:rsid w:val="00113AC1"/>
    <w:rsid w:val="00113FE0"/>
    <w:rsid w:val="001141FC"/>
    <w:rsid w:val="0011472A"/>
    <w:rsid w:val="00114FD9"/>
    <w:rsid w:val="001160BA"/>
    <w:rsid w:val="0011624F"/>
    <w:rsid w:val="00116353"/>
    <w:rsid w:val="00117396"/>
    <w:rsid w:val="001177E9"/>
    <w:rsid w:val="00120BD2"/>
    <w:rsid w:val="00120D98"/>
    <w:rsid w:val="00121D92"/>
    <w:rsid w:val="00122BCB"/>
    <w:rsid w:val="00122FBD"/>
    <w:rsid w:val="0012387E"/>
    <w:rsid w:val="00123A0A"/>
    <w:rsid w:val="001240AA"/>
    <w:rsid w:val="00124DC7"/>
    <w:rsid w:val="001250DB"/>
    <w:rsid w:val="00125394"/>
    <w:rsid w:val="001253E3"/>
    <w:rsid w:val="00125A90"/>
    <w:rsid w:val="0012677B"/>
    <w:rsid w:val="0012746A"/>
    <w:rsid w:val="00131605"/>
    <w:rsid w:val="00132043"/>
    <w:rsid w:val="001329FA"/>
    <w:rsid w:val="00132E37"/>
    <w:rsid w:val="00133250"/>
    <w:rsid w:val="00133897"/>
    <w:rsid w:val="001340CA"/>
    <w:rsid w:val="00135326"/>
    <w:rsid w:val="001357A8"/>
    <w:rsid w:val="00136B26"/>
    <w:rsid w:val="00136E0E"/>
    <w:rsid w:val="00137261"/>
    <w:rsid w:val="00140415"/>
    <w:rsid w:val="00140DF2"/>
    <w:rsid w:val="0014132A"/>
    <w:rsid w:val="00141381"/>
    <w:rsid w:val="00141C99"/>
    <w:rsid w:val="00141CD0"/>
    <w:rsid w:val="00142337"/>
    <w:rsid w:val="00142915"/>
    <w:rsid w:val="00142DDD"/>
    <w:rsid w:val="00143CB1"/>
    <w:rsid w:val="00143D74"/>
    <w:rsid w:val="001446DF"/>
    <w:rsid w:val="00144F29"/>
    <w:rsid w:val="00144F5D"/>
    <w:rsid w:val="00145273"/>
    <w:rsid w:val="00145918"/>
    <w:rsid w:val="00145BBE"/>
    <w:rsid w:val="00146367"/>
    <w:rsid w:val="001467D5"/>
    <w:rsid w:val="00146837"/>
    <w:rsid w:val="0014774B"/>
    <w:rsid w:val="00150F27"/>
    <w:rsid w:val="00150F63"/>
    <w:rsid w:val="00150FCB"/>
    <w:rsid w:val="001518BA"/>
    <w:rsid w:val="00151B73"/>
    <w:rsid w:val="00152017"/>
    <w:rsid w:val="0015483E"/>
    <w:rsid w:val="00155699"/>
    <w:rsid w:val="00155BBF"/>
    <w:rsid w:val="00155FE4"/>
    <w:rsid w:val="00156B4A"/>
    <w:rsid w:val="0015713C"/>
    <w:rsid w:val="00157B28"/>
    <w:rsid w:val="00157B40"/>
    <w:rsid w:val="00161C94"/>
    <w:rsid w:val="001621B0"/>
    <w:rsid w:val="00163137"/>
    <w:rsid w:val="00163894"/>
    <w:rsid w:val="00163DBE"/>
    <w:rsid w:val="00164571"/>
    <w:rsid w:val="001649C9"/>
    <w:rsid w:val="00164F3B"/>
    <w:rsid w:val="0016554C"/>
    <w:rsid w:val="00165783"/>
    <w:rsid w:val="001660DA"/>
    <w:rsid w:val="001666CA"/>
    <w:rsid w:val="00167237"/>
    <w:rsid w:val="00167F54"/>
    <w:rsid w:val="0017017F"/>
    <w:rsid w:val="00170B44"/>
    <w:rsid w:val="00171EDC"/>
    <w:rsid w:val="00172A9C"/>
    <w:rsid w:val="00172E1E"/>
    <w:rsid w:val="0017353A"/>
    <w:rsid w:val="0017393B"/>
    <w:rsid w:val="00173FA9"/>
    <w:rsid w:val="00174556"/>
    <w:rsid w:val="00174624"/>
    <w:rsid w:val="00174928"/>
    <w:rsid w:val="00174C9A"/>
    <w:rsid w:val="0017517C"/>
    <w:rsid w:val="00175424"/>
    <w:rsid w:val="00175C34"/>
    <w:rsid w:val="001765BE"/>
    <w:rsid w:val="0017676B"/>
    <w:rsid w:val="00176DBC"/>
    <w:rsid w:val="001773F8"/>
    <w:rsid w:val="001776B6"/>
    <w:rsid w:val="00180159"/>
    <w:rsid w:val="00180192"/>
    <w:rsid w:val="00180A85"/>
    <w:rsid w:val="00180BEC"/>
    <w:rsid w:val="00180D9C"/>
    <w:rsid w:val="001812DB"/>
    <w:rsid w:val="0018206C"/>
    <w:rsid w:val="001824BD"/>
    <w:rsid w:val="001827C6"/>
    <w:rsid w:val="00182FAE"/>
    <w:rsid w:val="001830DD"/>
    <w:rsid w:val="001836C4"/>
    <w:rsid w:val="00183CAA"/>
    <w:rsid w:val="0018413B"/>
    <w:rsid w:val="001848AC"/>
    <w:rsid w:val="00184A62"/>
    <w:rsid w:val="00185315"/>
    <w:rsid w:val="00185C84"/>
    <w:rsid w:val="00186147"/>
    <w:rsid w:val="00187098"/>
    <w:rsid w:val="0018793A"/>
    <w:rsid w:val="00187E38"/>
    <w:rsid w:val="00190451"/>
    <w:rsid w:val="00190D2E"/>
    <w:rsid w:val="00191F09"/>
    <w:rsid w:val="001923F9"/>
    <w:rsid w:val="001927F1"/>
    <w:rsid w:val="00192C5C"/>
    <w:rsid w:val="0019334C"/>
    <w:rsid w:val="0019340F"/>
    <w:rsid w:val="0019353F"/>
    <w:rsid w:val="00195141"/>
    <w:rsid w:val="001955C3"/>
    <w:rsid w:val="00195895"/>
    <w:rsid w:val="00195FF5"/>
    <w:rsid w:val="00196EBF"/>
    <w:rsid w:val="00196FB9"/>
    <w:rsid w:val="0019774F"/>
    <w:rsid w:val="00197771"/>
    <w:rsid w:val="00197DBD"/>
    <w:rsid w:val="001A03D3"/>
    <w:rsid w:val="001A05F0"/>
    <w:rsid w:val="001A10DE"/>
    <w:rsid w:val="001A13E1"/>
    <w:rsid w:val="001A1E84"/>
    <w:rsid w:val="001A2A79"/>
    <w:rsid w:val="001A2DD6"/>
    <w:rsid w:val="001A30D9"/>
    <w:rsid w:val="001A34CC"/>
    <w:rsid w:val="001A3569"/>
    <w:rsid w:val="001A412A"/>
    <w:rsid w:val="001A6667"/>
    <w:rsid w:val="001A68D4"/>
    <w:rsid w:val="001A7851"/>
    <w:rsid w:val="001A7AAF"/>
    <w:rsid w:val="001B129E"/>
    <w:rsid w:val="001B14AB"/>
    <w:rsid w:val="001B16B5"/>
    <w:rsid w:val="001B2810"/>
    <w:rsid w:val="001B3127"/>
    <w:rsid w:val="001B320C"/>
    <w:rsid w:val="001B32A4"/>
    <w:rsid w:val="001B3BFA"/>
    <w:rsid w:val="001B3EC4"/>
    <w:rsid w:val="001B3FB1"/>
    <w:rsid w:val="001B4295"/>
    <w:rsid w:val="001B5804"/>
    <w:rsid w:val="001B616A"/>
    <w:rsid w:val="001B638F"/>
    <w:rsid w:val="001B6FFF"/>
    <w:rsid w:val="001B744B"/>
    <w:rsid w:val="001C0AA5"/>
    <w:rsid w:val="001C1521"/>
    <w:rsid w:val="001C1545"/>
    <w:rsid w:val="001C1575"/>
    <w:rsid w:val="001C19F7"/>
    <w:rsid w:val="001C2B2B"/>
    <w:rsid w:val="001C2E56"/>
    <w:rsid w:val="001C307B"/>
    <w:rsid w:val="001C34D7"/>
    <w:rsid w:val="001C37A5"/>
    <w:rsid w:val="001C3BEF"/>
    <w:rsid w:val="001C3F7B"/>
    <w:rsid w:val="001C3FB9"/>
    <w:rsid w:val="001C46F4"/>
    <w:rsid w:val="001C49DE"/>
    <w:rsid w:val="001C5E73"/>
    <w:rsid w:val="001C71B6"/>
    <w:rsid w:val="001D110E"/>
    <w:rsid w:val="001D12D0"/>
    <w:rsid w:val="001D1D01"/>
    <w:rsid w:val="001D2993"/>
    <w:rsid w:val="001D2A5B"/>
    <w:rsid w:val="001D3516"/>
    <w:rsid w:val="001D3E37"/>
    <w:rsid w:val="001D3EDE"/>
    <w:rsid w:val="001D4138"/>
    <w:rsid w:val="001D59B6"/>
    <w:rsid w:val="001D5AF8"/>
    <w:rsid w:val="001D5BFE"/>
    <w:rsid w:val="001D5C0A"/>
    <w:rsid w:val="001E02C7"/>
    <w:rsid w:val="001E046B"/>
    <w:rsid w:val="001E0A78"/>
    <w:rsid w:val="001E1A66"/>
    <w:rsid w:val="001E1E9A"/>
    <w:rsid w:val="001E2345"/>
    <w:rsid w:val="001E30A8"/>
    <w:rsid w:val="001E32A8"/>
    <w:rsid w:val="001E37AA"/>
    <w:rsid w:val="001E3998"/>
    <w:rsid w:val="001E444D"/>
    <w:rsid w:val="001E476C"/>
    <w:rsid w:val="001E4E83"/>
    <w:rsid w:val="001E5ED6"/>
    <w:rsid w:val="001E663E"/>
    <w:rsid w:val="001E6AF0"/>
    <w:rsid w:val="001E6DDC"/>
    <w:rsid w:val="001E74AE"/>
    <w:rsid w:val="001F0000"/>
    <w:rsid w:val="001F080E"/>
    <w:rsid w:val="001F0C57"/>
    <w:rsid w:val="001F0EC5"/>
    <w:rsid w:val="001F10B6"/>
    <w:rsid w:val="001F2269"/>
    <w:rsid w:val="001F24B7"/>
    <w:rsid w:val="001F2587"/>
    <w:rsid w:val="001F3573"/>
    <w:rsid w:val="001F4D78"/>
    <w:rsid w:val="001F5BBA"/>
    <w:rsid w:val="001F5BFB"/>
    <w:rsid w:val="001F606C"/>
    <w:rsid w:val="001F6E98"/>
    <w:rsid w:val="001F7848"/>
    <w:rsid w:val="001F7852"/>
    <w:rsid w:val="001F78FE"/>
    <w:rsid w:val="001F7C45"/>
    <w:rsid w:val="002004F1"/>
    <w:rsid w:val="00201096"/>
    <w:rsid w:val="002013E5"/>
    <w:rsid w:val="00201F89"/>
    <w:rsid w:val="00203BEE"/>
    <w:rsid w:val="00204831"/>
    <w:rsid w:val="0020484B"/>
    <w:rsid w:val="0020643F"/>
    <w:rsid w:val="00206829"/>
    <w:rsid w:val="00206EB4"/>
    <w:rsid w:val="0020712A"/>
    <w:rsid w:val="00207B02"/>
    <w:rsid w:val="00211652"/>
    <w:rsid w:val="00211B48"/>
    <w:rsid w:val="00212AA1"/>
    <w:rsid w:val="00212C8A"/>
    <w:rsid w:val="002131E4"/>
    <w:rsid w:val="0021348A"/>
    <w:rsid w:val="002144B0"/>
    <w:rsid w:val="00214700"/>
    <w:rsid w:val="00214B73"/>
    <w:rsid w:val="0021543D"/>
    <w:rsid w:val="00215857"/>
    <w:rsid w:val="00215CFC"/>
    <w:rsid w:val="002161BD"/>
    <w:rsid w:val="00216216"/>
    <w:rsid w:val="0021662B"/>
    <w:rsid w:val="00216A04"/>
    <w:rsid w:val="00217413"/>
    <w:rsid w:val="002204A3"/>
    <w:rsid w:val="00220B47"/>
    <w:rsid w:val="00221742"/>
    <w:rsid w:val="0022379F"/>
    <w:rsid w:val="00224170"/>
    <w:rsid w:val="002244C4"/>
    <w:rsid w:val="00224529"/>
    <w:rsid w:val="00224629"/>
    <w:rsid w:val="00224A35"/>
    <w:rsid w:val="00226350"/>
    <w:rsid w:val="002264AF"/>
    <w:rsid w:val="0023158A"/>
    <w:rsid w:val="00233771"/>
    <w:rsid w:val="002341CE"/>
    <w:rsid w:val="00234943"/>
    <w:rsid w:val="00234ABE"/>
    <w:rsid w:val="00234CA7"/>
    <w:rsid w:val="00235575"/>
    <w:rsid w:val="0023572A"/>
    <w:rsid w:val="00235875"/>
    <w:rsid w:val="00235D42"/>
    <w:rsid w:val="00235FB3"/>
    <w:rsid w:val="00237D44"/>
    <w:rsid w:val="00241E35"/>
    <w:rsid w:val="002429E9"/>
    <w:rsid w:val="00242D83"/>
    <w:rsid w:val="00242DC2"/>
    <w:rsid w:val="00242E27"/>
    <w:rsid w:val="00243EE0"/>
    <w:rsid w:val="002461DD"/>
    <w:rsid w:val="002464F4"/>
    <w:rsid w:val="00247F73"/>
    <w:rsid w:val="00247FBC"/>
    <w:rsid w:val="00250BA5"/>
    <w:rsid w:val="0025158B"/>
    <w:rsid w:val="002517B9"/>
    <w:rsid w:val="002527E7"/>
    <w:rsid w:val="0025404E"/>
    <w:rsid w:val="00254600"/>
    <w:rsid w:val="00256C99"/>
    <w:rsid w:val="002579BA"/>
    <w:rsid w:val="00257E36"/>
    <w:rsid w:val="0026081E"/>
    <w:rsid w:val="00261229"/>
    <w:rsid w:val="002615A8"/>
    <w:rsid w:val="00261D8B"/>
    <w:rsid w:val="0026250E"/>
    <w:rsid w:val="0026392F"/>
    <w:rsid w:val="00263ABB"/>
    <w:rsid w:val="00264C63"/>
    <w:rsid w:val="00265087"/>
    <w:rsid w:val="002663CD"/>
    <w:rsid w:val="002668C8"/>
    <w:rsid w:val="002726E4"/>
    <w:rsid w:val="00272F98"/>
    <w:rsid w:val="002737D1"/>
    <w:rsid w:val="0027448C"/>
    <w:rsid w:val="002747FC"/>
    <w:rsid w:val="00276618"/>
    <w:rsid w:val="00276F50"/>
    <w:rsid w:val="00281962"/>
    <w:rsid w:val="00281B11"/>
    <w:rsid w:val="00281FAE"/>
    <w:rsid w:val="002824DF"/>
    <w:rsid w:val="00283028"/>
    <w:rsid w:val="0028387A"/>
    <w:rsid w:val="002844AE"/>
    <w:rsid w:val="00286139"/>
    <w:rsid w:val="00286681"/>
    <w:rsid w:val="00286BCB"/>
    <w:rsid w:val="00286D0E"/>
    <w:rsid w:val="00287F16"/>
    <w:rsid w:val="00290A05"/>
    <w:rsid w:val="00291465"/>
    <w:rsid w:val="00292422"/>
    <w:rsid w:val="002928DC"/>
    <w:rsid w:val="002928E3"/>
    <w:rsid w:val="00292E05"/>
    <w:rsid w:val="00293B88"/>
    <w:rsid w:val="002944BF"/>
    <w:rsid w:val="0029476D"/>
    <w:rsid w:val="00294AD8"/>
    <w:rsid w:val="00294B9B"/>
    <w:rsid w:val="00295993"/>
    <w:rsid w:val="00296377"/>
    <w:rsid w:val="002964C3"/>
    <w:rsid w:val="00296B7A"/>
    <w:rsid w:val="002977D7"/>
    <w:rsid w:val="00297B14"/>
    <w:rsid w:val="002A0B22"/>
    <w:rsid w:val="002A0CD6"/>
    <w:rsid w:val="002A0FC0"/>
    <w:rsid w:val="002A1180"/>
    <w:rsid w:val="002A1403"/>
    <w:rsid w:val="002A2000"/>
    <w:rsid w:val="002A30A7"/>
    <w:rsid w:val="002A316F"/>
    <w:rsid w:val="002A3A55"/>
    <w:rsid w:val="002A47AB"/>
    <w:rsid w:val="002A4EB1"/>
    <w:rsid w:val="002A5394"/>
    <w:rsid w:val="002A540D"/>
    <w:rsid w:val="002A574A"/>
    <w:rsid w:val="002A63ED"/>
    <w:rsid w:val="002A7711"/>
    <w:rsid w:val="002B050F"/>
    <w:rsid w:val="002B05AE"/>
    <w:rsid w:val="002B187F"/>
    <w:rsid w:val="002B1D4E"/>
    <w:rsid w:val="002B1DC8"/>
    <w:rsid w:val="002B1F86"/>
    <w:rsid w:val="002B2200"/>
    <w:rsid w:val="002B2D13"/>
    <w:rsid w:val="002B3324"/>
    <w:rsid w:val="002B3E74"/>
    <w:rsid w:val="002B4927"/>
    <w:rsid w:val="002B4C35"/>
    <w:rsid w:val="002B5696"/>
    <w:rsid w:val="002B5D1B"/>
    <w:rsid w:val="002B697F"/>
    <w:rsid w:val="002B6B5A"/>
    <w:rsid w:val="002B79FE"/>
    <w:rsid w:val="002C0626"/>
    <w:rsid w:val="002C0870"/>
    <w:rsid w:val="002C1BB7"/>
    <w:rsid w:val="002C1D65"/>
    <w:rsid w:val="002C28A2"/>
    <w:rsid w:val="002C3896"/>
    <w:rsid w:val="002C3B18"/>
    <w:rsid w:val="002C4737"/>
    <w:rsid w:val="002C5831"/>
    <w:rsid w:val="002D06E1"/>
    <w:rsid w:val="002D0844"/>
    <w:rsid w:val="002D0880"/>
    <w:rsid w:val="002D0FB2"/>
    <w:rsid w:val="002D1A56"/>
    <w:rsid w:val="002D1A9B"/>
    <w:rsid w:val="002D1D50"/>
    <w:rsid w:val="002D30A9"/>
    <w:rsid w:val="002D34A2"/>
    <w:rsid w:val="002D36BB"/>
    <w:rsid w:val="002D3D35"/>
    <w:rsid w:val="002D73EA"/>
    <w:rsid w:val="002E006C"/>
    <w:rsid w:val="002E0E2B"/>
    <w:rsid w:val="002E1C24"/>
    <w:rsid w:val="002E230C"/>
    <w:rsid w:val="002E2570"/>
    <w:rsid w:val="002E2BEA"/>
    <w:rsid w:val="002E2E07"/>
    <w:rsid w:val="002E330D"/>
    <w:rsid w:val="002E3A2C"/>
    <w:rsid w:val="002E4131"/>
    <w:rsid w:val="002E70A1"/>
    <w:rsid w:val="002E760B"/>
    <w:rsid w:val="002E7B64"/>
    <w:rsid w:val="002F0639"/>
    <w:rsid w:val="002F0791"/>
    <w:rsid w:val="002F0CED"/>
    <w:rsid w:val="002F0FE5"/>
    <w:rsid w:val="002F1F73"/>
    <w:rsid w:val="002F271D"/>
    <w:rsid w:val="002F2978"/>
    <w:rsid w:val="002F37FA"/>
    <w:rsid w:val="002F3C4B"/>
    <w:rsid w:val="002F3CBF"/>
    <w:rsid w:val="002F408D"/>
    <w:rsid w:val="002F639A"/>
    <w:rsid w:val="002F6741"/>
    <w:rsid w:val="002F6B61"/>
    <w:rsid w:val="002F770A"/>
    <w:rsid w:val="002F7C37"/>
    <w:rsid w:val="003005F9"/>
    <w:rsid w:val="0030067F"/>
    <w:rsid w:val="00301475"/>
    <w:rsid w:val="0030150C"/>
    <w:rsid w:val="00302356"/>
    <w:rsid w:val="003026AA"/>
    <w:rsid w:val="00302A15"/>
    <w:rsid w:val="00302EAE"/>
    <w:rsid w:val="0030434E"/>
    <w:rsid w:val="003044CC"/>
    <w:rsid w:val="00304CA9"/>
    <w:rsid w:val="003053E3"/>
    <w:rsid w:val="00305B15"/>
    <w:rsid w:val="00305C21"/>
    <w:rsid w:val="003064FA"/>
    <w:rsid w:val="003065DC"/>
    <w:rsid w:val="003073AB"/>
    <w:rsid w:val="00307F85"/>
    <w:rsid w:val="00310844"/>
    <w:rsid w:val="003109E4"/>
    <w:rsid w:val="00310ACD"/>
    <w:rsid w:val="00311201"/>
    <w:rsid w:val="00311D23"/>
    <w:rsid w:val="003122C6"/>
    <w:rsid w:val="003126AC"/>
    <w:rsid w:val="0031290C"/>
    <w:rsid w:val="00312C58"/>
    <w:rsid w:val="00314350"/>
    <w:rsid w:val="00314C0E"/>
    <w:rsid w:val="00314E14"/>
    <w:rsid w:val="00315497"/>
    <w:rsid w:val="00315924"/>
    <w:rsid w:val="00315D24"/>
    <w:rsid w:val="003164A6"/>
    <w:rsid w:val="00317157"/>
    <w:rsid w:val="003175E4"/>
    <w:rsid w:val="00317D40"/>
    <w:rsid w:val="003209A9"/>
    <w:rsid w:val="003209B7"/>
    <w:rsid w:val="00321144"/>
    <w:rsid w:val="00321A3C"/>
    <w:rsid w:val="00322864"/>
    <w:rsid w:val="00322CBB"/>
    <w:rsid w:val="003232DD"/>
    <w:rsid w:val="0032508F"/>
    <w:rsid w:val="003259FB"/>
    <w:rsid w:val="0032607A"/>
    <w:rsid w:val="0032694A"/>
    <w:rsid w:val="00326B95"/>
    <w:rsid w:val="0032725B"/>
    <w:rsid w:val="00327278"/>
    <w:rsid w:val="003273BC"/>
    <w:rsid w:val="00327DDF"/>
    <w:rsid w:val="00327F76"/>
    <w:rsid w:val="00330BA5"/>
    <w:rsid w:val="00331CC3"/>
    <w:rsid w:val="00332883"/>
    <w:rsid w:val="003329F1"/>
    <w:rsid w:val="003331B6"/>
    <w:rsid w:val="003335D3"/>
    <w:rsid w:val="00334284"/>
    <w:rsid w:val="003355F3"/>
    <w:rsid w:val="00335DF9"/>
    <w:rsid w:val="00336513"/>
    <w:rsid w:val="00340227"/>
    <w:rsid w:val="00340E5A"/>
    <w:rsid w:val="0034158B"/>
    <w:rsid w:val="0034172A"/>
    <w:rsid w:val="00341785"/>
    <w:rsid w:val="003427A0"/>
    <w:rsid w:val="003427E9"/>
    <w:rsid w:val="0034328E"/>
    <w:rsid w:val="00343460"/>
    <w:rsid w:val="00343601"/>
    <w:rsid w:val="0034374F"/>
    <w:rsid w:val="00343D13"/>
    <w:rsid w:val="003440C2"/>
    <w:rsid w:val="003448FD"/>
    <w:rsid w:val="003450AD"/>
    <w:rsid w:val="00345589"/>
    <w:rsid w:val="0034673C"/>
    <w:rsid w:val="00346ACF"/>
    <w:rsid w:val="00350D8E"/>
    <w:rsid w:val="003515ED"/>
    <w:rsid w:val="00351E7A"/>
    <w:rsid w:val="00352000"/>
    <w:rsid w:val="00352DA2"/>
    <w:rsid w:val="00353387"/>
    <w:rsid w:val="00353D17"/>
    <w:rsid w:val="00354CB9"/>
    <w:rsid w:val="00355295"/>
    <w:rsid w:val="0035583E"/>
    <w:rsid w:val="00355885"/>
    <w:rsid w:val="003567F0"/>
    <w:rsid w:val="00357438"/>
    <w:rsid w:val="0036191E"/>
    <w:rsid w:val="00362495"/>
    <w:rsid w:val="003626C1"/>
    <w:rsid w:val="00363170"/>
    <w:rsid w:val="0036420C"/>
    <w:rsid w:val="00364465"/>
    <w:rsid w:val="003646BA"/>
    <w:rsid w:val="003648BC"/>
    <w:rsid w:val="00364914"/>
    <w:rsid w:val="00365317"/>
    <w:rsid w:val="003655DC"/>
    <w:rsid w:val="00366594"/>
    <w:rsid w:val="00366731"/>
    <w:rsid w:val="0036740D"/>
    <w:rsid w:val="00370D43"/>
    <w:rsid w:val="00370FEE"/>
    <w:rsid w:val="0037115D"/>
    <w:rsid w:val="00372407"/>
    <w:rsid w:val="003740F2"/>
    <w:rsid w:val="0037502B"/>
    <w:rsid w:val="003768B3"/>
    <w:rsid w:val="0037693E"/>
    <w:rsid w:val="003773AB"/>
    <w:rsid w:val="0037748C"/>
    <w:rsid w:val="00377754"/>
    <w:rsid w:val="00380582"/>
    <w:rsid w:val="00380915"/>
    <w:rsid w:val="00380919"/>
    <w:rsid w:val="00381390"/>
    <w:rsid w:val="00381434"/>
    <w:rsid w:val="0038207E"/>
    <w:rsid w:val="00382092"/>
    <w:rsid w:val="00382C75"/>
    <w:rsid w:val="00383A7A"/>
    <w:rsid w:val="00383ED6"/>
    <w:rsid w:val="003849EB"/>
    <w:rsid w:val="00384A27"/>
    <w:rsid w:val="003858B8"/>
    <w:rsid w:val="00386CDD"/>
    <w:rsid w:val="00386FCC"/>
    <w:rsid w:val="00387081"/>
    <w:rsid w:val="0038787B"/>
    <w:rsid w:val="003903D3"/>
    <w:rsid w:val="00390954"/>
    <w:rsid w:val="00391196"/>
    <w:rsid w:val="003918F9"/>
    <w:rsid w:val="00392708"/>
    <w:rsid w:val="003929CD"/>
    <w:rsid w:val="00393126"/>
    <w:rsid w:val="003946A5"/>
    <w:rsid w:val="00394C7B"/>
    <w:rsid w:val="00396BEE"/>
    <w:rsid w:val="00397B6C"/>
    <w:rsid w:val="003A05D6"/>
    <w:rsid w:val="003A05F4"/>
    <w:rsid w:val="003A15D2"/>
    <w:rsid w:val="003A1CC2"/>
    <w:rsid w:val="003A2561"/>
    <w:rsid w:val="003A25A5"/>
    <w:rsid w:val="003A28F9"/>
    <w:rsid w:val="003A2B9E"/>
    <w:rsid w:val="003A3240"/>
    <w:rsid w:val="003A36A7"/>
    <w:rsid w:val="003A3929"/>
    <w:rsid w:val="003A4888"/>
    <w:rsid w:val="003A49D9"/>
    <w:rsid w:val="003A4D38"/>
    <w:rsid w:val="003A58CC"/>
    <w:rsid w:val="003A5C8F"/>
    <w:rsid w:val="003A6537"/>
    <w:rsid w:val="003A65A7"/>
    <w:rsid w:val="003A6985"/>
    <w:rsid w:val="003A6BCC"/>
    <w:rsid w:val="003A740C"/>
    <w:rsid w:val="003A7B79"/>
    <w:rsid w:val="003A7D98"/>
    <w:rsid w:val="003B1AC2"/>
    <w:rsid w:val="003B1CC4"/>
    <w:rsid w:val="003B21F6"/>
    <w:rsid w:val="003B2B8F"/>
    <w:rsid w:val="003B2BD5"/>
    <w:rsid w:val="003B3B34"/>
    <w:rsid w:val="003B3C29"/>
    <w:rsid w:val="003B4DED"/>
    <w:rsid w:val="003B50A1"/>
    <w:rsid w:val="003B5C7B"/>
    <w:rsid w:val="003B6749"/>
    <w:rsid w:val="003B79B2"/>
    <w:rsid w:val="003C0246"/>
    <w:rsid w:val="003C0C1A"/>
    <w:rsid w:val="003C2065"/>
    <w:rsid w:val="003C29EB"/>
    <w:rsid w:val="003C2C7E"/>
    <w:rsid w:val="003C3079"/>
    <w:rsid w:val="003C3973"/>
    <w:rsid w:val="003C3F1A"/>
    <w:rsid w:val="003C445A"/>
    <w:rsid w:val="003C486D"/>
    <w:rsid w:val="003C49FA"/>
    <w:rsid w:val="003C512F"/>
    <w:rsid w:val="003C63C3"/>
    <w:rsid w:val="003C7082"/>
    <w:rsid w:val="003C7D76"/>
    <w:rsid w:val="003D15C2"/>
    <w:rsid w:val="003D19C0"/>
    <w:rsid w:val="003D1E91"/>
    <w:rsid w:val="003D43DC"/>
    <w:rsid w:val="003D461B"/>
    <w:rsid w:val="003D46E5"/>
    <w:rsid w:val="003D4974"/>
    <w:rsid w:val="003D5B53"/>
    <w:rsid w:val="003D65B1"/>
    <w:rsid w:val="003D6AE9"/>
    <w:rsid w:val="003D6BDE"/>
    <w:rsid w:val="003D6C40"/>
    <w:rsid w:val="003E0BA8"/>
    <w:rsid w:val="003E1598"/>
    <w:rsid w:val="003E1BCA"/>
    <w:rsid w:val="003E1C57"/>
    <w:rsid w:val="003E1D43"/>
    <w:rsid w:val="003E2D21"/>
    <w:rsid w:val="003E3019"/>
    <w:rsid w:val="003E3033"/>
    <w:rsid w:val="003E46B3"/>
    <w:rsid w:val="003E58CF"/>
    <w:rsid w:val="003E7AE7"/>
    <w:rsid w:val="003F215A"/>
    <w:rsid w:val="003F2914"/>
    <w:rsid w:val="003F345F"/>
    <w:rsid w:val="003F358E"/>
    <w:rsid w:val="003F368A"/>
    <w:rsid w:val="003F3831"/>
    <w:rsid w:val="003F4AA0"/>
    <w:rsid w:val="003F4F9C"/>
    <w:rsid w:val="003F5951"/>
    <w:rsid w:val="003F5966"/>
    <w:rsid w:val="003F6234"/>
    <w:rsid w:val="003F6AF7"/>
    <w:rsid w:val="003F6DB7"/>
    <w:rsid w:val="00400409"/>
    <w:rsid w:val="00400AD8"/>
    <w:rsid w:val="00400C0F"/>
    <w:rsid w:val="0040200E"/>
    <w:rsid w:val="00402215"/>
    <w:rsid w:val="00402616"/>
    <w:rsid w:val="00403316"/>
    <w:rsid w:val="00403382"/>
    <w:rsid w:val="00403387"/>
    <w:rsid w:val="0040339C"/>
    <w:rsid w:val="00403580"/>
    <w:rsid w:val="00403FF7"/>
    <w:rsid w:val="0040438D"/>
    <w:rsid w:val="0040736D"/>
    <w:rsid w:val="0040737F"/>
    <w:rsid w:val="00407E9A"/>
    <w:rsid w:val="00410251"/>
    <w:rsid w:val="00410A53"/>
    <w:rsid w:val="00410C8B"/>
    <w:rsid w:val="00410E26"/>
    <w:rsid w:val="00410F7E"/>
    <w:rsid w:val="00410FCA"/>
    <w:rsid w:val="00411532"/>
    <w:rsid w:val="00411A7E"/>
    <w:rsid w:val="00412200"/>
    <w:rsid w:val="0041267B"/>
    <w:rsid w:val="00412955"/>
    <w:rsid w:val="00412C4A"/>
    <w:rsid w:val="00412D51"/>
    <w:rsid w:val="00414672"/>
    <w:rsid w:val="00414A5A"/>
    <w:rsid w:val="00414D30"/>
    <w:rsid w:val="004168FC"/>
    <w:rsid w:val="004173B9"/>
    <w:rsid w:val="00417574"/>
    <w:rsid w:val="00420F0A"/>
    <w:rsid w:val="00421396"/>
    <w:rsid w:val="00421A0E"/>
    <w:rsid w:val="00421A14"/>
    <w:rsid w:val="00422027"/>
    <w:rsid w:val="00423760"/>
    <w:rsid w:val="00423928"/>
    <w:rsid w:val="00425131"/>
    <w:rsid w:val="0042778D"/>
    <w:rsid w:val="0043042E"/>
    <w:rsid w:val="00430B71"/>
    <w:rsid w:val="0043176D"/>
    <w:rsid w:val="00431DA3"/>
    <w:rsid w:val="004320AB"/>
    <w:rsid w:val="004321BA"/>
    <w:rsid w:val="004322EA"/>
    <w:rsid w:val="004328DA"/>
    <w:rsid w:val="00433749"/>
    <w:rsid w:val="004344DA"/>
    <w:rsid w:val="00435783"/>
    <w:rsid w:val="00435D20"/>
    <w:rsid w:val="00435D4B"/>
    <w:rsid w:val="00437155"/>
    <w:rsid w:val="004374A6"/>
    <w:rsid w:val="0044079B"/>
    <w:rsid w:val="00440839"/>
    <w:rsid w:val="00440A84"/>
    <w:rsid w:val="00441C99"/>
    <w:rsid w:val="00442A81"/>
    <w:rsid w:val="00442C2E"/>
    <w:rsid w:val="00443394"/>
    <w:rsid w:val="004436BE"/>
    <w:rsid w:val="00443954"/>
    <w:rsid w:val="00444970"/>
    <w:rsid w:val="00445059"/>
    <w:rsid w:val="004457D2"/>
    <w:rsid w:val="00446C7B"/>
    <w:rsid w:val="00447203"/>
    <w:rsid w:val="004473B4"/>
    <w:rsid w:val="00450525"/>
    <w:rsid w:val="00450A4B"/>
    <w:rsid w:val="00452EB5"/>
    <w:rsid w:val="00454CE2"/>
    <w:rsid w:val="004550AC"/>
    <w:rsid w:val="004552A4"/>
    <w:rsid w:val="0045664D"/>
    <w:rsid w:val="0045709B"/>
    <w:rsid w:val="00457EDE"/>
    <w:rsid w:val="00460243"/>
    <w:rsid w:val="0046119E"/>
    <w:rsid w:val="004611A2"/>
    <w:rsid w:val="00462716"/>
    <w:rsid w:val="0046393B"/>
    <w:rsid w:val="00463CBC"/>
    <w:rsid w:val="004646FC"/>
    <w:rsid w:val="00464FAB"/>
    <w:rsid w:val="00464FFF"/>
    <w:rsid w:val="0046655D"/>
    <w:rsid w:val="0046712F"/>
    <w:rsid w:val="00471647"/>
    <w:rsid w:val="00473EAD"/>
    <w:rsid w:val="00473F93"/>
    <w:rsid w:val="00474C88"/>
    <w:rsid w:val="00474E95"/>
    <w:rsid w:val="0047703C"/>
    <w:rsid w:val="00477AD1"/>
    <w:rsid w:val="00477EA3"/>
    <w:rsid w:val="00477F5C"/>
    <w:rsid w:val="004807ED"/>
    <w:rsid w:val="0048149B"/>
    <w:rsid w:val="00481C0C"/>
    <w:rsid w:val="00481EDF"/>
    <w:rsid w:val="00482D46"/>
    <w:rsid w:val="00482E13"/>
    <w:rsid w:val="0048516D"/>
    <w:rsid w:val="0048519A"/>
    <w:rsid w:val="00485E65"/>
    <w:rsid w:val="0049038F"/>
    <w:rsid w:val="0049054C"/>
    <w:rsid w:val="00490BDC"/>
    <w:rsid w:val="00491395"/>
    <w:rsid w:val="00491EB6"/>
    <w:rsid w:val="004922DA"/>
    <w:rsid w:val="004925EF"/>
    <w:rsid w:val="004928B4"/>
    <w:rsid w:val="004937F1"/>
    <w:rsid w:val="00493885"/>
    <w:rsid w:val="00493BED"/>
    <w:rsid w:val="00493E43"/>
    <w:rsid w:val="00493E7D"/>
    <w:rsid w:val="0049409D"/>
    <w:rsid w:val="004940BE"/>
    <w:rsid w:val="0049441F"/>
    <w:rsid w:val="0049476C"/>
    <w:rsid w:val="00495114"/>
    <w:rsid w:val="00495AF2"/>
    <w:rsid w:val="0049751A"/>
    <w:rsid w:val="004979C0"/>
    <w:rsid w:val="00497ABB"/>
    <w:rsid w:val="00497DB3"/>
    <w:rsid w:val="004A02DD"/>
    <w:rsid w:val="004A172B"/>
    <w:rsid w:val="004A213A"/>
    <w:rsid w:val="004A4836"/>
    <w:rsid w:val="004A7431"/>
    <w:rsid w:val="004A7683"/>
    <w:rsid w:val="004B0F3A"/>
    <w:rsid w:val="004B10F2"/>
    <w:rsid w:val="004B171D"/>
    <w:rsid w:val="004B18A9"/>
    <w:rsid w:val="004B2362"/>
    <w:rsid w:val="004B3989"/>
    <w:rsid w:val="004B3F10"/>
    <w:rsid w:val="004B4436"/>
    <w:rsid w:val="004B4940"/>
    <w:rsid w:val="004B4D96"/>
    <w:rsid w:val="004B68D4"/>
    <w:rsid w:val="004B6A4D"/>
    <w:rsid w:val="004B786A"/>
    <w:rsid w:val="004C0241"/>
    <w:rsid w:val="004C0D07"/>
    <w:rsid w:val="004C1112"/>
    <w:rsid w:val="004C11B4"/>
    <w:rsid w:val="004C2353"/>
    <w:rsid w:val="004C3C2C"/>
    <w:rsid w:val="004C408F"/>
    <w:rsid w:val="004C4277"/>
    <w:rsid w:val="004C42D3"/>
    <w:rsid w:val="004C4900"/>
    <w:rsid w:val="004C5274"/>
    <w:rsid w:val="004C53BA"/>
    <w:rsid w:val="004C53FF"/>
    <w:rsid w:val="004C5DE4"/>
    <w:rsid w:val="004C76D7"/>
    <w:rsid w:val="004D17D3"/>
    <w:rsid w:val="004D18D7"/>
    <w:rsid w:val="004D1AF8"/>
    <w:rsid w:val="004D2192"/>
    <w:rsid w:val="004D2FF5"/>
    <w:rsid w:val="004D34BD"/>
    <w:rsid w:val="004D354C"/>
    <w:rsid w:val="004D5F53"/>
    <w:rsid w:val="004D625B"/>
    <w:rsid w:val="004D71E9"/>
    <w:rsid w:val="004D7667"/>
    <w:rsid w:val="004E2AC5"/>
    <w:rsid w:val="004E31BC"/>
    <w:rsid w:val="004E3B21"/>
    <w:rsid w:val="004E624E"/>
    <w:rsid w:val="004E6632"/>
    <w:rsid w:val="004F01C5"/>
    <w:rsid w:val="004F0FD9"/>
    <w:rsid w:val="004F16A8"/>
    <w:rsid w:val="004F3387"/>
    <w:rsid w:val="004F34B9"/>
    <w:rsid w:val="004F3B3A"/>
    <w:rsid w:val="004F3DE7"/>
    <w:rsid w:val="004F4524"/>
    <w:rsid w:val="004F4F75"/>
    <w:rsid w:val="004F52B4"/>
    <w:rsid w:val="004F618F"/>
    <w:rsid w:val="004F61C3"/>
    <w:rsid w:val="004F62F0"/>
    <w:rsid w:val="004F68FC"/>
    <w:rsid w:val="004F6E62"/>
    <w:rsid w:val="004F7341"/>
    <w:rsid w:val="004F7940"/>
    <w:rsid w:val="004F79F1"/>
    <w:rsid w:val="004F7E5B"/>
    <w:rsid w:val="00500DA5"/>
    <w:rsid w:val="005013FC"/>
    <w:rsid w:val="00501707"/>
    <w:rsid w:val="0050261B"/>
    <w:rsid w:val="0050324E"/>
    <w:rsid w:val="00504125"/>
    <w:rsid w:val="00504747"/>
    <w:rsid w:val="0050603D"/>
    <w:rsid w:val="005074B1"/>
    <w:rsid w:val="0051023B"/>
    <w:rsid w:val="00510410"/>
    <w:rsid w:val="00510706"/>
    <w:rsid w:val="005114B5"/>
    <w:rsid w:val="00511BED"/>
    <w:rsid w:val="0051339B"/>
    <w:rsid w:val="0051353A"/>
    <w:rsid w:val="00513650"/>
    <w:rsid w:val="00513C7F"/>
    <w:rsid w:val="0051445F"/>
    <w:rsid w:val="005148A3"/>
    <w:rsid w:val="00515A60"/>
    <w:rsid w:val="00516310"/>
    <w:rsid w:val="00516B46"/>
    <w:rsid w:val="00516CD8"/>
    <w:rsid w:val="00516E9B"/>
    <w:rsid w:val="00517A12"/>
    <w:rsid w:val="00517B39"/>
    <w:rsid w:val="00520080"/>
    <w:rsid w:val="00520205"/>
    <w:rsid w:val="005204F7"/>
    <w:rsid w:val="0052061C"/>
    <w:rsid w:val="00520E36"/>
    <w:rsid w:val="00521338"/>
    <w:rsid w:val="005217AF"/>
    <w:rsid w:val="00521E31"/>
    <w:rsid w:val="00521FC7"/>
    <w:rsid w:val="0052263D"/>
    <w:rsid w:val="00522A40"/>
    <w:rsid w:val="00522E0E"/>
    <w:rsid w:val="00523BB4"/>
    <w:rsid w:val="00523CB6"/>
    <w:rsid w:val="0052400A"/>
    <w:rsid w:val="00524DA6"/>
    <w:rsid w:val="00526104"/>
    <w:rsid w:val="0052625B"/>
    <w:rsid w:val="00530F3A"/>
    <w:rsid w:val="00531238"/>
    <w:rsid w:val="0053174E"/>
    <w:rsid w:val="0053189C"/>
    <w:rsid w:val="0053199F"/>
    <w:rsid w:val="00531B5C"/>
    <w:rsid w:val="00532D42"/>
    <w:rsid w:val="00532FF2"/>
    <w:rsid w:val="00533163"/>
    <w:rsid w:val="00533A9F"/>
    <w:rsid w:val="00534411"/>
    <w:rsid w:val="0053673A"/>
    <w:rsid w:val="005401CC"/>
    <w:rsid w:val="00540D81"/>
    <w:rsid w:val="005411C5"/>
    <w:rsid w:val="00541D96"/>
    <w:rsid w:val="0054200C"/>
    <w:rsid w:val="005421FA"/>
    <w:rsid w:val="005424A8"/>
    <w:rsid w:val="00543677"/>
    <w:rsid w:val="005437CC"/>
    <w:rsid w:val="00543C11"/>
    <w:rsid w:val="00543CCF"/>
    <w:rsid w:val="00544258"/>
    <w:rsid w:val="00544311"/>
    <w:rsid w:val="0054434A"/>
    <w:rsid w:val="00544A44"/>
    <w:rsid w:val="00544F06"/>
    <w:rsid w:val="0054508D"/>
    <w:rsid w:val="00545364"/>
    <w:rsid w:val="00545BB8"/>
    <w:rsid w:val="0054680D"/>
    <w:rsid w:val="00546DC2"/>
    <w:rsid w:val="00547557"/>
    <w:rsid w:val="0054758E"/>
    <w:rsid w:val="005518EA"/>
    <w:rsid w:val="00551C36"/>
    <w:rsid w:val="00551CBA"/>
    <w:rsid w:val="00552C8A"/>
    <w:rsid w:val="00552EC1"/>
    <w:rsid w:val="00553108"/>
    <w:rsid w:val="005539BB"/>
    <w:rsid w:val="00554201"/>
    <w:rsid w:val="00554568"/>
    <w:rsid w:val="005545CF"/>
    <w:rsid w:val="00554F53"/>
    <w:rsid w:val="00555CE3"/>
    <w:rsid w:val="00556DFA"/>
    <w:rsid w:val="00557896"/>
    <w:rsid w:val="00557D16"/>
    <w:rsid w:val="00560C00"/>
    <w:rsid w:val="00561127"/>
    <w:rsid w:val="0056128A"/>
    <w:rsid w:val="0056195C"/>
    <w:rsid w:val="00561BB7"/>
    <w:rsid w:val="00564263"/>
    <w:rsid w:val="0056487A"/>
    <w:rsid w:val="00564D1D"/>
    <w:rsid w:val="00565370"/>
    <w:rsid w:val="0056643A"/>
    <w:rsid w:val="00567A7D"/>
    <w:rsid w:val="00567B74"/>
    <w:rsid w:val="005700BA"/>
    <w:rsid w:val="005719D6"/>
    <w:rsid w:val="00571E3D"/>
    <w:rsid w:val="005722FA"/>
    <w:rsid w:val="00573399"/>
    <w:rsid w:val="00573EBD"/>
    <w:rsid w:val="00574992"/>
    <w:rsid w:val="00575FD1"/>
    <w:rsid w:val="0057697C"/>
    <w:rsid w:val="00576B28"/>
    <w:rsid w:val="00576CCE"/>
    <w:rsid w:val="00577714"/>
    <w:rsid w:val="00577A21"/>
    <w:rsid w:val="00577F12"/>
    <w:rsid w:val="00580777"/>
    <w:rsid w:val="00581400"/>
    <w:rsid w:val="0058159D"/>
    <w:rsid w:val="005831E0"/>
    <w:rsid w:val="00583AC7"/>
    <w:rsid w:val="00584DB6"/>
    <w:rsid w:val="0058569A"/>
    <w:rsid w:val="005862E4"/>
    <w:rsid w:val="00586FA4"/>
    <w:rsid w:val="005872E1"/>
    <w:rsid w:val="00587490"/>
    <w:rsid w:val="00587A7C"/>
    <w:rsid w:val="005900A5"/>
    <w:rsid w:val="00590223"/>
    <w:rsid w:val="005907D8"/>
    <w:rsid w:val="00590B77"/>
    <w:rsid w:val="00590E70"/>
    <w:rsid w:val="005915A9"/>
    <w:rsid w:val="00591F9E"/>
    <w:rsid w:val="005921CE"/>
    <w:rsid w:val="0059239A"/>
    <w:rsid w:val="005924E7"/>
    <w:rsid w:val="00592A26"/>
    <w:rsid w:val="00592A2C"/>
    <w:rsid w:val="005934A6"/>
    <w:rsid w:val="005938C6"/>
    <w:rsid w:val="00593B34"/>
    <w:rsid w:val="00593E64"/>
    <w:rsid w:val="00595050"/>
    <w:rsid w:val="00597B40"/>
    <w:rsid w:val="005A0119"/>
    <w:rsid w:val="005A0760"/>
    <w:rsid w:val="005A16E1"/>
    <w:rsid w:val="005A1C4D"/>
    <w:rsid w:val="005A4128"/>
    <w:rsid w:val="005A6013"/>
    <w:rsid w:val="005A6087"/>
    <w:rsid w:val="005A71E9"/>
    <w:rsid w:val="005A735A"/>
    <w:rsid w:val="005A7962"/>
    <w:rsid w:val="005B02FA"/>
    <w:rsid w:val="005B0EAB"/>
    <w:rsid w:val="005B1257"/>
    <w:rsid w:val="005B16BF"/>
    <w:rsid w:val="005B1951"/>
    <w:rsid w:val="005B264B"/>
    <w:rsid w:val="005B2FA1"/>
    <w:rsid w:val="005B5312"/>
    <w:rsid w:val="005B6206"/>
    <w:rsid w:val="005B6450"/>
    <w:rsid w:val="005B65AB"/>
    <w:rsid w:val="005B7F91"/>
    <w:rsid w:val="005C07C4"/>
    <w:rsid w:val="005C103F"/>
    <w:rsid w:val="005C12B0"/>
    <w:rsid w:val="005C346E"/>
    <w:rsid w:val="005C354F"/>
    <w:rsid w:val="005C4DB2"/>
    <w:rsid w:val="005C4DC1"/>
    <w:rsid w:val="005C4FC2"/>
    <w:rsid w:val="005C619C"/>
    <w:rsid w:val="005C76D3"/>
    <w:rsid w:val="005D00A3"/>
    <w:rsid w:val="005D04CA"/>
    <w:rsid w:val="005D1A77"/>
    <w:rsid w:val="005D3590"/>
    <w:rsid w:val="005D439E"/>
    <w:rsid w:val="005D4770"/>
    <w:rsid w:val="005D4EEB"/>
    <w:rsid w:val="005D52B8"/>
    <w:rsid w:val="005D5AA8"/>
    <w:rsid w:val="005D697F"/>
    <w:rsid w:val="005D6A6B"/>
    <w:rsid w:val="005D78BF"/>
    <w:rsid w:val="005E038A"/>
    <w:rsid w:val="005E18A9"/>
    <w:rsid w:val="005E1D11"/>
    <w:rsid w:val="005E2DB5"/>
    <w:rsid w:val="005E2E8E"/>
    <w:rsid w:val="005E4DC5"/>
    <w:rsid w:val="005E4DCA"/>
    <w:rsid w:val="005E4F05"/>
    <w:rsid w:val="005E4F8C"/>
    <w:rsid w:val="005E57BD"/>
    <w:rsid w:val="005E5B60"/>
    <w:rsid w:val="005E696F"/>
    <w:rsid w:val="005E7845"/>
    <w:rsid w:val="005E78C6"/>
    <w:rsid w:val="005E7A42"/>
    <w:rsid w:val="005E7AD8"/>
    <w:rsid w:val="005F1252"/>
    <w:rsid w:val="005F369D"/>
    <w:rsid w:val="005F3E75"/>
    <w:rsid w:val="005F5796"/>
    <w:rsid w:val="005F631A"/>
    <w:rsid w:val="005F6C20"/>
    <w:rsid w:val="005F71E6"/>
    <w:rsid w:val="0060013E"/>
    <w:rsid w:val="006002F4"/>
    <w:rsid w:val="00601600"/>
    <w:rsid w:val="00601629"/>
    <w:rsid w:val="006024CA"/>
    <w:rsid w:val="00602D0F"/>
    <w:rsid w:val="006037CD"/>
    <w:rsid w:val="00603FF6"/>
    <w:rsid w:val="006040D1"/>
    <w:rsid w:val="006048A1"/>
    <w:rsid w:val="00604D0E"/>
    <w:rsid w:val="006059A6"/>
    <w:rsid w:val="00605BD3"/>
    <w:rsid w:val="00606BF9"/>
    <w:rsid w:val="00607737"/>
    <w:rsid w:val="0061078B"/>
    <w:rsid w:val="006117B7"/>
    <w:rsid w:val="006121B3"/>
    <w:rsid w:val="0061424E"/>
    <w:rsid w:val="00614477"/>
    <w:rsid w:val="006144F0"/>
    <w:rsid w:val="00614C71"/>
    <w:rsid w:val="006155F5"/>
    <w:rsid w:val="00615C8D"/>
    <w:rsid w:val="0061616C"/>
    <w:rsid w:val="00617387"/>
    <w:rsid w:val="0061763D"/>
    <w:rsid w:val="00617C85"/>
    <w:rsid w:val="0062111C"/>
    <w:rsid w:val="00621998"/>
    <w:rsid w:val="00623013"/>
    <w:rsid w:val="00623A01"/>
    <w:rsid w:val="00624811"/>
    <w:rsid w:val="006252B1"/>
    <w:rsid w:val="0062576C"/>
    <w:rsid w:val="006258FF"/>
    <w:rsid w:val="00625B72"/>
    <w:rsid w:val="0062671D"/>
    <w:rsid w:val="00626B21"/>
    <w:rsid w:val="0062751B"/>
    <w:rsid w:val="00627CC2"/>
    <w:rsid w:val="00627EB9"/>
    <w:rsid w:val="00627F1E"/>
    <w:rsid w:val="00630284"/>
    <w:rsid w:val="0063057C"/>
    <w:rsid w:val="006309CE"/>
    <w:rsid w:val="00630E63"/>
    <w:rsid w:val="00630EEE"/>
    <w:rsid w:val="00631EEB"/>
    <w:rsid w:val="006320DD"/>
    <w:rsid w:val="0063285F"/>
    <w:rsid w:val="00632915"/>
    <w:rsid w:val="00633427"/>
    <w:rsid w:val="00634BCF"/>
    <w:rsid w:val="006359A4"/>
    <w:rsid w:val="00636525"/>
    <w:rsid w:val="00636673"/>
    <w:rsid w:val="00637421"/>
    <w:rsid w:val="0064180B"/>
    <w:rsid w:val="00641B88"/>
    <w:rsid w:val="00642A50"/>
    <w:rsid w:val="00644C72"/>
    <w:rsid w:val="00644CCC"/>
    <w:rsid w:val="00644FD0"/>
    <w:rsid w:val="00645447"/>
    <w:rsid w:val="00645B06"/>
    <w:rsid w:val="00645B54"/>
    <w:rsid w:val="00645FB9"/>
    <w:rsid w:val="00647A7D"/>
    <w:rsid w:val="00647AC4"/>
    <w:rsid w:val="00647EB9"/>
    <w:rsid w:val="00647EE1"/>
    <w:rsid w:val="0065011A"/>
    <w:rsid w:val="00650526"/>
    <w:rsid w:val="0065164B"/>
    <w:rsid w:val="00651D62"/>
    <w:rsid w:val="006520BD"/>
    <w:rsid w:val="00652A35"/>
    <w:rsid w:val="00655B5B"/>
    <w:rsid w:val="00656948"/>
    <w:rsid w:val="0066023F"/>
    <w:rsid w:val="00660BDA"/>
    <w:rsid w:val="0066292F"/>
    <w:rsid w:val="006629B8"/>
    <w:rsid w:val="00662D74"/>
    <w:rsid w:val="00663DA9"/>
    <w:rsid w:val="00664041"/>
    <w:rsid w:val="006647A2"/>
    <w:rsid w:val="0066608A"/>
    <w:rsid w:val="0067081A"/>
    <w:rsid w:val="00672CFD"/>
    <w:rsid w:val="006737F5"/>
    <w:rsid w:val="00673DF0"/>
    <w:rsid w:val="00673E45"/>
    <w:rsid w:val="00673F4E"/>
    <w:rsid w:val="00674DFF"/>
    <w:rsid w:val="00676C9D"/>
    <w:rsid w:val="00677C36"/>
    <w:rsid w:val="00677EA2"/>
    <w:rsid w:val="00680431"/>
    <w:rsid w:val="006807D1"/>
    <w:rsid w:val="00680FF2"/>
    <w:rsid w:val="00682072"/>
    <w:rsid w:val="00682C39"/>
    <w:rsid w:val="00683067"/>
    <w:rsid w:val="00683584"/>
    <w:rsid w:val="00683C18"/>
    <w:rsid w:val="006854D9"/>
    <w:rsid w:val="00685EB7"/>
    <w:rsid w:val="00686381"/>
    <w:rsid w:val="006866D6"/>
    <w:rsid w:val="006866F0"/>
    <w:rsid w:val="00686A0D"/>
    <w:rsid w:val="00686F8D"/>
    <w:rsid w:val="00687F4B"/>
    <w:rsid w:val="00690476"/>
    <w:rsid w:val="006917DB"/>
    <w:rsid w:val="006922EE"/>
    <w:rsid w:val="0069296D"/>
    <w:rsid w:val="00692CD8"/>
    <w:rsid w:val="006950AD"/>
    <w:rsid w:val="00695535"/>
    <w:rsid w:val="006965CD"/>
    <w:rsid w:val="00696DCA"/>
    <w:rsid w:val="0069772A"/>
    <w:rsid w:val="0069797D"/>
    <w:rsid w:val="00697BA5"/>
    <w:rsid w:val="006A0826"/>
    <w:rsid w:val="006A1149"/>
    <w:rsid w:val="006A1279"/>
    <w:rsid w:val="006A144C"/>
    <w:rsid w:val="006A1738"/>
    <w:rsid w:val="006A191D"/>
    <w:rsid w:val="006A1AD5"/>
    <w:rsid w:val="006A22D6"/>
    <w:rsid w:val="006A2ECC"/>
    <w:rsid w:val="006A3B0C"/>
    <w:rsid w:val="006A3B6A"/>
    <w:rsid w:val="006A3C15"/>
    <w:rsid w:val="006A3CF5"/>
    <w:rsid w:val="006A63E1"/>
    <w:rsid w:val="006A6D08"/>
    <w:rsid w:val="006A6F3A"/>
    <w:rsid w:val="006A7AF6"/>
    <w:rsid w:val="006A7B1D"/>
    <w:rsid w:val="006B092C"/>
    <w:rsid w:val="006B0B1F"/>
    <w:rsid w:val="006B1EE1"/>
    <w:rsid w:val="006B1FD0"/>
    <w:rsid w:val="006B3581"/>
    <w:rsid w:val="006B5AFE"/>
    <w:rsid w:val="006B5D3B"/>
    <w:rsid w:val="006B65E8"/>
    <w:rsid w:val="006B7DA1"/>
    <w:rsid w:val="006C04F0"/>
    <w:rsid w:val="006C13FF"/>
    <w:rsid w:val="006C1486"/>
    <w:rsid w:val="006C2258"/>
    <w:rsid w:val="006C5476"/>
    <w:rsid w:val="006C57CC"/>
    <w:rsid w:val="006C5AE1"/>
    <w:rsid w:val="006C6168"/>
    <w:rsid w:val="006C62BD"/>
    <w:rsid w:val="006C63F9"/>
    <w:rsid w:val="006C6459"/>
    <w:rsid w:val="006C7358"/>
    <w:rsid w:val="006D00A1"/>
    <w:rsid w:val="006D03C9"/>
    <w:rsid w:val="006D0616"/>
    <w:rsid w:val="006D069A"/>
    <w:rsid w:val="006D075E"/>
    <w:rsid w:val="006D15D3"/>
    <w:rsid w:val="006D28D4"/>
    <w:rsid w:val="006D2B4E"/>
    <w:rsid w:val="006D37F0"/>
    <w:rsid w:val="006D3B2E"/>
    <w:rsid w:val="006D3DAC"/>
    <w:rsid w:val="006D4172"/>
    <w:rsid w:val="006D4322"/>
    <w:rsid w:val="006D51F9"/>
    <w:rsid w:val="006D5271"/>
    <w:rsid w:val="006D5562"/>
    <w:rsid w:val="006D5C5C"/>
    <w:rsid w:val="006D65C2"/>
    <w:rsid w:val="006D6787"/>
    <w:rsid w:val="006D6D47"/>
    <w:rsid w:val="006D7999"/>
    <w:rsid w:val="006D7AB5"/>
    <w:rsid w:val="006D7ECA"/>
    <w:rsid w:val="006E026E"/>
    <w:rsid w:val="006E1644"/>
    <w:rsid w:val="006E2979"/>
    <w:rsid w:val="006E2EE9"/>
    <w:rsid w:val="006E2FCC"/>
    <w:rsid w:val="006E31E2"/>
    <w:rsid w:val="006E33FD"/>
    <w:rsid w:val="006E3712"/>
    <w:rsid w:val="006E3F7C"/>
    <w:rsid w:val="006E4658"/>
    <w:rsid w:val="006E4735"/>
    <w:rsid w:val="006E4D32"/>
    <w:rsid w:val="006E680E"/>
    <w:rsid w:val="006E7830"/>
    <w:rsid w:val="006F1B38"/>
    <w:rsid w:val="006F1DE3"/>
    <w:rsid w:val="006F3921"/>
    <w:rsid w:val="006F4282"/>
    <w:rsid w:val="006F5BE8"/>
    <w:rsid w:val="006F5BE9"/>
    <w:rsid w:val="006F5E93"/>
    <w:rsid w:val="006F6E9B"/>
    <w:rsid w:val="006F6FEA"/>
    <w:rsid w:val="006F7B9B"/>
    <w:rsid w:val="00700418"/>
    <w:rsid w:val="0070137B"/>
    <w:rsid w:val="007013F4"/>
    <w:rsid w:val="00701FF2"/>
    <w:rsid w:val="0070295F"/>
    <w:rsid w:val="0070320C"/>
    <w:rsid w:val="007033CC"/>
    <w:rsid w:val="00703C1A"/>
    <w:rsid w:val="007048C1"/>
    <w:rsid w:val="00704C54"/>
    <w:rsid w:val="00705744"/>
    <w:rsid w:val="0070692D"/>
    <w:rsid w:val="00706B72"/>
    <w:rsid w:val="007070DC"/>
    <w:rsid w:val="0071056E"/>
    <w:rsid w:val="00710B4E"/>
    <w:rsid w:val="007111BA"/>
    <w:rsid w:val="0071184D"/>
    <w:rsid w:val="00711889"/>
    <w:rsid w:val="00711D5D"/>
    <w:rsid w:val="00712070"/>
    <w:rsid w:val="007125C8"/>
    <w:rsid w:val="00713098"/>
    <w:rsid w:val="00713BB2"/>
    <w:rsid w:val="00713CB8"/>
    <w:rsid w:val="00713DDD"/>
    <w:rsid w:val="00713FB3"/>
    <w:rsid w:val="00714E78"/>
    <w:rsid w:val="00717383"/>
    <w:rsid w:val="0071745D"/>
    <w:rsid w:val="00722701"/>
    <w:rsid w:val="0072281A"/>
    <w:rsid w:val="007239A4"/>
    <w:rsid w:val="007241EB"/>
    <w:rsid w:val="00724A5A"/>
    <w:rsid w:val="00724F3A"/>
    <w:rsid w:val="00725D8F"/>
    <w:rsid w:val="00726142"/>
    <w:rsid w:val="007267B8"/>
    <w:rsid w:val="00727B12"/>
    <w:rsid w:val="007301E0"/>
    <w:rsid w:val="007318AD"/>
    <w:rsid w:val="00731968"/>
    <w:rsid w:val="00731F01"/>
    <w:rsid w:val="007326BB"/>
    <w:rsid w:val="00734412"/>
    <w:rsid w:val="0073487A"/>
    <w:rsid w:val="00734AED"/>
    <w:rsid w:val="00734EE7"/>
    <w:rsid w:val="007356D1"/>
    <w:rsid w:val="007360A2"/>
    <w:rsid w:val="0073626F"/>
    <w:rsid w:val="00736E9A"/>
    <w:rsid w:val="00737608"/>
    <w:rsid w:val="00741E24"/>
    <w:rsid w:val="00742762"/>
    <w:rsid w:val="007432D5"/>
    <w:rsid w:val="0074339A"/>
    <w:rsid w:val="00743927"/>
    <w:rsid w:val="0074394D"/>
    <w:rsid w:val="00743A88"/>
    <w:rsid w:val="00743D39"/>
    <w:rsid w:val="007463B8"/>
    <w:rsid w:val="00746BD5"/>
    <w:rsid w:val="007471F1"/>
    <w:rsid w:val="0074782D"/>
    <w:rsid w:val="00750564"/>
    <w:rsid w:val="0075057A"/>
    <w:rsid w:val="00750868"/>
    <w:rsid w:val="00752917"/>
    <w:rsid w:val="00752C18"/>
    <w:rsid w:val="00752D73"/>
    <w:rsid w:val="00753190"/>
    <w:rsid w:val="007534E0"/>
    <w:rsid w:val="007537F8"/>
    <w:rsid w:val="007543DE"/>
    <w:rsid w:val="007549FE"/>
    <w:rsid w:val="00755661"/>
    <w:rsid w:val="0075569A"/>
    <w:rsid w:val="007558C0"/>
    <w:rsid w:val="00755F56"/>
    <w:rsid w:val="00756349"/>
    <w:rsid w:val="007572DE"/>
    <w:rsid w:val="00757A1D"/>
    <w:rsid w:val="0076014F"/>
    <w:rsid w:val="00760DDE"/>
    <w:rsid w:val="00762E54"/>
    <w:rsid w:val="00762F53"/>
    <w:rsid w:val="007643B1"/>
    <w:rsid w:val="007650EC"/>
    <w:rsid w:val="00765184"/>
    <w:rsid w:val="00765276"/>
    <w:rsid w:val="00766D54"/>
    <w:rsid w:val="00771990"/>
    <w:rsid w:val="007722ED"/>
    <w:rsid w:val="00772438"/>
    <w:rsid w:val="0077268D"/>
    <w:rsid w:val="007730D0"/>
    <w:rsid w:val="00773638"/>
    <w:rsid w:val="00773A1B"/>
    <w:rsid w:val="00773B5F"/>
    <w:rsid w:val="0077457A"/>
    <w:rsid w:val="00775DE1"/>
    <w:rsid w:val="0077636D"/>
    <w:rsid w:val="00776876"/>
    <w:rsid w:val="00776D80"/>
    <w:rsid w:val="00777368"/>
    <w:rsid w:val="00777D3D"/>
    <w:rsid w:val="00780706"/>
    <w:rsid w:val="00783435"/>
    <w:rsid w:val="00783EC3"/>
    <w:rsid w:val="0078553F"/>
    <w:rsid w:val="00785DB9"/>
    <w:rsid w:val="00786A85"/>
    <w:rsid w:val="00786EFB"/>
    <w:rsid w:val="00786FB4"/>
    <w:rsid w:val="0078730F"/>
    <w:rsid w:val="007900BB"/>
    <w:rsid w:val="007900FC"/>
    <w:rsid w:val="00791B3F"/>
    <w:rsid w:val="00792373"/>
    <w:rsid w:val="00792FF6"/>
    <w:rsid w:val="00793383"/>
    <w:rsid w:val="00793E97"/>
    <w:rsid w:val="0079512C"/>
    <w:rsid w:val="007959AA"/>
    <w:rsid w:val="00797502"/>
    <w:rsid w:val="0079774E"/>
    <w:rsid w:val="00797B76"/>
    <w:rsid w:val="00797EAD"/>
    <w:rsid w:val="007A0CB7"/>
    <w:rsid w:val="007A1C85"/>
    <w:rsid w:val="007A2513"/>
    <w:rsid w:val="007A3298"/>
    <w:rsid w:val="007A3AD0"/>
    <w:rsid w:val="007A3E2E"/>
    <w:rsid w:val="007A4F27"/>
    <w:rsid w:val="007A562E"/>
    <w:rsid w:val="007A6375"/>
    <w:rsid w:val="007A64A0"/>
    <w:rsid w:val="007B0B17"/>
    <w:rsid w:val="007B0B68"/>
    <w:rsid w:val="007B1AC0"/>
    <w:rsid w:val="007B26FC"/>
    <w:rsid w:val="007B27AE"/>
    <w:rsid w:val="007B3705"/>
    <w:rsid w:val="007B3A6E"/>
    <w:rsid w:val="007B3B92"/>
    <w:rsid w:val="007B3E9E"/>
    <w:rsid w:val="007B57F4"/>
    <w:rsid w:val="007B5B76"/>
    <w:rsid w:val="007B78F6"/>
    <w:rsid w:val="007C00E5"/>
    <w:rsid w:val="007C0374"/>
    <w:rsid w:val="007C0911"/>
    <w:rsid w:val="007C0DCF"/>
    <w:rsid w:val="007C21B9"/>
    <w:rsid w:val="007C248D"/>
    <w:rsid w:val="007C36C9"/>
    <w:rsid w:val="007C37CA"/>
    <w:rsid w:val="007C45E8"/>
    <w:rsid w:val="007C460B"/>
    <w:rsid w:val="007C48E7"/>
    <w:rsid w:val="007C4BFF"/>
    <w:rsid w:val="007C55A1"/>
    <w:rsid w:val="007C61E7"/>
    <w:rsid w:val="007C654E"/>
    <w:rsid w:val="007C76BD"/>
    <w:rsid w:val="007C77CD"/>
    <w:rsid w:val="007C7931"/>
    <w:rsid w:val="007D110A"/>
    <w:rsid w:val="007D181B"/>
    <w:rsid w:val="007D18AA"/>
    <w:rsid w:val="007D1B5F"/>
    <w:rsid w:val="007D28D4"/>
    <w:rsid w:val="007D4293"/>
    <w:rsid w:val="007D4484"/>
    <w:rsid w:val="007D4779"/>
    <w:rsid w:val="007D4D62"/>
    <w:rsid w:val="007D5D90"/>
    <w:rsid w:val="007D5DCD"/>
    <w:rsid w:val="007D658B"/>
    <w:rsid w:val="007D68C2"/>
    <w:rsid w:val="007D6A8B"/>
    <w:rsid w:val="007D6B42"/>
    <w:rsid w:val="007D71E5"/>
    <w:rsid w:val="007D7826"/>
    <w:rsid w:val="007E11C8"/>
    <w:rsid w:val="007E1271"/>
    <w:rsid w:val="007E1A5A"/>
    <w:rsid w:val="007E1F4F"/>
    <w:rsid w:val="007E2019"/>
    <w:rsid w:val="007E2116"/>
    <w:rsid w:val="007E2177"/>
    <w:rsid w:val="007E2398"/>
    <w:rsid w:val="007E2DE0"/>
    <w:rsid w:val="007E3676"/>
    <w:rsid w:val="007E43D4"/>
    <w:rsid w:val="007E79F2"/>
    <w:rsid w:val="007F000D"/>
    <w:rsid w:val="007F0326"/>
    <w:rsid w:val="007F0372"/>
    <w:rsid w:val="007F19B2"/>
    <w:rsid w:val="007F284C"/>
    <w:rsid w:val="007F3431"/>
    <w:rsid w:val="007F41C5"/>
    <w:rsid w:val="007F439A"/>
    <w:rsid w:val="007F45B7"/>
    <w:rsid w:val="007F4702"/>
    <w:rsid w:val="007F4F61"/>
    <w:rsid w:val="007F58CA"/>
    <w:rsid w:val="007F6869"/>
    <w:rsid w:val="007F7C75"/>
    <w:rsid w:val="008001F6"/>
    <w:rsid w:val="00801BF5"/>
    <w:rsid w:val="00803067"/>
    <w:rsid w:val="0080323A"/>
    <w:rsid w:val="00803EA2"/>
    <w:rsid w:val="008040C3"/>
    <w:rsid w:val="008041A2"/>
    <w:rsid w:val="00807D50"/>
    <w:rsid w:val="00807D72"/>
    <w:rsid w:val="0081003D"/>
    <w:rsid w:val="00810EB0"/>
    <w:rsid w:val="0081264B"/>
    <w:rsid w:val="00812933"/>
    <w:rsid w:val="0081368F"/>
    <w:rsid w:val="00813D01"/>
    <w:rsid w:val="008144AD"/>
    <w:rsid w:val="00814A69"/>
    <w:rsid w:val="008151EE"/>
    <w:rsid w:val="00815636"/>
    <w:rsid w:val="00815E05"/>
    <w:rsid w:val="00815FB4"/>
    <w:rsid w:val="00820230"/>
    <w:rsid w:val="00821C26"/>
    <w:rsid w:val="00821FDE"/>
    <w:rsid w:val="00823E24"/>
    <w:rsid w:val="00824743"/>
    <w:rsid w:val="00824876"/>
    <w:rsid w:val="00824A29"/>
    <w:rsid w:val="00824A99"/>
    <w:rsid w:val="00826452"/>
    <w:rsid w:val="008266C6"/>
    <w:rsid w:val="00826B0C"/>
    <w:rsid w:val="00827618"/>
    <w:rsid w:val="00827CBD"/>
    <w:rsid w:val="008303CF"/>
    <w:rsid w:val="00830ED8"/>
    <w:rsid w:val="008310AC"/>
    <w:rsid w:val="00831590"/>
    <w:rsid w:val="00831B8D"/>
    <w:rsid w:val="00831D55"/>
    <w:rsid w:val="0083215B"/>
    <w:rsid w:val="00832389"/>
    <w:rsid w:val="00833686"/>
    <w:rsid w:val="00834162"/>
    <w:rsid w:val="0083425E"/>
    <w:rsid w:val="00834369"/>
    <w:rsid w:val="0083521A"/>
    <w:rsid w:val="0083559D"/>
    <w:rsid w:val="00835638"/>
    <w:rsid w:val="00836424"/>
    <w:rsid w:val="008366AE"/>
    <w:rsid w:val="00836F72"/>
    <w:rsid w:val="008405D6"/>
    <w:rsid w:val="0084109A"/>
    <w:rsid w:val="008432A4"/>
    <w:rsid w:val="00843D8F"/>
    <w:rsid w:val="00845575"/>
    <w:rsid w:val="0084676C"/>
    <w:rsid w:val="00847DE0"/>
    <w:rsid w:val="0085033F"/>
    <w:rsid w:val="00853F3D"/>
    <w:rsid w:val="008544D2"/>
    <w:rsid w:val="0085494D"/>
    <w:rsid w:val="00854B35"/>
    <w:rsid w:val="00855035"/>
    <w:rsid w:val="00855756"/>
    <w:rsid w:val="00855FA1"/>
    <w:rsid w:val="00856027"/>
    <w:rsid w:val="00856A9D"/>
    <w:rsid w:val="0085725C"/>
    <w:rsid w:val="008574D3"/>
    <w:rsid w:val="00857B0C"/>
    <w:rsid w:val="00857C61"/>
    <w:rsid w:val="00860185"/>
    <w:rsid w:val="008605CE"/>
    <w:rsid w:val="008609D1"/>
    <w:rsid w:val="00860F1F"/>
    <w:rsid w:val="00861096"/>
    <w:rsid w:val="00861750"/>
    <w:rsid w:val="00861EBE"/>
    <w:rsid w:val="00863C9B"/>
    <w:rsid w:val="00863DAE"/>
    <w:rsid w:val="008652F5"/>
    <w:rsid w:val="008655BC"/>
    <w:rsid w:val="008659A8"/>
    <w:rsid w:val="00867BE8"/>
    <w:rsid w:val="00870110"/>
    <w:rsid w:val="0087016C"/>
    <w:rsid w:val="00871FFF"/>
    <w:rsid w:val="00873097"/>
    <w:rsid w:val="00873343"/>
    <w:rsid w:val="00873357"/>
    <w:rsid w:val="00873927"/>
    <w:rsid w:val="008748EB"/>
    <w:rsid w:val="00874BEE"/>
    <w:rsid w:val="00875E2D"/>
    <w:rsid w:val="00876117"/>
    <w:rsid w:val="00876AFC"/>
    <w:rsid w:val="00876CB0"/>
    <w:rsid w:val="00880719"/>
    <w:rsid w:val="0088141D"/>
    <w:rsid w:val="008815F7"/>
    <w:rsid w:val="00882B57"/>
    <w:rsid w:val="00882D9F"/>
    <w:rsid w:val="00884AA6"/>
    <w:rsid w:val="00885167"/>
    <w:rsid w:val="00885CD2"/>
    <w:rsid w:val="00885F8F"/>
    <w:rsid w:val="0088632D"/>
    <w:rsid w:val="008868BF"/>
    <w:rsid w:val="00887AC4"/>
    <w:rsid w:val="00887D80"/>
    <w:rsid w:val="00887DD3"/>
    <w:rsid w:val="00890674"/>
    <w:rsid w:val="00890B27"/>
    <w:rsid w:val="008910B2"/>
    <w:rsid w:val="00894CA6"/>
    <w:rsid w:val="00894FA1"/>
    <w:rsid w:val="00896779"/>
    <w:rsid w:val="00896E06"/>
    <w:rsid w:val="008A1B0F"/>
    <w:rsid w:val="008A1C61"/>
    <w:rsid w:val="008A1E76"/>
    <w:rsid w:val="008A2D1F"/>
    <w:rsid w:val="008A343D"/>
    <w:rsid w:val="008A3797"/>
    <w:rsid w:val="008A3ED2"/>
    <w:rsid w:val="008A6398"/>
    <w:rsid w:val="008A7FC9"/>
    <w:rsid w:val="008B0FFB"/>
    <w:rsid w:val="008B1080"/>
    <w:rsid w:val="008B14CF"/>
    <w:rsid w:val="008B17B8"/>
    <w:rsid w:val="008B1F95"/>
    <w:rsid w:val="008B2B8F"/>
    <w:rsid w:val="008B3A85"/>
    <w:rsid w:val="008B40AF"/>
    <w:rsid w:val="008B4898"/>
    <w:rsid w:val="008B4D45"/>
    <w:rsid w:val="008B65AC"/>
    <w:rsid w:val="008B720A"/>
    <w:rsid w:val="008B752D"/>
    <w:rsid w:val="008B7BC6"/>
    <w:rsid w:val="008C004C"/>
    <w:rsid w:val="008C0FEE"/>
    <w:rsid w:val="008C1714"/>
    <w:rsid w:val="008C1E9E"/>
    <w:rsid w:val="008C28F2"/>
    <w:rsid w:val="008C2F56"/>
    <w:rsid w:val="008C65D7"/>
    <w:rsid w:val="008C6D2C"/>
    <w:rsid w:val="008C6FD4"/>
    <w:rsid w:val="008C7F80"/>
    <w:rsid w:val="008C7FDF"/>
    <w:rsid w:val="008D0D37"/>
    <w:rsid w:val="008D13D3"/>
    <w:rsid w:val="008D13EB"/>
    <w:rsid w:val="008D16B5"/>
    <w:rsid w:val="008D1CF2"/>
    <w:rsid w:val="008D36D8"/>
    <w:rsid w:val="008D4AD0"/>
    <w:rsid w:val="008D4FC1"/>
    <w:rsid w:val="008D51BB"/>
    <w:rsid w:val="008D553D"/>
    <w:rsid w:val="008D6CC4"/>
    <w:rsid w:val="008D6F23"/>
    <w:rsid w:val="008D757E"/>
    <w:rsid w:val="008E0833"/>
    <w:rsid w:val="008E1086"/>
    <w:rsid w:val="008E1904"/>
    <w:rsid w:val="008E2821"/>
    <w:rsid w:val="008E2CC8"/>
    <w:rsid w:val="008E3626"/>
    <w:rsid w:val="008E5A69"/>
    <w:rsid w:val="008E6884"/>
    <w:rsid w:val="008E77AC"/>
    <w:rsid w:val="008F03CC"/>
    <w:rsid w:val="008F05FE"/>
    <w:rsid w:val="008F0998"/>
    <w:rsid w:val="008F0B93"/>
    <w:rsid w:val="008F0FE3"/>
    <w:rsid w:val="008F130F"/>
    <w:rsid w:val="008F27D9"/>
    <w:rsid w:val="008F29C6"/>
    <w:rsid w:val="008F45B2"/>
    <w:rsid w:val="008F5116"/>
    <w:rsid w:val="008F5476"/>
    <w:rsid w:val="008F69E9"/>
    <w:rsid w:val="008F754B"/>
    <w:rsid w:val="00900C6B"/>
    <w:rsid w:val="00901A5B"/>
    <w:rsid w:val="00902A1D"/>
    <w:rsid w:val="009044C4"/>
    <w:rsid w:val="00904739"/>
    <w:rsid w:val="0090634D"/>
    <w:rsid w:val="00906501"/>
    <w:rsid w:val="0090671F"/>
    <w:rsid w:val="009067CB"/>
    <w:rsid w:val="00906C42"/>
    <w:rsid w:val="00907DFC"/>
    <w:rsid w:val="00910511"/>
    <w:rsid w:val="0091051A"/>
    <w:rsid w:val="00910628"/>
    <w:rsid w:val="00910758"/>
    <w:rsid w:val="00911D16"/>
    <w:rsid w:val="0091314E"/>
    <w:rsid w:val="0091322B"/>
    <w:rsid w:val="0091323D"/>
    <w:rsid w:val="0091341A"/>
    <w:rsid w:val="00913B99"/>
    <w:rsid w:val="00915399"/>
    <w:rsid w:val="00915C39"/>
    <w:rsid w:val="00916408"/>
    <w:rsid w:val="0091642E"/>
    <w:rsid w:val="00917070"/>
    <w:rsid w:val="009174CF"/>
    <w:rsid w:val="00917B03"/>
    <w:rsid w:val="009206B3"/>
    <w:rsid w:val="009213A0"/>
    <w:rsid w:val="00922FD7"/>
    <w:rsid w:val="0092358A"/>
    <w:rsid w:val="00923CB2"/>
    <w:rsid w:val="00924114"/>
    <w:rsid w:val="00924350"/>
    <w:rsid w:val="00924562"/>
    <w:rsid w:val="009251E7"/>
    <w:rsid w:val="009258EE"/>
    <w:rsid w:val="00926036"/>
    <w:rsid w:val="00926C05"/>
    <w:rsid w:val="0092724C"/>
    <w:rsid w:val="00927B64"/>
    <w:rsid w:val="00927C97"/>
    <w:rsid w:val="009304C4"/>
    <w:rsid w:val="00930882"/>
    <w:rsid w:val="00931482"/>
    <w:rsid w:val="00931C79"/>
    <w:rsid w:val="009324A4"/>
    <w:rsid w:val="00932DA0"/>
    <w:rsid w:val="009346B6"/>
    <w:rsid w:val="0093508D"/>
    <w:rsid w:val="0093604B"/>
    <w:rsid w:val="00936AB9"/>
    <w:rsid w:val="00936D3B"/>
    <w:rsid w:val="00940CBD"/>
    <w:rsid w:val="00941FC4"/>
    <w:rsid w:val="009421B0"/>
    <w:rsid w:val="00942A8F"/>
    <w:rsid w:val="00942B09"/>
    <w:rsid w:val="00943049"/>
    <w:rsid w:val="0094382E"/>
    <w:rsid w:val="00943B03"/>
    <w:rsid w:val="00944058"/>
    <w:rsid w:val="00944A25"/>
    <w:rsid w:val="009456DD"/>
    <w:rsid w:val="0094579A"/>
    <w:rsid w:val="00946525"/>
    <w:rsid w:val="00946E2B"/>
    <w:rsid w:val="00947201"/>
    <w:rsid w:val="009500C4"/>
    <w:rsid w:val="009508B3"/>
    <w:rsid w:val="009519CE"/>
    <w:rsid w:val="0095208D"/>
    <w:rsid w:val="00952574"/>
    <w:rsid w:val="00953CF8"/>
    <w:rsid w:val="00953D8F"/>
    <w:rsid w:val="009550DC"/>
    <w:rsid w:val="0095515B"/>
    <w:rsid w:val="00955244"/>
    <w:rsid w:val="00955929"/>
    <w:rsid w:val="00955B91"/>
    <w:rsid w:val="00956001"/>
    <w:rsid w:val="00956597"/>
    <w:rsid w:val="009569D3"/>
    <w:rsid w:val="00956BAD"/>
    <w:rsid w:val="00957768"/>
    <w:rsid w:val="00957975"/>
    <w:rsid w:val="00957CA6"/>
    <w:rsid w:val="00960C07"/>
    <w:rsid w:val="00960D5A"/>
    <w:rsid w:val="00961DB1"/>
    <w:rsid w:val="0096391E"/>
    <w:rsid w:val="00964FEF"/>
    <w:rsid w:val="00965582"/>
    <w:rsid w:val="009661C8"/>
    <w:rsid w:val="009667DC"/>
    <w:rsid w:val="00966BC7"/>
    <w:rsid w:val="00967851"/>
    <w:rsid w:val="0096792A"/>
    <w:rsid w:val="00967FD1"/>
    <w:rsid w:val="009707F5"/>
    <w:rsid w:val="00971500"/>
    <w:rsid w:val="00972FE6"/>
    <w:rsid w:val="009731CE"/>
    <w:rsid w:val="00973962"/>
    <w:rsid w:val="0097529A"/>
    <w:rsid w:val="00975861"/>
    <w:rsid w:val="009766EB"/>
    <w:rsid w:val="00976AF6"/>
    <w:rsid w:val="009774DA"/>
    <w:rsid w:val="00977F7E"/>
    <w:rsid w:val="00980833"/>
    <w:rsid w:val="00981511"/>
    <w:rsid w:val="0098168A"/>
    <w:rsid w:val="009827E8"/>
    <w:rsid w:val="00982963"/>
    <w:rsid w:val="00982E00"/>
    <w:rsid w:val="0098328E"/>
    <w:rsid w:val="00983A2C"/>
    <w:rsid w:val="00984316"/>
    <w:rsid w:val="00984B17"/>
    <w:rsid w:val="00984E4F"/>
    <w:rsid w:val="00986DAD"/>
    <w:rsid w:val="009879DA"/>
    <w:rsid w:val="00987F71"/>
    <w:rsid w:val="00991F19"/>
    <w:rsid w:val="009926E5"/>
    <w:rsid w:val="00992CA4"/>
    <w:rsid w:val="00992DC1"/>
    <w:rsid w:val="00993BC2"/>
    <w:rsid w:val="00993CE5"/>
    <w:rsid w:val="009951B6"/>
    <w:rsid w:val="00995C8F"/>
    <w:rsid w:val="009963EB"/>
    <w:rsid w:val="009965C5"/>
    <w:rsid w:val="00996924"/>
    <w:rsid w:val="009A0819"/>
    <w:rsid w:val="009A17D5"/>
    <w:rsid w:val="009A190D"/>
    <w:rsid w:val="009A2253"/>
    <w:rsid w:val="009A274A"/>
    <w:rsid w:val="009A2A76"/>
    <w:rsid w:val="009A4D4A"/>
    <w:rsid w:val="009A4F61"/>
    <w:rsid w:val="009A636D"/>
    <w:rsid w:val="009A6495"/>
    <w:rsid w:val="009A6725"/>
    <w:rsid w:val="009A76D5"/>
    <w:rsid w:val="009A790A"/>
    <w:rsid w:val="009A7E71"/>
    <w:rsid w:val="009B0246"/>
    <w:rsid w:val="009B0265"/>
    <w:rsid w:val="009B026F"/>
    <w:rsid w:val="009B119F"/>
    <w:rsid w:val="009B154A"/>
    <w:rsid w:val="009B2C01"/>
    <w:rsid w:val="009B3B22"/>
    <w:rsid w:val="009B4DB5"/>
    <w:rsid w:val="009B5C5B"/>
    <w:rsid w:val="009B613F"/>
    <w:rsid w:val="009B66B1"/>
    <w:rsid w:val="009B746F"/>
    <w:rsid w:val="009B78F5"/>
    <w:rsid w:val="009C05C8"/>
    <w:rsid w:val="009C157D"/>
    <w:rsid w:val="009C1DA9"/>
    <w:rsid w:val="009C1EC0"/>
    <w:rsid w:val="009C4606"/>
    <w:rsid w:val="009C5F98"/>
    <w:rsid w:val="009C7C75"/>
    <w:rsid w:val="009D1B5A"/>
    <w:rsid w:val="009D2534"/>
    <w:rsid w:val="009D2DCB"/>
    <w:rsid w:val="009D43F1"/>
    <w:rsid w:val="009D4615"/>
    <w:rsid w:val="009D5965"/>
    <w:rsid w:val="009D67DB"/>
    <w:rsid w:val="009D6808"/>
    <w:rsid w:val="009D6CC2"/>
    <w:rsid w:val="009D6D06"/>
    <w:rsid w:val="009D7BA5"/>
    <w:rsid w:val="009E00D6"/>
    <w:rsid w:val="009E06C2"/>
    <w:rsid w:val="009E098A"/>
    <w:rsid w:val="009E0B90"/>
    <w:rsid w:val="009E2488"/>
    <w:rsid w:val="009E40F5"/>
    <w:rsid w:val="009E4476"/>
    <w:rsid w:val="009E458A"/>
    <w:rsid w:val="009E45CD"/>
    <w:rsid w:val="009E47D9"/>
    <w:rsid w:val="009E6384"/>
    <w:rsid w:val="009E648E"/>
    <w:rsid w:val="009E7A8B"/>
    <w:rsid w:val="009E7D8E"/>
    <w:rsid w:val="009F01DC"/>
    <w:rsid w:val="009F1CE9"/>
    <w:rsid w:val="009F1F3F"/>
    <w:rsid w:val="009F2724"/>
    <w:rsid w:val="009F3805"/>
    <w:rsid w:val="009F3A45"/>
    <w:rsid w:val="009F438A"/>
    <w:rsid w:val="009F43E1"/>
    <w:rsid w:val="009F481F"/>
    <w:rsid w:val="009F4937"/>
    <w:rsid w:val="009F5EC1"/>
    <w:rsid w:val="009F6270"/>
    <w:rsid w:val="009F65E6"/>
    <w:rsid w:val="009F683B"/>
    <w:rsid w:val="009F78C3"/>
    <w:rsid w:val="00A0086C"/>
    <w:rsid w:val="00A00A89"/>
    <w:rsid w:val="00A01C8D"/>
    <w:rsid w:val="00A023E9"/>
    <w:rsid w:val="00A02428"/>
    <w:rsid w:val="00A02E41"/>
    <w:rsid w:val="00A03CDA"/>
    <w:rsid w:val="00A0417A"/>
    <w:rsid w:val="00A044E9"/>
    <w:rsid w:val="00A052FD"/>
    <w:rsid w:val="00A0546D"/>
    <w:rsid w:val="00A058D6"/>
    <w:rsid w:val="00A0590B"/>
    <w:rsid w:val="00A063AA"/>
    <w:rsid w:val="00A0685A"/>
    <w:rsid w:val="00A107C4"/>
    <w:rsid w:val="00A108E5"/>
    <w:rsid w:val="00A10ECA"/>
    <w:rsid w:val="00A1195C"/>
    <w:rsid w:val="00A122DF"/>
    <w:rsid w:val="00A1255B"/>
    <w:rsid w:val="00A13E3A"/>
    <w:rsid w:val="00A1496B"/>
    <w:rsid w:val="00A14C06"/>
    <w:rsid w:val="00A15A9B"/>
    <w:rsid w:val="00A15DD4"/>
    <w:rsid w:val="00A166B2"/>
    <w:rsid w:val="00A16D6A"/>
    <w:rsid w:val="00A171E9"/>
    <w:rsid w:val="00A1781F"/>
    <w:rsid w:val="00A20660"/>
    <w:rsid w:val="00A23153"/>
    <w:rsid w:val="00A2447A"/>
    <w:rsid w:val="00A248ED"/>
    <w:rsid w:val="00A255BA"/>
    <w:rsid w:val="00A25FA1"/>
    <w:rsid w:val="00A2675C"/>
    <w:rsid w:val="00A27C6F"/>
    <w:rsid w:val="00A302B6"/>
    <w:rsid w:val="00A31117"/>
    <w:rsid w:val="00A31A77"/>
    <w:rsid w:val="00A32056"/>
    <w:rsid w:val="00A3212F"/>
    <w:rsid w:val="00A33736"/>
    <w:rsid w:val="00A33D5E"/>
    <w:rsid w:val="00A33DAD"/>
    <w:rsid w:val="00A3467A"/>
    <w:rsid w:val="00A347E3"/>
    <w:rsid w:val="00A34826"/>
    <w:rsid w:val="00A36415"/>
    <w:rsid w:val="00A40323"/>
    <w:rsid w:val="00A403AC"/>
    <w:rsid w:val="00A41A78"/>
    <w:rsid w:val="00A42DC1"/>
    <w:rsid w:val="00A443C0"/>
    <w:rsid w:val="00A468C5"/>
    <w:rsid w:val="00A4755C"/>
    <w:rsid w:val="00A47F50"/>
    <w:rsid w:val="00A502DC"/>
    <w:rsid w:val="00A504A2"/>
    <w:rsid w:val="00A50642"/>
    <w:rsid w:val="00A50AD5"/>
    <w:rsid w:val="00A513E0"/>
    <w:rsid w:val="00A52312"/>
    <w:rsid w:val="00A526F0"/>
    <w:rsid w:val="00A52CE7"/>
    <w:rsid w:val="00A5328D"/>
    <w:rsid w:val="00A534FC"/>
    <w:rsid w:val="00A53691"/>
    <w:rsid w:val="00A5374D"/>
    <w:rsid w:val="00A54E9F"/>
    <w:rsid w:val="00A55DFA"/>
    <w:rsid w:val="00A55EF3"/>
    <w:rsid w:val="00A56D85"/>
    <w:rsid w:val="00A62283"/>
    <w:rsid w:val="00A62F61"/>
    <w:rsid w:val="00A6406A"/>
    <w:rsid w:val="00A64C85"/>
    <w:rsid w:val="00A6577D"/>
    <w:rsid w:val="00A65D43"/>
    <w:rsid w:val="00A65E3B"/>
    <w:rsid w:val="00A665FF"/>
    <w:rsid w:val="00A674FE"/>
    <w:rsid w:val="00A67676"/>
    <w:rsid w:val="00A707FA"/>
    <w:rsid w:val="00A70DDA"/>
    <w:rsid w:val="00A7116F"/>
    <w:rsid w:val="00A71194"/>
    <w:rsid w:val="00A711A9"/>
    <w:rsid w:val="00A717DF"/>
    <w:rsid w:val="00A72688"/>
    <w:rsid w:val="00A72E33"/>
    <w:rsid w:val="00A73EE2"/>
    <w:rsid w:val="00A741F5"/>
    <w:rsid w:val="00A744CA"/>
    <w:rsid w:val="00A74FAE"/>
    <w:rsid w:val="00A753FE"/>
    <w:rsid w:val="00A758EB"/>
    <w:rsid w:val="00A75917"/>
    <w:rsid w:val="00A766D4"/>
    <w:rsid w:val="00A76822"/>
    <w:rsid w:val="00A76BCF"/>
    <w:rsid w:val="00A77925"/>
    <w:rsid w:val="00A808CE"/>
    <w:rsid w:val="00A80949"/>
    <w:rsid w:val="00A8103D"/>
    <w:rsid w:val="00A81B4C"/>
    <w:rsid w:val="00A82958"/>
    <w:rsid w:val="00A8362B"/>
    <w:rsid w:val="00A83990"/>
    <w:rsid w:val="00A83C18"/>
    <w:rsid w:val="00A84084"/>
    <w:rsid w:val="00A8573C"/>
    <w:rsid w:val="00A85A69"/>
    <w:rsid w:val="00A879BC"/>
    <w:rsid w:val="00A87D48"/>
    <w:rsid w:val="00A916B0"/>
    <w:rsid w:val="00A91DA0"/>
    <w:rsid w:val="00A924E3"/>
    <w:rsid w:val="00A92C19"/>
    <w:rsid w:val="00A92E6C"/>
    <w:rsid w:val="00A94377"/>
    <w:rsid w:val="00A9562D"/>
    <w:rsid w:val="00A95CD2"/>
    <w:rsid w:val="00A9678F"/>
    <w:rsid w:val="00A96A78"/>
    <w:rsid w:val="00A97B5E"/>
    <w:rsid w:val="00AA1592"/>
    <w:rsid w:val="00AA2B6E"/>
    <w:rsid w:val="00AA3A27"/>
    <w:rsid w:val="00AA5016"/>
    <w:rsid w:val="00AA5EDD"/>
    <w:rsid w:val="00AA7C0D"/>
    <w:rsid w:val="00AB2C28"/>
    <w:rsid w:val="00AB333F"/>
    <w:rsid w:val="00AB360C"/>
    <w:rsid w:val="00AB398A"/>
    <w:rsid w:val="00AB3F5E"/>
    <w:rsid w:val="00AB48C6"/>
    <w:rsid w:val="00AB529C"/>
    <w:rsid w:val="00AB5EF9"/>
    <w:rsid w:val="00AB6526"/>
    <w:rsid w:val="00AB7DD9"/>
    <w:rsid w:val="00AC06A5"/>
    <w:rsid w:val="00AC07A2"/>
    <w:rsid w:val="00AC15DC"/>
    <w:rsid w:val="00AC1976"/>
    <w:rsid w:val="00AC2411"/>
    <w:rsid w:val="00AC2ED7"/>
    <w:rsid w:val="00AC39D0"/>
    <w:rsid w:val="00AC4FC3"/>
    <w:rsid w:val="00AC751C"/>
    <w:rsid w:val="00AC7530"/>
    <w:rsid w:val="00AC7C51"/>
    <w:rsid w:val="00AC7F5C"/>
    <w:rsid w:val="00AD0BB9"/>
    <w:rsid w:val="00AD219B"/>
    <w:rsid w:val="00AD2F74"/>
    <w:rsid w:val="00AD30F8"/>
    <w:rsid w:val="00AD3879"/>
    <w:rsid w:val="00AD3F76"/>
    <w:rsid w:val="00AD4EAC"/>
    <w:rsid w:val="00AD4FEC"/>
    <w:rsid w:val="00AD5FCF"/>
    <w:rsid w:val="00AD66CB"/>
    <w:rsid w:val="00AD672E"/>
    <w:rsid w:val="00AD69BD"/>
    <w:rsid w:val="00AD723E"/>
    <w:rsid w:val="00AD7969"/>
    <w:rsid w:val="00AE0E3D"/>
    <w:rsid w:val="00AE0E9B"/>
    <w:rsid w:val="00AE0EC9"/>
    <w:rsid w:val="00AE1093"/>
    <w:rsid w:val="00AE1BEC"/>
    <w:rsid w:val="00AE1FC6"/>
    <w:rsid w:val="00AE2404"/>
    <w:rsid w:val="00AE2D2E"/>
    <w:rsid w:val="00AE3190"/>
    <w:rsid w:val="00AE5EFC"/>
    <w:rsid w:val="00AE6780"/>
    <w:rsid w:val="00AE6EE8"/>
    <w:rsid w:val="00AE70B4"/>
    <w:rsid w:val="00AE71D4"/>
    <w:rsid w:val="00AE745A"/>
    <w:rsid w:val="00AE7587"/>
    <w:rsid w:val="00AF21E8"/>
    <w:rsid w:val="00AF2CF8"/>
    <w:rsid w:val="00AF367B"/>
    <w:rsid w:val="00AF3E47"/>
    <w:rsid w:val="00AF3E93"/>
    <w:rsid w:val="00AF4269"/>
    <w:rsid w:val="00AF5859"/>
    <w:rsid w:val="00AF5914"/>
    <w:rsid w:val="00AF59A3"/>
    <w:rsid w:val="00AF5E7F"/>
    <w:rsid w:val="00AF6F8A"/>
    <w:rsid w:val="00AF7056"/>
    <w:rsid w:val="00AF7165"/>
    <w:rsid w:val="00AF75FB"/>
    <w:rsid w:val="00B0102F"/>
    <w:rsid w:val="00B01101"/>
    <w:rsid w:val="00B0189F"/>
    <w:rsid w:val="00B02A09"/>
    <w:rsid w:val="00B033C1"/>
    <w:rsid w:val="00B03960"/>
    <w:rsid w:val="00B04C25"/>
    <w:rsid w:val="00B0518D"/>
    <w:rsid w:val="00B052B9"/>
    <w:rsid w:val="00B05977"/>
    <w:rsid w:val="00B05D21"/>
    <w:rsid w:val="00B05F5F"/>
    <w:rsid w:val="00B06898"/>
    <w:rsid w:val="00B07D61"/>
    <w:rsid w:val="00B07ECC"/>
    <w:rsid w:val="00B10014"/>
    <w:rsid w:val="00B10B33"/>
    <w:rsid w:val="00B11192"/>
    <w:rsid w:val="00B111A3"/>
    <w:rsid w:val="00B114B7"/>
    <w:rsid w:val="00B11946"/>
    <w:rsid w:val="00B11AAC"/>
    <w:rsid w:val="00B11FB5"/>
    <w:rsid w:val="00B12FE5"/>
    <w:rsid w:val="00B130E7"/>
    <w:rsid w:val="00B13D7E"/>
    <w:rsid w:val="00B14C00"/>
    <w:rsid w:val="00B1686A"/>
    <w:rsid w:val="00B1696D"/>
    <w:rsid w:val="00B16F6B"/>
    <w:rsid w:val="00B171DF"/>
    <w:rsid w:val="00B21052"/>
    <w:rsid w:val="00B21D59"/>
    <w:rsid w:val="00B2236B"/>
    <w:rsid w:val="00B2295B"/>
    <w:rsid w:val="00B233A5"/>
    <w:rsid w:val="00B23647"/>
    <w:rsid w:val="00B23822"/>
    <w:rsid w:val="00B23C24"/>
    <w:rsid w:val="00B24735"/>
    <w:rsid w:val="00B249B0"/>
    <w:rsid w:val="00B2631D"/>
    <w:rsid w:val="00B27149"/>
    <w:rsid w:val="00B27178"/>
    <w:rsid w:val="00B2753F"/>
    <w:rsid w:val="00B27CA8"/>
    <w:rsid w:val="00B27E85"/>
    <w:rsid w:val="00B30109"/>
    <w:rsid w:val="00B32971"/>
    <w:rsid w:val="00B3374F"/>
    <w:rsid w:val="00B344DF"/>
    <w:rsid w:val="00B345DA"/>
    <w:rsid w:val="00B34B2D"/>
    <w:rsid w:val="00B35077"/>
    <w:rsid w:val="00B361A9"/>
    <w:rsid w:val="00B3662E"/>
    <w:rsid w:val="00B366A9"/>
    <w:rsid w:val="00B3739E"/>
    <w:rsid w:val="00B376C4"/>
    <w:rsid w:val="00B40994"/>
    <w:rsid w:val="00B4172A"/>
    <w:rsid w:val="00B419C9"/>
    <w:rsid w:val="00B41CB8"/>
    <w:rsid w:val="00B41DB4"/>
    <w:rsid w:val="00B42B0C"/>
    <w:rsid w:val="00B433F8"/>
    <w:rsid w:val="00B43F3D"/>
    <w:rsid w:val="00B449D5"/>
    <w:rsid w:val="00B44F9C"/>
    <w:rsid w:val="00B46261"/>
    <w:rsid w:val="00B46310"/>
    <w:rsid w:val="00B478B5"/>
    <w:rsid w:val="00B47F1D"/>
    <w:rsid w:val="00B51308"/>
    <w:rsid w:val="00B51626"/>
    <w:rsid w:val="00B51F95"/>
    <w:rsid w:val="00B526B5"/>
    <w:rsid w:val="00B534E6"/>
    <w:rsid w:val="00B54F93"/>
    <w:rsid w:val="00B550FD"/>
    <w:rsid w:val="00B56483"/>
    <w:rsid w:val="00B56A2F"/>
    <w:rsid w:val="00B5739A"/>
    <w:rsid w:val="00B57448"/>
    <w:rsid w:val="00B5790F"/>
    <w:rsid w:val="00B57DC8"/>
    <w:rsid w:val="00B57FC2"/>
    <w:rsid w:val="00B57FEA"/>
    <w:rsid w:val="00B620AB"/>
    <w:rsid w:val="00B6284E"/>
    <w:rsid w:val="00B62C69"/>
    <w:rsid w:val="00B63152"/>
    <w:rsid w:val="00B63803"/>
    <w:rsid w:val="00B639DF"/>
    <w:rsid w:val="00B655D9"/>
    <w:rsid w:val="00B65919"/>
    <w:rsid w:val="00B660E6"/>
    <w:rsid w:val="00B662F0"/>
    <w:rsid w:val="00B70078"/>
    <w:rsid w:val="00B70D4B"/>
    <w:rsid w:val="00B71815"/>
    <w:rsid w:val="00B71A7C"/>
    <w:rsid w:val="00B72178"/>
    <w:rsid w:val="00B72C8F"/>
    <w:rsid w:val="00B72D5F"/>
    <w:rsid w:val="00B733AA"/>
    <w:rsid w:val="00B736CB"/>
    <w:rsid w:val="00B73A61"/>
    <w:rsid w:val="00B75B1F"/>
    <w:rsid w:val="00B7606B"/>
    <w:rsid w:val="00B76942"/>
    <w:rsid w:val="00B77195"/>
    <w:rsid w:val="00B774DE"/>
    <w:rsid w:val="00B77BE0"/>
    <w:rsid w:val="00B77C53"/>
    <w:rsid w:val="00B80B6D"/>
    <w:rsid w:val="00B810F5"/>
    <w:rsid w:val="00B815CF"/>
    <w:rsid w:val="00B82118"/>
    <w:rsid w:val="00B828E3"/>
    <w:rsid w:val="00B8337F"/>
    <w:rsid w:val="00B835CB"/>
    <w:rsid w:val="00B83A20"/>
    <w:rsid w:val="00B841F0"/>
    <w:rsid w:val="00B84890"/>
    <w:rsid w:val="00B84DC6"/>
    <w:rsid w:val="00B86514"/>
    <w:rsid w:val="00B86A43"/>
    <w:rsid w:val="00B86AA2"/>
    <w:rsid w:val="00B871F7"/>
    <w:rsid w:val="00B87621"/>
    <w:rsid w:val="00B9096B"/>
    <w:rsid w:val="00B91501"/>
    <w:rsid w:val="00B91B77"/>
    <w:rsid w:val="00B923C8"/>
    <w:rsid w:val="00B92728"/>
    <w:rsid w:val="00B95672"/>
    <w:rsid w:val="00B958B3"/>
    <w:rsid w:val="00B95F68"/>
    <w:rsid w:val="00B96584"/>
    <w:rsid w:val="00B966EB"/>
    <w:rsid w:val="00B96C65"/>
    <w:rsid w:val="00B9754A"/>
    <w:rsid w:val="00B9761A"/>
    <w:rsid w:val="00BA1271"/>
    <w:rsid w:val="00BA13AB"/>
    <w:rsid w:val="00BA16E8"/>
    <w:rsid w:val="00BA1FB3"/>
    <w:rsid w:val="00BA2B6D"/>
    <w:rsid w:val="00BA2F40"/>
    <w:rsid w:val="00BA5EA4"/>
    <w:rsid w:val="00BA6440"/>
    <w:rsid w:val="00BA6637"/>
    <w:rsid w:val="00BA7592"/>
    <w:rsid w:val="00BA79D1"/>
    <w:rsid w:val="00BA7EF4"/>
    <w:rsid w:val="00BB159F"/>
    <w:rsid w:val="00BB1ED3"/>
    <w:rsid w:val="00BB21A2"/>
    <w:rsid w:val="00BB25AA"/>
    <w:rsid w:val="00BB267C"/>
    <w:rsid w:val="00BB2C7D"/>
    <w:rsid w:val="00BB40C3"/>
    <w:rsid w:val="00BB497C"/>
    <w:rsid w:val="00BB4F40"/>
    <w:rsid w:val="00BB57D3"/>
    <w:rsid w:val="00BB6995"/>
    <w:rsid w:val="00BB7215"/>
    <w:rsid w:val="00BB7F2C"/>
    <w:rsid w:val="00BC2DB3"/>
    <w:rsid w:val="00BC3C8F"/>
    <w:rsid w:val="00BC4EF2"/>
    <w:rsid w:val="00BC58AC"/>
    <w:rsid w:val="00BC6938"/>
    <w:rsid w:val="00BC706F"/>
    <w:rsid w:val="00BC74A8"/>
    <w:rsid w:val="00BC7D8D"/>
    <w:rsid w:val="00BD0755"/>
    <w:rsid w:val="00BD09E5"/>
    <w:rsid w:val="00BD185C"/>
    <w:rsid w:val="00BD1B46"/>
    <w:rsid w:val="00BD2535"/>
    <w:rsid w:val="00BD2A03"/>
    <w:rsid w:val="00BD339D"/>
    <w:rsid w:val="00BD474C"/>
    <w:rsid w:val="00BD485F"/>
    <w:rsid w:val="00BD49DF"/>
    <w:rsid w:val="00BD58C5"/>
    <w:rsid w:val="00BD5E70"/>
    <w:rsid w:val="00BD611C"/>
    <w:rsid w:val="00BD6184"/>
    <w:rsid w:val="00BD6A28"/>
    <w:rsid w:val="00BD763F"/>
    <w:rsid w:val="00BE02CD"/>
    <w:rsid w:val="00BE0395"/>
    <w:rsid w:val="00BE0595"/>
    <w:rsid w:val="00BE0999"/>
    <w:rsid w:val="00BE17F7"/>
    <w:rsid w:val="00BE2029"/>
    <w:rsid w:val="00BE2D7B"/>
    <w:rsid w:val="00BE4515"/>
    <w:rsid w:val="00BE4C48"/>
    <w:rsid w:val="00BE4C60"/>
    <w:rsid w:val="00BE4D30"/>
    <w:rsid w:val="00BE6A3D"/>
    <w:rsid w:val="00BE6AF2"/>
    <w:rsid w:val="00BE6CD4"/>
    <w:rsid w:val="00BE711C"/>
    <w:rsid w:val="00BE71FA"/>
    <w:rsid w:val="00BE72F5"/>
    <w:rsid w:val="00BE7AF3"/>
    <w:rsid w:val="00BE7E52"/>
    <w:rsid w:val="00BF0F7D"/>
    <w:rsid w:val="00BF1582"/>
    <w:rsid w:val="00BF3440"/>
    <w:rsid w:val="00BF4C94"/>
    <w:rsid w:val="00BF4FD5"/>
    <w:rsid w:val="00BF5E40"/>
    <w:rsid w:val="00BF6D09"/>
    <w:rsid w:val="00BF7B45"/>
    <w:rsid w:val="00BF7EC8"/>
    <w:rsid w:val="00C003EB"/>
    <w:rsid w:val="00C00721"/>
    <w:rsid w:val="00C0140A"/>
    <w:rsid w:val="00C01724"/>
    <w:rsid w:val="00C01952"/>
    <w:rsid w:val="00C01CB6"/>
    <w:rsid w:val="00C02598"/>
    <w:rsid w:val="00C05546"/>
    <w:rsid w:val="00C05B17"/>
    <w:rsid w:val="00C0602A"/>
    <w:rsid w:val="00C06633"/>
    <w:rsid w:val="00C0676D"/>
    <w:rsid w:val="00C0699D"/>
    <w:rsid w:val="00C071C1"/>
    <w:rsid w:val="00C0783F"/>
    <w:rsid w:val="00C07D2B"/>
    <w:rsid w:val="00C07E88"/>
    <w:rsid w:val="00C103E7"/>
    <w:rsid w:val="00C10B9A"/>
    <w:rsid w:val="00C1105F"/>
    <w:rsid w:val="00C114C3"/>
    <w:rsid w:val="00C11797"/>
    <w:rsid w:val="00C117C2"/>
    <w:rsid w:val="00C120B8"/>
    <w:rsid w:val="00C12535"/>
    <w:rsid w:val="00C12C21"/>
    <w:rsid w:val="00C12F09"/>
    <w:rsid w:val="00C13047"/>
    <w:rsid w:val="00C13ADB"/>
    <w:rsid w:val="00C13B2A"/>
    <w:rsid w:val="00C13B65"/>
    <w:rsid w:val="00C1430C"/>
    <w:rsid w:val="00C15BD5"/>
    <w:rsid w:val="00C1641C"/>
    <w:rsid w:val="00C168EA"/>
    <w:rsid w:val="00C20299"/>
    <w:rsid w:val="00C20497"/>
    <w:rsid w:val="00C2112E"/>
    <w:rsid w:val="00C21F45"/>
    <w:rsid w:val="00C221DF"/>
    <w:rsid w:val="00C22619"/>
    <w:rsid w:val="00C22C31"/>
    <w:rsid w:val="00C22E24"/>
    <w:rsid w:val="00C23057"/>
    <w:rsid w:val="00C24C74"/>
    <w:rsid w:val="00C261E0"/>
    <w:rsid w:val="00C26864"/>
    <w:rsid w:val="00C276B3"/>
    <w:rsid w:val="00C307E2"/>
    <w:rsid w:val="00C30C58"/>
    <w:rsid w:val="00C30D4C"/>
    <w:rsid w:val="00C3145F"/>
    <w:rsid w:val="00C31DA5"/>
    <w:rsid w:val="00C32273"/>
    <w:rsid w:val="00C329E8"/>
    <w:rsid w:val="00C33B17"/>
    <w:rsid w:val="00C34932"/>
    <w:rsid w:val="00C355E6"/>
    <w:rsid w:val="00C35783"/>
    <w:rsid w:val="00C358F4"/>
    <w:rsid w:val="00C36CD4"/>
    <w:rsid w:val="00C36F6E"/>
    <w:rsid w:val="00C40068"/>
    <w:rsid w:val="00C40E38"/>
    <w:rsid w:val="00C40EC1"/>
    <w:rsid w:val="00C41168"/>
    <w:rsid w:val="00C42C69"/>
    <w:rsid w:val="00C43F08"/>
    <w:rsid w:val="00C441CB"/>
    <w:rsid w:val="00C44E01"/>
    <w:rsid w:val="00C44ECE"/>
    <w:rsid w:val="00C45660"/>
    <w:rsid w:val="00C45B62"/>
    <w:rsid w:val="00C468AD"/>
    <w:rsid w:val="00C46C93"/>
    <w:rsid w:val="00C46DCB"/>
    <w:rsid w:val="00C47963"/>
    <w:rsid w:val="00C50A69"/>
    <w:rsid w:val="00C51934"/>
    <w:rsid w:val="00C51B31"/>
    <w:rsid w:val="00C527A1"/>
    <w:rsid w:val="00C52B0D"/>
    <w:rsid w:val="00C53869"/>
    <w:rsid w:val="00C545DC"/>
    <w:rsid w:val="00C547C8"/>
    <w:rsid w:val="00C54B3C"/>
    <w:rsid w:val="00C54D1F"/>
    <w:rsid w:val="00C555DE"/>
    <w:rsid w:val="00C560BF"/>
    <w:rsid w:val="00C567CA"/>
    <w:rsid w:val="00C56B22"/>
    <w:rsid w:val="00C56E66"/>
    <w:rsid w:val="00C5713D"/>
    <w:rsid w:val="00C57627"/>
    <w:rsid w:val="00C6063B"/>
    <w:rsid w:val="00C60690"/>
    <w:rsid w:val="00C6077E"/>
    <w:rsid w:val="00C60A02"/>
    <w:rsid w:val="00C61B57"/>
    <w:rsid w:val="00C61C5C"/>
    <w:rsid w:val="00C61DF2"/>
    <w:rsid w:val="00C61F32"/>
    <w:rsid w:val="00C61FBE"/>
    <w:rsid w:val="00C62A51"/>
    <w:rsid w:val="00C62B5C"/>
    <w:rsid w:val="00C633D0"/>
    <w:rsid w:val="00C638EE"/>
    <w:rsid w:val="00C662C2"/>
    <w:rsid w:val="00C67049"/>
    <w:rsid w:val="00C67886"/>
    <w:rsid w:val="00C67C29"/>
    <w:rsid w:val="00C67C87"/>
    <w:rsid w:val="00C67CE8"/>
    <w:rsid w:val="00C70341"/>
    <w:rsid w:val="00C70468"/>
    <w:rsid w:val="00C70D6D"/>
    <w:rsid w:val="00C714C4"/>
    <w:rsid w:val="00C71FB1"/>
    <w:rsid w:val="00C72D06"/>
    <w:rsid w:val="00C7331A"/>
    <w:rsid w:val="00C73EC8"/>
    <w:rsid w:val="00C746B5"/>
    <w:rsid w:val="00C747A9"/>
    <w:rsid w:val="00C747C2"/>
    <w:rsid w:val="00C7506D"/>
    <w:rsid w:val="00C75E47"/>
    <w:rsid w:val="00C76151"/>
    <w:rsid w:val="00C76BE9"/>
    <w:rsid w:val="00C77AAA"/>
    <w:rsid w:val="00C77FBD"/>
    <w:rsid w:val="00C8048D"/>
    <w:rsid w:val="00C80E24"/>
    <w:rsid w:val="00C8171B"/>
    <w:rsid w:val="00C82503"/>
    <w:rsid w:val="00C82E9C"/>
    <w:rsid w:val="00C8352D"/>
    <w:rsid w:val="00C847BB"/>
    <w:rsid w:val="00C85119"/>
    <w:rsid w:val="00C85FD8"/>
    <w:rsid w:val="00C901DF"/>
    <w:rsid w:val="00C90BFB"/>
    <w:rsid w:val="00C91A6E"/>
    <w:rsid w:val="00C92032"/>
    <w:rsid w:val="00C92095"/>
    <w:rsid w:val="00C930CF"/>
    <w:rsid w:val="00C9342A"/>
    <w:rsid w:val="00C93CF0"/>
    <w:rsid w:val="00C93EDF"/>
    <w:rsid w:val="00C94878"/>
    <w:rsid w:val="00C948F5"/>
    <w:rsid w:val="00C963D5"/>
    <w:rsid w:val="00C96FF8"/>
    <w:rsid w:val="00C973D4"/>
    <w:rsid w:val="00C97DDC"/>
    <w:rsid w:val="00CA08A0"/>
    <w:rsid w:val="00CA1029"/>
    <w:rsid w:val="00CA1C66"/>
    <w:rsid w:val="00CA2166"/>
    <w:rsid w:val="00CA4A15"/>
    <w:rsid w:val="00CA7557"/>
    <w:rsid w:val="00CA7837"/>
    <w:rsid w:val="00CB02C3"/>
    <w:rsid w:val="00CB0A80"/>
    <w:rsid w:val="00CB1EA2"/>
    <w:rsid w:val="00CB2BFA"/>
    <w:rsid w:val="00CB35DF"/>
    <w:rsid w:val="00CB38BD"/>
    <w:rsid w:val="00CB39BF"/>
    <w:rsid w:val="00CB419A"/>
    <w:rsid w:val="00CB576C"/>
    <w:rsid w:val="00CB5825"/>
    <w:rsid w:val="00CB6810"/>
    <w:rsid w:val="00CB6DDC"/>
    <w:rsid w:val="00CB7A7E"/>
    <w:rsid w:val="00CB7FFB"/>
    <w:rsid w:val="00CC02D8"/>
    <w:rsid w:val="00CC0D44"/>
    <w:rsid w:val="00CC176F"/>
    <w:rsid w:val="00CC2D68"/>
    <w:rsid w:val="00CC3738"/>
    <w:rsid w:val="00CC430E"/>
    <w:rsid w:val="00CC4351"/>
    <w:rsid w:val="00CC4BA9"/>
    <w:rsid w:val="00CC53FF"/>
    <w:rsid w:val="00CC5EB0"/>
    <w:rsid w:val="00CC5F6F"/>
    <w:rsid w:val="00CC6866"/>
    <w:rsid w:val="00CC6BD4"/>
    <w:rsid w:val="00CC78A7"/>
    <w:rsid w:val="00CD3543"/>
    <w:rsid w:val="00CD457F"/>
    <w:rsid w:val="00CD4F0A"/>
    <w:rsid w:val="00CD56A2"/>
    <w:rsid w:val="00CD58F8"/>
    <w:rsid w:val="00CD712D"/>
    <w:rsid w:val="00CD7E9C"/>
    <w:rsid w:val="00CE015C"/>
    <w:rsid w:val="00CE0CC2"/>
    <w:rsid w:val="00CE0D84"/>
    <w:rsid w:val="00CE266A"/>
    <w:rsid w:val="00CE3553"/>
    <w:rsid w:val="00CE36C2"/>
    <w:rsid w:val="00CE3D23"/>
    <w:rsid w:val="00CE3DEA"/>
    <w:rsid w:val="00CE41C9"/>
    <w:rsid w:val="00CE43A4"/>
    <w:rsid w:val="00CE50E8"/>
    <w:rsid w:val="00CE5105"/>
    <w:rsid w:val="00CE5975"/>
    <w:rsid w:val="00CE69E7"/>
    <w:rsid w:val="00CE6DA1"/>
    <w:rsid w:val="00CE6FCE"/>
    <w:rsid w:val="00CE7343"/>
    <w:rsid w:val="00CE748E"/>
    <w:rsid w:val="00CE752A"/>
    <w:rsid w:val="00CE7B80"/>
    <w:rsid w:val="00CF035B"/>
    <w:rsid w:val="00CF0FC7"/>
    <w:rsid w:val="00CF2754"/>
    <w:rsid w:val="00CF2DAA"/>
    <w:rsid w:val="00CF32F0"/>
    <w:rsid w:val="00CF4522"/>
    <w:rsid w:val="00CF587C"/>
    <w:rsid w:val="00CF6F93"/>
    <w:rsid w:val="00D00189"/>
    <w:rsid w:val="00D004D6"/>
    <w:rsid w:val="00D0076C"/>
    <w:rsid w:val="00D00EAE"/>
    <w:rsid w:val="00D01BCE"/>
    <w:rsid w:val="00D025C1"/>
    <w:rsid w:val="00D027EC"/>
    <w:rsid w:val="00D02F03"/>
    <w:rsid w:val="00D047B7"/>
    <w:rsid w:val="00D047DC"/>
    <w:rsid w:val="00D04B97"/>
    <w:rsid w:val="00D04BDB"/>
    <w:rsid w:val="00D04CAB"/>
    <w:rsid w:val="00D0635E"/>
    <w:rsid w:val="00D0660F"/>
    <w:rsid w:val="00D06A96"/>
    <w:rsid w:val="00D106A8"/>
    <w:rsid w:val="00D11E87"/>
    <w:rsid w:val="00D12134"/>
    <w:rsid w:val="00D121E5"/>
    <w:rsid w:val="00D12C93"/>
    <w:rsid w:val="00D12D90"/>
    <w:rsid w:val="00D1321E"/>
    <w:rsid w:val="00D1326C"/>
    <w:rsid w:val="00D13541"/>
    <w:rsid w:val="00D13B1B"/>
    <w:rsid w:val="00D13BDF"/>
    <w:rsid w:val="00D14A44"/>
    <w:rsid w:val="00D157B7"/>
    <w:rsid w:val="00D15B73"/>
    <w:rsid w:val="00D20B71"/>
    <w:rsid w:val="00D20EFB"/>
    <w:rsid w:val="00D21330"/>
    <w:rsid w:val="00D21A35"/>
    <w:rsid w:val="00D21AE2"/>
    <w:rsid w:val="00D21D05"/>
    <w:rsid w:val="00D22115"/>
    <w:rsid w:val="00D22475"/>
    <w:rsid w:val="00D23242"/>
    <w:rsid w:val="00D23DAE"/>
    <w:rsid w:val="00D23F9A"/>
    <w:rsid w:val="00D25205"/>
    <w:rsid w:val="00D25883"/>
    <w:rsid w:val="00D25A04"/>
    <w:rsid w:val="00D25D96"/>
    <w:rsid w:val="00D26D6B"/>
    <w:rsid w:val="00D279AE"/>
    <w:rsid w:val="00D27B20"/>
    <w:rsid w:val="00D31EE4"/>
    <w:rsid w:val="00D32266"/>
    <w:rsid w:val="00D32B5B"/>
    <w:rsid w:val="00D32D9E"/>
    <w:rsid w:val="00D33C8B"/>
    <w:rsid w:val="00D34A42"/>
    <w:rsid w:val="00D34BD5"/>
    <w:rsid w:val="00D34D29"/>
    <w:rsid w:val="00D357F7"/>
    <w:rsid w:val="00D3599E"/>
    <w:rsid w:val="00D362CE"/>
    <w:rsid w:val="00D36356"/>
    <w:rsid w:val="00D3727D"/>
    <w:rsid w:val="00D3754B"/>
    <w:rsid w:val="00D375E8"/>
    <w:rsid w:val="00D377C2"/>
    <w:rsid w:val="00D40088"/>
    <w:rsid w:val="00D40704"/>
    <w:rsid w:val="00D40E91"/>
    <w:rsid w:val="00D42BA3"/>
    <w:rsid w:val="00D43106"/>
    <w:rsid w:val="00D4324D"/>
    <w:rsid w:val="00D43541"/>
    <w:rsid w:val="00D4409A"/>
    <w:rsid w:val="00D44149"/>
    <w:rsid w:val="00D4455A"/>
    <w:rsid w:val="00D4527C"/>
    <w:rsid w:val="00D46748"/>
    <w:rsid w:val="00D46F15"/>
    <w:rsid w:val="00D47240"/>
    <w:rsid w:val="00D4735B"/>
    <w:rsid w:val="00D47BAB"/>
    <w:rsid w:val="00D47FE9"/>
    <w:rsid w:val="00D50860"/>
    <w:rsid w:val="00D51830"/>
    <w:rsid w:val="00D51D07"/>
    <w:rsid w:val="00D5200E"/>
    <w:rsid w:val="00D52094"/>
    <w:rsid w:val="00D5254E"/>
    <w:rsid w:val="00D526A9"/>
    <w:rsid w:val="00D53CBB"/>
    <w:rsid w:val="00D56167"/>
    <w:rsid w:val="00D5620F"/>
    <w:rsid w:val="00D5698B"/>
    <w:rsid w:val="00D57759"/>
    <w:rsid w:val="00D579C0"/>
    <w:rsid w:val="00D60359"/>
    <w:rsid w:val="00D60417"/>
    <w:rsid w:val="00D60691"/>
    <w:rsid w:val="00D613F3"/>
    <w:rsid w:val="00D634E5"/>
    <w:rsid w:val="00D6353A"/>
    <w:rsid w:val="00D63842"/>
    <w:rsid w:val="00D645E6"/>
    <w:rsid w:val="00D6498C"/>
    <w:rsid w:val="00D65417"/>
    <w:rsid w:val="00D659DF"/>
    <w:rsid w:val="00D65D30"/>
    <w:rsid w:val="00D660D2"/>
    <w:rsid w:val="00D66997"/>
    <w:rsid w:val="00D66EDF"/>
    <w:rsid w:val="00D671AD"/>
    <w:rsid w:val="00D6753B"/>
    <w:rsid w:val="00D70064"/>
    <w:rsid w:val="00D717A3"/>
    <w:rsid w:val="00D717CD"/>
    <w:rsid w:val="00D720CE"/>
    <w:rsid w:val="00D73177"/>
    <w:rsid w:val="00D73524"/>
    <w:rsid w:val="00D74BAB"/>
    <w:rsid w:val="00D75183"/>
    <w:rsid w:val="00D76BD3"/>
    <w:rsid w:val="00D76D1E"/>
    <w:rsid w:val="00D7743B"/>
    <w:rsid w:val="00D77D97"/>
    <w:rsid w:val="00D80C2E"/>
    <w:rsid w:val="00D81032"/>
    <w:rsid w:val="00D81274"/>
    <w:rsid w:val="00D81A07"/>
    <w:rsid w:val="00D8368B"/>
    <w:rsid w:val="00D83B85"/>
    <w:rsid w:val="00D84A66"/>
    <w:rsid w:val="00D84B3B"/>
    <w:rsid w:val="00D85459"/>
    <w:rsid w:val="00D85BCC"/>
    <w:rsid w:val="00D864E8"/>
    <w:rsid w:val="00D86FFF"/>
    <w:rsid w:val="00D8726F"/>
    <w:rsid w:val="00D872D7"/>
    <w:rsid w:val="00D8748C"/>
    <w:rsid w:val="00D8749C"/>
    <w:rsid w:val="00D902A4"/>
    <w:rsid w:val="00D907D9"/>
    <w:rsid w:val="00D912DA"/>
    <w:rsid w:val="00D91532"/>
    <w:rsid w:val="00D916ED"/>
    <w:rsid w:val="00D919E0"/>
    <w:rsid w:val="00D91F02"/>
    <w:rsid w:val="00D92114"/>
    <w:rsid w:val="00D9240D"/>
    <w:rsid w:val="00D929DA"/>
    <w:rsid w:val="00D92B54"/>
    <w:rsid w:val="00D92D4F"/>
    <w:rsid w:val="00D93327"/>
    <w:rsid w:val="00D9351D"/>
    <w:rsid w:val="00D94A33"/>
    <w:rsid w:val="00DA01DC"/>
    <w:rsid w:val="00DA08B9"/>
    <w:rsid w:val="00DA1340"/>
    <w:rsid w:val="00DA1500"/>
    <w:rsid w:val="00DA1CF6"/>
    <w:rsid w:val="00DA1DBD"/>
    <w:rsid w:val="00DA2DC9"/>
    <w:rsid w:val="00DA5134"/>
    <w:rsid w:val="00DA52DE"/>
    <w:rsid w:val="00DA542D"/>
    <w:rsid w:val="00DA5613"/>
    <w:rsid w:val="00DA56C2"/>
    <w:rsid w:val="00DA56FF"/>
    <w:rsid w:val="00DA57D3"/>
    <w:rsid w:val="00DA59D5"/>
    <w:rsid w:val="00DA5A77"/>
    <w:rsid w:val="00DA6320"/>
    <w:rsid w:val="00DA7515"/>
    <w:rsid w:val="00DA7E3E"/>
    <w:rsid w:val="00DB0736"/>
    <w:rsid w:val="00DB1B6B"/>
    <w:rsid w:val="00DB1E24"/>
    <w:rsid w:val="00DB2663"/>
    <w:rsid w:val="00DB2770"/>
    <w:rsid w:val="00DB3401"/>
    <w:rsid w:val="00DB3A81"/>
    <w:rsid w:val="00DB3DF6"/>
    <w:rsid w:val="00DB47DE"/>
    <w:rsid w:val="00DB4E18"/>
    <w:rsid w:val="00DB5F58"/>
    <w:rsid w:val="00DB65A5"/>
    <w:rsid w:val="00DB7794"/>
    <w:rsid w:val="00DC0DF3"/>
    <w:rsid w:val="00DC2036"/>
    <w:rsid w:val="00DC37B0"/>
    <w:rsid w:val="00DC3844"/>
    <w:rsid w:val="00DC4006"/>
    <w:rsid w:val="00DC431D"/>
    <w:rsid w:val="00DC4B40"/>
    <w:rsid w:val="00DC4EDD"/>
    <w:rsid w:val="00DC51EA"/>
    <w:rsid w:val="00DC5256"/>
    <w:rsid w:val="00DC5B41"/>
    <w:rsid w:val="00DC6AA1"/>
    <w:rsid w:val="00DC6BF7"/>
    <w:rsid w:val="00DD008F"/>
    <w:rsid w:val="00DD037C"/>
    <w:rsid w:val="00DD16AF"/>
    <w:rsid w:val="00DD1B6E"/>
    <w:rsid w:val="00DD1C11"/>
    <w:rsid w:val="00DD1D96"/>
    <w:rsid w:val="00DD203A"/>
    <w:rsid w:val="00DD2707"/>
    <w:rsid w:val="00DD28E4"/>
    <w:rsid w:val="00DD3665"/>
    <w:rsid w:val="00DD36A1"/>
    <w:rsid w:val="00DD374E"/>
    <w:rsid w:val="00DD44D3"/>
    <w:rsid w:val="00DD48CD"/>
    <w:rsid w:val="00DD6914"/>
    <w:rsid w:val="00DD7A5E"/>
    <w:rsid w:val="00DE0402"/>
    <w:rsid w:val="00DE08DC"/>
    <w:rsid w:val="00DE0C26"/>
    <w:rsid w:val="00DE15E0"/>
    <w:rsid w:val="00DE1EF3"/>
    <w:rsid w:val="00DE2995"/>
    <w:rsid w:val="00DE2C60"/>
    <w:rsid w:val="00DE30DA"/>
    <w:rsid w:val="00DE33BD"/>
    <w:rsid w:val="00DE3C40"/>
    <w:rsid w:val="00DE4FA1"/>
    <w:rsid w:val="00DE5216"/>
    <w:rsid w:val="00DE5B9B"/>
    <w:rsid w:val="00DE6029"/>
    <w:rsid w:val="00DE6068"/>
    <w:rsid w:val="00DE619E"/>
    <w:rsid w:val="00DE6328"/>
    <w:rsid w:val="00DE65C0"/>
    <w:rsid w:val="00DE6D55"/>
    <w:rsid w:val="00DE7BB8"/>
    <w:rsid w:val="00DE7C12"/>
    <w:rsid w:val="00DE7E9B"/>
    <w:rsid w:val="00DF0197"/>
    <w:rsid w:val="00DF059D"/>
    <w:rsid w:val="00DF12A5"/>
    <w:rsid w:val="00DF14E4"/>
    <w:rsid w:val="00DF1B1C"/>
    <w:rsid w:val="00DF2DEE"/>
    <w:rsid w:val="00DF3483"/>
    <w:rsid w:val="00DF37D2"/>
    <w:rsid w:val="00DF3F9D"/>
    <w:rsid w:val="00DF42A9"/>
    <w:rsid w:val="00DF5BE2"/>
    <w:rsid w:val="00DF67B8"/>
    <w:rsid w:val="00DF7045"/>
    <w:rsid w:val="00DF7533"/>
    <w:rsid w:val="00DF765B"/>
    <w:rsid w:val="00E000D1"/>
    <w:rsid w:val="00E00175"/>
    <w:rsid w:val="00E00C12"/>
    <w:rsid w:val="00E00F00"/>
    <w:rsid w:val="00E017C0"/>
    <w:rsid w:val="00E02118"/>
    <w:rsid w:val="00E02BAE"/>
    <w:rsid w:val="00E0413C"/>
    <w:rsid w:val="00E06530"/>
    <w:rsid w:val="00E06B43"/>
    <w:rsid w:val="00E06C29"/>
    <w:rsid w:val="00E07B25"/>
    <w:rsid w:val="00E1025C"/>
    <w:rsid w:val="00E10565"/>
    <w:rsid w:val="00E1068A"/>
    <w:rsid w:val="00E10E19"/>
    <w:rsid w:val="00E11198"/>
    <w:rsid w:val="00E11866"/>
    <w:rsid w:val="00E12386"/>
    <w:rsid w:val="00E1263D"/>
    <w:rsid w:val="00E1270F"/>
    <w:rsid w:val="00E12D5A"/>
    <w:rsid w:val="00E135CA"/>
    <w:rsid w:val="00E15393"/>
    <w:rsid w:val="00E16111"/>
    <w:rsid w:val="00E1648E"/>
    <w:rsid w:val="00E166E2"/>
    <w:rsid w:val="00E167FE"/>
    <w:rsid w:val="00E16CB0"/>
    <w:rsid w:val="00E17718"/>
    <w:rsid w:val="00E17872"/>
    <w:rsid w:val="00E20694"/>
    <w:rsid w:val="00E20841"/>
    <w:rsid w:val="00E21042"/>
    <w:rsid w:val="00E214DC"/>
    <w:rsid w:val="00E21672"/>
    <w:rsid w:val="00E22111"/>
    <w:rsid w:val="00E22427"/>
    <w:rsid w:val="00E227DE"/>
    <w:rsid w:val="00E22999"/>
    <w:rsid w:val="00E22AE4"/>
    <w:rsid w:val="00E235C9"/>
    <w:rsid w:val="00E235D2"/>
    <w:rsid w:val="00E23E80"/>
    <w:rsid w:val="00E23E9A"/>
    <w:rsid w:val="00E2406B"/>
    <w:rsid w:val="00E24548"/>
    <w:rsid w:val="00E2461C"/>
    <w:rsid w:val="00E25017"/>
    <w:rsid w:val="00E25A95"/>
    <w:rsid w:val="00E26128"/>
    <w:rsid w:val="00E265C2"/>
    <w:rsid w:val="00E26E1B"/>
    <w:rsid w:val="00E2711D"/>
    <w:rsid w:val="00E2728F"/>
    <w:rsid w:val="00E30147"/>
    <w:rsid w:val="00E302F6"/>
    <w:rsid w:val="00E30A1D"/>
    <w:rsid w:val="00E32849"/>
    <w:rsid w:val="00E3285A"/>
    <w:rsid w:val="00E331EC"/>
    <w:rsid w:val="00E3359E"/>
    <w:rsid w:val="00E336BA"/>
    <w:rsid w:val="00E351F3"/>
    <w:rsid w:val="00E36437"/>
    <w:rsid w:val="00E3794A"/>
    <w:rsid w:val="00E404D2"/>
    <w:rsid w:val="00E412EC"/>
    <w:rsid w:val="00E41D05"/>
    <w:rsid w:val="00E4241D"/>
    <w:rsid w:val="00E42C2B"/>
    <w:rsid w:val="00E43459"/>
    <w:rsid w:val="00E435FA"/>
    <w:rsid w:val="00E442E0"/>
    <w:rsid w:val="00E44E51"/>
    <w:rsid w:val="00E457B1"/>
    <w:rsid w:val="00E4660A"/>
    <w:rsid w:val="00E4668A"/>
    <w:rsid w:val="00E47609"/>
    <w:rsid w:val="00E47791"/>
    <w:rsid w:val="00E47BB0"/>
    <w:rsid w:val="00E50512"/>
    <w:rsid w:val="00E50634"/>
    <w:rsid w:val="00E506C4"/>
    <w:rsid w:val="00E519FE"/>
    <w:rsid w:val="00E51F73"/>
    <w:rsid w:val="00E52CE2"/>
    <w:rsid w:val="00E5366E"/>
    <w:rsid w:val="00E53BFF"/>
    <w:rsid w:val="00E53C73"/>
    <w:rsid w:val="00E53CDB"/>
    <w:rsid w:val="00E55002"/>
    <w:rsid w:val="00E55087"/>
    <w:rsid w:val="00E55A09"/>
    <w:rsid w:val="00E55A4E"/>
    <w:rsid w:val="00E55A6E"/>
    <w:rsid w:val="00E5635E"/>
    <w:rsid w:val="00E57132"/>
    <w:rsid w:val="00E57281"/>
    <w:rsid w:val="00E6016A"/>
    <w:rsid w:val="00E608D2"/>
    <w:rsid w:val="00E609D2"/>
    <w:rsid w:val="00E616C9"/>
    <w:rsid w:val="00E6234A"/>
    <w:rsid w:val="00E649E8"/>
    <w:rsid w:val="00E64C65"/>
    <w:rsid w:val="00E65AC0"/>
    <w:rsid w:val="00E671FD"/>
    <w:rsid w:val="00E7008F"/>
    <w:rsid w:val="00E701D9"/>
    <w:rsid w:val="00E70A4F"/>
    <w:rsid w:val="00E70D72"/>
    <w:rsid w:val="00E717DF"/>
    <w:rsid w:val="00E723C4"/>
    <w:rsid w:val="00E72934"/>
    <w:rsid w:val="00E72A61"/>
    <w:rsid w:val="00E73A37"/>
    <w:rsid w:val="00E73D9E"/>
    <w:rsid w:val="00E741FD"/>
    <w:rsid w:val="00E745B2"/>
    <w:rsid w:val="00E7495C"/>
    <w:rsid w:val="00E7496D"/>
    <w:rsid w:val="00E7627F"/>
    <w:rsid w:val="00E80055"/>
    <w:rsid w:val="00E802FF"/>
    <w:rsid w:val="00E808EE"/>
    <w:rsid w:val="00E80964"/>
    <w:rsid w:val="00E809DB"/>
    <w:rsid w:val="00E80B82"/>
    <w:rsid w:val="00E81011"/>
    <w:rsid w:val="00E81085"/>
    <w:rsid w:val="00E81117"/>
    <w:rsid w:val="00E81216"/>
    <w:rsid w:val="00E81D40"/>
    <w:rsid w:val="00E81E61"/>
    <w:rsid w:val="00E82426"/>
    <w:rsid w:val="00E82487"/>
    <w:rsid w:val="00E82574"/>
    <w:rsid w:val="00E8282A"/>
    <w:rsid w:val="00E82F29"/>
    <w:rsid w:val="00E834CE"/>
    <w:rsid w:val="00E836DC"/>
    <w:rsid w:val="00E83739"/>
    <w:rsid w:val="00E83F4E"/>
    <w:rsid w:val="00E86940"/>
    <w:rsid w:val="00E86E2F"/>
    <w:rsid w:val="00E86E5D"/>
    <w:rsid w:val="00E907B2"/>
    <w:rsid w:val="00E92537"/>
    <w:rsid w:val="00E92A05"/>
    <w:rsid w:val="00E93191"/>
    <w:rsid w:val="00E931FA"/>
    <w:rsid w:val="00E941FF"/>
    <w:rsid w:val="00E943CC"/>
    <w:rsid w:val="00E9495D"/>
    <w:rsid w:val="00E96CEB"/>
    <w:rsid w:val="00E96F76"/>
    <w:rsid w:val="00EA06BE"/>
    <w:rsid w:val="00EA2324"/>
    <w:rsid w:val="00EA27D3"/>
    <w:rsid w:val="00EA2FFE"/>
    <w:rsid w:val="00EA395E"/>
    <w:rsid w:val="00EA3F0F"/>
    <w:rsid w:val="00EA4176"/>
    <w:rsid w:val="00EA6D01"/>
    <w:rsid w:val="00EA733C"/>
    <w:rsid w:val="00EB0302"/>
    <w:rsid w:val="00EB0975"/>
    <w:rsid w:val="00EB1804"/>
    <w:rsid w:val="00EB19B0"/>
    <w:rsid w:val="00EB4714"/>
    <w:rsid w:val="00EB4FF2"/>
    <w:rsid w:val="00EB5497"/>
    <w:rsid w:val="00EB67C5"/>
    <w:rsid w:val="00EB708F"/>
    <w:rsid w:val="00EB783C"/>
    <w:rsid w:val="00EB7F8E"/>
    <w:rsid w:val="00EC0176"/>
    <w:rsid w:val="00EC0F1C"/>
    <w:rsid w:val="00EC2DE2"/>
    <w:rsid w:val="00EC2EBA"/>
    <w:rsid w:val="00EC4A48"/>
    <w:rsid w:val="00EC4F7A"/>
    <w:rsid w:val="00EC584E"/>
    <w:rsid w:val="00EC5935"/>
    <w:rsid w:val="00EC64B7"/>
    <w:rsid w:val="00EC7506"/>
    <w:rsid w:val="00EC75D9"/>
    <w:rsid w:val="00ED00F5"/>
    <w:rsid w:val="00ED0A61"/>
    <w:rsid w:val="00ED0C67"/>
    <w:rsid w:val="00ED149F"/>
    <w:rsid w:val="00ED176D"/>
    <w:rsid w:val="00ED18AA"/>
    <w:rsid w:val="00ED1FFA"/>
    <w:rsid w:val="00ED2A78"/>
    <w:rsid w:val="00ED2EFA"/>
    <w:rsid w:val="00ED37C8"/>
    <w:rsid w:val="00ED3CC3"/>
    <w:rsid w:val="00ED4185"/>
    <w:rsid w:val="00ED4978"/>
    <w:rsid w:val="00ED5636"/>
    <w:rsid w:val="00ED69A2"/>
    <w:rsid w:val="00ED69E7"/>
    <w:rsid w:val="00ED6D9C"/>
    <w:rsid w:val="00ED6DE5"/>
    <w:rsid w:val="00ED7630"/>
    <w:rsid w:val="00EE023E"/>
    <w:rsid w:val="00EE0BD1"/>
    <w:rsid w:val="00EE271D"/>
    <w:rsid w:val="00EE2E4C"/>
    <w:rsid w:val="00EE32AE"/>
    <w:rsid w:val="00EE3C01"/>
    <w:rsid w:val="00EE40D1"/>
    <w:rsid w:val="00EE4351"/>
    <w:rsid w:val="00EE4E34"/>
    <w:rsid w:val="00EE4EE1"/>
    <w:rsid w:val="00EE620D"/>
    <w:rsid w:val="00EE6671"/>
    <w:rsid w:val="00EE67C0"/>
    <w:rsid w:val="00EE726A"/>
    <w:rsid w:val="00EE73EF"/>
    <w:rsid w:val="00EF0523"/>
    <w:rsid w:val="00EF0575"/>
    <w:rsid w:val="00EF16AA"/>
    <w:rsid w:val="00EF27DA"/>
    <w:rsid w:val="00EF3619"/>
    <w:rsid w:val="00EF3C0D"/>
    <w:rsid w:val="00EF5804"/>
    <w:rsid w:val="00EF6C85"/>
    <w:rsid w:val="00EF72CB"/>
    <w:rsid w:val="00EF7A04"/>
    <w:rsid w:val="00F02CDF"/>
    <w:rsid w:val="00F02FE6"/>
    <w:rsid w:val="00F03112"/>
    <w:rsid w:val="00F034CB"/>
    <w:rsid w:val="00F03574"/>
    <w:rsid w:val="00F046E0"/>
    <w:rsid w:val="00F0518E"/>
    <w:rsid w:val="00F05696"/>
    <w:rsid w:val="00F06C76"/>
    <w:rsid w:val="00F06EC1"/>
    <w:rsid w:val="00F0741A"/>
    <w:rsid w:val="00F10892"/>
    <w:rsid w:val="00F10DE2"/>
    <w:rsid w:val="00F114FC"/>
    <w:rsid w:val="00F11909"/>
    <w:rsid w:val="00F11EF3"/>
    <w:rsid w:val="00F11F11"/>
    <w:rsid w:val="00F12123"/>
    <w:rsid w:val="00F1247A"/>
    <w:rsid w:val="00F1249D"/>
    <w:rsid w:val="00F128E5"/>
    <w:rsid w:val="00F12B1F"/>
    <w:rsid w:val="00F1312B"/>
    <w:rsid w:val="00F1411A"/>
    <w:rsid w:val="00F1431D"/>
    <w:rsid w:val="00F15292"/>
    <w:rsid w:val="00F15462"/>
    <w:rsid w:val="00F1572C"/>
    <w:rsid w:val="00F159CD"/>
    <w:rsid w:val="00F15FE2"/>
    <w:rsid w:val="00F1625F"/>
    <w:rsid w:val="00F16741"/>
    <w:rsid w:val="00F1734E"/>
    <w:rsid w:val="00F21509"/>
    <w:rsid w:val="00F21D6C"/>
    <w:rsid w:val="00F21F93"/>
    <w:rsid w:val="00F2312B"/>
    <w:rsid w:val="00F234ED"/>
    <w:rsid w:val="00F24A25"/>
    <w:rsid w:val="00F24E38"/>
    <w:rsid w:val="00F25365"/>
    <w:rsid w:val="00F2574C"/>
    <w:rsid w:val="00F27A0B"/>
    <w:rsid w:val="00F27DE1"/>
    <w:rsid w:val="00F302BD"/>
    <w:rsid w:val="00F30E78"/>
    <w:rsid w:val="00F30F34"/>
    <w:rsid w:val="00F311DC"/>
    <w:rsid w:val="00F31B9C"/>
    <w:rsid w:val="00F32C11"/>
    <w:rsid w:val="00F33E35"/>
    <w:rsid w:val="00F35D60"/>
    <w:rsid w:val="00F35F1B"/>
    <w:rsid w:val="00F36277"/>
    <w:rsid w:val="00F3655E"/>
    <w:rsid w:val="00F374AB"/>
    <w:rsid w:val="00F3758A"/>
    <w:rsid w:val="00F3769B"/>
    <w:rsid w:val="00F37F59"/>
    <w:rsid w:val="00F40217"/>
    <w:rsid w:val="00F41042"/>
    <w:rsid w:val="00F417AF"/>
    <w:rsid w:val="00F42059"/>
    <w:rsid w:val="00F42918"/>
    <w:rsid w:val="00F42B10"/>
    <w:rsid w:val="00F43610"/>
    <w:rsid w:val="00F43989"/>
    <w:rsid w:val="00F44266"/>
    <w:rsid w:val="00F444B5"/>
    <w:rsid w:val="00F45073"/>
    <w:rsid w:val="00F46480"/>
    <w:rsid w:val="00F47308"/>
    <w:rsid w:val="00F47F7A"/>
    <w:rsid w:val="00F5016F"/>
    <w:rsid w:val="00F501C8"/>
    <w:rsid w:val="00F501EF"/>
    <w:rsid w:val="00F50B50"/>
    <w:rsid w:val="00F513D7"/>
    <w:rsid w:val="00F51B62"/>
    <w:rsid w:val="00F51C00"/>
    <w:rsid w:val="00F52923"/>
    <w:rsid w:val="00F52B16"/>
    <w:rsid w:val="00F53C7E"/>
    <w:rsid w:val="00F54201"/>
    <w:rsid w:val="00F54858"/>
    <w:rsid w:val="00F54F00"/>
    <w:rsid w:val="00F55820"/>
    <w:rsid w:val="00F55AD4"/>
    <w:rsid w:val="00F55E91"/>
    <w:rsid w:val="00F56B72"/>
    <w:rsid w:val="00F56C13"/>
    <w:rsid w:val="00F56F65"/>
    <w:rsid w:val="00F57B29"/>
    <w:rsid w:val="00F57F6D"/>
    <w:rsid w:val="00F6029A"/>
    <w:rsid w:val="00F607C5"/>
    <w:rsid w:val="00F61566"/>
    <w:rsid w:val="00F61CDB"/>
    <w:rsid w:val="00F62662"/>
    <w:rsid w:val="00F62ED7"/>
    <w:rsid w:val="00F63145"/>
    <w:rsid w:val="00F636A0"/>
    <w:rsid w:val="00F63F50"/>
    <w:rsid w:val="00F674D2"/>
    <w:rsid w:val="00F67A10"/>
    <w:rsid w:val="00F67AD1"/>
    <w:rsid w:val="00F70D2C"/>
    <w:rsid w:val="00F7139A"/>
    <w:rsid w:val="00F71DBE"/>
    <w:rsid w:val="00F72F2A"/>
    <w:rsid w:val="00F751EE"/>
    <w:rsid w:val="00F759BC"/>
    <w:rsid w:val="00F800BE"/>
    <w:rsid w:val="00F8028B"/>
    <w:rsid w:val="00F804DA"/>
    <w:rsid w:val="00F80DCD"/>
    <w:rsid w:val="00F80E8C"/>
    <w:rsid w:val="00F81C11"/>
    <w:rsid w:val="00F820B5"/>
    <w:rsid w:val="00F82A88"/>
    <w:rsid w:val="00F8338C"/>
    <w:rsid w:val="00F83D35"/>
    <w:rsid w:val="00F83FB3"/>
    <w:rsid w:val="00F8448C"/>
    <w:rsid w:val="00F8490E"/>
    <w:rsid w:val="00F8519A"/>
    <w:rsid w:val="00F85722"/>
    <w:rsid w:val="00F8627B"/>
    <w:rsid w:val="00F86C3A"/>
    <w:rsid w:val="00F86D46"/>
    <w:rsid w:val="00F8771F"/>
    <w:rsid w:val="00F90190"/>
    <w:rsid w:val="00F919C0"/>
    <w:rsid w:val="00F920DD"/>
    <w:rsid w:val="00F922EF"/>
    <w:rsid w:val="00F93270"/>
    <w:rsid w:val="00F935AC"/>
    <w:rsid w:val="00F93A22"/>
    <w:rsid w:val="00F946E3"/>
    <w:rsid w:val="00F95A89"/>
    <w:rsid w:val="00F95D1A"/>
    <w:rsid w:val="00F96395"/>
    <w:rsid w:val="00F96CE1"/>
    <w:rsid w:val="00F97229"/>
    <w:rsid w:val="00F978F3"/>
    <w:rsid w:val="00FA0F74"/>
    <w:rsid w:val="00FA2158"/>
    <w:rsid w:val="00FA37DA"/>
    <w:rsid w:val="00FA5122"/>
    <w:rsid w:val="00FA5520"/>
    <w:rsid w:val="00FA6850"/>
    <w:rsid w:val="00FA6CE1"/>
    <w:rsid w:val="00FA7102"/>
    <w:rsid w:val="00FA764B"/>
    <w:rsid w:val="00FA7813"/>
    <w:rsid w:val="00FB01AE"/>
    <w:rsid w:val="00FB103F"/>
    <w:rsid w:val="00FB1BC3"/>
    <w:rsid w:val="00FB2045"/>
    <w:rsid w:val="00FB2691"/>
    <w:rsid w:val="00FB2AA7"/>
    <w:rsid w:val="00FB3002"/>
    <w:rsid w:val="00FB4569"/>
    <w:rsid w:val="00FB4FEE"/>
    <w:rsid w:val="00FB561A"/>
    <w:rsid w:val="00FB5E17"/>
    <w:rsid w:val="00FB65B4"/>
    <w:rsid w:val="00FB798D"/>
    <w:rsid w:val="00FC0634"/>
    <w:rsid w:val="00FC1F3B"/>
    <w:rsid w:val="00FC269C"/>
    <w:rsid w:val="00FC3230"/>
    <w:rsid w:val="00FC33D5"/>
    <w:rsid w:val="00FC48A2"/>
    <w:rsid w:val="00FC4975"/>
    <w:rsid w:val="00FC4E46"/>
    <w:rsid w:val="00FC62E6"/>
    <w:rsid w:val="00FC63C6"/>
    <w:rsid w:val="00FC69E0"/>
    <w:rsid w:val="00FC7328"/>
    <w:rsid w:val="00FC738F"/>
    <w:rsid w:val="00FD02A1"/>
    <w:rsid w:val="00FD0504"/>
    <w:rsid w:val="00FD0B93"/>
    <w:rsid w:val="00FD1474"/>
    <w:rsid w:val="00FD1AF0"/>
    <w:rsid w:val="00FD2A1C"/>
    <w:rsid w:val="00FD446B"/>
    <w:rsid w:val="00FD4636"/>
    <w:rsid w:val="00FD4E1A"/>
    <w:rsid w:val="00FD5541"/>
    <w:rsid w:val="00FD6A07"/>
    <w:rsid w:val="00FD6CEF"/>
    <w:rsid w:val="00FD6DDF"/>
    <w:rsid w:val="00FE03D4"/>
    <w:rsid w:val="00FE1498"/>
    <w:rsid w:val="00FE2328"/>
    <w:rsid w:val="00FE330A"/>
    <w:rsid w:val="00FE3422"/>
    <w:rsid w:val="00FE3AC1"/>
    <w:rsid w:val="00FE3CDB"/>
    <w:rsid w:val="00FE4D5B"/>
    <w:rsid w:val="00FE54E5"/>
    <w:rsid w:val="00FE74AD"/>
    <w:rsid w:val="00FE7714"/>
    <w:rsid w:val="00FF0305"/>
    <w:rsid w:val="00FF056A"/>
    <w:rsid w:val="00FF1550"/>
    <w:rsid w:val="00FF2070"/>
    <w:rsid w:val="00FF296C"/>
    <w:rsid w:val="00FF3007"/>
    <w:rsid w:val="00FF4746"/>
    <w:rsid w:val="00FF4D1F"/>
    <w:rsid w:val="00FF6E1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o:shapelayout v:ext="edit">
      <o:idmap v:ext="edit" data="1"/>
    </o:shapelayout>
  </w:shapeDefaults>
  <w:decimalSymbol w:val="."/>
  <w:listSeparator w:val=","/>
  <w14:docId w14:val="4AD025E4"/>
  <w15:docId w15:val="{D5E4FBB0-CF3D-4EA3-87F9-E1F1D755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BE"/>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uiPriority w:val="99"/>
    <w:qFormat/>
    <w:rsid w:val="00AA1592"/>
    <w:pPr>
      <w:keepNext/>
      <w:pBdr>
        <w:right w:val="single" w:sz="4" w:space="1" w:color="auto"/>
      </w:pBdr>
      <w:shd w:val="clear" w:color="auto" w:fill="365F91" w:themeFill="accent1" w:themeFillShade="BF"/>
      <w:spacing w:before="240" w:after="240" w:line="360" w:lineRule="auto"/>
      <w:outlineLvl w:val="0"/>
    </w:pPr>
    <w:rPr>
      <w:rFonts w:cs="Arial"/>
      <w:b/>
      <w:bCs/>
      <w:noProof/>
      <w:color w:val="FFFFFF" w:themeColor="background1"/>
      <w:kern w:val="32"/>
      <w:sz w:val="28"/>
      <w:szCs w:val="28"/>
      <w:lang w:eastAsia="en-GB"/>
    </w:rPr>
  </w:style>
  <w:style w:type="paragraph" w:styleId="Heading2">
    <w:name w:val="heading 2"/>
    <w:basedOn w:val="Normal"/>
    <w:next w:val="Normal"/>
    <w:link w:val="Heading2Char"/>
    <w:qFormat/>
    <w:rsid w:val="009F3805"/>
    <w:pPr>
      <w:keepNext/>
      <w:numPr>
        <w:ilvl w:val="1"/>
        <w:numId w:val="1"/>
      </w:numPr>
      <w:spacing w:before="120" w:after="60"/>
      <w:outlineLvl w:val="1"/>
    </w:pPr>
    <w:rPr>
      <w:rFonts w:cs="Arial"/>
      <w:b/>
      <w:bCs/>
      <w:iCs/>
      <w:color w:val="365F91" w:themeColor="accent1" w:themeShade="BF"/>
      <w:sz w:val="28"/>
      <w:szCs w:val="28"/>
    </w:rPr>
  </w:style>
  <w:style w:type="paragraph" w:styleId="Heading3">
    <w:name w:val="heading 3"/>
    <w:basedOn w:val="Normal"/>
    <w:next w:val="Normal"/>
    <w:link w:val="Heading3Char"/>
    <w:uiPriority w:val="9"/>
    <w:qFormat/>
    <w:rsid w:val="00234ABE"/>
    <w:pPr>
      <w:keepNext/>
      <w:numPr>
        <w:ilvl w:val="2"/>
        <w:numId w:val="1"/>
      </w:numPr>
      <w:spacing w:before="240" w:after="60"/>
      <w:outlineLvl w:val="2"/>
    </w:pPr>
    <w:rPr>
      <w:rFonts w:cs="Arial"/>
      <w:b/>
      <w:bCs/>
      <w:color w:val="365F91" w:themeColor="accent1" w:themeShade="BF"/>
      <w:sz w:val="26"/>
      <w:szCs w:val="26"/>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rsid w:val="009F3805"/>
    <w:pPr>
      <w:keepNext/>
      <w:numPr>
        <w:ilvl w:val="3"/>
        <w:numId w:val="1"/>
      </w:numPr>
      <w:spacing w:before="120" w:after="60"/>
      <w:outlineLvl w:val="3"/>
    </w:pPr>
    <w:rPr>
      <w:b/>
      <w:bCs/>
      <w:color w:val="365F91" w:themeColor="accent1" w:themeShade="BF"/>
      <w:szCs w:val="28"/>
    </w:rPr>
  </w:style>
  <w:style w:type="paragraph" w:styleId="Heading5">
    <w:name w:val="heading 5"/>
    <w:basedOn w:val="Normal"/>
    <w:next w:val="Normal"/>
    <w:link w:val="Heading5Char"/>
    <w:uiPriority w:val="99"/>
    <w:qFormat/>
    <w:rsid w:val="00234AB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4AB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234AB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234AB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34AB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1592"/>
    <w:rPr>
      <w:rFonts w:ascii="Arial" w:eastAsia="Times New Roman" w:hAnsi="Arial" w:cs="Arial"/>
      <w:b/>
      <w:bCs/>
      <w:noProof/>
      <w:color w:val="FFFFFF" w:themeColor="background1"/>
      <w:kern w:val="32"/>
      <w:sz w:val="28"/>
      <w:szCs w:val="28"/>
      <w:shd w:val="clear" w:color="auto" w:fill="365F91" w:themeFill="accent1" w:themeFillShade="BF"/>
      <w:lang w:eastAsia="en-GB"/>
    </w:rPr>
  </w:style>
  <w:style w:type="character" w:customStyle="1" w:styleId="Heading2Char">
    <w:name w:val="Heading 2 Char"/>
    <w:basedOn w:val="DefaultParagraphFont"/>
    <w:link w:val="Heading2"/>
    <w:rsid w:val="009F3805"/>
    <w:rPr>
      <w:rFonts w:ascii="Arial" w:eastAsia="Times New Roman" w:hAnsi="Arial" w:cs="Arial"/>
      <w:b/>
      <w:bCs/>
      <w:iCs/>
      <w:color w:val="365F91" w:themeColor="accent1" w:themeShade="BF"/>
      <w:sz w:val="28"/>
      <w:szCs w:val="28"/>
    </w:rPr>
  </w:style>
  <w:style w:type="character" w:customStyle="1" w:styleId="Heading3Char">
    <w:name w:val="Heading 3 Char"/>
    <w:basedOn w:val="DefaultParagraphFont"/>
    <w:link w:val="Heading3"/>
    <w:uiPriority w:val="9"/>
    <w:rsid w:val="00234ABE"/>
    <w:rPr>
      <w:rFonts w:ascii="Arial" w:eastAsia="Times New Roman" w:hAnsi="Arial" w:cs="Arial"/>
      <w:b/>
      <w:bCs/>
      <w:color w:val="365F91" w:themeColor="accent1" w:themeShade="BF"/>
      <w:sz w:val="26"/>
      <w:szCs w:val="26"/>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9F3805"/>
    <w:rPr>
      <w:rFonts w:ascii="Arial" w:eastAsia="Times New Roman" w:hAnsi="Arial" w:cs="Times New Roman"/>
      <w:b/>
      <w:bCs/>
      <w:color w:val="365F91" w:themeColor="accent1" w:themeShade="BF"/>
      <w:szCs w:val="28"/>
    </w:rPr>
  </w:style>
  <w:style w:type="character" w:customStyle="1" w:styleId="Heading5Char">
    <w:name w:val="Heading 5 Char"/>
    <w:basedOn w:val="DefaultParagraphFont"/>
    <w:link w:val="Heading5"/>
    <w:uiPriority w:val="99"/>
    <w:rsid w:val="00234AB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34AB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34AB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34AB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34ABE"/>
    <w:rPr>
      <w:rFonts w:ascii="Arial" w:eastAsia="Times New Roman" w:hAnsi="Arial" w:cs="Arial"/>
    </w:rPr>
  </w:style>
  <w:style w:type="paragraph" w:styleId="Header">
    <w:name w:val="header"/>
    <w:basedOn w:val="Normal"/>
    <w:link w:val="HeaderChar"/>
    <w:uiPriority w:val="99"/>
    <w:rsid w:val="00234ABE"/>
    <w:pPr>
      <w:tabs>
        <w:tab w:val="center" w:pos="4320"/>
        <w:tab w:val="right" w:pos="8640"/>
      </w:tabs>
    </w:pPr>
  </w:style>
  <w:style w:type="character" w:customStyle="1" w:styleId="HeaderChar">
    <w:name w:val="Header Char"/>
    <w:basedOn w:val="DefaultParagraphFont"/>
    <w:link w:val="Header"/>
    <w:uiPriority w:val="99"/>
    <w:rsid w:val="00234ABE"/>
    <w:rPr>
      <w:rFonts w:ascii="Arial" w:eastAsia="Times New Roman" w:hAnsi="Arial" w:cs="Times New Roman"/>
      <w:szCs w:val="20"/>
      <w:lang w:val="en-US"/>
    </w:rPr>
  </w:style>
  <w:style w:type="paragraph" w:styleId="Footer">
    <w:name w:val="footer"/>
    <w:basedOn w:val="Normal"/>
    <w:link w:val="FooterChar"/>
    <w:uiPriority w:val="99"/>
    <w:rsid w:val="00234ABE"/>
    <w:pPr>
      <w:tabs>
        <w:tab w:val="center" w:pos="4320"/>
        <w:tab w:val="right" w:pos="8640"/>
      </w:tabs>
    </w:pPr>
  </w:style>
  <w:style w:type="character" w:customStyle="1" w:styleId="FooterChar">
    <w:name w:val="Footer Char"/>
    <w:basedOn w:val="DefaultParagraphFont"/>
    <w:link w:val="Footer"/>
    <w:uiPriority w:val="99"/>
    <w:rsid w:val="00234ABE"/>
    <w:rPr>
      <w:rFonts w:ascii="Arial" w:eastAsia="Times New Roman" w:hAnsi="Arial" w:cs="Times New Roman"/>
      <w:szCs w:val="20"/>
      <w:lang w:val="en-US"/>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L"/>
    <w:basedOn w:val="Normal"/>
    <w:link w:val="ListParagraphChar"/>
    <w:uiPriority w:val="34"/>
    <w:qFormat/>
    <w:rsid w:val="00234ABE"/>
    <w:pPr>
      <w:ind w:left="720"/>
    </w:pPr>
    <w:rPr>
      <w:sz w:val="24"/>
    </w:rPr>
  </w:style>
  <w:style w:type="character" w:styleId="Hyperlink">
    <w:name w:val="Hyperlink"/>
    <w:basedOn w:val="DefaultParagraphFont"/>
    <w:uiPriority w:val="99"/>
    <w:rsid w:val="00234ABE"/>
    <w:rPr>
      <w:color w:val="0000FF"/>
      <w:u w:val="single"/>
    </w:rPr>
  </w:style>
  <w:style w:type="paragraph" w:styleId="TOC1">
    <w:name w:val="toc 1"/>
    <w:basedOn w:val="Normal"/>
    <w:next w:val="Normal"/>
    <w:autoRedefine/>
    <w:uiPriority w:val="39"/>
    <w:rsid w:val="00234ABE"/>
    <w:pPr>
      <w:spacing w:after="100"/>
    </w:pPr>
  </w:style>
  <w:style w:type="paragraph" w:styleId="TOC2">
    <w:name w:val="toc 2"/>
    <w:basedOn w:val="Normal"/>
    <w:next w:val="Normal"/>
    <w:autoRedefine/>
    <w:uiPriority w:val="39"/>
    <w:rsid w:val="00234ABE"/>
    <w:pPr>
      <w:spacing w:after="100"/>
      <w:ind w:left="200"/>
    </w:pPr>
  </w:style>
  <w:style w:type="paragraph" w:styleId="Title">
    <w:name w:val="Title"/>
    <w:basedOn w:val="Normal"/>
    <w:next w:val="Normal"/>
    <w:link w:val="TitleChar"/>
    <w:uiPriority w:val="99"/>
    <w:qFormat/>
    <w:rsid w:val="00FE4D5B"/>
    <w:pPr>
      <w:pBdr>
        <w:bottom w:val="single" w:sz="8" w:space="4" w:color="4F81BD" w:themeColor="accent1"/>
      </w:pBdr>
      <w:spacing w:after="300"/>
      <w:contextualSpacing/>
    </w:pPr>
    <w:rPr>
      <w:rFonts w:eastAsiaTheme="majorEastAsia" w:cstheme="majorBidi"/>
      <w:b/>
      <w:color w:val="365F91" w:themeColor="accent1" w:themeShade="BF"/>
      <w:spacing w:val="5"/>
      <w:kern w:val="28"/>
      <w:sz w:val="40"/>
      <w:szCs w:val="52"/>
    </w:rPr>
  </w:style>
  <w:style w:type="character" w:customStyle="1" w:styleId="TitleChar">
    <w:name w:val="Title Char"/>
    <w:basedOn w:val="DefaultParagraphFont"/>
    <w:link w:val="Title"/>
    <w:uiPriority w:val="99"/>
    <w:rsid w:val="00FE4D5B"/>
    <w:rPr>
      <w:rFonts w:ascii="Arial" w:eastAsiaTheme="majorEastAsia" w:hAnsi="Arial" w:cstheme="majorBidi"/>
      <w:b/>
      <w:color w:val="365F91" w:themeColor="accent1" w:themeShade="BF"/>
      <w:spacing w:val="5"/>
      <w:kern w:val="28"/>
      <w:sz w:val="40"/>
      <w:szCs w:val="52"/>
      <w:lang w:val="en-US"/>
    </w:rPr>
  </w:style>
  <w:style w:type="paragraph" w:styleId="Subtitle">
    <w:name w:val="Subtitle"/>
    <w:basedOn w:val="Normal"/>
    <w:next w:val="Normal"/>
    <w:link w:val="SubtitleChar"/>
    <w:qFormat/>
    <w:rsid w:val="00234A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4ABE"/>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0E713E"/>
    <w:rPr>
      <w:rFonts w:ascii="Arial" w:hAnsi="Arial"/>
      <w:i/>
      <w:iCs/>
      <w:color w:val="365F91" w:themeColor="accent1" w:themeShade="BF"/>
      <w:sz w:val="22"/>
    </w:rPr>
  </w:style>
  <w:style w:type="character" w:styleId="BookTitle">
    <w:name w:val="Book Title"/>
    <w:basedOn w:val="DefaultParagraphFont"/>
    <w:uiPriority w:val="33"/>
    <w:qFormat/>
    <w:rsid w:val="00234ABE"/>
    <w:rPr>
      <w:b/>
      <w:bCs/>
      <w:smallCaps/>
      <w:spacing w:val="5"/>
    </w:rPr>
  </w:style>
  <w:style w:type="paragraph" w:styleId="BalloonText">
    <w:name w:val="Balloon Text"/>
    <w:basedOn w:val="Normal"/>
    <w:link w:val="BalloonTextChar"/>
    <w:uiPriority w:val="99"/>
    <w:unhideWhenUsed/>
    <w:rsid w:val="00234ABE"/>
    <w:rPr>
      <w:rFonts w:ascii="Tahoma" w:hAnsi="Tahoma" w:cs="Tahoma"/>
      <w:sz w:val="16"/>
      <w:szCs w:val="16"/>
    </w:rPr>
  </w:style>
  <w:style w:type="character" w:customStyle="1" w:styleId="BalloonTextChar">
    <w:name w:val="Balloon Text Char"/>
    <w:basedOn w:val="DefaultParagraphFont"/>
    <w:link w:val="BalloonText"/>
    <w:uiPriority w:val="99"/>
    <w:rsid w:val="00234ABE"/>
    <w:rPr>
      <w:rFonts w:ascii="Tahoma" w:eastAsia="Times New Roman" w:hAnsi="Tahoma" w:cs="Tahoma"/>
      <w:sz w:val="16"/>
      <w:szCs w:val="16"/>
      <w:lang w:val="en-US"/>
    </w:rPr>
  </w:style>
  <w:style w:type="paragraph" w:styleId="TOC3">
    <w:name w:val="toc 3"/>
    <w:basedOn w:val="Normal"/>
    <w:next w:val="Normal"/>
    <w:autoRedefine/>
    <w:uiPriority w:val="39"/>
    <w:unhideWhenUsed/>
    <w:rsid w:val="00234ABE"/>
    <w:pPr>
      <w:spacing w:after="100"/>
      <w:ind w:left="440"/>
    </w:pPr>
  </w:style>
  <w:style w:type="character" w:styleId="Strong">
    <w:name w:val="Strong"/>
    <w:basedOn w:val="DefaultParagraphFont"/>
    <w:uiPriority w:val="22"/>
    <w:qFormat/>
    <w:rsid w:val="000A09BA"/>
    <w:rPr>
      <w:b/>
      <w:bCs/>
    </w:rPr>
  </w:style>
  <w:style w:type="paragraph" w:styleId="NoSpacing">
    <w:name w:val="No Spacing"/>
    <w:uiPriority w:val="1"/>
    <w:qFormat/>
    <w:rsid w:val="0045709B"/>
    <w:pPr>
      <w:spacing w:after="0" w:line="240" w:lineRule="auto"/>
    </w:pPr>
    <w:rPr>
      <w:rFonts w:ascii="Arial" w:eastAsia="Times New Roman" w:hAnsi="Arial" w:cs="Times New Roman"/>
      <w:sz w:val="24"/>
      <w:szCs w:val="20"/>
    </w:rPr>
  </w:style>
  <w:style w:type="paragraph" w:customStyle="1" w:styleId="xl74">
    <w:name w:val="xl74"/>
    <w:basedOn w:val="Normal"/>
    <w:rsid w:val="00450A4B"/>
    <w:pPr>
      <w:spacing w:before="100" w:beforeAutospacing="1" w:after="100" w:afterAutospacing="1"/>
    </w:pPr>
    <w:rPr>
      <w:rFonts w:cs="Arial"/>
      <w:b/>
      <w:bCs/>
      <w:sz w:val="24"/>
      <w:szCs w:val="24"/>
      <w:lang w:eastAsia="en-GB"/>
    </w:rPr>
  </w:style>
  <w:style w:type="paragraph" w:customStyle="1" w:styleId="xl75">
    <w:name w:val="xl75"/>
    <w:basedOn w:val="Normal"/>
    <w:rsid w:val="00450A4B"/>
    <w:pPr>
      <w:spacing w:before="100" w:beforeAutospacing="1" w:after="100" w:afterAutospacing="1"/>
      <w:jc w:val="center"/>
    </w:pPr>
    <w:rPr>
      <w:rFonts w:cs="Arial"/>
      <w:b/>
      <w:bCs/>
      <w:sz w:val="24"/>
      <w:szCs w:val="24"/>
      <w:lang w:eastAsia="en-GB"/>
    </w:rPr>
  </w:style>
  <w:style w:type="paragraph" w:customStyle="1" w:styleId="xl76">
    <w:name w:val="xl76"/>
    <w:basedOn w:val="Normal"/>
    <w:rsid w:val="00450A4B"/>
    <w:pPr>
      <w:spacing w:before="100" w:beforeAutospacing="1" w:after="100" w:afterAutospacing="1"/>
    </w:pPr>
    <w:rPr>
      <w:rFonts w:cs="Arial"/>
      <w:sz w:val="24"/>
      <w:szCs w:val="24"/>
      <w:lang w:eastAsia="en-GB"/>
    </w:rPr>
  </w:style>
  <w:style w:type="paragraph" w:customStyle="1" w:styleId="xl77">
    <w:name w:val="xl77"/>
    <w:basedOn w:val="Normal"/>
    <w:rsid w:val="00450A4B"/>
    <w:pPr>
      <w:spacing w:before="100" w:beforeAutospacing="1" w:after="100" w:afterAutospacing="1"/>
    </w:pPr>
    <w:rPr>
      <w:rFonts w:cs="Arial"/>
      <w:sz w:val="24"/>
      <w:szCs w:val="24"/>
      <w:lang w:eastAsia="en-GB"/>
    </w:rPr>
  </w:style>
  <w:style w:type="paragraph" w:customStyle="1" w:styleId="xl78">
    <w:name w:val="xl78"/>
    <w:basedOn w:val="Normal"/>
    <w:rsid w:val="00450A4B"/>
    <w:pPr>
      <w:spacing w:before="100" w:beforeAutospacing="1" w:after="100" w:afterAutospacing="1"/>
      <w:jc w:val="center"/>
    </w:pPr>
    <w:rPr>
      <w:rFonts w:cs="Arial"/>
      <w:sz w:val="24"/>
      <w:szCs w:val="24"/>
      <w:lang w:eastAsia="en-GB"/>
    </w:rPr>
  </w:style>
  <w:style w:type="paragraph" w:customStyle="1" w:styleId="xl79">
    <w:name w:val="xl79"/>
    <w:basedOn w:val="Normal"/>
    <w:rsid w:val="00450A4B"/>
    <w:pPr>
      <w:pBdr>
        <w:top w:val="single" w:sz="4" w:space="0" w:color="auto"/>
        <w:left w:val="single" w:sz="4" w:space="0" w:color="auto"/>
      </w:pBdr>
      <w:spacing w:before="100" w:beforeAutospacing="1" w:after="100" w:afterAutospacing="1"/>
    </w:pPr>
    <w:rPr>
      <w:rFonts w:cs="Arial"/>
      <w:b/>
      <w:bCs/>
      <w:sz w:val="24"/>
      <w:szCs w:val="24"/>
      <w:lang w:eastAsia="en-GB"/>
    </w:rPr>
  </w:style>
  <w:style w:type="paragraph" w:customStyle="1" w:styleId="xl80">
    <w:name w:val="xl80"/>
    <w:basedOn w:val="Normal"/>
    <w:rsid w:val="00450A4B"/>
    <w:pPr>
      <w:pBdr>
        <w:top w:val="single" w:sz="4" w:space="0" w:color="auto"/>
        <w:left w:val="single" w:sz="4" w:space="0" w:color="auto"/>
      </w:pBdr>
      <w:spacing w:before="100" w:beforeAutospacing="1" w:after="100" w:afterAutospacing="1"/>
      <w:jc w:val="center"/>
    </w:pPr>
    <w:rPr>
      <w:rFonts w:cs="Arial"/>
      <w:b/>
      <w:bCs/>
      <w:sz w:val="24"/>
      <w:szCs w:val="24"/>
      <w:lang w:eastAsia="en-GB"/>
    </w:rPr>
  </w:style>
  <w:style w:type="paragraph" w:customStyle="1" w:styleId="xl81">
    <w:name w:val="xl81"/>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2">
    <w:name w:val="xl82"/>
    <w:basedOn w:val="Normal"/>
    <w:rsid w:val="00450A4B"/>
    <w:pPr>
      <w:pBdr>
        <w:top w:val="single" w:sz="4" w:space="0" w:color="auto"/>
      </w:pBdr>
      <w:spacing w:before="100" w:beforeAutospacing="1" w:after="100" w:afterAutospacing="1"/>
      <w:jc w:val="center"/>
    </w:pPr>
    <w:rPr>
      <w:rFonts w:cs="Arial"/>
      <w:b/>
      <w:bCs/>
      <w:sz w:val="24"/>
      <w:szCs w:val="24"/>
      <w:lang w:eastAsia="en-GB"/>
    </w:rPr>
  </w:style>
  <w:style w:type="paragraph" w:customStyle="1" w:styleId="xl83">
    <w:name w:val="xl83"/>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4">
    <w:name w:val="xl84"/>
    <w:basedOn w:val="Normal"/>
    <w:rsid w:val="00450A4B"/>
    <w:pPr>
      <w:pBdr>
        <w:top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5">
    <w:name w:val="xl85"/>
    <w:basedOn w:val="Normal"/>
    <w:rsid w:val="00450A4B"/>
    <w:pPr>
      <w:pBdr>
        <w:left w:val="single" w:sz="4" w:space="0" w:color="auto"/>
      </w:pBdr>
      <w:spacing w:before="100" w:beforeAutospacing="1" w:after="100" w:afterAutospacing="1"/>
    </w:pPr>
    <w:rPr>
      <w:rFonts w:cs="Arial"/>
      <w:b/>
      <w:bCs/>
      <w:sz w:val="24"/>
      <w:szCs w:val="24"/>
      <w:lang w:eastAsia="en-GB"/>
    </w:rPr>
  </w:style>
  <w:style w:type="paragraph" w:customStyle="1" w:styleId="xl86">
    <w:name w:val="xl86"/>
    <w:basedOn w:val="Normal"/>
    <w:rsid w:val="00450A4B"/>
    <w:pPr>
      <w:pBdr>
        <w:left w:val="single" w:sz="4" w:space="0" w:color="auto"/>
      </w:pBdr>
      <w:spacing w:before="100" w:beforeAutospacing="1" w:after="100" w:afterAutospacing="1"/>
      <w:jc w:val="center"/>
    </w:pPr>
    <w:rPr>
      <w:rFonts w:cs="Arial"/>
      <w:b/>
      <w:bCs/>
      <w:sz w:val="24"/>
      <w:szCs w:val="24"/>
      <w:lang w:eastAsia="en-GB"/>
    </w:rPr>
  </w:style>
  <w:style w:type="paragraph" w:customStyle="1" w:styleId="xl87">
    <w:name w:val="xl8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8">
    <w:name w:val="xl88"/>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9">
    <w:name w:val="xl89"/>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90">
    <w:name w:val="xl90"/>
    <w:basedOn w:val="Normal"/>
    <w:rsid w:val="00450A4B"/>
    <w:pPr>
      <w:pBdr>
        <w:left w:val="single" w:sz="4" w:space="0" w:color="auto"/>
        <w:bottom w:val="single" w:sz="4" w:space="0" w:color="auto"/>
      </w:pBdr>
      <w:spacing w:before="100" w:beforeAutospacing="1" w:after="100" w:afterAutospacing="1"/>
    </w:pPr>
    <w:rPr>
      <w:rFonts w:cs="Arial"/>
      <w:b/>
      <w:bCs/>
      <w:sz w:val="24"/>
      <w:szCs w:val="24"/>
      <w:lang w:eastAsia="en-GB"/>
    </w:rPr>
  </w:style>
  <w:style w:type="paragraph" w:customStyle="1" w:styleId="xl91">
    <w:name w:val="xl91"/>
    <w:basedOn w:val="Normal"/>
    <w:rsid w:val="00450A4B"/>
    <w:pPr>
      <w:pBdr>
        <w:left w:val="single" w:sz="4" w:space="0" w:color="auto"/>
        <w:bottom w:val="single" w:sz="4" w:space="0" w:color="auto"/>
      </w:pBdr>
      <w:spacing w:before="100" w:beforeAutospacing="1" w:after="100" w:afterAutospacing="1"/>
      <w:jc w:val="center"/>
    </w:pPr>
    <w:rPr>
      <w:rFonts w:cs="Arial"/>
      <w:b/>
      <w:bCs/>
      <w:sz w:val="24"/>
      <w:szCs w:val="24"/>
      <w:lang w:eastAsia="en-GB"/>
    </w:rPr>
  </w:style>
  <w:style w:type="paragraph" w:customStyle="1" w:styleId="xl92">
    <w:name w:val="xl92"/>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93">
    <w:name w:val="xl93"/>
    <w:basedOn w:val="Normal"/>
    <w:rsid w:val="00450A4B"/>
    <w:pPr>
      <w:pBdr>
        <w:bottom w:val="single" w:sz="4" w:space="0" w:color="auto"/>
      </w:pBdr>
      <w:spacing w:before="100" w:beforeAutospacing="1" w:after="100" w:afterAutospacing="1"/>
      <w:jc w:val="center"/>
    </w:pPr>
    <w:rPr>
      <w:rFonts w:cs="Arial"/>
      <w:b/>
      <w:bCs/>
      <w:sz w:val="24"/>
      <w:szCs w:val="24"/>
      <w:lang w:eastAsia="en-GB"/>
    </w:rPr>
  </w:style>
  <w:style w:type="paragraph" w:customStyle="1" w:styleId="xl94">
    <w:name w:val="xl94"/>
    <w:basedOn w:val="Normal"/>
    <w:rsid w:val="00450A4B"/>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5">
    <w:name w:val="xl95"/>
    <w:basedOn w:val="Normal"/>
    <w:rsid w:val="00450A4B"/>
    <w:pPr>
      <w:pBdr>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6">
    <w:name w:val="xl96"/>
    <w:basedOn w:val="Normal"/>
    <w:rsid w:val="00450A4B"/>
    <w:pPr>
      <w:pBdr>
        <w:top w:val="single" w:sz="4" w:space="0" w:color="auto"/>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97">
    <w:name w:val="xl97"/>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98">
    <w:name w:val="xl98"/>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99">
    <w:name w:val="xl99"/>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00">
    <w:name w:val="xl10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01">
    <w:name w:val="xl101"/>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02">
    <w:name w:val="xl10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3">
    <w:name w:val="xl103"/>
    <w:basedOn w:val="Normal"/>
    <w:rsid w:val="00450A4B"/>
    <w:pPr>
      <w:spacing w:before="100" w:beforeAutospacing="1" w:after="100" w:afterAutospacing="1"/>
    </w:pPr>
    <w:rPr>
      <w:rFonts w:cs="Arial"/>
      <w:sz w:val="24"/>
      <w:szCs w:val="24"/>
      <w:lang w:eastAsia="en-GB"/>
    </w:rPr>
  </w:style>
  <w:style w:type="paragraph" w:customStyle="1" w:styleId="xl104">
    <w:name w:val="xl104"/>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5">
    <w:name w:val="xl105"/>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6">
    <w:name w:val="xl106"/>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07">
    <w:name w:val="xl107"/>
    <w:basedOn w:val="Normal"/>
    <w:rsid w:val="00450A4B"/>
    <w:pPr>
      <w:pBdr>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8">
    <w:name w:val="xl108"/>
    <w:basedOn w:val="Normal"/>
    <w:rsid w:val="00450A4B"/>
    <w:pPr>
      <w:pBdr>
        <w:right w:val="single" w:sz="4" w:space="0" w:color="auto"/>
      </w:pBdr>
      <w:spacing w:before="100" w:beforeAutospacing="1" w:after="100" w:afterAutospacing="1"/>
    </w:pPr>
    <w:rPr>
      <w:rFonts w:cs="Arial"/>
      <w:b/>
      <w:bCs/>
      <w:sz w:val="24"/>
      <w:szCs w:val="24"/>
      <w:u w:val="single"/>
      <w:lang w:eastAsia="en-GB"/>
    </w:rPr>
  </w:style>
  <w:style w:type="paragraph" w:customStyle="1" w:styleId="xl109">
    <w:name w:val="xl109"/>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10">
    <w:name w:val="xl110"/>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11">
    <w:name w:val="xl111"/>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2">
    <w:name w:val="xl11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3">
    <w:name w:val="xl11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4">
    <w:name w:val="xl11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5">
    <w:name w:val="xl115"/>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6">
    <w:name w:val="xl116"/>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7">
    <w:name w:val="xl117"/>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8">
    <w:name w:val="xl118"/>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19">
    <w:name w:val="xl119"/>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u w:val="single"/>
      <w:lang w:eastAsia="en-GB"/>
    </w:rPr>
  </w:style>
  <w:style w:type="paragraph" w:customStyle="1" w:styleId="xl120">
    <w:name w:val="xl12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1">
    <w:name w:val="xl121"/>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22">
    <w:name w:val="xl12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23">
    <w:name w:val="xl123"/>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4">
    <w:name w:val="xl124"/>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125">
    <w:name w:val="xl125"/>
    <w:basedOn w:val="Normal"/>
    <w:rsid w:val="00450A4B"/>
    <w:pPr>
      <w:spacing w:before="100" w:beforeAutospacing="1" w:after="100" w:afterAutospacing="1"/>
    </w:pPr>
    <w:rPr>
      <w:rFonts w:cs="Arial"/>
      <w:b/>
      <w:bCs/>
      <w:sz w:val="24"/>
      <w:szCs w:val="24"/>
      <w:lang w:eastAsia="en-GB"/>
    </w:rPr>
  </w:style>
  <w:style w:type="paragraph" w:customStyle="1" w:styleId="xl126">
    <w:name w:val="xl126"/>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7">
    <w:name w:val="xl127"/>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28">
    <w:name w:val="xl128"/>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9">
    <w:name w:val="xl129"/>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0">
    <w:name w:val="xl130"/>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1">
    <w:name w:val="xl131"/>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2">
    <w:name w:val="xl13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3">
    <w:name w:val="xl13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4">
    <w:name w:val="xl13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sz w:val="24"/>
      <w:szCs w:val="24"/>
      <w:lang w:eastAsia="en-GB"/>
    </w:rPr>
  </w:style>
  <w:style w:type="paragraph" w:customStyle="1" w:styleId="xl135">
    <w:name w:val="xl135"/>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6">
    <w:name w:val="xl136"/>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u w:val="single"/>
      <w:lang w:eastAsia="en-GB"/>
    </w:rPr>
  </w:style>
  <w:style w:type="paragraph" w:customStyle="1" w:styleId="xl137">
    <w:name w:val="xl13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38">
    <w:name w:val="xl138"/>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9">
    <w:name w:val="xl139"/>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40">
    <w:name w:val="xl14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1">
    <w:name w:val="xl141"/>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2">
    <w:name w:val="xl142"/>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43">
    <w:name w:val="xl143"/>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144">
    <w:name w:val="xl144"/>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5">
    <w:name w:val="xl145"/>
    <w:basedOn w:val="Normal"/>
    <w:rsid w:val="00450A4B"/>
    <w:pPr>
      <w:spacing w:before="100" w:beforeAutospacing="1" w:after="100" w:afterAutospacing="1"/>
      <w:jc w:val="center"/>
    </w:pPr>
    <w:rPr>
      <w:rFonts w:cs="Arial"/>
      <w:sz w:val="24"/>
      <w:szCs w:val="24"/>
      <w:lang w:eastAsia="en-GB"/>
    </w:rPr>
  </w:style>
  <w:style w:type="paragraph" w:customStyle="1" w:styleId="xl146">
    <w:name w:val="xl146"/>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7">
    <w:name w:val="xl14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48">
    <w:name w:val="xl148"/>
    <w:basedOn w:val="Normal"/>
    <w:rsid w:val="00450A4B"/>
    <w:pPr>
      <w:shd w:val="clear" w:color="000000" w:fill="FFFF00"/>
      <w:spacing w:before="100" w:beforeAutospacing="1" w:after="100" w:afterAutospacing="1"/>
      <w:jc w:val="center"/>
    </w:pPr>
    <w:rPr>
      <w:rFonts w:cs="Arial"/>
      <w:sz w:val="24"/>
      <w:szCs w:val="24"/>
      <w:lang w:eastAsia="en-GB"/>
    </w:rPr>
  </w:style>
  <w:style w:type="paragraph" w:customStyle="1" w:styleId="xl149">
    <w:name w:val="xl149"/>
    <w:basedOn w:val="Normal"/>
    <w:rsid w:val="00450A4B"/>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Default">
    <w:name w:val="Default"/>
    <w:link w:val="DefaultChar"/>
    <w:rsid w:val="006830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uiPriority w:val="99"/>
    <w:unhideWhenUsed/>
    <w:rsid w:val="00224170"/>
    <w:rPr>
      <w:sz w:val="20"/>
    </w:rPr>
  </w:style>
  <w:style w:type="character" w:customStyle="1" w:styleId="CommentTextChar">
    <w:name w:val="Comment Text Char"/>
    <w:basedOn w:val="DefaultParagraphFont"/>
    <w:link w:val="CommentText"/>
    <w:uiPriority w:val="99"/>
    <w:rsid w:val="00224170"/>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rsid w:val="00224170"/>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unhideWhenUsed/>
    <w:rsid w:val="00224170"/>
    <w:rPr>
      <w:b/>
      <w:bCs/>
    </w:rPr>
  </w:style>
  <w:style w:type="paragraph" w:styleId="Caption">
    <w:name w:val="caption"/>
    <w:basedOn w:val="Normal"/>
    <w:next w:val="Normal"/>
    <w:uiPriority w:val="35"/>
    <w:unhideWhenUsed/>
    <w:qFormat/>
    <w:rsid w:val="00834162"/>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99"/>
    <w:rsid w:val="000960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E1F4F"/>
    <w:rPr>
      <w:sz w:val="16"/>
      <w:szCs w:val="16"/>
    </w:rPr>
  </w:style>
  <w:style w:type="paragraph" w:styleId="NormalWeb">
    <w:name w:val="Normal (Web)"/>
    <w:basedOn w:val="Normal"/>
    <w:uiPriority w:val="99"/>
    <w:unhideWhenUsed/>
    <w:rsid w:val="00286139"/>
    <w:pPr>
      <w:spacing w:before="100" w:beforeAutospacing="1" w:after="100" w:afterAutospacing="1"/>
    </w:pPr>
    <w:rPr>
      <w:rFonts w:ascii="Times New Roman" w:hAnsi="Times New Roman"/>
      <w:sz w:val="24"/>
      <w:szCs w:val="24"/>
      <w:lang w:eastAsia="en-GB"/>
    </w:rPr>
  </w:style>
  <w:style w:type="paragraph" w:customStyle="1" w:styleId="NoSpacing1">
    <w:name w:val="No Spacing1"/>
    <w:link w:val="NoSpacingChar"/>
    <w:uiPriority w:val="1"/>
    <w:qFormat/>
    <w:rsid w:val="00024F25"/>
    <w:pPr>
      <w:spacing w:after="0" w:line="240" w:lineRule="auto"/>
    </w:pPr>
    <w:rPr>
      <w:rFonts w:ascii="Calibri" w:eastAsia="Calibri" w:hAnsi="Calibri" w:cs="Times New Roman"/>
    </w:rPr>
  </w:style>
  <w:style w:type="character" w:customStyle="1" w:styleId="NoSpacingChar">
    <w:name w:val="No Spacing Char"/>
    <w:link w:val="NoSpacing1"/>
    <w:uiPriority w:val="1"/>
    <w:rsid w:val="00024F25"/>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L Char"/>
    <w:link w:val="ListParagraph"/>
    <w:uiPriority w:val="34"/>
    <w:qFormat/>
    <w:locked/>
    <w:rsid w:val="009206B3"/>
    <w:rPr>
      <w:rFonts w:ascii="Arial" w:eastAsia="Times New Roman" w:hAnsi="Arial" w:cs="Times New Roman"/>
      <w:sz w:val="24"/>
      <w:szCs w:val="20"/>
    </w:rPr>
  </w:style>
  <w:style w:type="paragraph" w:styleId="BodyTextIndent2">
    <w:name w:val="Body Text Indent 2"/>
    <w:basedOn w:val="Normal"/>
    <w:link w:val="BodyTextIndent2Char"/>
    <w:uiPriority w:val="99"/>
    <w:rsid w:val="00242DC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42DC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40704"/>
    <w:pPr>
      <w:spacing w:after="120"/>
      <w:ind w:left="283"/>
    </w:pPr>
  </w:style>
  <w:style w:type="character" w:customStyle="1" w:styleId="BodyTextIndentChar">
    <w:name w:val="Body Text Indent Char"/>
    <w:basedOn w:val="DefaultParagraphFont"/>
    <w:link w:val="BodyTextIndent"/>
    <w:uiPriority w:val="99"/>
    <w:rsid w:val="00D40704"/>
    <w:rPr>
      <w:rFonts w:ascii="Arial" w:eastAsia="Times New Roman" w:hAnsi="Arial" w:cs="Times New Roman"/>
      <w:szCs w:val="20"/>
    </w:rPr>
  </w:style>
  <w:style w:type="character" w:styleId="PageNumber">
    <w:name w:val="page number"/>
    <w:basedOn w:val="DefaultParagraphFont"/>
    <w:uiPriority w:val="99"/>
    <w:rsid w:val="00D40704"/>
  </w:style>
  <w:style w:type="paragraph" w:styleId="DocumentMap">
    <w:name w:val="Document Map"/>
    <w:basedOn w:val="Normal"/>
    <w:link w:val="DocumentMapChar"/>
    <w:uiPriority w:val="99"/>
    <w:semiHidden/>
    <w:rsid w:val="00D4070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0704"/>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D40704"/>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D40704"/>
    <w:rPr>
      <w:rFonts w:ascii="Times New Roman" w:eastAsia="Times New Roman" w:hAnsi="Times New Roman" w:cs="Times New Roman"/>
      <w:sz w:val="16"/>
      <w:szCs w:val="16"/>
    </w:rPr>
  </w:style>
  <w:style w:type="paragraph" w:styleId="BodyText">
    <w:name w:val="Body Text"/>
    <w:basedOn w:val="Normal"/>
    <w:link w:val="BodyTextChar"/>
    <w:uiPriority w:val="1"/>
    <w:qFormat/>
    <w:rsid w:val="00D40704"/>
    <w:pPr>
      <w:spacing w:after="120"/>
    </w:pPr>
    <w:rPr>
      <w:rFonts w:ascii="Times New Roman" w:hAnsi="Times New Roman"/>
      <w:sz w:val="24"/>
      <w:szCs w:val="24"/>
    </w:rPr>
  </w:style>
  <w:style w:type="character" w:customStyle="1" w:styleId="BodyTextChar">
    <w:name w:val="Body Text Char"/>
    <w:basedOn w:val="DefaultParagraphFont"/>
    <w:link w:val="BodyText"/>
    <w:uiPriority w:val="1"/>
    <w:rsid w:val="00D40704"/>
    <w:rPr>
      <w:rFonts w:ascii="Times New Roman" w:eastAsia="Times New Roman" w:hAnsi="Times New Roman" w:cs="Times New Roman"/>
      <w:sz w:val="24"/>
      <w:szCs w:val="24"/>
    </w:rPr>
  </w:style>
  <w:style w:type="paragraph" w:styleId="BodyText2">
    <w:name w:val="Body Text 2"/>
    <w:basedOn w:val="Normal"/>
    <w:link w:val="BodyText2Char"/>
    <w:uiPriority w:val="99"/>
    <w:rsid w:val="00D40704"/>
    <w:pPr>
      <w:jc w:val="center"/>
    </w:pPr>
    <w:rPr>
      <w:rFonts w:cs="Arial"/>
      <w:b/>
      <w:bCs/>
      <w:sz w:val="24"/>
      <w:szCs w:val="24"/>
    </w:rPr>
  </w:style>
  <w:style w:type="character" w:customStyle="1" w:styleId="BodyText2Char">
    <w:name w:val="Body Text 2 Char"/>
    <w:basedOn w:val="DefaultParagraphFont"/>
    <w:link w:val="BodyText2"/>
    <w:uiPriority w:val="99"/>
    <w:rsid w:val="00D40704"/>
    <w:rPr>
      <w:rFonts w:ascii="Arial" w:eastAsia="Times New Roman" w:hAnsi="Arial" w:cs="Arial"/>
      <w:b/>
      <w:bCs/>
      <w:sz w:val="24"/>
      <w:szCs w:val="24"/>
    </w:rPr>
  </w:style>
  <w:style w:type="paragraph" w:customStyle="1" w:styleId="Pa3">
    <w:name w:val="Pa3"/>
    <w:basedOn w:val="Normal"/>
    <w:next w:val="Normal"/>
    <w:uiPriority w:val="99"/>
    <w:rsid w:val="00D40704"/>
    <w:pPr>
      <w:autoSpaceDE w:val="0"/>
      <w:autoSpaceDN w:val="0"/>
      <w:adjustRightInd w:val="0"/>
      <w:spacing w:after="220" w:line="201" w:lineRule="atLeast"/>
    </w:pPr>
    <w:rPr>
      <w:rFonts w:ascii="Univers" w:hAnsi="Univers"/>
      <w:sz w:val="24"/>
      <w:szCs w:val="24"/>
      <w:lang w:val="en-US"/>
    </w:rPr>
  </w:style>
  <w:style w:type="character" w:customStyle="1" w:styleId="CharChar4">
    <w:name w:val="Char Char4"/>
    <w:basedOn w:val="DefaultParagraphFont"/>
    <w:uiPriority w:val="99"/>
    <w:locked/>
    <w:rsid w:val="00D40704"/>
    <w:rPr>
      <w:rFonts w:cs="Times New Roman"/>
      <w:iCs/>
      <w:sz w:val="24"/>
      <w:szCs w:val="24"/>
      <w:lang w:eastAsia="en-US"/>
    </w:rPr>
  </w:style>
  <w:style w:type="character" w:customStyle="1" w:styleId="CharChar6">
    <w:name w:val="Char Char6"/>
    <w:basedOn w:val="DefaultParagraphFont"/>
    <w:uiPriority w:val="99"/>
    <w:locked/>
    <w:rsid w:val="00D40704"/>
    <w:rPr>
      <w:rFonts w:cs="Times New Roman"/>
      <w:iCs/>
      <w:sz w:val="24"/>
      <w:szCs w:val="24"/>
      <w:lang w:eastAsia="en-US"/>
    </w:rPr>
  </w:style>
  <w:style w:type="paragraph" w:customStyle="1" w:styleId="TableBullet2">
    <w:name w:val="Table Bullet 2"/>
    <w:basedOn w:val="Normal"/>
    <w:qFormat/>
    <w:rsid w:val="00D40704"/>
    <w:pPr>
      <w:numPr>
        <w:numId w:val="3"/>
      </w:numPr>
    </w:pPr>
    <w:rPr>
      <w:rFonts w:asciiTheme="minorHAnsi" w:hAnsiTheme="minorHAnsi"/>
      <w:sz w:val="18"/>
      <w:szCs w:val="18"/>
    </w:rPr>
  </w:style>
  <w:style w:type="table" w:customStyle="1" w:styleId="TableStyle1">
    <w:name w:val="Table Style1"/>
    <w:basedOn w:val="TableNormal"/>
    <w:rsid w:val="00F0741A"/>
    <w:pPr>
      <w:spacing w:after="0" w:line="240" w:lineRule="auto"/>
    </w:pPr>
    <w:rPr>
      <w:rFonts w:ascii="Times New Roman" w:eastAsia="Times New Roman" w:hAnsi="Times New Roman" w:cs="Times New Roman"/>
      <w:sz w:val="20"/>
      <w:szCs w:val="20"/>
      <w:lang w:eastAsia="en-GB"/>
    </w:rPr>
    <w:tblPr/>
  </w:style>
  <w:style w:type="table" w:styleId="TableList3">
    <w:name w:val="Table List 3"/>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0741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Style2">
    <w:name w:val="Table Style2"/>
    <w:basedOn w:val="TableGrid"/>
    <w:rsid w:val="00F0741A"/>
    <w:tblPr/>
  </w:style>
  <w:style w:type="character" w:customStyle="1" w:styleId="y0nh2b">
    <w:name w:val="y0nh2b"/>
    <w:basedOn w:val="DefaultParagraphFont"/>
    <w:rsid w:val="00936AB9"/>
  </w:style>
  <w:style w:type="paragraph" w:customStyle="1" w:styleId="BodyText1">
    <w:name w:val="Body Text1"/>
    <w:basedOn w:val="Normal"/>
    <w:rsid w:val="00632915"/>
    <w:rPr>
      <w:sz w:val="24"/>
      <w:lang w:eastAsia="en-GB"/>
    </w:rPr>
  </w:style>
  <w:style w:type="paragraph" w:customStyle="1" w:styleId="BodyText10">
    <w:name w:val="Body Text1"/>
    <w:basedOn w:val="Normal"/>
    <w:rsid w:val="00632915"/>
    <w:rPr>
      <w:sz w:val="24"/>
      <w:lang w:eastAsia="en-GB"/>
    </w:rPr>
  </w:style>
  <w:style w:type="paragraph" w:customStyle="1" w:styleId="BodyText20">
    <w:name w:val="Body Text2"/>
    <w:basedOn w:val="Normal"/>
    <w:rsid w:val="00830ED8"/>
    <w:rPr>
      <w:sz w:val="24"/>
      <w:lang w:eastAsia="en-GB"/>
    </w:rPr>
  </w:style>
  <w:style w:type="paragraph" w:styleId="Revision">
    <w:name w:val="Revision"/>
    <w:hidden/>
    <w:uiPriority w:val="99"/>
    <w:semiHidden/>
    <w:rsid w:val="002A4EB1"/>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rsid w:val="00DE65C0"/>
    <w:rPr>
      <w:rFonts w:cs="Times New Roman"/>
      <w:color w:val="606420"/>
      <w:u w:val="single"/>
    </w:rPr>
  </w:style>
  <w:style w:type="character" w:customStyle="1" w:styleId="header3">
    <w:name w:val="header3"/>
    <w:basedOn w:val="DefaultParagraphFont"/>
    <w:uiPriority w:val="99"/>
    <w:rsid w:val="00DE65C0"/>
    <w:rPr>
      <w:rFonts w:cs="Times New Roman"/>
      <w:b/>
      <w:bCs/>
      <w:color w:val="05265C"/>
      <w:sz w:val="24"/>
      <w:szCs w:val="24"/>
    </w:rPr>
  </w:style>
  <w:style w:type="paragraph" w:styleId="FootnoteText">
    <w:name w:val="footnote text"/>
    <w:basedOn w:val="Normal"/>
    <w:link w:val="FootnoteTextChar"/>
    <w:uiPriority w:val="99"/>
    <w:semiHidden/>
    <w:rsid w:val="00DE65C0"/>
    <w:pPr>
      <w:tabs>
        <w:tab w:val="left" w:pos="720"/>
        <w:tab w:val="left" w:pos="1440"/>
        <w:tab w:val="left" w:pos="2160"/>
        <w:tab w:val="left" w:pos="2880"/>
        <w:tab w:val="left" w:pos="4680"/>
        <w:tab w:val="left" w:pos="5400"/>
        <w:tab w:val="right" w:pos="9000"/>
      </w:tabs>
      <w:spacing w:line="240" w:lineRule="atLeast"/>
      <w:jc w:val="both"/>
    </w:pPr>
    <w:rPr>
      <w:sz w:val="20"/>
      <w:lang w:eastAsia="en-GB"/>
    </w:rPr>
  </w:style>
  <w:style w:type="character" w:customStyle="1" w:styleId="FootnoteTextChar">
    <w:name w:val="Footnote Text Char"/>
    <w:basedOn w:val="DefaultParagraphFont"/>
    <w:link w:val="FootnoteText"/>
    <w:uiPriority w:val="99"/>
    <w:semiHidden/>
    <w:rsid w:val="00DE65C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DE65C0"/>
    <w:rPr>
      <w:rFonts w:cs="Times New Roman"/>
      <w:vertAlign w:val="superscript"/>
    </w:rPr>
  </w:style>
  <w:style w:type="table" w:customStyle="1" w:styleId="TableGrid1">
    <w:name w:val="Table Grid1"/>
    <w:uiPriority w:val="99"/>
    <w:rsid w:val="00DE65C0"/>
    <w:pPr>
      <w:spacing w:after="0" w:line="240" w:lineRule="auto"/>
    </w:pPr>
    <w:rPr>
      <w:rFonts w:ascii="Arial" w:eastAsia="Times New Roman" w:hAnsi="Arial" w:cs="Times New Roman"/>
      <w:sz w:val="24"/>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DE65C0"/>
    <w:pPr>
      <w:ind w:left="720"/>
    </w:pPr>
    <w:rPr>
      <w:rFonts w:ascii="Calibri" w:hAnsi="Calibri"/>
      <w:szCs w:val="22"/>
      <w:lang w:eastAsia="en-GB"/>
    </w:rPr>
  </w:style>
  <w:style w:type="character" w:styleId="HTMLCite">
    <w:name w:val="HTML Cite"/>
    <w:basedOn w:val="DefaultParagraphFont"/>
    <w:uiPriority w:val="99"/>
    <w:semiHidden/>
    <w:rsid w:val="00DE65C0"/>
    <w:rPr>
      <w:rFonts w:cs="Times New Roman"/>
      <w:i/>
      <w:iCs/>
    </w:rPr>
  </w:style>
  <w:style w:type="character" w:customStyle="1" w:styleId="DefaultChar">
    <w:name w:val="Default Char"/>
    <w:basedOn w:val="DefaultParagraphFont"/>
    <w:link w:val="Default"/>
    <w:locked/>
    <w:rsid w:val="00DE65C0"/>
    <w:rPr>
      <w:rFonts w:ascii="Arial" w:eastAsia="Times New Roman" w:hAnsi="Arial" w:cs="Arial"/>
      <w:color w:val="000000"/>
      <w:sz w:val="24"/>
      <w:szCs w:val="24"/>
      <w:lang w:eastAsia="en-GB"/>
    </w:rPr>
  </w:style>
  <w:style w:type="character" w:customStyle="1" w:styleId="EmailStyle42">
    <w:name w:val="EmailStyle42"/>
    <w:basedOn w:val="DefaultParagraphFont"/>
    <w:uiPriority w:val="99"/>
    <w:semiHidden/>
    <w:rsid w:val="00DE65C0"/>
    <w:rPr>
      <w:rFonts w:ascii="Arial" w:hAnsi="Arial" w:cs="Arial"/>
      <w:color w:val="000080"/>
      <w:sz w:val="20"/>
      <w:szCs w:val="20"/>
    </w:rPr>
  </w:style>
  <w:style w:type="character" w:customStyle="1" w:styleId="A3">
    <w:name w:val="A3"/>
    <w:uiPriority w:val="99"/>
    <w:rsid w:val="00DE65C0"/>
    <w:rPr>
      <w:color w:val="000000"/>
      <w:sz w:val="22"/>
    </w:rPr>
  </w:style>
  <w:style w:type="table" w:customStyle="1" w:styleId="TableGrid2">
    <w:name w:val="Table Grid2"/>
    <w:basedOn w:val="TableNormal"/>
    <w:next w:val="TableGrid"/>
    <w:uiPriority w:val="59"/>
    <w:rsid w:val="00FA0F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076">
      <w:bodyDiv w:val="1"/>
      <w:marLeft w:val="0"/>
      <w:marRight w:val="0"/>
      <w:marTop w:val="0"/>
      <w:marBottom w:val="0"/>
      <w:divBdr>
        <w:top w:val="none" w:sz="0" w:space="0" w:color="auto"/>
        <w:left w:val="none" w:sz="0" w:space="0" w:color="auto"/>
        <w:bottom w:val="none" w:sz="0" w:space="0" w:color="auto"/>
        <w:right w:val="none" w:sz="0" w:space="0" w:color="auto"/>
      </w:divBdr>
    </w:div>
    <w:div w:id="83578705">
      <w:bodyDiv w:val="1"/>
      <w:marLeft w:val="0"/>
      <w:marRight w:val="0"/>
      <w:marTop w:val="0"/>
      <w:marBottom w:val="0"/>
      <w:divBdr>
        <w:top w:val="none" w:sz="0" w:space="0" w:color="auto"/>
        <w:left w:val="none" w:sz="0" w:space="0" w:color="auto"/>
        <w:bottom w:val="none" w:sz="0" w:space="0" w:color="auto"/>
        <w:right w:val="none" w:sz="0" w:space="0" w:color="auto"/>
      </w:divBdr>
    </w:div>
    <w:div w:id="124156679">
      <w:bodyDiv w:val="1"/>
      <w:marLeft w:val="0"/>
      <w:marRight w:val="0"/>
      <w:marTop w:val="0"/>
      <w:marBottom w:val="0"/>
      <w:divBdr>
        <w:top w:val="none" w:sz="0" w:space="0" w:color="auto"/>
        <w:left w:val="none" w:sz="0" w:space="0" w:color="auto"/>
        <w:bottom w:val="none" w:sz="0" w:space="0" w:color="auto"/>
        <w:right w:val="none" w:sz="0" w:space="0" w:color="auto"/>
      </w:divBdr>
    </w:div>
    <w:div w:id="200896850">
      <w:bodyDiv w:val="1"/>
      <w:marLeft w:val="0"/>
      <w:marRight w:val="0"/>
      <w:marTop w:val="0"/>
      <w:marBottom w:val="0"/>
      <w:divBdr>
        <w:top w:val="none" w:sz="0" w:space="0" w:color="auto"/>
        <w:left w:val="none" w:sz="0" w:space="0" w:color="auto"/>
        <w:bottom w:val="none" w:sz="0" w:space="0" w:color="auto"/>
        <w:right w:val="none" w:sz="0" w:space="0" w:color="auto"/>
      </w:divBdr>
    </w:div>
    <w:div w:id="213002974">
      <w:bodyDiv w:val="1"/>
      <w:marLeft w:val="0"/>
      <w:marRight w:val="0"/>
      <w:marTop w:val="0"/>
      <w:marBottom w:val="0"/>
      <w:divBdr>
        <w:top w:val="none" w:sz="0" w:space="0" w:color="auto"/>
        <w:left w:val="none" w:sz="0" w:space="0" w:color="auto"/>
        <w:bottom w:val="none" w:sz="0" w:space="0" w:color="auto"/>
        <w:right w:val="none" w:sz="0" w:space="0" w:color="auto"/>
      </w:divBdr>
    </w:div>
    <w:div w:id="357237629">
      <w:bodyDiv w:val="1"/>
      <w:marLeft w:val="0"/>
      <w:marRight w:val="0"/>
      <w:marTop w:val="0"/>
      <w:marBottom w:val="0"/>
      <w:divBdr>
        <w:top w:val="none" w:sz="0" w:space="0" w:color="auto"/>
        <w:left w:val="none" w:sz="0" w:space="0" w:color="auto"/>
        <w:bottom w:val="none" w:sz="0" w:space="0" w:color="auto"/>
        <w:right w:val="none" w:sz="0" w:space="0" w:color="auto"/>
      </w:divBdr>
    </w:div>
    <w:div w:id="402022396">
      <w:bodyDiv w:val="1"/>
      <w:marLeft w:val="0"/>
      <w:marRight w:val="0"/>
      <w:marTop w:val="0"/>
      <w:marBottom w:val="0"/>
      <w:divBdr>
        <w:top w:val="none" w:sz="0" w:space="0" w:color="auto"/>
        <w:left w:val="none" w:sz="0" w:space="0" w:color="auto"/>
        <w:bottom w:val="none" w:sz="0" w:space="0" w:color="auto"/>
        <w:right w:val="none" w:sz="0" w:space="0" w:color="auto"/>
      </w:divBdr>
    </w:div>
    <w:div w:id="462231145">
      <w:bodyDiv w:val="1"/>
      <w:marLeft w:val="0"/>
      <w:marRight w:val="0"/>
      <w:marTop w:val="0"/>
      <w:marBottom w:val="0"/>
      <w:divBdr>
        <w:top w:val="none" w:sz="0" w:space="0" w:color="auto"/>
        <w:left w:val="none" w:sz="0" w:space="0" w:color="auto"/>
        <w:bottom w:val="none" w:sz="0" w:space="0" w:color="auto"/>
        <w:right w:val="none" w:sz="0" w:space="0" w:color="auto"/>
      </w:divBdr>
    </w:div>
    <w:div w:id="554201265">
      <w:bodyDiv w:val="1"/>
      <w:marLeft w:val="0"/>
      <w:marRight w:val="0"/>
      <w:marTop w:val="0"/>
      <w:marBottom w:val="0"/>
      <w:divBdr>
        <w:top w:val="none" w:sz="0" w:space="0" w:color="auto"/>
        <w:left w:val="none" w:sz="0" w:space="0" w:color="auto"/>
        <w:bottom w:val="none" w:sz="0" w:space="0" w:color="auto"/>
        <w:right w:val="none" w:sz="0" w:space="0" w:color="auto"/>
      </w:divBdr>
    </w:div>
    <w:div w:id="557522276">
      <w:bodyDiv w:val="1"/>
      <w:marLeft w:val="0"/>
      <w:marRight w:val="0"/>
      <w:marTop w:val="0"/>
      <w:marBottom w:val="0"/>
      <w:divBdr>
        <w:top w:val="none" w:sz="0" w:space="0" w:color="auto"/>
        <w:left w:val="none" w:sz="0" w:space="0" w:color="auto"/>
        <w:bottom w:val="none" w:sz="0" w:space="0" w:color="auto"/>
        <w:right w:val="none" w:sz="0" w:space="0" w:color="auto"/>
      </w:divBdr>
    </w:div>
    <w:div w:id="610162808">
      <w:bodyDiv w:val="1"/>
      <w:marLeft w:val="0"/>
      <w:marRight w:val="0"/>
      <w:marTop w:val="0"/>
      <w:marBottom w:val="0"/>
      <w:divBdr>
        <w:top w:val="none" w:sz="0" w:space="0" w:color="auto"/>
        <w:left w:val="none" w:sz="0" w:space="0" w:color="auto"/>
        <w:bottom w:val="none" w:sz="0" w:space="0" w:color="auto"/>
        <w:right w:val="none" w:sz="0" w:space="0" w:color="auto"/>
      </w:divBdr>
    </w:div>
    <w:div w:id="669674612">
      <w:bodyDiv w:val="1"/>
      <w:marLeft w:val="0"/>
      <w:marRight w:val="0"/>
      <w:marTop w:val="0"/>
      <w:marBottom w:val="0"/>
      <w:divBdr>
        <w:top w:val="none" w:sz="0" w:space="0" w:color="auto"/>
        <w:left w:val="none" w:sz="0" w:space="0" w:color="auto"/>
        <w:bottom w:val="none" w:sz="0" w:space="0" w:color="auto"/>
        <w:right w:val="none" w:sz="0" w:space="0" w:color="auto"/>
      </w:divBdr>
    </w:div>
    <w:div w:id="1018238346">
      <w:bodyDiv w:val="1"/>
      <w:marLeft w:val="0"/>
      <w:marRight w:val="0"/>
      <w:marTop w:val="0"/>
      <w:marBottom w:val="0"/>
      <w:divBdr>
        <w:top w:val="none" w:sz="0" w:space="0" w:color="auto"/>
        <w:left w:val="none" w:sz="0" w:space="0" w:color="auto"/>
        <w:bottom w:val="none" w:sz="0" w:space="0" w:color="auto"/>
        <w:right w:val="none" w:sz="0" w:space="0" w:color="auto"/>
      </w:divBdr>
    </w:div>
    <w:div w:id="1053849540">
      <w:bodyDiv w:val="1"/>
      <w:marLeft w:val="0"/>
      <w:marRight w:val="0"/>
      <w:marTop w:val="0"/>
      <w:marBottom w:val="0"/>
      <w:divBdr>
        <w:top w:val="none" w:sz="0" w:space="0" w:color="auto"/>
        <w:left w:val="none" w:sz="0" w:space="0" w:color="auto"/>
        <w:bottom w:val="none" w:sz="0" w:space="0" w:color="auto"/>
        <w:right w:val="none" w:sz="0" w:space="0" w:color="auto"/>
      </w:divBdr>
    </w:div>
    <w:div w:id="1072898336">
      <w:bodyDiv w:val="1"/>
      <w:marLeft w:val="0"/>
      <w:marRight w:val="0"/>
      <w:marTop w:val="0"/>
      <w:marBottom w:val="0"/>
      <w:divBdr>
        <w:top w:val="none" w:sz="0" w:space="0" w:color="auto"/>
        <w:left w:val="none" w:sz="0" w:space="0" w:color="auto"/>
        <w:bottom w:val="none" w:sz="0" w:space="0" w:color="auto"/>
        <w:right w:val="none" w:sz="0" w:space="0" w:color="auto"/>
      </w:divBdr>
    </w:div>
    <w:div w:id="1232083999">
      <w:bodyDiv w:val="1"/>
      <w:marLeft w:val="0"/>
      <w:marRight w:val="0"/>
      <w:marTop w:val="0"/>
      <w:marBottom w:val="0"/>
      <w:divBdr>
        <w:top w:val="none" w:sz="0" w:space="0" w:color="auto"/>
        <w:left w:val="none" w:sz="0" w:space="0" w:color="auto"/>
        <w:bottom w:val="none" w:sz="0" w:space="0" w:color="auto"/>
        <w:right w:val="none" w:sz="0" w:space="0" w:color="auto"/>
      </w:divBdr>
    </w:div>
    <w:div w:id="1285035547">
      <w:bodyDiv w:val="1"/>
      <w:marLeft w:val="0"/>
      <w:marRight w:val="0"/>
      <w:marTop w:val="0"/>
      <w:marBottom w:val="0"/>
      <w:divBdr>
        <w:top w:val="none" w:sz="0" w:space="0" w:color="auto"/>
        <w:left w:val="none" w:sz="0" w:space="0" w:color="auto"/>
        <w:bottom w:val="none" w:sz="0" w:space="0" w:color="auto"/>
        <w:right w:val="none" w:sz="0" w:space="0" w:color="auto"/>
      </w:divBdr>
    </w:div>
    <w:div w:id="1324121164">
      <w:bodyDiv w:val="1"/>
      <w:marLeft w:val="0"/>
      <w:marRight w:val="0"/>
      <w:marTop w:val="0"/>
      <w:marBottom w:val="0"/>
      <w:divBdr>
        <w:top w:val="none" w:sz="0" w:space="0" w:color="auto"/>
        <w:left w:val="none" w:sz="0" w:space="0" w:color="auto"/>
        <w:bottom w:val="none" w:sz="0" w:space="0" w:color="auto"/>
        <w:right w:val="none" w:sz="0" w:space="0" w:color="auto"/>
      </w:divBdr>
    </w:div>
    <w:div w:id="1431658754">
      <w:bodyDiv w:val="1"/>
      <w:marLeft w:val="0"/>
      <w:marRight w:val="0"/>
      <w:marTop w:val="0"/>
      <w:marBottom w:val="0"/>
      <w:divBdr>
        <w:top w:val="none" w:sz="0" w:space="0" w:color="auto"/>
        <w:left w:val="none" w:sz="0" w:space="0" w:color="auto"/>
        <w:bottom w:val="none" w:sz="0" w:space="0" w:color="auto"/>
        <w:right w:val="none" w:sz="0" w:space="0" w:color="auto"/>
      </w:divBdr>
    </w:div>
    <w:div w:id="1452357359">
      <w:bodyDiv w:val="1"/>
      <w:marLeft w:val="0"/>
      <w:marRight w:val="0"/>
      <w:marTop w:val="0"/>
      <w:marBottom w:val="0"/>
      <w:divBdr>
        <w:top w:val="none" w:sz="0" w:space="0" w:color="auto"/>
        <w:left w:val="none" w:sz="0" w:space="0" w:color="auto"/>
        <w:bottom w:val="none" w:sz="0" w:space="0" w:color="auto"/>
        <w:right w:val="none" w:sz="0" w:space="0" w:color="auto"/>
      </w:divBdr>
    </w:div>
    <w:div w:id="1603108024">
      <w:bodyDiv w:val="1"/>
      <w:marLeft w:val="0"/>
      <w:marRight w:val="0"/>
      <w:marTop w:val="0"/>
      <w:marBottom w:val="0"/>
      <w:divBdr>
        <w:top w:val="none" w:sz="0" w:space="0" w:color="auto"/>
        <w:left w:val="none" w:sz="0" w:space="0" w:color="auto"/>
        <w:bottom w:val="none" w:sz="0" w:space="0" w:color="auto"/>
        <w:right w:val="none" w:sz="0" w:space="0" w:color="auto"/>
      </w:divBdr>
    </w:div>
    <w:div w:id="1667434509">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705128640">
      <w:bodyDiv w:val="1"/>
      <w:marLeft w:val="0"/>
      <w:marRight w:val="0"/>
      <w:marTop w:val="0"/>
      <w:marBottom w:val="0"/>
      <w:divBdr>
        <w:top w:val="none" w:sz="0" w:space="0" w:color="auto"/>
        <w:left w:val="none" w:sz="0" w:space="0" w:color="auto"/>
        <w:bottom w:val="none" w:sz="0" w:space="0" w:color="auto"/>
        <w:right w:val="none" w:sz="0" w:space="0" w:color="auto"/>
      </w:divBdr>
    </w:div>
    <w:div w:id="1788424403">
      <w:bodyDiv w:val="1"/>
      <w:marLeft w:val="0"/>
      <w:marRight w:val="0"/>
      <w:marTop w:val="0"/>
      <w:marBottom w:val="0"/>
      <w:divBdr>
        <w:top w:val="none" w:sz="0" w:space="0" w:color="auto"/>
        <w:left w:val="none" w:sz="0" w:space="0" w:color="auto"/>
        <w:bottom w:val="none" w:sz="0" w:space="0" w:color="auto"/>
        <w:right w:val="none" w:sz="0" w:space="0" w:color="auto"/>
      </w:divBdr>
    </w:div>
    <w:div w:id="1790857033">
      <w:bodyDiv w:val="1"/>
      <w:marLeft w:val="0"/>
      <w:marRight w:val="0"/>
      <w:marTop w:val="0"/>
      <w:marBottom w:val="0"/>
      <w:divBdr>
        <w:top w:val="none" w:sz="0" w:space="0" w:color="auto"/>
        <w:left w:val="none" w:sz="0" w:space="0" w:color="auto"/>
        <w:bottom w:val="none" w:sz="0" w:space="0" w:color="auto"/>
        <w:right w:val="none" w:sz="0" w:space="0" w:color="auto"/>
      </w:divBdr>
    </w:div>
    <w:div w:id="1837577203">
      <w:bodyDiv w:val="1"/>
      <w:marLeft w:val="0"/>
      <w:marRight w:val="0"/>
      <w:marTop w:val="0"/>
      <w:marBottom w:val="0"/>
      <w:divBdr>
        <w:top w:val="none" w:sz="0" w:space="0" w:color="auto"/>
        <w:left w:val="none" w:sz="0" w:space="0" w:color="auto"/>
        <w:bottom w:val="none" w:sz="0" w:space="0" w:color="auto"/>
        <w:right w:val="none" w:sz="0" w:space="0" w:color="auto"/>
      </w:divBdr>
    </w:div>
    <w:div w:id="1962296308">
      <w:bodyDiv w:val="1"/>
      <w:marLeft w:val="0"/>
      <w:marRight w:val="0"/>
      <w:marTop w:val="0"/>
      <w:marBottom w:val="0"/>
      <w:divBdr>
        <w:top w:val="none" w:sz="0" w:space="0" w:color="auto"/>
        <w:left w:val="none" w:sz="0" w:space="0" w:color="auto"/>
        <w:bottom w:val="none" w:sz="0" w:space="0" w:color="auto"/>
        <w:right w:val="none" w:sz="0" w:space="0" w:color="auto"/>
      </w:divBdr>
    </w:div>
    <w:div w:id="2002269538">
      <w:bodyDiv w:val="1"/>
      <w:marLeft w:val="0"/>
      <w:marRight w:val="0"/>
      <w:marTop w:val="0"/>
      <w:marBottom w:val="0"/>
      <w:divBdr>
        <w:top w:val="none" w:sz="0" w:space="0" w:color="auto"/>
        <w:left w:val="none" w:sz="0" w:space="0" w:color="auto"/>
        <w:bottom w:val="none" w:sz="0" w:space="0" w:color="auto"/>
        <w:right w:val="none" w:sz="0" w:space="0" w:color="auto"/>
      </w:divBdr>
    </w:div>
    <w:div w:id="2017531423">
      <w:bodyDiv w:val="1"/>
      <w:marLeft w:val="0"/>
      <w:marRight w:val="0"/>
      <w:marTop w:val="0"/>
      <w:marBottom w:val="0"/>
      <w:divBdr>
        <w:top w:val="none" w:sz="0" w:space="0" w:color="auto"/>
        <w:left w:val="none" w:sz="0" w:space="0" w:color="auto"/>
        <w:bottom w:val="none" w:sz="0" w:space="0" w:color="auto"/>
        <w:right w:val="none" w:sz="0" w:space="0" w:color="auto"/>
      </w:divBdr>
    </w:div>
    <w:div w:id="2111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emf"/><Relationship Id="rId22" Type="http://schemas.openxmlformats.org/officeDocument/2006/relationships/footer" Target="footer4.xml"/><Relationship Id="rId27" Type="http://schemas.openxmlformats.org/officeDocument/2006/relationships/header" Target="head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0389D-5440-4BAE-96BB-E5632F3C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cummingsl</dc:creator>
  <cp:lastModifiedBy>Denise Crossan</cp:lastModifiedBy>
  <cp:revision>8</cp:revision>
  <cp:lastPrinted>2021-03-10T16:23:00Z</cp:lastPrinted>
  <dcterms:created xsi:type="dcterms:W3CDTF">2021-02-26T10:11:00Z</dcterms:created>
  <dcterms:modified xsi:type="dcterms:W3CDTF">2021-03-10T17:11:00Z</dcterms:modified>
</cp:coreProperties>
</file>