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0F3" w:rsidRDefault="005130F3">
      <w:pPr>
        <w:rPr>
          <w:b/>
          <w:sz w:val="28"/>
          <w:szCs w:val="28"/>
        </w:rPr>
      </w:pPr>
    </w:p>
    <w:p w:rsidR="005130F3" w:rsidRDefault="005130F3">
      <w:pPr>
        <w:rPr>
          <w:b/>
          <w:sz w:val="28"/>
          <w:szCs w:val="28"/>
        </w:rPr>
      </w:pPr>
    </w:p>
    <w:p w:rsidR="005130F3" w:rsidRDefault="005130F3">
      <w:pPr>
        <w:rPr>
          <w:b/>
          <w:sz w:val="28"/>
          <w:szCs w:val="28"/>
        </w:rPr>
      </w:pPr>
    </w:p>
    <w:p w:rsidR="005130F3" w:rsidRDefault="005130F3">
      <w:pPr>
        <w:rPr>
          <w:b/>
          <w:sz w:val="28"/>
          <w:szCs w:val="28"/>
        </w:rPr>
      </w:pPr>
      <w:r w:rsidRPr="005130F3">
        <w:rPr>
          <w:b/>
          <w:sz w:val="28"/>
          <w:szCs w:val="28"/>
        </w:rPr>
        <w:t>Standard Operating Procedure</w:t>
      </w:r>
      <w:r>
        <w:rPr>
          <w:b/>
          <w:sz w:val="28"/>
          <w:szCs w:val="28"/>
        </w:rPr>
        <w:t xml:space="preserve"> Template for </w:t>
      </w:r>
    </w:p>
    <w:p w:rsidR="005130F3" w:rsidRDefault="005130F3">
      <w:pPr>
        <w:rPr>
          <w:b/>
          <w:sz w:val="28"/>
          <w:szCs w:val="28"/>
        </w:rPr>
      </w:pPr>
      <w:r>
        <w:rPr>
          <w:b/>
          <w:sz w:val="28"/>
          <w:szCs w:val="28"/>
        </w:rPr>
        <w:t xml:space="preserve">New Surgical Procedures at </w:t>
      </w:r>
    </w:p>
    <w:p w:rsidR="007955DD" w:rsidRDefault="005130F3">
      <w:pPr>
        <w:rPr>
          <w:b/>
          <w:sz w:val="28"/>
          <w:szCs w:val="28"/>
        </w:rPr>
      </w:pPr>
      <w:r>
        <w:rPr>
          <w:b/>
          <w:sz w:val="28"/>
          <w:szCs w:val="28"/>
        </w:rPr>
        <w:t>NHS Golden Jubilee National Hospital</w:t>
      </w:r>
    </w:p>
    <w:p w:rsidR="005130F3" w:rsidRDefault="005130F3">
      <w:pPr>
        <w:rPr>
          <w:b/>
          <w:sz w:val="28"/>
          <w:szCs w:val="28"/>
        </w:rPr>
      </w:pPr>
    </w:p>
    <w:p w:rsidR="005130F3" w:rsidRDefault="005130F3">
      <w:pPr>
        <w:rPr>
          <w:b/>
          <w:sz w:val="28"/>
          <w:szCs w:val="28"/>
        </w:rPr>
      </w:pPr>
    </w:p>
    <w:p w:rsidR="005130F3" w:rsidRDefault="005130F3">
      <w:pPr>
        <w:rPr>
          <w:b/>
          <w:sz w:val="28"/>
          <w:szCs w:val="28"/>
        </w:rPr>
      </w:pPr>
      <w:r>
        <w:rPr>
          <w:b/>
          <w:sz w:val="28"/>
          <w:szCs w:val="28"/>
        </w:rPr>
        <w:t xml:space="preserve">Procedure(s): </w:t>
      </w:r>
      <w:r w:rsidR="00117D23">
        <w:rPr>
          <w:b/>
          <w:sz w:val="28"/>
          <w:szCs w:val="28"/>
        </w:rPr>
        <w:tab/>
      </w:r>
      <w:r w:rsidR="00117D23">
        <w:rPr>
          <w:b/>
          <w:sz w:val="28"/>
          <w:szCs w:val="28"/>
        </w:rPr>
        <w:tab/>
      </w:r>
      <w:r w:rsidR="00117D23">
        <w:rPr>
          <w:b/>
          <w:sz w:val="28"/>
          <w:szCs w:val="28"/>
        </w:rPr>
        <w:tab/>
      </w:r>
      <w:r w:rsidRPr="005130F3">
        <w:rPr>
          <w:b/>
          <w:sz w:val="28"/>
          <w:szCs w:val="28"/>
          <w:highlight w:val="yellow"/>
        </w:rPr>
        <w:t>XXXXXXXXXX</w:t>
      </w:r>
    </w:p>
    <w:p w:rsidR="005130F3" w:rsidRDefault="002151FD">
      <w:pPr>
        <w:rPr>
          <w:b/>
          <w:sz w:val="28"/>
          <w:szCs w:val="28"/>
        </w:rPr>
      </w:pPr>
      <w:r>
        <w:rPr>
          <w:b/>
          <w:sz w:val="28"/>
          <w:szCs w:val="28"/>
        </w:rPr>
        <w:t>Referring Health Board(s):</w:t>
      </w:r>
      <w:r w:rsidR="00117D23">
        <w:rPr>
          <w:b/>
          <w:sz w:val="28"/>
          <w:szCs w:val="28"/>
        </w:rPr>
        <w:t xml:space="preserve"> </w:t>
      </w:r>
      <w:r w:rsidR="00117D23">
        <w:rPr>
          <w:b/>
          <w:sz w:val="28"/>
          <w:szCs w:val="28"/>
        </w:rPr>
        <w:tab/>
      </w:r>
      <w:r w:rsidR="00117D23" w:rsidRPr="00117D23">
        <w:rPr>
          <w:b/>
          <w:sz w:val="28"/>
          <w:szCs w:val="28"/>
          <w:highlight w:val="yellow"/>
        </w:rPr>
        <w:t>XXXXXXXXX</w:t>
      </w:r>
    </w:p>
    <w:p w:rsidR="005130F3" w:rsidRDefault="005130F3">
      <w:pPr>
        <w:rPr>
          <w:b/>
          <w:sz w:val="28"/>
          <w:szCs w:val="28"/>
        </w:rPr>
      </w:pPr>
    </w:p>
    <w:p w:rsidR="005130F3" w:rsidRDefault="005130F3">
      <w:pPr>
        <w:rPr>
          <w:b/>
          <w:sz w:val="28"/>
          <w:szCs w:val="28"/>
        </w:rPr>
      </w:pPr>
    </w:p>
    <w:p w:rsidR="005130F3" w:rsidRDefault="005130F3">
      <w:pPr>
        <w:rPr>
          <w:b/>
          <w:sz w:val="28"/>
          <w:szCs w:val="28"/>
        </w:rPr>
      </w:pPr>
    </w:p>
    <w:p w:rsidR="005130F3" w:rsidRDefault="005130F3">
      <w:pPr>
        <w:rPr>
          <w:b/>
          <w:sz w:val="28"/>
          <w:szCs w:val="28"/>
        </w:rPr>
      </w:pPr>
    </w:p>
    <w:p w:rsidR="005130F3" w:rsidRDefault="005130F3">
      <w:pPr>
        <w:rPr>
          <w:b/>
          <w:sz w:val="28"/>
          <w:szCs w:val="28"/>
        </w:rPr>
      </w:pPr>
      <w:r>
        <w:rPr>
          <w:b/>
          <w:sz w:val="28"/>
          <w:szCs w:val="28"/>
        </w:rPr>
        <w:br w:type="page"/>
      </w:r>
    </w:p>
    <w:p w:rsidR="005130F3" w:rsidRPr="001108FB" w:rsidRDefault="005130F3">
      <w:pPr>
        <w:rPr>
          <w:b/>
          <w:sz w:val="24"/>
          <w:szCs w:val="28"/>
        </w:rPr>
      </w:pPr>
      <w:r w:rsidRPr="001108FB">
        <w:rPr>
          <w:b/>
          <w:sz w:val="24"/>
          <w:szCs w:val="28"/>
        </w:rPr>
        <w:lastRenderedPageBreak/>
        <w:t>Version control</w:t>
      </w:r>
    </w:p>
    <w:tbl>
      <w:tblPr>
        <w:tblStyle w:val="TableGrid"/>
        <w:tblW w:w="0" w:type="auto"/>
        <w:tblLook w:val="04A0" w:firstRow="1" w:lastRow="0" w:firstColumn="1" w:lastColumn="0" w:noHBand="0" w:noVBand="1"/>
      </w:tblPr>
      <w:tblGrid>
        <w:gridCol w:w="1088"/>
        <w:gridCol w:w="1375"/>
        <w:gridCol w:w="4825"/>
        <w:gridCol w:w="1954"/>
      </w:tblGrid>
      <w:tr w:rsidR="005130F3" w:rsidRPr="001108FB" w:rsidTr="005130F3">
        <w:tc>
          <w:tcPr>
            <w:tcW w:w="1105" w:type="dxa"/>
            <w:shd w:val="clear" w:color="auto" w:fill="D9D9D9" w:themeFill="background1" w:themeFillShade="D9"/>
          </w:tcPr>
          <w:p w:rsidR="005130F3" w:rsidRPr="001108FB" w:rsidRDefault="005130F3">
            <w:pPr>
              <w:rPr>
                <w:b/>
                <w:sz w:val="24"/>
                <w:szCs w:val="28"/>
              </w:rPr>
            </w:pPr>
            <w:r w:rsidRPr="001108FB">
              <w:rPr>
                <w:b/>
                <w:sz w:val="24"/>
                <w:szCs w:val="28"/>
              </w:rPr>
              <w:t>Version</w:t>
            </w:r>
          </w:p>
        </w:tc>
        <w:tc>
          <w:tcPr>
            <w:tcW w:w="769" w:type="dxa"/>
            <w:shd w:val="clear" w:color="auto" w:fill="D9D9D9" w:themeFill="background1" w:themeFillShade="D9"/>
          </w:tcPr>
          <w:p w:rsidR="005130F3" w:rsidRPr="001108FB" w:rsidRDefault="005130F3">
            <w:pPr>
              <w:rPr>
                <w:b/>
                <w:sz w:val="24"/>
                <w:szCs w:val="28"/>
              </w:rPr>
            </w:pPr>
            <w:r w:rsidRPr="001108FB">
              <w:rPr>
                <w:b/>
                <w:sz w:val="24"/>
                <w:szCs w:val="28"/>
              </w:rPr>
              <w:t>Date</w:t>
            </w:r>
          </w:p>
        </w:tc>
        <w:tc>
          <w:tcPr>
            <w:tcW w:w="5322" w:type="dxa"/>
            <w:shd w:val="clear" w:color="auto" w:fill="D9D9D9" w:themeFill="background1" w:themeFillShade="D9"/>
          </w:tcPr>
          <w:p w:rsidR="005130F3" w:rsidRPr="001108FB" w:rsidRDefault="005130F3">
            <w:pPr>
              <w:rPr>
                <w:b/>
                <w:sz w:val="24"/>
                <w:szCs w:val="28"/>
              </w:rPr>
            </w:pPr>
            <w:r w:rsidRPr="001108FB">
              <w:rPr>
                <w:b/>
                <w:sz w:val="24"/>
                <w:szCs w:val="28"/>
              </w:rPr>
              <w:t>Change</w:t>
            </w:r>
          </w:p>
        </w:tc>
        <w:tc>
          <w:tcPr>
            <w:tcW w:w="2046" w:type="dxa"/>
            <w:shd w:val="clear" w:color="auto" w:fill="D9D9D9" w:themeFill="background1" w:themeFillShade="D9"/>
          </w:tcPr>
          <w:p w:rsidR="005130F3" w:rsidRPr="001108FB" w:rsidRDefault="002151FD">
            <w:pPr>
              <w:rPr>
                <w:b/>
                <w:sz w:val="24"/>
                <w:szCs w:val="28"/>
              </w:rPr>
            </w:pPr>
            <w:r>
              <w:rPr>
                <w:b/>
                <w:sz w:val="24"/>
                <w:szCs w:val="28"/>
              </w:rPr>
              <w:t>Name or group</w:t>
            </w:r>
          </w:p>
        </w:tc>
      </w:tr>
      <w:tr w:rsidR="005130F3" w:rsidRPr="001108FB" w:rsidTr="005130F3">
        <w:tc>
          <w:tcPr>
            <w:tcW w:w="1105" w:type="dxa"/>
          </w:tcPr>
          <w:p w:rsidR="005130F3" w:rsidRPr="001108FB" w:rsidRDefault="005130F3">
            <w:pPr>
              <w:rPr>
                <w:sz w:val="24"/>
                <w:szCs w:val="28"/>
              </w:rPr>
            </w:pPr>
            <w:r w:rsidRPr="001108FB">
              <w:rPr>
                <w:sz w:val="24"/>
                <w:szCs w:val="28"/>
              </w:rPr>
              <w:t>0.1</w:t>
            </w:r>
          </w:p>
        </w:tc>
        <w:tc>
          <w:tcPr>
            <w:tcW w:w="769" w:type="dxa"/>
          </w:tcPr>
          <w:p w:rsidR="005130F3" w:rsidRPr="001108FB" w:rsidRDefault="005130F3">
            <w:pPr>
              <w:rPr>
                <w:sz w:val="24"/>
                <w:szCs w:val="28"/>
              </w:rPr>
            </w:pPr>
            <w:r w:rsidRPr="001108FB">
              <w:rPr>
                <w:sz w:val="24"/>
                <w:szCs w:val="28"/>
              </w:rPr>
              <w:t>10/04/2020</w:t>
            </w:r>
          </w:p>
        </w:tc>
        <w:tc>
          <w:tcPr>
            <w:tcW w:w="5322" w:type="dxa"/>
          </w:tcPr>
          <w:p w:rsidR="005130F3" w:rsidRPr="001108FB" w:rsidRDefault="005130F3">
            <w:pPr>
              <w:rPr>
                <w:sz w:val="24"/>
                <w:szCs w:val="28"/>
              </w:rPr>
            </w:pPr>
            <w:r w:rsidRPr="001108FB">
              <w:rPr>
                <w:sz w:val="24"/>
                <w:szCs w:val="28"/>
              </w:rPr>
              <w:t>First draft</w:t>
            </w:r>
          </w:p>
        </w:tc>
        <w:tc>
          <w:tcPr>
            <w:tcW w:w="2046" w:type="dxa"/>
          </w:tcPr>
          <w:p w:rsidR="00A31057" w:rsidRDefault="00A31057">
            <w:pPr>
              <w:rPr>
                <w:sz w:val="24"/>
                <w:szCs w:val="28"/>
              </w:rPr>
            </w:pPr>
            <w:r>
              <w:rPr>
                <w:sz w:val="24"/>
                <w:szCs w:val="28"/>
              </w:rPr>
              <w:t>Christine Divers</w:t>
            </w:r>
          </w:p>
          <w:p w:rsidR="005130F3" w:rsidRPr="001108FB" w:rsidRDefault="005130F3">
            <w:pPr>
              <w:rPr>
                <w:sz w:val="24"/>
                <w:szCs w:val="28"/>
              </w:rPr>
            </w:pPr>
            <w:r w:rsidRPr="001108FB">
              <w:rPr>
                <w:sz w:val="24"/>
                <w:szCs w:val="28"/>
              </w:rPr>
              <w:t>Mark MacGregor</w:t>
            </w:r>
          </w:p>
        </w:tc>
      </w:tr>
      <w:tr w:rsidR="005130F3" w:rsidRPr="001108FB" w:rsidTr="005130F3">
        <w:tc>
          <w:tcPr>
            <w:tcW w:w="1105" w:type="dxa"/>
          </w:tcPr>
          <w:p w:rsidR="005130F3" w:rsidRPr="001108FB" w:rsidRDefault="00A31057">
            <w:pPr>
              <w:rPr>
                <w:sz w:val="24"/>
                <w:szCs w:val="28"/>
              </w:rPr>
            </w:pPr>
            <w:r>
              <w:rPr>
                <w:sz w:val="24"/>
                <w:szCs w:val="28"/>
              </w:rPr>
              <w:t>0.2</w:t>
            </w:r>
          </w:p>
        </w:tc>
        <w:tc>
          <w:tcPr>
            <w:tcW w:w="769" w:type="dxa"/>
          </w:tcPr>
          <w:p w:rsidR="005130F3" w:rsidRPr="001108FB" w:rsidRDefault="00A31057">
            <w:pPr>
              <w:rPr>
                <w:sz w:val="24"/>
                <w:szCs w:val="28"/>
              </w:rPr>
            </w:pPr>
            <w:r>
              <w:rPr>
                <w:sz w:val="24"/>
                <w:szCs w:val="28"/>
              </w:rPr>
              <w:t>21/04/2020</w:t>
            </w:r>
          </w:p>
        </w:tc>
        <w:tc>
          <w:tcPr>
            <w:tcW w:w="5322" w:type="dxa"/>
          </w:tcPr>
          <w:p w:rsidR="00A31057" w:rsidRDefault="00A31057" w:rsidP="00A31057">
            <w:pPr>
              <w:pStyle w:val="ListParagraph"/>
              <w:numPr>
                <w:ilvl w:val="0"/>
                <w:numId w:val="3"/>
              </w:numPr>
              <w:rPr>
                <w:sz w:val="24"/>
                <w:szCs w:val="28"/>
              </w:rPr>
            </w:pPr>
            <w:bookmarkStart w:id="0" w:name="_GoBack"/>
            <w:bookmarkEnd w:id="0"/>
            <w:r>
              <w:rPr>
                <w:sz w:val="24"/>
                <w:szCs w:val="28"/>
              </w:rPr>
              <w:t>Sections 4 and 5 swapped round</w:t>
            </w:r>
          </w:p>
          <w:p w:rsidR="00A31057" w:rsidRDefault="00A31057" w:rsidP="00A31057">
            <w:pPr>
              <w:pStyle w:val="ListParagraph"/>
              <w:numPr>
                <w:ilvl w:val="0"/>
                <w:numId w:val="3"/>
              </w:numPr>
              <w:rPr>
                <w:sz w:val="24"/>
                <w:szCs w:val="28"/>
              </w:rPr>
            </w:pPr>
            <w:r>
              <w:rPr>
                <w:sz w:val="24"/>
                <w:szCs w:val="28"/>
              </w:rPr>
              <w:t>Points 4.3 and 4.4 added</w:t>
            </w:r>
          </w:p>
          <w:p w:rsidR="00A31057" w:rsidRDefault="00A31057" w:rsidP="00A31057">
            <w:pPr>
              <w:pStyle w:val="ListParagraph"/>
              <w:numPr>
                <w:ilvl w:val="0"/>
                <w:numId w:val="3"/>
              </w:numPr>
              <w:rPr>
                <w:sz w:val="24"/>
                <w:szCs w:val="28"/>
              </w:rPr>
            </w:pPr>
            <w:r>
              <w:rPr>
                <w:sz w:val="24"/>
                <w:szCs w:val="28"/>
              </w:rPr>
              <w:t>Points 5.3, 5.4 and 5.7 added</w:t>
            </w:r>
          </w:p>
          <w:p w:rsidR="00A31057" w:rsidRDefault="00A31057" w:rsidP="00A31057">
            <w:pPr>
              <w:pStyle w:val="ListParagraph"/>
              <w:numPr>
                <w:ilvl w:val="0"/>
                <w:numId w:val="3"/>
              </w:numPr>
              <w:rPr>
                <w:sz w:val="24"/>
                <w:szCs w:val="28"/>
              </w:rPr>
            </w:pPr>
            <w:r>
              <w:rPr>
                <w:sz w:val="24"/>
                <w:szCs w:val="28"/>
              </w:rPr>
              <w:t>Point 7.1 expanded</w:t>
            </w:r>
          </w:p>
          <w:p w:rsidR="00A31057" w:rsidRDefault="00A31057" w:rsidP="00A31057">
            <w:pPr>
              <w:pStyle w:val="ListParagraph"/>
              <w:numPr>
                <w:ilvl w:val="0"/>
                <w:numId w:val="3"/>
              </w:numPr>
              <w:rPr>
                <w:sz w:val="24"/>
                <w:szCs w:val="28"/>
              </w:rPr>
            </w:pPr>
            <w:r>
              <w:rPr>
                <w:sz w:val="24"/>
                <w:szCs w:val="28"/>
              </w:rPr>
              <w:t>Points 10.6 and 10.7 added</w:t>
            </w:r>
          </w:p>
          <w:p w:rsidR="00F63FF2" w:rsidRDefault="00F63FF2" w:rsidP="00A31057">
            <w:pPr>
              <w:pStyle w:val="ListParagraph"/>
              <w:numPr>
                <w:ilvl w:val="0"/>
                <w:numId w:val="3"/>
              </w:numPr>
              <w:rPr>
                <w:sz w:val="24"/>
                <w:szCs w:val="28"/>
              </w:rPr>
            </w:pPr>
            <w:r>
              <w:rPr>
                <w:sz w:val="24"/>
                <w:szCs w:val="28"/>
              </w:rPr>
              <w:t>Point 13.1 changed to mandate use of ICP</w:t>
            </w:r>
          </w:p>
          <w:p w:rsidR="00F63FF2" w:rsidRPr="00A31057" w:rsidRDefault="00F63FF2" w:rsidP="00A31057">
            <w:pPr>
              <w:pStyle w:val="ListParagraph"/>
              <w:numPr>
                <w:ilvl w:val="0"/>
                <w:numId w:val="3"/>
              </w:numPr>
              <w:rPr>
                <w:sz w:val="24"/>
                <w:szCs w:val="28"/>
              </w:rPr>
            </w:pPr>
            <w:r>
              <w:rPr>
                <w:sz w:val="24"/>
                <w:szCs w:val="28"/>
              </w:rPr>
              <w:t>Column added to Key Contacts table</w:t>
            </w:r>
          </w:p>
        </w:tc>
        <w:tc>
          <w:tcPr>
            <w:tcW w:w="2046" w:type="dxa"/>
          </w:tcPr>
          <w:p w:rsidR="005130F3" w:rsidRPr="001108FB" w:rsidRDefault="00A31057">
            <w:pPr>
              <w:rPr>
                <w:sz w:val="24"/>
                <w:szCs w:val="28"/>
              </w:rPr>
            </w:pPr>
            <w:r>
              <w:rPr>
                <w:sz w:val="24"/>
                <w:szCs w:val="28"/>
              </w:rPr>
              <w:t>Claire MacArthur</w:t>
            </w:r>
          </w:p>
        </w:tc>
      </w:tr>
    </w:tbl>
    <w:p w:rsidR="005130F3" w:rsidRPr="001108FB" w:rsidRDefault="005130F3">
      <w:pPr>
        <w:rPr>
          <w:b/>
          <w:sz w:val="24"/>
          <w:szCs w:val="28"/>
        </w:rPr>
      </w:pPr>
    </w:p>
    <w:p w:rsidR="004F34CB" w:rsidRDefault="00DF3842" w:rsidP="004F34CB">
      <w:pPr>
        <w:spacing w:after="0" w:line="240" w:lineRule="auto"/>
        <w:rPr>
          <w:sz w:val="24"/>
          <w:szCs w:val="28"/>
        </w:rPr>
      </w:pPr>
      <w:r>
        <w:rPr>
          <w:b/>
          <w:sz w:val="24"/>
          <w:szCs w:val="28"/>
        </w:rPr>
        <w:t>Approval</w:t>
      </w:r>
      <w:r w:rsidR="004F34CB" w:rsidRPr="004F34CB">
        <w:rPr>
          <w:sz w:val="24"/>
          <w:szCs w:val="28"/>
        </w:rPr>
        <w:t xml:space="preserve"> </w:t>
      </w:r>
    </w:p>
    <w:p w:rsidR="00DF3842" w:rsidRDefault="004F34CB" w:rsidP="004F34CB">
      <w:pPr>
        <w:spacing w:after="0" w:line="240" w:lineRule="auto"/>
        <w:rPr>
          <w:sz w:val="24"/>
          <w:szCs w:val="28"/>
        </w:rPr>
      </w:pPr>
      <w:r w:rsidRPr="004F34CB">
        <w:rPr>
          <w:sz w:val="24"/>
          <w:szCs w:val="28"/>
        </w:rPr>
        <w:t>(minimum list</w:t>
      </w:r>
      <w:r>
        <w:rPr>
          <w:sz w:val="24"/>
          <w:szCs w:val="28"/>
        </w:rPr>
        <w:t xml:space="preserve"> – others may be required</w:t>
      </w:r>
      <w:r w:rsidRPr="004F34CB">
        <w:rPr>
          <w:sz w:val="24"/>
          <w:szCs w:val="28"/>
        </w:rPr>
        <w:t>)</w:t>
      </w:r>
    </w:p>
    <w:p w:rsidR="004F34CB" w:rsidRDefault="004F34CB" w:rsidP="004F34CB">
      <w:pPr>
        <w:spacing w:after="0" w:line="240" w:lineRule="auto"/>
        <w:rPr>
          <w:b/>
          <w:sz w:val="24"/>
          <w:szCs w:val="28"/>
        </w:rPr>
      </w:pPr>
    </w:p>
    <w:tbl>
      <w:tblPr>
        <w:tblStyle w:val="TableGrid"/>
        <w:tblW w:w="0" w:type="auto"/>
        <w:tblLook w:val="04A0" w:firstRow="1" w:lastRow="0" w:firstColumn="1" w:lastColumn="0" w:noHBand="0" w:noVBand="1"/>
      </w:tblPr>
      <w:tblGrid>
        <w:gridCol w:w="1526"/>
        <w:gridCol w:w="3402"/>
        <w:gridCol w:w="4314"/>
      </w:tblGrid>
      <w:tr w:rsidR="00DF3842" w:rsidTr="004F34CB">
        <w:tc>
          <w:tcPr>
            <w:tcW w:w="1526" w:type="dxa"/>
            <w:shd w:val="clear" w:color="auto" w:fill="D9D9D9" w:themeFill="background1" w:themeFillShade="D9"/>
          </w:tcPr>
          <w:p w:rsidR="00DF3842" w:rsidRDefault="00DF3842" w:rsidP="00DF3842">
            <w:pPr>
              <w:rPr>
                <w:b/>
                <w:sz w:val="24"/>
                <w:szCs w:val="28"/>
              </w:rPr>
            </w:pPr>
            <w:r>
              <w:rPr>
                <w:b/>
                <w:sz w:val="24"/>
                <w:szCs w:val="28"/>
              </w:rPr>
              <w:t>Date</w:t>
            </w:r>
          </w:p>
        </w:tc>
        <w:tc>
          <w:tcPr>
            <w:tcW w:w="3402" w:type="dxa"/>
            <w:shd w:val="clear" w:color="auto" w:fill="D9D9D9" w:themeFill="background1" w:themeFillShade="D9"/>
          </w:tcPr>
          <w:p w:rsidR="00DF3842" w:rsidRDefault="00DF3842" w:rsidP="00DF3842">
            <w:pPr>
              <w:rPr>
                <w:b/>
                <w:sz w:val="24"/>
                <w:szCs w:val="28"/>
              </w:rPr>
            </w:pPr>
            <w:r>
              <w:rPr>
                <w:b/>
                <w:sz w:val="24"/>
                <w:szCs w:val="28"/>
              </w:rPr>
              <w:t>Name</w:t>
            </w:r>
          </w:p>
        </w:tc>
        <w:tc>
          <w:tcPr>
            <w:tcW w:w="4314" w:type="dxa"/>
            <w:shd w:val="clear" w:color="auto" w:fill="D9D9D9" w:themeFill="background1" w:themeFillShade="D9"/>
          </w:tcPr>
          <w:p w:rsidR="00DF3842" w:rsidRDefault="00DF3842" w:rsidP="00DF3842">
            <w:pPr>
              <w:rPr>
                <w:b/>
                <w:sz w:val="24"/>
                <w:szCs w:val="28"/>
              </w:rPr>
            </w:pPr>
            <w:r>
              <w:rPr>
                <w:b/>
                <w:sz w:val="24"/>
                <w:szCs w:val="28"/>
              </w:rPr>
              <w:t>Role</w:t>
            </w:r>
          </w:p>
        </w:tc>
      </w:tr>
      <w:tr w:rsidR="00DF3842" w:rsidRPr="004F34CB" w:rsidTr="004F34CB">
        <w:tc>
          <w:tcPr>
            <w:tcW w:w="1526" w:type="dxa"/>
          </w:tcPr>
          <w:p w:rsidR="00DF3842" w:rsidRPr="004F34CB" w:rsidRDefault="00DF3842" w:rsidP="00DF3842">
            <w:pPr>
              <w:rPr>
                <w:sz w:val="24"/>
                <w:szCs w:val="28"/>
              </w:rPr>
            </w:pPr>
          </w:p>
        </w:tc>
        <w:tc>
          <w:tcPr>
            <w:tcW w:w="3402" w:type="dxa"/>
          </w:tcPr>
          <w:p w:rsidR="00DF3842" w:rsidRPr="004F34CB" w:rsidRDefault="00DF3842" w:rsidP="00DF3842">
            <w:pPr>
              <w:rPr>
                <w:sz w:val="24"/>
                <w:szCs w:val="28"/>
              </w:rPr>
            </w:pPr>
          </w:p>
        </w:tc>
        <w:tc>
          <w:tcPr>
            <w:tcW w:w="4314" w:type="dxa"/>
          </w:tcPr>
          <w:p w:rsidR="00DF3842" w:rsidRPr="004F34CB" w:rsidRDefault="004F34CB" w:rsidP="00DF3842">
            <w:pPr>
              <w:rPr>
                <w:sz w:val="24"/>
                <w:szCs w:val="28"/>
              </w:rPr>
            </w:pPr>
            <w:r>
              <w:rPr>
                <w:sz w:val="24"/>
                <w:szCs w:val="28"/>
              </w:rPr>
              <w:t>Operating surgeon</w:t>
            </w:r>
          </w:p>
        </w:tc>
      </w:tr>
      <w:tr w:rsidR="00DF3842" w:rsidRPr="004F34CB" w:rsidTr="004F34CB">
        <w:tc>
          <w:tcPr>
            <w:tcW w:w="1526" w:type="dxa"/>
          </w:tcPr>
          <w:p w:rsidR="00DF3842" w:rsidRPr="004F34CB" w:rsidRDefault="00DF3842" w:rsidP="00DF3842">
            <w:pPr>
              <w:rPr>
                <w:sz w:val="24"/>
                <w:szCs w:val="28"/>
              </w:rPr>
            </w:pPr>
          </w:p>
        </w:tc>
        <w:tc>
          <w:tcPr>
            <w:tcW w:w="3402" w:type="dxa"/>
          </w:tcPr>
          <w:p w:rsidR="00DF3842" w:rsidRPr="004F34CB" w:rsidRDefault="00DF3842" w:rsidP="00DF3842">
            <w:pPr>
              <w:rPr>
                <w:sz w:val="24"/>
                <w:szCs w:val="28"/>
              </w:rPr>
            </w:pPr>
          </w:p>
        </w:tc>
        <w:tc>
          <w:tcPr>
            <w:tcW w:w="4314" w:type="dxa"/>
          </w:tcPr>
          <w:p w:rsidR="00DF3842" w:rsidRPr="004F34CB" w:rsidRDefault="004F34CB" w:rsidP="00DF3842">
            <w:pPr>
              <w:rPr>
                <w:sz w:val="24"/>
                <w:szCs w:val="28"/>
              </w:rPr>
            </w:pPr>
            <w:r>
              <w:rPr>
                <w:sz w:val="24"/>
                <w:szCs w:val="28"/>
              </w:rPr>
              <w:t>Referring board’s Clinical Director</w:t>
            </w:r>
          </w:p>
        </w:tc>
      </w:tr>
      <w:tr w:rsidR="004F34CB" w:rsidRPr="004F34CB" w:rsidTr="004F34CB">
        <w:tc>
          <w:tcPr>
            <w:tcW w:w="1526" w:type="dxa"/>
          </w:tcPr>
          <w:p w:rsidR="004F34CB" w:rsidRPr="004F34CB" w:rsidRDefault="004F34CB" w:rsidP="00DF3842">
            <w:pPr>
              <w:rPr>
                <w:sz w:val="24"/>
                <w:szCs w:val="28"/>
              </w:rPr>
            </w:pPr>
          </w:p>
        </w:tc>
        <w:tc>
          <w:tcPr>
            <w:tcW w:w="3402" w:type="dxa"/>
          </w:tcPr>
          <w:p w:rsidR="004F34CB" w:rsidRPr="004F34CB" w:rsidRDefault="004F34CB" w:rsidP="00DF3842">
            <w:pPr>
              <w:rPr>
                <w:sz w:val="24"/>
                <w:szCs w:val="28"/>
              </w:rPr>
            </w:pPr>
          </w:p>
        </w:tc>
        <w:tc>
          <w:tcPr>
            <w:tcW w:w="4314" w:type="dxa"/>
          </w:tcPr>
          <w:p w:rsidR="004F34CB" w:rsidRDefault="004F34CB" w:rsidP="00DF3842">
            <w:pPr>
              <w:rPr>
                <w:sz w:val="24"/>
                <w:szCs w:val="28"/>
              </w:rPr>
            </w:pPr>
            <w:r>
              <w:rPr>
                <w:sz w:val="24"/>
                <w:szCs w:val="28"/>
              </w:rPr>
              <w:t>Referring board’s General Manager</w:t>
            </w:r>
          </w:p>
        </w:tc>
      </w:tr>
      <w:tr w:rsidR="004F34CB" w:rsidRPr="004F34CB" w:rsidTr="004F34CB">
        <w:tc>
          <w:tcPr>
            <w:tcW w:w="1526" w:type="dxa"/>
          </w:tcPr>
          <w:p w:rsidR="004F34CB" w:rsidRPr="004F34CB" w:rsidRDefault="004F34CB" w:rsidP="00DF3842">
            <w:pPr>
              <w:rPr>
                <w:sz w:val="24"/>
                <w:szCs w:val="28"/>
              </w:rPr>
            </w:pPr>
          </w:p>
        </w:tc>
        <w:tc>
          <w:tcPr>
            <w:tcW w:w="3402" w:type="dxa"/>
          </w:tcPr>
          <w:p w:rsidR="004F34CB" w:rsidRPr="004F34CB" w:rsidRDefault="004F34CB" w:rsidP="00DF3842">
            <w:pPr>
              <w:rPr>
                <w:sz w:val="24"/>
                <w:szCs w:val="28"/>
              </w:rPr>
            </w:pPr>
          </w:p>
        </w:tc>
        <w:tc>
          <w:tcPr>
            <w:tcW w:w="4314" w:type="dxa"/>
          </w:tcPr>
          <w:p w:rsidR="004F34CB" w:rsidRDefault="004F34CB" w:rsidP="00DF3842">
            <w:pPr>
              <w:rPr>
                <w:sz w:val="24"/>
                <w:szCs w:val="28"/>
              </w:rPr>
            </w:pPr>
            <w:r>
              <w:rPr>
                <w:sz w:val="24"/>
                <w:szCs w:val="28"/>
              </w:rPr>
              <w:t>Referring board’s Clinical Nurse Manager</w:t>
            </w:r>
          </w:p>
        </w:tc>
      </w:tr>
      <w:tr w:rsidR="004F34CB" w:rsidRPr="004F34CB" w:rsidTr="004F34CB">
        <w:tc>
          <w:tcPr>
            <w:tcW w:w="1526" w:type="dxa"/>
          </w:tcPr>
          <w:p w:rsidR="004F34CB" w:rsidRPr="004F34CB" w:rsidRDefault="004F34CB" w:rsidP="00DF3842">
            <w:pPr>
              <w:rPr>
                <w:sz w:val="24"/>
                <w:szCs w:val="28"/>
              </w:rPr>
            </w:pPr>
          </w:p>
        </w:tc>
        <w:tc>
          <w:tcPr>
            <w:tcW w:w="3402" w:type="dxa"/>
          </w:tcPr>
          <w:p w:rsidR="004F34CB" w:rsidRPr="004F34CB" w:rsidRDefault="004F34CB" w:rsidP="00DF3842">
            <w:pPr>
              <w:rPr>
                <w:sz w:val="24"/>
                <w:szCs w:val="28"/>
              </w:rPr>
            </w:pPr>
          </w:p>
        </w:tc>
        <w:tc>
          <w:tcPr>
            <w:tcW w:w="4314" w:type="dxa"/>
          </w:tcPr>
          <w:p w:rsidR="004F34CB" w:rsidRDefault="004F34CB" w:rsidP="00DF3842">
            <w:pPr>
              <w:rPr>
                <w:sz w:val="24"/>
                <w:szCs w:val="28"/>
              </w:rPr>
            </w:pPr>
            <w:r>
              <w:rPr>
                <w:sz w:val="24"/>
                <w:szCs w:val="28"/>
              </w:rPr>
              <w:t>Clinical Director, Anaesthesia, GJNH</w:t>
            </w:r>
          </w:p>
        </w:tc>
      </w:tr>
      <w:tr w:rsidR="004F34CB" w:rsidRPr="004F34CB" w:rsidTr="004F34CB">
        <w:tc>
          <w:tcPr>
            <w:tcW w:w="1526" w:type="dxa"/>
          </w:tcPr>
          <w:p w:rsidR="004F34CB" w:rsidRPr="004F34CB" w:rsidRDefault="004F34CB" w:rsidP="00DF3842">
            <w:pPr>
              <w:rPr>
                <w:sz w:val="24"/>
                <w:szCs w:val="28"/>
              </w:rPr>
            </w:pPr>
          </w:p>
        </w:tc>
        <w:tc>
          <w:tcPr>
            <w:tcW w:w="3402" w:type="dxa"/>
          </w:tcPr>
          <w:p w:rsidR="004F34CB" w:rsidRPr="004F34CB" w:rsidRDefault="004F34CB" w:rsidP="00DF3842">
            <w:pPr>
              <w:rPr>
                <w:sz w:val="24"/>
                <w:szCs w:val="28"/>
              </w:rPr>
            </w:pPr>
          </w:p>
        </w:tc>
        <w:tc>
          <w:tcPr>
            <w:tcW w:w="4314" w:type="dxa"/>
          </w:tcPr>
          <w:p w:rsidR="004F34CB" w:rsidRDefault="004F34CB" w:rsidP="00DF3842">
            <w:pPr>
              <w:rPr>
                <w:sz w:val="24"/>
                <w:szCs w:val="28"/>
              </w:rPr>
            </w:pPr>
            <w:r>
              <w:rPr>
                <w:sz w:val="24"/>
                <w:szCs w:val="28"/>
              </w:rPr>
              <w:t xml:space="preserve">Associate Medical Director, </w:t>
            </w:r>
            <w:r w:rsidR="00B76D59">
              <w:rPr>
                <w:sz w:val="24"/>
                <w:szCs w:val="28"/>
              </w:rPr>
              <w:t xml:space="preserve">National </w:t>
            </w:r>
            <w:r>
              <w:rPr>
                <w:sz w:val="24"/>
                <w:szCs w:val="28"/>
              </w:rPr>
              <w:t>Elective Services, GJNH</w:t>
            </w:r>
          </w:p>
        </w:tc>
      </w:tr>
      <w:tr w:rsidR="004F34CB" w:rsidRPr="004F34CB" w:rsidTr="004F34CB">
        <w:tc>
          <w:tcPr>
            <w:tcW w:w="1526" w:type="dxa"/>
          </w:tcPr>
          <w:p w:rsidR="004F34CB" w:rsidRPr="004F34CB" w:rsidRDefault="004F34CB" w:rsidP="004F34CB">
            <w:pPr>
              <w:rPr>
                <w:sz w:val="24"/>
                <w:szCs w:val="28"/>
              </w:rPr>
            </w:pPr>
          </w:p>
        </w:tc>
        <w:tc>
          <w:tcPr>
            <w:tcW w:w="3402" w:type="dxa"/>
          </w:tcPr>
          <w:p w:rsidR="004F34CB" w:rsidRPr="004F34CB" w:rsidRDefault="004F34CB" w:rsidP="004F34CB">
            <w:pPr>
              <w:rPr>
                <w:sz w:val="24"/>
                <w:szCs w:val="28"/>
              </w:rPr>
            </w:pPr>
          </w:p>
        </w:tc>
        <w:tc>
          <w:tcPr>
            <w:tcW w:w="4314" w:type="dxa"/>
          </w:tcPr>
          <w:p w:rsidR="004F34CB" w:rsidRDefault="004F34CB" w:rsidP="004F34CB">
            <w:pPr>
              <w:rPr>
                <w:sz w:val="24"/>
                <w:szCs w:val="28"/>
              </w:rPr>
            </w:pPr>
            <w:r>
              <w:rPr>
                <w:sz w:val="24"/>
                <w:szCs w:val="28"/>
              </w:rPr>
              <w:t>Theatre CNM, GJNH</w:t>
            </w:r>
          </w:p>
        </w:tc>
      </w:tr>
      <w:tr w:rsidR="004F34CB" w:rsidRPr="004F34CB" w:rsidTr="004F34CB">
        <w:tc>
          <w:tcPr>
            <w:tcW w:w="1526" w:type="dxa"/>
          </w:tcPr>
          <w:p w:rsidR="004F34CB" w:rsidRPr="004F34CB" w:rsidRDefault="004F34CB" w:rsidP="004F34CB">
            <w:pPr>
              <w:rPr>
                <w:sz w:val="24"/>
                <w:szCs w:val="28"/>
              </w:rPr>
            </w:pPr>
          </w:p>
        </w:tc>
        <w:tc>
          <w:tcPr>
            <w:tcW w:w="3402" w:type="dxa"/>
          </w:tcPr>
          <w:p w:rsidR="004F34CB" w:rsidRPr="004F34CB" w:rsidRDefault="004F34CB" w:rsidP="004F34CB">
            <w:pPr>
              <w:rPr>
                <w:sz w:val="24"/>
                <w:szCs w:val="28"/>
              </w:rPr>
            </w:pPr>
          </w:p>
        </w:tc>
        <w:tc>
          <w:tcPr>
            <w:tcW w:w="4314" w:type="dxa"/>
          </w:tcPr>
          <w:p w:rsidR="004F34CB" w:rsidRDefault="004F34CB" w:rsidP="004F34CB">
            <w:pPr>
              <w:rPr>
                <w:sz w:val="24"/>
                <w:szCs w:val="28"/>
              </w:rPr>
            </w:pPr>
            <w:r>
              <w:rPr>
                <w:sz w:val="24"/>
                <w:szCs w:val="28"/>
              </w:rPr>
              <w:t>Ward CNM, GJNH</w:t>
            </w:r>
          </w:p>
        </w:tc>
      </w:tr>
      <w:tr w:rsidR="004F34CB" w:rsidRPr="004F34CB" w:rsidTr="004F34CB">
        <w:tc>
          <w:tcPr>
            <w:tcW w:w="1526" w:type="dxa"/>
          </w:tcPr>
          <w:p w:rsidR="004F34CB" w:rsidRPr="004F34CB" w:rsidRDefault="004F34CB" w:rsidP="004F34CB">
            <w:pPr>
              <w:rPr>
                <w:sz w:val="24"/>
                <w:szCs w:val="28"/>
              </w:rPr>
            </w:pPr>
          </w:p>
        </w:tc>
        <w:tc>
          <w:tcPr>
            <w:tcW w:w="3402" w:type="dxa"/>
          </w:tcPr>
          <w:p w:rsidR="004F34CB" w:rsidRPr="004F34CB" w:rsidRDefault="004F34CB" w:rsidP="004F34CB">
            <w:pPr>
              <w:rPr>
                <w:sz w:val="24"/>
                <w:szCs w:val="28"/>
              </w:rPr>
            </w:pPr>
          </w:p>
        </w:tc>
        <w:tc>
          <w:tcPr>
            <w:tcW w:w="4314" w:type="dxa"/>
          </w:tcPr>
          <w:p w:rsidR="004F34CB" w:rsidRDefault="00B76D59" w:rsidP="004F34CB">
            <w:pPr>
              <w:rPr>
                <w:sz w:val="24"/>
                <w:szCs w:val="28"/>
              </w:rPr>
            </w:pPr>
            <w:r>
              <w:rPr>
                <w:sz w:val="24"/>
                <w:szCs w:val="28"/>
              </w:rPr>
              <w:t>Deputy Director, National Elective Services, GJNH</w:t>
            </w:r>
          </w:p>
        </w:tc>
      </w:tr>
    </w:tbl>
    <w:p w:rsidR="00DF3842" w:rsidRPr="001108FB" w:rsidRDefault="00DF3842" w:rsidP="00DF3842">
      <w:pPr>
        <w:rPr>
          <w:b/>
          <w:sz w:val="24"/>
          <w:szCs w:val="28"/>
        </w:rPr>
      </w:pPr>
    </w:p>
    <w:p w:rsidR="005130F3" w:rsidRDefault="005130F3">
      <w:pPr>
        <w:rPr>
          <w:b/>
          <w:sz w:val="28"/>
          <w:szCs w:val="28"/>
        </w:rPr>
      </w:pPr>
      <w:r>
        <w:rPr>
          <w:b/>
          <w:sz w:val="28"/>
          <w:szCs w:val="28"/>
        </w:rPr>
        <w:br w:type="page"/>
      </w:r>
    </w:p>
    <w:p w:rsidR="005130F3" w:rsidRPr="001108FB" w:rsidRDefault="001108FB" w:rsidP="001108FB">
      <w:pPr>
        <w:pStyle w:val="ListParagraph"/>
        <w:numPr>
          <w:ilvl w:val="0"/>
          <w:numId w:val="2"/>
        </w:numPr>
        <w:rPr>
          <w:b/>
          <w:sz w:val="24"/>
          <w:szCs w:val="24"/>
        </w:rPr>
      </w:pPr>
      <w:r w:rsidRPr="001108FB">
        <w:rPr>
          <w:b/>
          <w:sz w:val="24"/>
          <w:szCs w:val="24"/>
        </w:rPr>
        <w:t>Patient Population</w:t>
      </w:r>
    </w:p>
    <w:p w:rsidR="00F37A53" w:rsidRPr="00F37A53" w:rsidRDefault="001108FB" w:rsidP="001108FB">
      <w:pPr>
        <w:pStyle w:val="ListParagraph"/>
        <w:numPr>
          <w:ilvl w:val="1"/>
          <w:numId w:val="2"/>
        </w:numPr>
        <w:rPr>
          <w:sz w:val="24"/>
          <w:szCs w:val="24"/>
          <w:highlight w:val="yellow"/>
        </w:rPr>
      </w:pPr>
      <w:r w:rsidRPr="00F37A53">
        <w:rPr>
          <w:sz w:val="24"/>
          <w:szCs w:val="24"/>
          <w:highlight w:val="yellow"/>
        </w:rPr>
        <w:t xml:space="preserve">Which patient group or groups is this pathway for? </w:t>
      </w:r>
    </w:p>
    <w:p w:rsidR="001108FB" w:rsidRPr="00F37A53" w:rsidRDefault="001108FB" w:rsidP="001108FB">
      <w:pPr>
        <w:pStyle w:val="ListParagraph"/>
        <w:numPr>
          <w:ilvl w:val="1"/>
          <w:numId w:val="2"/>
        </w:numPr>
        <w:rPr>
          <w:sz w:val="24"/>
          <w:szCs w:val="24"/>
          <w:highlight w:val="yellow"/>
        </w:rPr>
      </w:pPr>
      <w:r w:rsidRPr="00F37A53">
        <w:rPr>
          <w:sz w:val="24"/>
          <w:szCs w:val="24"/>
          <w:highlight w:val="yellow"/>
        </w:rPr>
        <w:t>Are there any exclusions?</w:t>
      </w:r>
    </w:p>
    <w:p w:rsidR="00F37A53" w:rsidRPr="00F37A53" w:rsidRDefault="00F37A53" w:rsidP="001108FB">
      <w:pPr>
        <w:pStyle w:val="ListParagraph"/>
        <w:numPr>
          <w:ilvl w:val="1"/>
          <w:numId w:val="2"/>
        </w:numPr>
        <w:rPr>
          <w:sz w:val="24"/>
          <w:szCs w:val="24"/>
          <w:highlight w:val="yellow"/>
        </w:rPr>
      </w:pPr>
      <w:r w:rsidRPr="00F37A53">
        <w:rPr>
          <w:sz w:val="24"/>
          <w:szCs w:val="24"/>
          <w:highlight w:val="yellow"/>
        </w:rPr>
        <w:t xml:space="preserve">What is the expected </w:t>
      </w:r>
      <w:r w:rsidR="00D7342F">
        <w:rPr>
          <w:sz w:val="24"/>
          <w:szCs w:val="24"/>
          <w:highlight w:val="yellow"/>
        </w:rPr>
        <w:t>number</w:t>
      </w:r>
      <w:r w:rsidRPr="00F37A53">
        <w:rPr>
          <w:sz w:val="24"/>
          <w:szCs w:val="24"/>
          <w:highlight w:val="yellow"/>
        </w:rPr>
        <w:t xml:space="preserve"> of patients? Detail any assumptions.</w:t>
      </w:r>
    </w:p>
    <w:p w:rsidR="001108FB" w:rsidRPr="001108FB" w:rsidRDefault="001108FB" w:rsidP="001108FB">
      <w:pPr>
        <w:pStyle w:val="ListParagraph"/>
        <w:ind w:left="792"/>
        <w:rPr>
          <w:sz w:val="24"/>
          <w:szCs w:val="24"/>
        </w:rPr>
      </w:pPr>
    </w:p>
    <w:p w:rsidR="001108FB" w:rsidRDefault="001108FB" w:rsidP="001108FB">
      <w:pPr>
        <w:pStyle w:val="ListParagraph"/>
        <w:numPr>
          <w:ilvl w:val="0"/>
          <w:numId w:val="2"/>
        </w:numPr>
        <w:rPr>
          <w:b/>
          <w:sz w:val="24"/>
          <w:szCs w:val="24"/>
        </w:rPr>
      </w:pPr>
      <w:r w:rsidRPr="001108FB">
        <w:rPr>
          <w:b/>
          <w:sz w:val="24"/>
          <w:szCs w:val="24"/>
        </w:rPr>
        <w:t>Clinical Pathway</w:t>
      </w:r>
    </w:p>
    <w:p w:rsidR="00117D23" w:rsidRPr="00F37A53" w:rsidRDefault="00117D23" w:rsidP="00117D23">
      <w:pPr>
        <w:pStyle w:val="ListParagraph"/>
        <w:numPr>
          <w:ilvl w:val="1"/>
          <w:numId w:val="2"/>
        </w:numPr>
        <w:rPr>
          <w:sz w:val="24"/>
          <w:szCs w:val="24"/>
          <w:highlight w:val="yellow"/>
        </w:rPr>
      </w:pPr>
      <w:r w:rsidRPr="00F37A53">
        <w:rPr>
          <w:sz w:val="24"/>
          <w:szCs w:val="24"/>
          <w:highlight w:val="yellow"/>
        </w:rPr>
        <w:t>Briefly describe the diagnostic pathway(s).</w:t>
      </w:r>
    </w:p>
    <w:p w:rsidR="00117D23" w:rsidRPr="00F37A53" w:rsidRDefault="00117D23" w:rsidP="00117D23">
      <w:pPr>
        <w:pStyle w:val="ListParagraph"/>
        <w:numPr>
          <w:ilvl w:val="1"/>
          <w:numId w:val="2"/>
        </w:numPr>
        <w:rPr>
          <w:sz w:val="24"/>
          <w:szCs w:val="24"/>
          <w:highlight w:val="yellow"/>
        </w:rPr>
      </w:pPr>
      <w:r w:rsidRPr="00F37A53">
        <w:rPr>
          <w:sz w:val="24"/>
          <w:szCs w:val="24"/>
          <w:highlight w:val="yellow"/>
        </w:rPr>
        <w:t>Briefly describe the MDT. Will the MDT continue as normal, or are modifications required?</w:t>
      </w:r>
    </w:p>
    <w:p w:rsidR="00117D23" w:rsidRPr="00F37A53" w:rsidRDefault="00117D23" w:rsidP="00117D23">
      <w:pPr>
        <w:pStyle w:val="ListParagraph"/>
        <w:numPr>
          <w:ilvl w:val="1"/>
          <w:numId w:val="2"/>
        </w:numPr>
        <w:rPr>
          <w:sz w:val="24"/>
          <w:szCs w:val="24"/>
          <w:highlight w:val="yellow"/>
        </w:rPr>
      </w:pPr>
      <w:r w:rsidRPr="00F37A53">
        <w:rPr>
          <w:sz w:val="24"/>
          <w:szCs w:val="24"/>
          <w:highlight w:val="yellow"/>
        </w:rPr>
        <w:t>At which point in the pathway is the patient referred to the GJNH for listing?</w:t>
      </w:r>
    </w:p>
    <w:p w:rsidR="00117D23" w:rsidRPr="00117D23" w:rsidRDefault="00117D23" w:rsidP="00117D23">
      <w:pPr>
        <w:pStyle w:val="ListParagraph"/>
        <w:ind w:left="792"/>
        <w:rPr>
          <w:sz w:val="24"/>
          <w:szCs w:val="24"/>
        </w:rPr>
      </w:pPr>
    </w:p>
    <w:p w:rsidR="00F37A53" w:rsidRDefault="00D7342F" w:rsidP="00117D23">
      <w:pPr>
        <w:pStyle w:val="ListParagraph"/>
        <w:numPr>
          <w:ilvl w:val="0"/>
          <w:numId w:val="2"/>
        </w:numPr>
        <w:rPr>
          <w:b/>
          <w:sz w:val="24"/>
          <w:szCs w:val="24"/>
        </w:rPr>
      </w:pPr>
      <w:r>
        <w:rPr>
          <w:b/>
          <w:sz w:val="24"/>
          <w:szCs w:val="24"/>
        </w:rPr>
        <w:t>Proc</w:t>
      </w:r>
      <w:r w:rsidR="00F37A53">
        <w:rPr>
          <w:b/>
          <w:sz w:val="24"/>
          <w:szCs w:val="24"/>
        </w:rPr>
        <w:t>edure(s)</w:t>
      </w:r>
    </w:p>
    <w:p w:rsidR="00F37A53" w:rsidRPr="00F37A53" w:rsidRDefault="00F37A53" w:rsidP="00F37A53">
      <w:pPr>
        <w:pStyle w:val="ListParagraph"/>
        <w:numPr>
          <w:ilvl w:val="1"/>
          <w:numId w:val="2"/>
        </w:numPr>
        <w:rPr>
          <w:sz w:val="24"/>
          <w:szCs w:val="24"/>
          <w:highlight w:val="yellow"/>
        </w:rPr>
      </w:pPr>
      <w:r w:rsidRPr="00F37A53">
        <w:rPr>
          <w:sz w:val="24"/>
          <w:szCs w:val="24"/>
          <w:highlight w:val="yellow"/>
        </w:rPr>
        <w:t>Brief description of proposed procedure(s).</w:t>
      </w:r>
    </w:p>
    <w:p w:rsidR="00F37A53" w:rsidRPr="00F37A53" w:rsidRDefault="00F37A53" w:rsidP="00F37A53">
      <w:pPr>
        <w:pStyle w:val="ListParagraph"/>
        <w:numPr>
          <w:ilvl w:val="1"/>
          <w:numId w:val="2"/>
        </w:numPr>
        <w:rPr>
          <w:sz w:val="24"/>
          <w:szCs w:val="24"/>
          <w:highlight w:val="yellow"/>
        </w:rPr>
      </w:pPr>
      <w:r w:rsidRPr="00F37A53">
        <w:rPr>
          <w:sz w:val="24"/>
          <w:szCs w:val="24"/>
          <w:highlight w:val="yellow"/>
        </w:rPr>
        <w:t>Typical operative duration from theatre entry to theatre exit, with key parameters causing longer or shorter procedures</w:t>
      </w:r>
      <w:r>
        <w:rPr>
          <w:sz w:val="24"/>
          <w:szCs w:val="24"/>
          <w:highlight w:val="yellow"/>
        </w:rPr>
        <w:t xml:space="preserve"> (eg open v laparoscopic)</w:t>
      </w:r>
      <w:r w:rsidRPr="00F37A53">
        <w:rPr>
          <w:sz w:val="24"/>
          <w:szCs w:val="24"/>
          <w:highlight w:val="yellow"/>
        </w:rPr>
        <w:t>.</w:t>
      </w:r>
    </w:p>
    <w:p w:rsidR="00F37A53" w:rsidRPr="00F37A53" w:rsidRDefault="00F37A53" w:rsidP="00F37A53">
      <w:pPr>
        <w:pStyle w:val="ListParagraph"/>
        <w:ind w:left="792"/>
        <w:rPr>
          <w:sz w:val="24"/>
          <w:szCs w:val="24"/>
        </w:rPr>
      </w:pPr>
    </w:p>
    <w:p w:rsidR="00983D3D" w:rsidRDefault="00983D3D" w:rsidP="00983D3D">
      <w:pPr>
        <w:pStyle w:val="ListParagraph"/>
        <w:numPr>
          <w:ilvl w:val="0"/>
          <w:numId w:val="2"/>
        </w:numPr>
        <w:rPr>
          <w:b/>
          <w:sz w:val="24"/>
          <w:szCs w:val="24"/>
        </w:rPr>
      </w:pPr>
      <w:r w:rsidRPr="001108FB">
        <w:rPr>
          <w:b/>
          <w:sz w:val="24"/>
          <w:szCs w:val="24"/>
        </w:rPr>
        <w:t>Pre-operative Assessment</w:t>
      </w:r>
    </w:p>
    <w:p w:rsidR="00983D3D" w:rsidRPr="006A1A61" w:rsidRDefault="00983D3D" w:rsidP="00983D3D">
      <w:pPr>
        <w:pStyle w:val="ListParagraph"/>
        <w:numPr>
          <w:ilvl w:val="1"/>
          <w:numId w:val="2"/>
        </w:numPr>
        <w:rPr>
          <w:sz w:val="24"/>
          <w:szCs w:val="24"/>
          <w:highlight w:val="yellow"/>
        </w:rPr>
      </w:pPr>
      <w:r>
        <w:rPr>
          <w:sz w:val="24"/>
          <w:szCs w:val="24"/>
          <w:highlight w:val="yellow"/>
        </w:rPr>
        <w:t>Confirm if pre op assessment will be undertaken at base hospital or GJNH</w:t>
      </w:r>
      <w:r w:rsidR="00A31057">
        <w:rPr>
          <w:sz w:val="24"/>
          <w:szCs w:val="24"/>
          <w:highlight w:val="yellow"/>
        </w:rPr>
        <w:t>.</w:t>
      </w:r>
    </w:p>
    <w:p w:rsidR="00983D3D" w:rsidRDefault="00983D3D" w:rsidP="00983D3D">
      <w:pPr>
        <w:pStyle w:val="ListParagraph"/>
        <w:numPr>
          <w:ilvl w:val="1"/>
          <w:numId w:val="2"/>
        </w:numPr>
        <w:rPr>
          <w:sz w:val="24"/>
          <w:szCs w:val="24"/>
          <w:highlight w:val="yellow"/>
        </w:rPr>
      </w:pPr>
      <w:r w:rsidRPr="006A1A61">
        <w:rPr>
          <w:sz w:val="24"/>
          <w:szCs w:val="24"/>
          <w:highlight w:val="yellow"/>
        </w:rPr>
        <w:t>If done at the GJNH, which specific tests or assessments are required?</w:t>
      </w:r>
    </w:p>
    <w:p w:rsidR="00983D3D" w:rsidRPr="00A31057" w:rsidRDefault="00983D3D" w:rsidP="00983D3D">
      <w:pPr>
        <w:pStyle w:val="ListParagraph"/>
        <w:numPr>
          <w:ilvl w:val="1"/>
          <w:numId w:val="2"/>
        </w:numPr>
        <w:rPr>
          <w:color w:val="000000" w:themeColor="text1"/>
          <w:sz w:val="24"/>
          <w:szCs w:val="24"/>
        </w:rPr>
      </w:pPr>
      <w:r w:rsidRPr="00A31057">
        <w:rPr>
          <w:color w:val="000000" w:themeColor="text1"/>
          <w:sz w:val="24"/>
          <w:szCs w:val="24"/>
        </w:rPr>
        <w:t xml:space="preserve">NHS GJ Anaesthetic team will </w:t>
      </w:r>
      <w:r w:rsidR="00A31057">
        <w:rPr>
          <w:color w:val="000000" w:themeColor="text1"/>
          <w:sz w:val="24"/>
          <w:szCs w:val="24"/>
        </w:rPr>
        <w:t>have responsibility for any pre-</w:t>
      </w:r>
      <w:r w:rsidRPr="00A31057">
        <w:rPr>
          <w:color w:val="000000" w:themeColor="text1"/>
          <w:sz w:val="24"/>
          <w:szCs w:val="24"/>
        </w:rPr>
        <w:t>operative medication plan including any stoppages of medication – and will confirm instructions with the booking office</w:t>
      </w:r>
      <w:r w:rsidR="00A31057">
        <w:rPr>
          <w:color w:val="000000" w:themeColor="text1"/>
          <w:sz w:val="24"/>
          <w:szCs w:val="24"/>
        </w:rPr>
        <w:t>.</w:t>
      </w:r>
    </w:p>
    <w:p w:rsidR="00983D3D" w:rsidRDefault="00A31057" w:rsidP="00983D3D">
      <w:pPr>
        <w:pStyle w:val="ListParagraph"/>
        <w:numPr>
          <w:ilvl w:val="1"/>
          <w:numId w:val="2"/>
        </w:numPr>
        <w:rPr>
          <w:color w:val="000000" w:themeColor="text1"/>
          <w:sz w:val="24"/>
          <w:szCs w:val="24"/>
        </w:rPr>
      </w:pPr>
      <w:r>
        <w:rPr>
          <w:color w:val="000000" w:themeColor="text1"/>
          <w:sz w:val="24"/>
          <w:szCs w:val="24"/>
        </w:rPr>
        <w:t>All pre</w:t>
      </w:r>
      <w:r w:rsidR="00983D3D" w:rsidRPr="00A31057">
        <w:rPr>
          <w:color w:val="000000" w:themeColor="text1"/>
          <w:sz w:val="24"/>
          <w:szCs w:val="24"/>
        </w:rPr>
        <w:t>-operative clinical information will be made available by the referring board via their clinical portal</w:t>
      </w:r>
      <w:r>
        <w:rPr>
          <w:color w:val="000000" w:themeColor="text1"/>
          <w:sz w:val="24"/>
          <w:szCs w:val="24"/>
        </w:rPr>
        <w:t>.</w:t>
      </w:r>
    </w:p>
    <w:p w:rsidR="00A31057" w:rsidRPr="00A31057" w:rsidRDefault="00A31057" w:rsidP="00A31057">
      <w:pPr>
        <w:pStyle w:val="ListParagraph"/>
        <w:ind w:left="792"/>
        <w:rPr>
          <w:color w:val="000000" w:themeColor="text1"/>
          <w:sz w:val="24"/>
          <w:szCs w:val="24"/>
        </w:rPr>
      </w:pPr>
    </w:p>
    <w:p w:rsidR="00117D23" w:rsidRDefault="001108FB" w:rsidP="00117D23">
      <w:pPr>
        <w:pStyle w:val="ListParagraph"/>
        <w:numPr>
          <w:ilvl w:val="0"/>
          <w:numId w:val="2"/>
        </w:numPr>
        <w:rPr>
          <w:b/>
          <w:sz w:val="24"/>
          <w:szCs w:val="24"/>
        </w:rPr>
      </w:pPr>
      <w:r w:rsidRPr="001108FB">
        <w:rPr>
          <w:b/>
          <w:sz w:val="24"/>
          <w:szCs w:val="24"/>
        </w:rPr>
        <w:t>Planning of Lists</w:t>
      </w:r>
    </w:p>
    <w:p w:rsidR="00F37A53" w:rsidRPr="00F37A53" w:rsidRDefault="00F37A53" w:rsidP="00F37A53">
      <w:pPr>
        <w:pStyle w:val="ListParagraph"/>
        <w:numPr>
          <w:ilvl w:val="1"/>
          <w:numId w:val="2"/>
        </w:numPr>
        <w:rPr>
          <w:sz w:val="24"/>
          <w:szCs w:val="24"/>
        </w:rPr>
      </w:pPr>
      <w:r w:rsidRPr="00F37A53">
        <w:rPr>
          <w:sz w:val="24"/>
          <w:szCs w:val="24"/>
        </w:rPr>
        <w:t xml:space="preserve">The referring Board’s clinical team will inform GJNH of cases and desired timescale for operations. </w:t>
      </w:r>
    </w:p>
    <w:p w:rsidR="00F37A53" w:rsidRDefault="00F37A53" w:rsidP="00F37A53">
      <w:pPr>
        <w:pStyle w:val="ListParagraph"/>
        <w:numPr>
          <w:ilvl w:val="1"/>
          <w:numId w:val="2"/>
        </w:numPr>
        <w:rPr>
          <w:sz w:val="24"/>
          <w:szCs w:val="24"/>
        </w:rPr>
      </w:pPr>
      <w:r w:rsidRPr="00F37A53">
        <w:rPr>
          <w:sz w:val="24"/>
          <w:szCs w:val="24"/>
        </w:rPr>
        <w:t>GJNH will liaise with the clinicians to arrange a suitable list date.</w:t>
      </w:r>
    </w:p>
    <w:p w:rsidR="00983D3D" w:rsidRPr="00A31057" w:rsidRDefault="00983D3D" w:rsidP="00F37A53">
      <w:pPr>
        <w:pStyle w:val="ListParagraph"/>
        <w:numPr>
          <w:ilvl w:val="1"/>
          <w:numId w:val="2"/>
        </w:numPr>
        <w:rPr>
          <w:color w:val="000000" w:themeColor="text1"/>
          <w:sz w:val="24"/>
          <w:szCs w:val="24"/>
        </w:rPr>
      </w:pPr>
      <w:r w:rsidRPr="00A31057">
        <w:rPr>
          <w:color w:val="000000" w:themeColor="text1"/>
          <w:sz w:val="24"/>
          <w:szCs w:val="24"/>
        </w:rPr>
        <w:t>NHS GJ Booking Office will be responsible for all patient scheduling booking and communication via phone and letter</w:t>
      </w:r>
    </w:p>
    <w:p w:rsidR="00983D3D" w:rsidRPr="00A31057" w:rsidRDefault="00983D3D" w:rsidP="00F37A53">
      <w:pPr>
        <w:pStyle w:val="ListParagraph"/>
        <w:numPr>
          <w:ilvl w:val="1"/>
          <w:numId w:val="2"/>
        </w:numPr>
        <w:rPr>
          <w:color w:val="000000" w:themeColor="text1"/>
          <w:sz w:val="24"/>
          <w:szCs w:val="24"/>
        </w:rPr>
      </w:pPr>
      <w:r w:rsidRPr="00A31057">
        <w:rPr>
          <w:color w:val="000000" w:themeColor="text1"/>
          <w:sz w:val="24"/>
          <w:szCs w:val="24"/>
        </w:rPr>
        <w:t xml:space="preserve">NHS GJ Booking office will ensure any new procedures and consultant &amp; GMC numbers are added to NHS GJ Opera and TRAK systems  to support patient scheduling and booking processes </w:t>
      </w:r>
    </w:p>
    <w:p w:rsidR="00F37A53" w:rsidRDefault="00F37A53" w:rsidP="00F37A53">
      <w:pPr>
        <w:pStyle w:val="ListParagraph"/>
        <w:numPr>
          <w:ilvl w:val="1"/>
          <w:numId w:val="2"/>
        </w:numPr>
        <w:rPr>
          <w:sz w:val="24"/>
          <w:szCs w:val="24"/>
        </w:rPr>
      </w:pPr>
      <w:r>
        <w:rPr>
          <w:sz w:val="24"/>
          <w:szCs w:val="24"/>
        </w:rPr>
        <w:t>Lists will include the following details:</w:t>
      </w:r>
    </w:p>
    <w:p w:rsidR="00F37A53" w:rsidRDefault="00F37A53" w:rsidP="00F37A53">
      <w:pPr>
        <w:pStyle w:val="ListParagraph"/>
        <w:numPr>
          <w:ilvl w:val="2"/>
          <w:numId w:val="2"/>
        </w:numPr>
        <w:rPr>
          <w:sz w:val="24"/>
          <w:szCs w:val="24"/>
        </w:rPr>
      </w:pPr>
      <w:r w:rsidRPr="00A31057">
        <w:rPr>
          <w:color w:val="000000" w:themeColor="text1"/>
          <w:sz w:val="24"/>
          <w:szCs w:val="24"/>
        </w:rPr>
        <w:t xml:space="preserve">Timing </w:t>
      </w:r>
      <w:r w:rsidR="00DE4BE2" w:rsidRPr="00A31057">
        <w:rPr>
          <w:color w:val="000000" w:themeColor="text1"/>
          <w:sz w:val="24"/>
          <w:szCs w:val="24"/>
        </w:rPr>
        <w:t xml:space="preserve">and location </w:t>
      </w:r>
      <w:r w:rsidRPr="00A31057">
        <w:rPr>
          <w:color w:val="000000" w:themeColor="text1"/>
          <w:sz w:val="24"/>
          <w:szCs w:val="24"/>
        </w:rPr>
        <w:t>o</w:t>
      </w:r>
      <w:r>
        <w:rPr>
          <w:sz w:val="24"/>
          <w:szCs w:val="24"/>
        </w:rPr>
        <w:t>f admission</w:t>
      </w:r>
    </w:p>
    <w:p w:rsidR="00F37A53" w:rsidRDefault="00F37A53" w:rsidP="00F37A53">
      <w:pPr>
        <w:pStyle w:val="ListParagraph"/>
        <w:numPr>
          <w:ilvl w:val="2"/>
          <w:numId w:val="2"/>
        </w:numPr>
        <w:rPr>
          <w:sz w:val="24"/>
          <w:szCs w:val="24"/>
        </w:rPr>
      </w:pPr>
      <w:r>
        <w:rPr>
          <w:sz w:val="24"/>
          <w:szCs w:val="24"/>
        </w:rPr>
        <w:t>Investigations required on admission</w:t>
      </w:r>
    </w:p>
    <w:p w:rsidR="00983D3D" w:rsidRDefault="00F37A53" w:rsidP="00F37A53">
      <w:pPr>
        <w:pStyle w:val="ListParagraph"/>
        <w:numPr>
          <w:ilvl w:val="2"/>
          <w:numId w:val="2"/>
        </w:numPr>
        <w:rPr>
          <w:sz w:val="24"/>
          <w:szCs w:val="24"/>
        </w:rPr>
      </w:pPr>
      <w:r>
        <w:rPr>
          <w:sz w:val="24"/>
          <w:szCs w:val="24"/>
        </w:rPr>
        <w:t>Specialist equipment and consumables required</w:t>
      </w:r>
      <w:r w:rsidR="00DE4BE2">
        <w:rPr>
          <w:sz w:val="24"/>
          <w:szCs w:val="24"/>
        </w:rPr>
        <w:t xml:space="preserve"> </w:t>
      </w:r>
    </w:p>
    <w:p w:rsidR="006A1A61" w:rsidRDefault="006A1A61" w:rsidP="00F37A53">
      <w:pPr>
        <w:pStyle w:val="ListParagraph"/>
        <w:numPr>
          <w:ilvl w:val="2"/>
          <w:numId w:val="2"/>
        </w:numPr>
        <w:rPr>
          <w:sz w:val="24"/>
          <w:szCs w:val="24"/>
        </w:rPr>
      </w:pPr>
      <w:r>
        <w:rPr>
          <w:sz w:val="24"/>
          <w:szCs w:val="24"/>
        </w:rPr>
        <w:t>Specific positioning required</w:t>
      </w:r>
    </w:p>
    <w:p w:rsidR="006A1A61" w:rsidRDefault="006A1A61" w:rsidP="006A1A61">
      <w:pPr>
        <w:pStyle w:val="ListParagraph"/>
        <w:numPr>
          <w:ilvl w:val="1"/>
          <w:numId w:val="2"/>
        </w:numPr>
        <w:rPr>
          <w:sz w:val="24"/>
          <w:szCs w:val="24"/>
        </w:rPr>
      </w:pPr>
      <w:r>
        <w:rPr>
          <w:sz w:val="24"/>
          <w:szCs w:val="24"/>
        </w:rPr>
        <w:t>Lists will be circulated to the surgical consultant(s), surgeon’s secretary, GJNH lead manager (who will circulate to GJNH Admin, Theatres, Anaesthetics, Ward).</w:t>
      </w:r>
    </w:p>
    <w:p w:rsidR="00DE4BE2" w:rsidRPr="00A31057" w:rsidRDefault="00DE4BE2" w:rsidP="006A1A61">
      <w:pPr>
        <w:pStyle w:val="ListParagraph"/>
        <w:numPr>
          <w:ilvl w:val="1"/>
          <w:numId w:val="2"/>
        </w:numPr>
        <w:rPr>
          <w:color w:val="000000" w:themeColor="text1"/>
          <w:sz w:val="24"/>
          <w:szCs w:val="24"/>
          <w:highlight w:val="yellow"/>
        </w:rPr>
      </w:pPr>
      <w:r w:rsidRPr="00A31057">
        <w:rPr>
          <w:color w:val="000000" w:themeColor="text1"/>
          <w:sz w:val="24"/>
          <w:szCs w:val="24"/>
        </w:rPr>
        <w:t xml:space="preserve">Pathology </w:t>
      </w:r>
      <w:r w:rsidR="00A31057">
        <w:rPr>
          <w:color w:val="000000" w:themeColor="text1"/>
          <w:sz w:val="24"/>
          <w:szCs w:val="24"/>
        </w:rPr>
        <w:t>specimens:</w:t>
      </w:r>
      <w:r w:rsidRPr="00A31057">
        <w:rPr>
          <w:color w:val="000000" w:themeColor="text1"/>
          <w:sz w:val="24"/>
          <w:szCs w:val="24"/>
        </w:rPr>
        <w:t xml:space="preserve"> this can follow NHS</w:t>
      </w:r>
      <w:r w:rsidR="00983D3D" w:rsidRPr="00A31057">
        <w:rPr>
          <w:color w:val="000000" w:themeColor="text1"/>
          <w:sz w:val="24"/>
          <w:szCs w:val="24"/>
        </w:rPr>
        <w:t xml:space="preserve"> GJ</w:t>
      </w:r>
      <w:r w:rsidR="00A31057">
        <w:rPr>
          <w:color w:val="000000" w:themeColor="text1"/>
          <w:sz w:val="24"/>
          <w:szCs w:val="24"/>
        </w:rPr>
        <w:t>NH</w:t>
      </w:r>
      <w:r w:rsidR="00983D3D" w:rsidRPr="00A31057">
        <w:rPr>
          <w:color w:val="000000" w:themeColor="text1"/>
          <w:sz w:val="24"/>
          <w:szCs w:val="24"/>
        </w:rPr>
        <w:t xml:space="preserve"> usual pathway with specimens transported to </w:t>
      </w:r>
      <w:r w:rsidRPr="00A31057">
        <w:rPr>
          <w:color w:val="000000" w:themeColor="text1"/>
          <w:sz w:val="24"/>
          <w:szCs w:val="24"/>
        </w:rPr>
        <w:t xml:space="preserve">NHS GGC </w:t>
      </w:r>
      <w:r w:rsidR="00A31057">
        <w:rPr>
          <w:color w:val="000000" w:themeColor="text1"/>
          <w:sz w:val="24"/>
          <w:szCs w:val="24"/>
        </w:rPr>
        <w:t>pathology l</w:t>
      </w:r>
      <w:r w:rsidR="00983D3D" w:rsidRPr="00A31057">
        <w:rPr>
          <w:color w:val="000000" w:themeColor="text1"/>
          <w:sz w:val="24"/>
          <w:szCs w:val="24"/>
        </w:rPr>
        <w:t>ab</w:t>
      </w:r>
      <w:r w:rsidR="00A31057">
        <w:rPr>
          <w:color w:val="000000" w:themeColor="text1"/>
          <w:sz w:val="24"/>
          <w:szCs w:val="24"/>
        </w:rPr>
        <w:t>oratory,</w:t>
      </w:r>
      <w:r w:rsidRPr="00A31057">
        <w:rPr>
          <w:color w:val="000000" w:themeColor="text1"/>
          <w:sz w:val="24"/>
          <w:szCs w:val="24"/>
        </w:rPr>
        <w:t xml:space="preserve"> or specimens can be se</w:t>
      </w:r>
      <w:r w:rsidR="00A31057">
        <w:rPr>
          <w:color w:val="000000" w:themeColor="text1"/>
          <w:sz w:val="24"/>
          <w:szCs w:val="24"/>
        </w:rPr>
        <w:t>nt to base health b</w:t>
      </w:r>
      <w:r w:rsidRPr="00A31057">
        <w:rPr>
          <w:color w:val="000000" w:themeColor="text1"/>
          <w:sz w:val="24"/>
          <w:szCs w:val="24"/>
        </w:rPr>
        <w:t>oard</w:t>
      </w:r>
      <w:r w:rsidR="00A31057">
        <w:rPr>
          <w:color w:val="000000" w:themeColor="text1"/>
          <w:sz w:val="24"/>
          <w:szCs w:val="24"/>
        </w:rPr>
        <w:t>’s pathology l</w:t>
      </w:r>
      <w:r w:rsidRPr="00A31057">
        <w:rPr>
          <w:color w:val="000000" w:themeColor="text1"/>
          <w:sz w:val="24"/>
          <w:szCs w:val="24"/>
        </w:rPr>
        <w:t>ab</w:t>
      </w:r>
      <w:r w:rsidR="00A31057">
        <w:rPr>
          <w:color w:val="000000" w:themeColor="text1"/>
          <w:sz w:val="24"/>
          <w:szCs w:val="24"/>
        </w:rPr>
        <w:t>oratory</w:t>
      </w:r>
      <w:r w:rsidRPr="00A31057">
        <w:rPr>
          <w:color w:val="000000" w:themeColor="text1"/>
          <w:sz w:val="24"/>
          <w:szCs w:val="24"/>
        </w:rPr>
        <w:t xml:space="preserve"> – </w:t>
      </w:r>
      <w:r w:rsidRPr="00A31057">
        <w:rPr>
          <w:color w:val="000000" w:themeColor="text1"/>
          <w:sz w:val="24"/>
          <w:szCs w:val="24"/>
          <w:highlight w:val="yellow"/>
        </w:rPr>
        <w:t>to be agreed</w:t>
      </w:r>
    </w:p>
    <w:p w:rsidR="00F37A53" w:rsidRPr="00F37A53" w:rsidRDefault="00F37A53" w:rsidP="00F37A53">
      <w:pPr>
        <w:pStyle w:val="ListParagraph"/>
        <w:ind w:left="792"/>
        <w:rPr>
          <w:sz w:val="24"/>
          <w:szCs w:val="24"/>
        </w:rPr>
      </w:pPr>
    </w:p>
    <w:p w:rsidR="006A1A61" w:rsidRDefault="006A1A61" w:rsidP="001108FB">
      <w:pPr>
        <w:pStyle w:val="ListParagraph"/>
        <w:numPr>
          <w:ilvl w:val="0"/>
          <w:numId w:val="2"/>
        </w:numPr>
        <w:rPr>
          <w:b/>
          <w:sz w:val="24"/>
          <w:szCs w:val="24"/>
        </w:rPr>
      </w:pPr>
      <w:r>
        <w:rPr>
          <w:b/>
          <w:sz w:val="24"/>
          <w:szCs w:val="24"/>
        </w:rPr>
        <w:t>COVID Screening</w:t>
      </w:r>
    </w:p>
    <w:p w:rsidR="006A1A61" w:rsidRDefault="006A1A61" w:rsidP="006A1A61">
      <w:pPr>
        <w:pStyle w:val="ListParagraph"/>
        <w:numPr>
          <w:ilvl w:val="1"/>
          <w:numId w:val="2"/>
        </w:numPr>
        <w:rPr>
          <w:sz w:val="24"/>
          <w:szCs w:val="24"/>
        </w:rPr>
      </w:pPr>
      <w:r w:rsidRPr="006A1A61">
        <w:rPr>
          <w:sz w:val="24"/>
          <w:szCs w:val="24"/>
        </w:rPr>
        <w:t xml:space="preserve">During the </w:t>
      </w:r>
      <w:r>
        <w:rPr>
          <w:sz w:val="24"/>
          <w:szCs w:val="24"/>
        </w:rPr>
        <w:t>COVID-19 Pandemic, the following screening will take place:</w:t>
      </w:r>
    </w:p>
    <w:p w:rsidR="006A1A61" w:rsidRDefault="006A1A61" w:rsidP="006A1A61">
      <w:pPr>
        <w:pStyle w:val="ListParagraph"/>
        <w:numPr>
          <w:ilvl w:val="2"/>
          <w:numId w:val="2"/>
        </w:numPr>
        <w:rPr>
          <w:sz w:val="24"/>
          <w:szCs w:val="24"/>
        </w:rPr>
      </w:pPr>
      <w:r>
        <w:rPr>
          <w:sz w:val="24"/>
          <w:szCs w:val="24"/>
        </w:rPr>
        <w:t xml:space="preserve">All </w:t>
      </w:r>
      <w:r w:rsidR="00A31057">
        <w:rPr>
          <w:sz w:val="24"/>
          <w:szCs w:val="24"/>
        </w:rPr>
        <w:t>patients are</w:t>
      </w:r>
      <w:r>
        <w:rPr>
          <w:sz w:val="24"/>
          <w:szCs w:val="24"/>
        </w:rPr>
        <w:t xml:space="preserve"> advised to self-isolate</w:t>
      </w:r>
      <w:r w:rsidR="00A31057">
        <w:rPr>
          <w:sz w:val="24"/>
          <w:szCs w:val="24"/>
        </w:rPr>
        <w:t xml:space="preserve"> for 14 days before</w:t>
      </w:r>
      <w:r>
        <w:rPr>
          <w:sz w:val="24"/>
          <w:szCs w:val="24"/>
        </w:rPr>
        <w:t xml:space="preserve"> the date of operation.</w:t>
      </w:r>
    </w:p>
    <w:p w:rsidR="006A1A61" w:rsidRDefault="00A31057" w:rsidP="006A1A61">
      <w:pPr>
        <w:pStyle w:val="ListParagraph"/>
        <w:numPr>
          <w:ilvl w:val="2"/>
          <w:numId w:val="2"/>
        </w:numPr>
        <w:rPr>
          <w:sz w:val="24"/>
          <w:szCs w:val="24"/>
        </w:rPr>
      </w:pPr>
      <w:r>
        <w:rPr>
          <w:sz w:val="24"/>
          <w:szCs w:val="24"/>
        </w:rPr>
        <w:t xml:space="preserve">Patients will be telephoned </w:t>
      </w:r>
      <w:r w:rsidR="006A1A61">
        <w:rPr>
          <w:sz w:val="24"/>
          <w:szCs w:val="24"/>
        </w:rPr>
        <w:t xml:space="preserve">48 hours before the operation to confirm that they </w:t>
      </w:r>
      <w:r w:rsidR="00687129">
        <w:rPr>
          <w:sz w:val="24"/>
          <w:szCs w:val="24"/>
        </w:rPr>
        <w:t>or household members have not been symptomatic of COVID-19. If symptomatic, surgery will be deferred for 7 days. If a household member is symptomatic, surgery will be deferred for 14 days.</w:t>
      </w:r>
    </w:p>
    <w:p w:rsidR="006A1A61" w:rsidRDefault="00A31057" w:rsidP="006A1A61">
      <w:pPr>
        <w:pStyle w:val="ListParagraph"/>
        <w:numPr>
          <w:ilvl w:val="2"/>
          <w:numId w:val="2"/>
        </w:numPr>
        <w:rPr>
          <w:sz w:val="24"/>
          <w:szCs w:val="24"/>
        </w:rPr>
      </w:pPr>
      <w:r>
        <w:rPr>
          <w:sz w:val="24"/>
          <w:szCs w:val="24"/>
        </w:rPr>
        <w:t>Nasal and oropharyngeal swabs will be taken for COVID-19</w:t>
      </w:r>
      <w:r w:rsidR="006A1A61">
        <w:rPr>
          <w:sz w:val="24"/>
          <w:szCs w:val="24"/>
        </w:rPr>
        <w:t xml:space="preserve"> </w:t>
      </w:r>
      <w:r>
        <w:rPr>
          <w:sz w:val="24"/>
          <w:szCs w:val="24"/>
        </w:rPr>
        <w:t>PCR</w:t>
      </w:r>
      <w:r w:rsidR="006A1A61">
        <w:rPr>
          <w:sz w:val="24"/>
          <w:szCs w:val="24"/>
        </w:rPr>
        <w:t xml:space="preserve"> </w:t>
      </w:r>
      <w:r>
        <w:rPr>
          <w:sz w:val="24"/>
          <w:szCs w:val="24"/>
        </w:rPr>
        <w:t xml:space="preserve">testing, which </w:t>
      </w:r>
      <w:r w:rsidR="006A1A61">
        <w:rPr>
          <w:sz w:val="24"/>
          <w:szCs w:val="24"/>
        </w:rPr>
        <w:t>will be done the day before the operation at the GJNH</w:t>
      </w:r>
      <w:r>
        <w:rPr>
          <w:sz w:val="24"/>
          <w:szCs w:val="24"/>
        </w:rPr>
        <w:t xml:space="preserve"> in the pre-op clinic area</w:t>
      </w:r>
      <w:r w:rsidR="006A1A61">
        <w:rPr>
          <w:sz w:val="24"/>
          <w:szCs w:val="24"/>
        </w:rPr>
        <w:t>.</w:t>
      </w:r>
      <w:r>
        <w:rPr>
          <w:sz w:val="24"/>
          <w:szCs w:val="24"/>
        </w:rPr>
        <w:t xml:space="preserve"> Admission to the ward will only take place after the negative result is available (typically &lt; one hour).</w:t>
      </w:r>
    </w:p>
    <w:p w:rsidR="006A1A61" w:rsidRPr="006A1A61" w:rsidRDefault="00687129" w:rsidP="006A1A61">
      <w:pPr>
        <w:pStyle w:val="ListParagraph"/>
        <w:numPr>
          <w:ilvl w:val="2"/>
          <w:numId w:val="2"/>
        </w:numPr>
        <w:rPr>
          <w:sz w:val="24"/>
          <w:szCs w:val="24"/>
        </w:rPr>
      </w:pPr>
      <w:r>
        <w:rPr>
          <w:sz w:val="24"/>
          <w:szCs w:val="24"/>
        </w:rPr>
        <w:t>A positive PCR for COVID-19 will lead to deferral of the surgery for 7 days, and will require a further negative set of swabs.</w:t>
      </w:r>
    </w:p>
    <w:p w:rsidR="006A1A61" w:rsidRDefault="006A1A61" w:rsidP="006A1A61">
      <w:pPr>
        <w:pStyle w:val="ListParagraph"/>
        <w:ind w:left="792"/>
        <w:rPr>
          <w:b/>
          <w:sz w:val="24"/>
          <w:szCs w:val="24"/>
        </w:rPr>
      </w:pPr>
    </w:p>
    <w:p w:rsidR="001108FB" w:rsidRDefault="001108FB" w:rsidP="001108FB">
      <w:pPr>
        <w:pStyle w:val="ListParagraph"/>
        <w:numPr>
          <w:ilvl w:val="0"/>
          <w:numId w:val="2"/>
        </w:numPr>
        <w:rPr>
          <w:b/>
          <w:sz w:val="24"/>
          <w:szCs w:val="24"/>
        </w:rPr>
      </w:pPr>
      <w:r w:rsidRPr="001108FB">
        <w:rPr>
          <w:b/>
          <w:sz w:val="24"/>
          <w:szCs w:val="24"/>
        </w:rPr>
        <w:t>Specialist Equipment and Consumables</w:t>
      </w:r>
    </w:p>
    <w:p w:rsidR="00983D3D" w:rsidRPr="00A31057" w:rsidRDefault="00687129" w:rsidP="00A31057">
      <w:pPr>
        <w:pStyle w:val="ListParagraph"/>
        <w:numPr>
          <w:ilvl w:val="1"/>
          <w:numId w:val="2"/>
        </w:numPr>
        <w:rPr>
          <w:color w:val="000000" w:themeColor="text1"/>
          <w:sz w:val="24"/>
          <w:szCs w:val="24"/>
          <w:highlight w:val="yellow"/>
        </w:rPr>
      </w:pPr>
      <w:r w:rsidRPr="00687129">
        <w:rPr>
          <w:sz w:val="24"/>
          <w:szCs w:val="24"/>
          <w:highlight w:val="yellow"/>
        </w:rPr>
        <w:t xml:space="preserve">Please detail any specialist equipment, implants or consumables that will be required. </w:t>
      </w:r>
      <w:r w:rsidR="00D7342F">
        <w:rPr>
          <w:sz w:val="24"/>
          <w:szCs w:val="24"/>
          <w:highlight w:val="yellow"/>
        </w:rPr>
        <w:t>T</w:t>
      </w:r>
      <w:r w:rsidRPr="00687129">
        <w:rPr>
          <w:sz w:val="24"/>
          <w:szCs w:val="24"/>
          <w:highlight w:val="yellow"/>
        </w:rPr>
        <w:t>his should be confirmed after discussions between the theatre managers of the referring board and GJNH, in lia</w:t>
      </w:r>
      <w:r w:rsidR="00A31057">
        <w:rPr>
          <w:sz w:val="24"/>
          <w:szCs w:val="24"/>
          <w:highlight w:val="yellow"/>
        </w:rPr>
        <w:t>ison with the operating surgeon, s</w:t>
      </w:r>
      <w:r w:rsidR="00983D3D" w:rsidRPr="00A31057">
        <w:rPr>
          <w:color w:val="000000" w:themeColor="text1"/>
          <w:sz w:val="24"/>
          <w:szCs w:val="24"/>
          <w:highlight w:val="yellow"/>
        </w:rPr>
        <w:t>tating what</w:t>
      </w:r>
      <w:r w:rsidR="00A31057">
        <w:rPr>
          <w:color w:val="000000" w:themeColor="text1"/>
          <w:sz w:val="24"/>
          <w:szCs w:val="24"/>
          <w:highlight w:val="yellow"/>
        </w:rPr>
        <w:t xml:space="preserve"> </w:t>
      </w:r>
      <w:r w:rsidR="00983D3D" w:rsidRPr="00A31057">
        <w:rPr>
          <w:color w:val="000000" w:themeColor="text1"/>
          <w:sz w:val="24"/>
          <w:szCs w:val="24"/>
          <w:highlight w:val="yellow"/>
        </w:rPr>
        <w:t>( if any) will be transferred</w:t>
      </w:r>
      <w:r w:rsidR="00A31057">
        <w:rPr>
          <w:color w:val="000000" w:themeColor="text1"/>
          <w:sz w:val="24"/>
          <w:szCs w:val="24"/>
          <w:highlight w:val="yellow"/>
        </w:rPr>
        <w:t xml:space="preserve"> </w:t>
      </w:r>
      <w:r w:rsidR="00983D3D" w:rsidRPr="00A31057">
        <w:rPr>
          <w:color w:val="000000" w:themeColor="text1"/>
          <w:sz w:val="24"/>
          <w:szCs w:val="24"/>
          <w:highlight w:val="yellow"/>
        </w:rPr>
        <w:t>/ provided by the referring  hospital together with the lead time required to support NHS GJ sterilisation</w:t>
      </w:r>
      <w:r w:rsidR="00A31057">
        <w:rPr>
          <w:color w:val="000000" w:themeColor="text1"/>
          <w:sz w:val="24"/>
          <w:szCs w:val="24"/>
          <w:highlight w:val="yellow"/>
        </w:rPr>
        <w:t>.</w:t>
      </w:r>
    </w:p>
    <w:p w:rsidR="002C1642" w:rsidRPr="002C1642" w:rsidRDefault="002C1642" w:rsidP="00687129">
      <w:pPr>
        <w:pStyle w:val="ListParagraph"/>
        <w:numPr>
          <w:ilvl w:val="1"/>
          <w:numId w:val="2"/>
        </w:numPr>
        <w:rPr>
          <w:sz w:val="24"/>
          <w:szCs w:val="24"/>
        </w:rPr>
      </w:pPr>
      <w:r w:rsidRPr="002C1642">
        <w:rPr>
          <w:sz w:val="24"/>
          <w:szCs w:val="24"/>
        </w:rPr>
        <w:t>Visiting staff should bring their own FFP3 masks if required, to ensure appropriate fit testing has occurred.</w:t>
      </w:r>
    </w:p>
    <w:p w:rsidR="00687129" w:rsidRPr="001108FB" w:rsidRDefault="00687129" w:rsidP="00687129">
      <w:pPr>
        <w:pStyle w:val="ListParagraph"/>
        <w:ind w:left="792"/>
        <w:rPr>
          <w:b/>
          <w:sz w:val="24"/>
          <w:szCs w:val="24"/>
        </w:rPr>
      </w:pPr>
    </w:p>
    <w:p w:rsidR="001108FB" w:rsidRPr="001108FB" w:rsidRDefault="001108FB" w:rsidP="001108FB">
      <w:pPr>
        <w:pStyle w:val="ListParagraph"/>
        <w:numPr>
          <w:ilvl w:val="0"/>
          <w:numId w:val="2"/>
        </w:numPr>
        <w:rPr>
          <w:b/>
          <w:sz w:val="24"/>
          <w:szCs w:val="24"/>
        </w:rPr>
      </w:pPr>
      <w:r w:rsidRPr="001108FB">
        <w:rPr>
          <w:b/>
          <w:sz w:val="24"/>
          <w:szCs w:val="24"/>
        </w:rPr>
        <w:t>Staffing</w:t>
      </w:r>
    </w:p>
    <w:p w:rsidR="00554843" w:rsidRDefault="00554843" w:rsidP="000F2430">
      <w:pPr>
        <w:pStyle w:val="ListParagraph"/>
        <w:numPr>
          <w:ilvl w:val="1"/>
          <w:numId w:val="2"/>
        </w:numPr>
        <w:rPr>
          <w:sz w:val="24"/>
          <w:szCs w:val="24"/>
        </w:rPr>
      </w:pPr>
      <w:r>
        <w:rPr>
          <w:sz w:val="24"/>
          <w:szCs w:val="24"/>
        </w:rPr>
        <w:t xml:space="preserve">All visiting staff must wear NHS identity badges while on the GJNH site. Visiting doctors must provide their GMC number to </w:t>
      </w:r>
      <w:r w:rsidR="002C1642">
        <w:rPr>
          <w:sz w:val="24"/>
          <w:szCs w:val="24"/>
        </w:rPr>
        <w:t>the lead GJNH manager prior to arrival. It is expected that all visiting staff will comply with GJNH policies (which are aligned with the general approach across NHS Scotland). In particular morning brief and surgical checklist must be followed.</w:t>
      </w:r>
    </w:p>
    <w:p w:rsidR="002C1642" w:rsidRDefault="002C1642" w:rsidP="000F2430">
      <w:pPr>
        <w:pStyle w:val="ListParagraph"/>
        <w:numPr>
          <w:ilvl w:val="1"/>
          <w:numId w:val="2"/>
        </w:numPr>
        <w:rPr>
          <w:sz w:val="24"/>
          <w:szCs w:val="24"/>
        </w:rPr>
      </w:pPr>
      <w:r>
        <w:rPr>
          <w:sz w:val="24"/>
          <w:szCs w:val="24"/>
        </w:rPr>
        <w:t>Visiting theatre staff will be met by the GJNH theatre manager for orientation and briefing on local theatre policies. This can be arranged prior to the first list if desired.</w:t>
      </w:r>
    </w:p>
    <w:p w:rsidR="000F2430" w:rsidRPr="000F2430" w:rsidRDefault="001108FB" w:rsidP="000F2430">
      <w:pPr>
        <w:pStyle w:val="ListParagraph"/>
        <w:numPr>
          <w:ilvl w:val="1"/>
          <w:numId w:val="2"/>
        </w:numPr>
        <w:rPr>
          <w:sz w:val="24"/>
          <w:szCs w:val="24"/>
        </w:rPr>
      </w:pPr>
      <w:r w:rsidRPr="00124F8E">
        <w:rPr>
          <w:b/>
          <w:sz w:val="24"/>
          <w:szCs w:val="24"/>
        </w:rPr>
        <w:t>Surgeon</w:t>
      </w:r>
      <w:r w:rsidR="000F2430" w:rsidRPr="00124F8E">
        <w:rPr>
          <w:b/>
          <w:sz w:val="24"/>
          <w:szCs w:val="24"/>
        </w:rPr>
        <w:t xml:space="preserve">. </w:t>
      </w:r>
      <w:r w:rsidR="000F2430" w:rsidRPr="000F2430">
        <w:rPr>
          <w:sz w:val="24"/>
          <w:szCs w:val="24"/>
        </w:rPr>
        <w:t>The surgeon will be provided by the referring Board.</w:t>
      </w:r>
    </w:p>
    <w:p w:rsidR="001108FB" w:rsidRPr="000F2430" w:rsidRDefault="001108FB" w:rsidP="001108FB">
      <w:pPr>
        <w:pStyle w:val="ListParagraph"/>
        <w:numPr>
          <w:ilvl w:val="1"/>
          <w:numId w:val="2"/>
        </w:numPr>
        <w:rPr>
          <w:sz w:val="24"/>
          <w:szCs w:val="24"/>
        </w:rPr>
      </w:pPr>
      <w:r w:rsidRPr="00124F8E">
        <w:rPr>
          <w:b/>
          <w:sz w:val="24"/>
          <w:szCs w:val="24"/>
        </w:rPr>
        <w:t>Surgical assistant</w:t>
      </w:r>
      <w:r w:rsidR="000F2430" w:rsidRPr="00124F8E">
        <w:rPr>
          <w:b/>
          <w:sz w:val="24"/>
          <w:szCs w:val="24"/>
        </w:rPr>
        <w:t>.</w:t>
      </w:r>
      <w:r w:rsidR="000F2430">
        <w:rPr>
          <w:sz w:val="24"/>
          <w:szCs w:val="24"/>
        </w:rPr>
        <w:t xml:space="preserve"> GJNH will provide a surgical care practitioner as first assistant, unless otherwise specified.</w:t>
      </w:r>
    </w:p>
    <w:p w:rsidR="001108FB" w:rsidRPr="000F2430" w:rsidRDefault="001108FB" w:rsidP="001108FB">
      <w:pPr>
        <w:pStyle w:val="ListParagraph"/>
        <w:numPr>
          <w:ilvl w:val="1"/>
          <w:numId w:val="2"/>
        </w:numPr>
        <w:rPr>
          <w:sz w:val="24"/>
          <w:szCs w:val="24"/>
        </w:rPr>
      </w:pPr>
      <w:r w:rsidRPr="00124F8E">
        <w:rPr>
          <w:b/>
          <w:sz w:val="24"/>
          <w:szCs w:val="24"/>
        </w:rPr>
        <w:t>Anaesthetist and assistant</w:t>
      </w:r>
      <w:r w:rsidR="000F2430" w:rsidRPr="00124F8E">
        <w:rPr>
          <w:b/>
          <w:sz w:val="24"/>
          <w:szCs w:val="24"/>
        </w:rPr>
        <w:t>.</w:t>
      </w:r>
      <w:r w:rsidR="000F2430" w:rsidRPr="000F2430">
        <w:rPr>
          <w:sz w:val="24"/>
          <w:szCs w:val="24"/>
        </w:rPr>
        <w:t xml:space="preserve"> </w:t>
      </w:r>
      <w:r w:rsidR="000F2430">
        <w:rPr>
          <w:sz w:val="24"/>
          <w:szCs w:val="24"/>
        </w:rPr>
        <w:t xml:space="preserve">GJNH will provide the anaesthetist and anaesthetic nurse, unless otherwise specified. </w:t>
      </w:r>
      <w:r w:rsidR="002C1642">
        <w:rPr>
          <w:sz w:val="24"/>
          <w:szCs w:val="24"/>
        </w:rPr>
        <w:t>The anaesthetist will be given the opportunity to discuss the planned procedure, patient details</w:t>
      </w:r>
      <w:r w:rsidR="00124F8E">
        <w:rPr>
          <w:sz w:val="24"/>
          <w:szCs w:val="24"/>
        </w:rPr>
        <w:t xml:space="preserve"> and list with the surgical team in advance.</w:t>
      </w:r>
    </w:p>
    <w:p w:rsidR="001108FB" w:rsidRDefault="001108FB" w:rsidP="001108FB">
      <w:pPr>
        <w:pStyle w:val="ListParagraph"/>
        <w:numPr>
          <w:ilvl w:val="1"/>
          <w:numId w:val="2"/>
        </w:numPr>
        <w:rPr>
          <w:sz w:val="24"/>
          <w:szCs w:val="24"/>
        </w:rPr>
      </w:pPr>
      <w:r w:rsidRPr="00124F8E">
        <w:rPr>
          <w:b/>
          <w:sz w:val="24"/>
          <w:szCs w:val="24"/>
        </w:rPr>
        <w:t>Theatre nursing staff</w:t>
      </w:r>
      <w:r w:rsidR="000F2430" w:rsidRPr="00124F8E">
        <w:rPr>
          <w:b/>
          <w:sz w:val="24"/>
          <w:szCs w:val="24"/>
        </w:rPr>
        <w:t>.</w:t>
      </w:r>
      <w:r w:rsidR="000F2430" w:rsidRPr="000F2430">
        <w:rPr>
          <w:sz w:val="24"/>
          <w:szCs w:val="24"/>
        </w:rPr>
        <w:t xml:space="preserve"> </w:t>
      </w:r>
      <w:r w:rsidR="000F2430">
        <w:rPr>
          <w:sz w:val="24"/>
          <w:szCs w:val="24"/>
        </w:rPr>
        <w:t>GJNH will provide the theatre nursing staff, unless otherwise specified.</w:t>
      </w:r>
      <w:r w:rsidR="00124F8E">
        <w:rPr>
          <w:sz w:val="24"/>
          <w:szCs w:val="24"/>
        </w:rPr>
        <w:t xml:space="preserve"> Any additional training required will be specified here.</w:t>
      </w:r>
    </w:p>
    <w:p w:rsidR="000F2430" w:rsidRPr="000F2430" w:rsidRDefault="000F2430" w:rsidP="000F2430">
      <w:pPr>
        <w:pStyle w:val="ListParagraph"/>
        <w:numPr>
          <w:ilvl w:val="1"/>
          <w:numId w:val="2"/>
        </w:numPr>
        <w:rPr>
          <w:sz w:val="24"/>
          <w:szCs w:val="24"/>
        </w:rPr>
      </w:pPr>
      <w:r w:rsidRPr="00124F8E">
        <w:rPr>
          <w:b/>
          <w:sz w:val="24"/>
          <w:szCs w:val="24"/>
        </w:rPr>
        <w:t>Ward nursing staff.</w:t>
      </w:r>
      <w:r w:rsidRPr="000F2430">
        <w:rPr>
          <w:sz w:val="24"/>
          <w:szCs w:val="24"/>
        </w:rPr>
        <w:t xml:space="preserve"> </w:t>
      </w:r>
      <w:r>
        <w:rPr>
          <w:sz w:val="24"/>
          <w:szCs w:val="24"/>
        </w:rPr>
        <w:t>GJNH will provide the ward nursing staff, unless otherwise specified.</w:t>
      </w:r>
      <w:r w:rsidR="00124F8E" w:rsidRPr="00124F8E">
        <w:rPr>
          <w:sz w:val="24"/>
          <w:szCs w:val="24"/>
        </w:rPr>
        <w:t xml:space="preserve"> </w:t>
      </w:r>
      <w:r w:rsidR="00124F8E">
        <w:rPr>
          <w:sz w:val="24"/>
          <w:szCs w:val="24"/>
        </w:rPr>
        <w:t>Any additional training required will be specified here.</w:t>
      </w:r>
    </w:p>
    <w:p w:rsidR="001108FB" w:rsidRPr="000F2430" w:rsidRDefault="001108FB" w:rsidP="001108FB">
      <w:pPr>
        <w:pStyle w:val="ListParagraph"/>
        <w:numPr>
          <w:ilvl w:val="1"/>
          <w:numId w:val="2"/>
        </w:numPr>
        <w:rPr>
          <w:sz w:val="24"/>
          <w:szCs w:val="24"/>
        </w:rPr>
      </w:pPr>
      <w:r w:rsidRPr="00124F8E">
        <w:rPr>
          <w:b/>
          <w:sz w:val="24"/>
          <w:szCs w:val="24"/>
        </w:rPr>
        <w:t>AHPs and other specialist staff</w:t>
      </w:r>
      <w:r w:rsidR="000F2430" w:rsidRPr="00124F8E">
        <w:rPr>
          <w:b/>
          <w:sz w:val="24"/>
          <w:szCs w:val="24"/>
        </w:rPr>
        <w:t>.</w:t>
      </w:r>
      <w:r w:rsidR="000F2430">
        <w:rPr>
          <w:sz w:val="24"/>
          <w:szCs w:val="24"/>
        </w:rPr>
        <w:t xml:space="preserve"> GJNH has provision of physiotherapists, occupational therapists, dieticians and speech &amp; language therapists. </w:t>
      </w:r>
      <w:r w:rsidR="000F2430" w:rsidRPr="000F2430">
        <w:rPr>
          <w:sz w:val="24"/>
          <w:szCs w:val="24"/>
          <w:highlight w:val="yellow"/>
        </w:rPr>
        <w:t>If subspecialist skills are required or other specialists not listed (eg specialist nurses) cover of these should be agreed in advance.</w:t>
      </w:r>
    </w:p>
    <w:p w:rsidR="00687129" w:rsidRPr="001108FB" w:rsidRDefault="00687129" w:rsidP="00687129">
      <w:pPr>
        <w:pStyle w:val="ListParagraph"/>
        <w:ind w:left="792"/>
        <w:rPr>
          <w:b/>
          <w:sz w:val="24"/>
          <w:szCs w:val="24"/>
        </w:rPr>
      </w:pPr>
    </w:p>
    <w:p w:rsidR="00687129" w:rsidRDefault="00687129" w:rsidP="001108FB">
      <w:pPr>
        <w:pStyle w:val="ListParagraph"/>
        <w:numPr>
          <w:ilvl w:val="0"/>
          <w:numId w:val="2"/>
        </w:numPr>
        <w:rPr>
          <w:b/>
          <w:sz w:val="24"/>
          <w:szCs w:val="24"/>
        </w:rPr>
      </w:pPr>
      <w:r>
        <w:rPr>
          <w:b/>
          <w:sz w:val="24"/>
          <w:szCs w:val="24"/>
        </w:rPr>
        <w:t>Pre-operative Care</w:t>
      </w:r>
    </w:p>
    <w:p w:rsidR="00687129" w:rsidRPr="00687129" w:rsidRDefault="00687129" w:rsidP="00687129">
      <w:pPr>
        <w:pStyle w:val="ListParagraph"/>
        <w:numPr>
          <w:ilvl w:val="1"/>
          <w:numId w:val="2"/>
        </w:numPr>
        <w:rPr>
          <w:sz w:val="24"/>
          <w:szCs w:val="24"/>
          <w:highlight w:val="yellow"/>
        </w:rPr>
      </w:pPr>
      <w:r w:rsidRPr="00687129">
        <w:rPr>
          <w:sz w:val="24"/>
          <w:szCs w:val="24"/>
          <w:highlight w:val="yellow"/>
        </w:rPr>
        <w:t>Antibiotic prophylaxis – please detail the preferred approach.</w:t>
      </w:r>
    </w:p>
    <w:p w:rsidR="00687129" w:rsidRPr="00687129" w:rsidRDefault="00687129" w:rsidP="00687129">
      <w:pPr>
        <w:pStyle w:val="ListParagraph"/>
        <w:numPr>
          <w:ilvl w:val="1"/>
          <w:numId w:val="2"/>
        </w:numPr>
        <w:rPr>
          <w:sz w:val="24"/>
          <w:szCs w:val="24"/>
          <w:highlight w:val="yellow"/>
        </w:rPr>
      </w:pPr>
      <w:r w:rsidRPr="00687129">
        <w:rPr>
          <w:sz w:val="24"/>
          <w:szCs w:val="24"/>
          <w:highlight w:val="yellow"/>
        </w:rPr>
        <w:t>VTE prophylaxis – please detail the preferred approach.</w:t>
      </w:r>
    </w:p>
    <w:p w:rsidR="00687129" w:rsidRPr="00687129" w:rsidRDefault="00687129" w:rsidP="00687129">
      <w:pPr>
        <w:pStyle w:val="ListParagraph"/>
        <w:numPr>
          <w:ilvl w:val="1"/>
          <w:numId w:val="2"/>
        </w:numPr>
        <w:rPr>
          <w:sz w:val="24"/>
          <w:szCs w:val="24"/>
          <w:highlight w:val="yellow"/>
        </w:rPr>
      </w:pPr>
      <w:r w:rsidRPr="00687129">
        <w:rPr>
          <w:sz w:val="24"/>
          <w:szCs w:val="24"/>
          <w:highlight w:val="yellow"/>
        </w:rPr>
        <w:t>Medication – are any other medication changes required before operation e.g. cessation of clopidogrel, bridging of warfarin with heparin?</w:t>
      </w:r>
    </w:p>
    <w:p w:rsidR="00687129" w:rsidRDefault="00687129" w:rsidP="00687129">
      <w:pPr>
        <w:pStyle w:val="ListParagraph"/>
        <w:ind w:left="792"/>
        <w:rPr>
          <w:b/>
          <w:sz w:val="24"/>
          <w:szCs w:val="24"/>
        </w:rPr>
      </w:pPr>
    </w:p>
    <w:p w:rsidR="001108FB" w:rsidRPr="00687129" w:rsidRDefault="001108FB" w:rsidP="001108FB">
      <w:pPr>
        <w:pStyle w:val="ListParagraph"/>
        <w:numPr>
          <w:ilvl w:val="0"/>
          <w:numId w:val="2"/>
        </w:numPr>
        <w:rPr>
          <w:sz w:val="24"/>
          <w:szCs w:val="24"/>
        </w:rPr>
      </w:pPr>
      <w:r w:rsidRPr="001108FB">
        <w:rPr>
          <w:b/>
          <w:sz w:val="24"/>
          <w:szCs w:val="24"/>
        </w:rPr>
        <w:t>Post-operative Care</w:t>
      </w:r>
    </w:p>
    <w:p w:rsidR="001108FB" w:rsidRPr="000F2430" w:rsidRDefault="001108FB" w:rsidP="001108FB">
      <w:pPr>
        <w:pStyle w:val="ListParagraph"/>
        <w:numPr>
          <w:ilvl w:val="1"/>
          <w:numId w:val="2"/>
        </w:numPr>
        <w:rPr>
          <w:sz w:val="24"/>
          <w:szCs w:val="24"/>
          <w:highlight w:val="yellow"/>
        </w:rPr>
      </w:pPr>
      <w:r w:rsidRPr="000F2430">
        <w:rPr>
          <w:sz w:val="24"/>
          <w:szCs w:val="24"/>
          <w:highlight w:val="yellow"/>
        </w:rPr>
        <w:t>Critical Care</w:t>
      </w:r>
      <w:r w:rsidR="00687129" w:rsidRPr="000F2430">
        <w:rPr>
          <w:sz w:val="24"/>
          <w:szCs w:val="24"/>
          <w:highlight w:val="yellow"/>
        </w:rPr>
        <w:t>. Estimate how many days of L3 and L2 care are required. This should ideally be informed by data from the referring Board’s actual activity.</w:t>
      </w:r>
    </w:p>
    <w:p w:rsidR="001108FB" w:rsidRDefault="001108FB" w:rsidP="001108FB">
      <w:pPr>
        <w:pStyle w:val="ListParagraph"/>
        <w:numPr>
          <w:ilvl w:val="1"/>
          <w:numId w:val="2"/>
        </w:numPr>
        <w:rPr>
          <w:sz w:val="24"/>
          <w:szCs w:val="24"/>
          <w:highlight w:val="yellow"/>
        </w:rPr>
      </w:pPr>
      <w:r w:rsidRPr="000F2430">
        <w:rPr>
          <w:sz w:val="24"/>
          <w:szCs w:val="24"/>
          <w:highlight w:val="yellow"/>
        </w:rPr>
        <w:t>Ward</w:t>
      </w:r>
      <w:r w:rsidR="00687129" w:rsidRPr="000F2430">
        <w:rPr>
          <w:sz w:val="24"/>
          <w:szCs w:val="24"/>
          <w:highlight w:val="yellow"/>
        </w:rPr>
        <w:t>. Estimate how many days’ length of stay. This should ideally be informed by data from the referring Board’s actual activity.</w:t>
      </w:r>
    </w:p>
    <w:p w:rsidR="00D7342F" w:rsidRPr="000F2430" w:rsidRDefault="00D7342F" w:rsidP="001108FB">
      <w:pPr>
        <w:pStyle w:val="ListParagraph"/>
        <w:numPr>
          <w:ilvl w:val="1"/>
          <w:numId w:val="2"/>
        </w:numPr>
        <w:rPr>
          <w:sz w:val="24"/>
          <w:szCs w:val="24"/>
          <w:highlight w:val="yellow"/>
        </w:rPr>
      </w:pPr>
      <w:r>
        <w:rPr>
          <w:sz w:val="24"/>
          <w:szCs w:val="24"/>
          <w:highlight w:val="yellow"/>
        </w:rPr>
        <w:t>Detail approach to ERAS.</w:t>
      </w:r>
    </w:p>
    <w:p w:rsidR="00687129" w:rsidRPr="000F2430" w:rsidRDefault="00687129" w:rsidP="001108FB">
      <w:pPr>
        <w:pStyle w:val="ListParagraph"/>
        <w:numPr>
          <w:ilvl w:val="1"/>
          <w:numId w:val="2"/>
        </w:numPr>
        <w:rPr>
          <w:sz w:val="24"/>
          <w:szCs w:val="24"/>
          <w:highlight w:val="yellow"/>
        </w:rPr>
      </w:pPr>
      <w:r w:rsidRPr="000F2430">
        <w:rPr>
          <w:sz w:val="24"/>
          <w:szCs w:val="24"/>
          <w:highlight w:val="yellow"/>
        </w:rPr>
        <w:t xml:space="preserve">Any </w:t>
      </w:r>
      <w:r w:rsidR="00D7342F">
        <w:rPr>
          <w:sz w:val="24"/>
          <w:szCs w:val="24"/>
          <w:highlight w:val="yellow"/>
        </w:rPr>
        <w:t xml:space="preserve">other </w:t>
      </w:r>
      <w:r w:rsidRPr="000F2430">
        <w:rPr>
          <w:sz w:val="24"/>
          <w:szCs w:val="24"/>
          <w:highlight w:val="yellow"/>
        </w:rPr>
        <w:t>special requirements for the post-operative phase?</w:t>
      </w:r>
    </w:p>
    <w:p w:rsidR="000F2430" w:rsidRDefault="000F2430" w:rsidP="001108FB">
      <w:pPr>
        <w:pStyle w:val="ListParagraph"/>
        <w:numPr>
          <w:ilvl w:val="1"/>
          <w:numId w:val="2"/>
        </w:numPr>
        <w:rPr>
          <w:sz w:val="24"/>
          <w:szCs w:val="24"/>
        </w:rPr>
      </w:pPr>
      <w:r w:rsidRPr="000F2430">
        <w:rPr>
          <w:sz w:val="24"/>
          <w:szCs w:val="24"/>
        </w:rPr>
        <w:t xml:space="preserve">Daily ward review by ANPs and surgical fellows (typically orthopaedic trained) will be provided. It is expected that there will be daily ward review by the operating consultant or delegate, unless otherwise specified. </w:t>
      </w:r>
    </w:p>
    <w:p w:rsidR="008C33D6" w:rsidRPr="00A31057" w:rsidRDefault="00A31057" w:rsidP="001108FB">
      <w:pPr>
        <w:pStyle w:val="ListParagraph"/>
        <w:numPr>
          <w:ilvl w:val="1"/>
          <w:numId w:val="2"/>
        </w:numPr>
        <w:rPr>
          <w:color w:val="000000" w:themeColor="text1"/>
          <w:sz w:val="24"/>
          <w:szCs w:val="24"/>
          <w:highlight w:val="yellow"/>
        </w:rPr>
      </w:pPr>
      <w:r w:rsidRPr="00A31057">
        <w:rPr>
          <w:color w:val="000000" w:themeColor="text1"/>
          <w:sz w:val="24"/>
          <w:szCs w:val="24"/>
        </w:rPr>
        <w:t>NHS GJNH will provide post-</w:t>
      </w:r>
      <w:r w:rsidR="008C33D6" w:rsidRPr="00A31057">
        <w:rPr>
          <w:color w:val="000000" w:themeColor="text1"/>
          <w:sz w:val="24"/>
          <w:szCs w:val="24"/>
        </w:rPr>
        <w:t xml:space="preserve">operative rehabilitation support </w:t>
      </w:r>
      <w:r w:rsidRPr="00A31057">
        <w:rPr>
          <w:color w:val="000000" w:themeColor="text1"/>
          <w:sz w:val="24"/>
          <w:szCs w:val="24"/>
        </w:rPr>
        <w:t>(physiotherapy, SALT, occupational therapy or clinical nutrition support</w:t>
      </w:r>
      <w:r w:rsidR="008C33D6" w:rsidRPr="00A31057">
        <w:rPr>
          <w:color w:val="000000" w:themeColor="text1"/>
          <w:sz w:val="24"/>
          <w:szCs w:val="24"/>
        </w:rPr>
        <w:t xml:space="preserve">) if required. </w:t>
      </w:r>
      <w:r w:rsidR="008C33D6" w:rsidRPr="00A31057">
        <w:rPr>
          <w:color w:val="000000" w:themeColor="text1"/>
          <w:sz w:val="24"/>
          <w:szCs w:val="24"/>
          <w:highlight w:val="yellow"/>
        </w:rPr>
        <w:t>Any specific rehabilitation requirements will be discussed and agreed with the referring hospital in advan</w:t>
      </w:r>
      <w:r w:rsidRPr="00A31057">
        <w:rPr>
          <w:color w:val="000000" w:themeColor="text1"/>
          <w:sz w:val="24"/>
          <w:szCs w:val="24"/>
          <w:highlight w:val="yellow"/>
        </w:rPr>
        <w:t>ce in liaison with the Head of R</w:t>
      </w:r>
      <w:r w:rsidR="008C33D6" w:rsidRPr="00A31057">
        <w:rPr>
          <w:color w:val="000000" w:themeColor="text1"/>
          <w:sz w:val="24"/>
          <w:szCs w:val="24"/>
          <w:highlight w:val="yellow"/>
        </w:rPr>
        <w:t>ehabilitation</w:t>
      </w:r>
      <w:r w:rsidRPr="00A31057">
        <w:rPr>
          <w:color w:val="000000" w:themeColor="text1"/>
          <w:sz w:val="24"/>
          <w:szCs w:val="24"/>
          <w:highlight w:val="yellow"/>
        </w:rPr>
        <w:t xml:space="preserve"> at NHS GJNH</w:t>
      </w:r>
      <w:r w:rsidR="008C33D6" w:rsidRPr="00A31057">
        <w:rPr>
          <w:color w:val="000000" w:themeColor="text1"/>
          <w:sz w:val="24"/>
          <w:szCs w:val="24"/>
          <w:highlight w:val="yellow"/>
        </w:rPr>
        <w:t>.</w:t>
      </w:r>
    </w:p>
    <w:p w:rsidR="008C33D6" w:rsidRPr="00A31057" w:rsidRDefault="008C33D6" w:rsidP="001108FB">
      <w:pPr>
        <w:pStyle w:val="ListParagraph"/>
        <w:numPr>
          <w:ilvl w:val="1"/>
          <w:numId w:val="2"/>
        </w:numPr>
        <w:rPr>
          <w:color w:val="000000" w:themeColor="text1"/>
          <w:sz w:val="24"/>
          <w:szCs w:val="24"/>
          <w:highlight w:val="yellow"/>
        </w:rPr>
      </w:pPr>
      <w:r w:rsidRPr="00A31057">
        <w:rPr>
          <w:color w:val="000000" w:themeColor="text1"/>
          <w:sz w:val="24"/>
          <w:szCs w:val="24"/>
        </w:rPr>
        <w:t xml:space="preserve">Information and Training for patients and relatives prior to discharge – </w:t>
      </w:r>
      <w:r w:rsidRPr="00A31057">
        <w:rPr>
          <w:color w:val="000000" w:themeColor="text1"/>
          <w:sz w:val="24"/>
          <w:szCs w:val="24"/>
          <w:highlight w:val="yellow"/>
        </w:rPr>
        <w:t>referring health Board will provide all patient information leaflets and inform on training and advice given to relatives before discharge.</w:t>
      </w:r>
    </w:p>
    <w:p w:rsidR="00687129" w:rsidRPr="001108FB" w:rsidRDefault="00687129" w:rsidP="00687129">
      <w:pPr>
        <w:pStyle w:val="ListParagraph"/>
        <w:ind w:left="792"/>
        <w:rPr>
          <w:b/>
          <w:sz w:val="24"/>
          <w:szCs w:val="24"/>
        </w:rPr>
      </w:pPr>
    </w:p>
    <w:p w:rsidR="001108FB" w:rsidRDefault="001108FB" w:rsidP="001108FB">
      <w:pPr>
        <w:pStyle w:val="ListParagraph"/>
        <w:numPr>
          <w:ilvl w:val="0"/>
          <w:numId w:val="2"/>
        </w:numPr>
        <w:rPr>
          <w:b/>
          <w:sz w:val="24"/>
          <w:szCs w:val="24"/>
        </w:rPr>
      </w:pPr>
      <w:r w:rsidRPr="001108FB">
        <w:rPr>
          <w:b/>
          <w:sz w:val="24"/>
          <w:szCs w:val="24"/>
        </w:rPr>
        <w:t>Escalation and Out of Hours Cover</w:t>
      </w:r>
      <w:r w:rsidR="00687129">
        <w:rPr>
          <w:b/>
          <w:sz w:val="24"/>
          <w:szCs w:val="24"/>
        </w:rPr>
        <w:tab/>
      </w:r>
    </w:p>
    <w:p w:rsidR="00687129" w:rsidRDefault="00687129" w:rsidP="00687129">
      <w:pPr>
        <w:pStyle w:val="ListParagraph"/>
        <w:numPr>
          <w:ilvl w:val="1"/>
          <w:numId w:val="2"/>
        </w:numPr>
        <w:rPr>
          <w:sz w:val="24"/>
          <w:szCs w:val="24"/>
        </w:rPr>
      </w:pPr>
      <w:r w:rsidRPr="00687129">
        <w:rPr>
          <w:sz w:val="24"/>
          <w:szCs w:val="24"/>
        </w:rPr>
        <w:t>Immediate cover will normally be provided by the GJNH staff. This normally comprises ANPs and surgical fellows</w:t>
      </w:r>
      <w:r w:rsidR="00DE4BE2">
        <w:rPr>
          <w:sz w:val="24"/>
          <w:szCs w:val="24"/>
        </w:rPr>
        <w:t>.</w:t>
      </w:r>
    </w:p>
    <w:p w:rsidR="000F2430" w:rsidRDefault="000F2430" w:rsidP="00687129">
      <w:pPr>
        <w:pStyle w:val="ListParagraph"/>
        <w:numPr>
          <w:ilvl w:val="1"/>
          <w:numId w:val="2"/>
        </w:numPr>
        <w:rPr>
          <w:sz w:val="24"/>
          <w:szCs w:val="24"/>
        </w:rPr>
      </w:pPr>
      <w:r>
        <w:rPr>
          <w:sz w:val="24"/>
          <w:szCs w:val="24"/>
        </w:rPr>
        <w:t xml:space="preserve">The operating consultant will provide </w:t>
      </w:r>
      <w:r w:rsidR="00DE4BE2">
        <w:rPr>
          <w:sz w:val="24"/>
          <w:szCs w:val="24"/>
        </w:rPr>
        <w:t xml:space="preserve">on call cover via </w:t>
      </w:r>
      <w:r>
        <w:rPr>
          <w:sz w:val="24"/>
          <w:szCs w:val="24"/>
        </w:rPr>
        <w:t xml:space="preserve">telephone </w:t>
      </w:r>
      <w:r w:rsidR="00DE4BE2">
        <w:rPr>
          <w:sz w:val="24"/>
          <w:szCs w:val="24"/>
        </w:rPr>
        <w:t>in the first instance and</w:t>
      </w:r>
      <w:r>
        <w:rPr>
          <w:sz w:val="24"/>
          <w:szCs w:val="24"/>
        </w:rPr>
        <w:t xml:space="preserve"> attend t</w:t>
      </w:r>
      <w:r w:rsidR="00DE4BE2">
        <w:rPr>
          <w:sz w:val="24"/>
          <w:szCs w:val="24"/>
        </w:rPr>
        <w:t>o review the patient if required (as agreed)</w:t>
      </w:r>
      <w:r>
        <w:rPr>
          <w:sz w:val="24"/>
          <w:szCs w:val="24"/>
        </w:rPr>
        <w:t>, unless an alternative arrangement is agreed. Hotel accommodation (4-star) can be provided for these consultants if desired.</w:t>
      </w:r>
    </w:p>
    <w:p w:rsidR="000F2430" w:rsidRPr="00687129" w:rsidRDefault="000F2430" w:rsidP="000F2430">
      <w:pPr>
        <w:pStyle w:val="ListParagraph"/>
        <w:ind w:left="792"/>
        <w:rPr>
          <w:sz w:val="24"/>
          <w:szCs w:val="24"/>
        </w:rPr>
      </w:pPr>
      <w:r>
        <w:rPr>
          <w:sz w:val="24"/>
          <w:szCs w:val="24"/>
        </w:rPr>
        <w:t xml:space="preserve"> </w:t>
      </w:r>
    </w:p>
    <w:p w:rsidR="001108FB" w:rsidRDefault="001108FB" w:rsidP="001108FB">
      <w:pPr>
        <w:pStyle w:val="ListParagraph"/>
        <w:numPr>
          <w:ilvl w:val="0"/>
          <w:numId w:val="2"/>
        </w:numPr>
        <w:rPr>
          <w:b/>
          <w:sz w:val="24"/>
          <w:szCs w:val="24"/>
        </w:rPr>
      </w:pPr>
      <w:r w:rsidRPr="001108FB">
        <w:rPr>
          <w:b/>
          <w:sz w:val="24"/>
          <w:szCs w:val="24"/>
        </w:rPr>
        <w:t>Follow-up after Discharge</w:t>
      </w:r>
    </w:p>
    <w:p w:rsidR="000F2430" w:rsidRDefault="000F2430" w:rsidP="000F2430">
      <w:pPr>
        <w:pStyle w:val="ListParagraph"/>
        <w:numPr>
          <w:ilvl w:val="1"/>
          <w:numId w:val="2"/>
        </w:numPr>
        <w:rPr>
          <w:sz w:val="24"/>
          <w:szCs w:val="24"/>
        </w:rPr>
      </w:pPr>
      <w:r w:rsidRPr="000F2430">
        <w:rPr>
          <w:sz w:val="24"/>
          <w:szCs w:val="24"/>
        </w:rPr>
        <w:t>Once discharged from the GJNH, all follow-up arrangements are the responsibility of the referring Board and operating surgeon, unless otherwise agreed.</w:t>
      </w:r>
    </w:p>
    <w:p w:rsidR="000F2430" w:rsidRPr="000F2430" w:rsidRDefault="000F2430" w:rsidP="000F2430">
      <w:pPr>
        <w:pStyle w:val="ListParagraph"/>
        <w:numPr>
          <w:ilvl w:val="1"/>
          <w:numId w:val="2"/>
        </w:numPr>
        <w:rPr>
          <w:sz w:val="24"/>
          <w:szCs w:val="24"/>
        </w:rPr>
      </w:pPr>
      <w:r>
        <w:rPr>
          <w:sz w:val="24"/>
          <w:szCs w:val="24"/>
        </w:rPr>
        <w:t>GJNH is committed to measuring patient relevant outcomes. Discussion of relevant validated scores and timing of collection are welcome (e.g. Oxford Hip score and EQ5D at pre-op and 6 months). Any such data will be shared with the operating consultant</w:t>
      </w:r>
      <w:r w:rsidR="00D7342F">
        <w:rPr>
          <w:sz w:val="24"/>
          <w:szCs w:val="24"/>
        </w:rPr>
        <w:t>, together with anonymised data for all surgeons if available</w:t>
      </w:r>
      <w:r>
        <w:rPr>
          <w:sz w:val="24"/>
          <w:szCs w:val="24"/>
        </w:rPr>
        <w:t>.</w:t>
      </w:r>
    </w:p>
    <w:p w:rsidR="000F2430" w:rsidRPr="001108FB" w:rsidRDefault="000F2430" w:rsidP="000F2430">
      <w:pPr>
        <w:pStyle w:val="ListParagraph"/>
        <w:ind w:left="792"/>
        <w:rPr>
          <w:b/>
          <w:sz w:val="24"/>
          <w:szCs w:val="24"/>
        </w:rPr>
      </w:pPr>
    </w:p>
    <w:p w:rsidR="000F2430" w:rsidRDefault="001108FB" w:rsidP="000F2430">
      <w:pPr>
        <w:pStyle w:val="ListParagraph"/>
        <w:numPr>
          <w:ilvl w:val="0"/>
          <w:numId w:val="2"/>
        </w:numPr>
        <w:rPr>
          <w:b/>
          <w:sz w:val="24"/>
          <w:szCs w:val="24"/>
        </w:rPr>
      </w:pPr>
      <w:r w:rsidRPr="001108FB">
        <w:rPr>
          <w:b/>
          <w:sz w:val="24"/>
          <w:szCs w:val="24"/>
        </w:rPr>
        <w:t>Documentation</w:t>
      </w:r>
    </w:p>
    <w:p w:rsidR="000F2430" w:rsidRPr="00A31057" w:rsidRDefault="00DE4BE2" w:rsidP="00D7342F">
      <w:pPr>
        <w:pStyle w:val="ListParagraph"/>
        <w:numPr>
          <w:ilvl w:val="1"/>
          <w:numId w:val="2"/>
        </w:numPr>
        <w:rPr>
          <w:color w:val="000000" w:themeColor="text1"/>
          <w:sz w:val="24"/>
          <w:szCs w:val="24"/>
        </w:rPr>
      </w:pPr>
      <w:r w:rsidRPr="00A31057">
        <w:rPr>
          <w:color w:val="000000" w:themeColor="text1"/>
          <w:sz w:val="24"/>
          <w:szCs w:val="24"/>
        </w:rPr>
        <w:t xml:space="preserve">An ICP will be used throughout the patients admission - </w:t>
      </w:r>
      <w:r w:rsidR="00D7342F" w:rsidRPr="00A31057">
        <w:rPr>
          <w:color w:val="000000" w:themeColor="text1"/>
          <w:sz w:val="24"/>
          <w:szCs w:val="24"/>
        </w:rPr>
        <w:t xml:space="preserve"> </w:t>
      </w:r>
      <w:r w:rsidR="00983D3D" w:rsidRPr="00A31057">
        <w:rPr>
          <w:color w:val="000000" w:themeColor="text1"/>
          <w:sz w:val="24"/>
          <w:szCs w:val="24"/>
          <w:highlight w:val="yellow"/>
        </w:rPr>
        <w:t xml:space="preserve">confirm </w:t>
      </w:r>
      <w:r w:rsidR="00D7342F" w:rsidRPr="00A31057">
        <w:rPr>
          <w:color w:val="000000" w:themeColor="text1"/>
          <w:sz w:val="24"/>
          <w:szCs w:val="24"/>
          <w:highlight w:val="yellow"/>
        </w:rPr>
        <w:t xml:space="preserve"> if </w:t>
      </w:r>
      <w:r w:rsidR="00A31057" w:rsidRPr="00A31057">
        <w:rPr>
          <w:color w:val="000000" w:themeColor="text1"/>
          <w:sz w:val="24"/>
          <w:szCs w:val="24"/>
          <w:highlight w:val="yellow"/>
        </w:rPr>
        <w:t>GJNH or referring b</w:t>
      </w:r>
      <w:r w:rsidR="00D7342F" w:rsidRPr="00A31057">
        <w:rPr>
          <w:color w:val="000000" w:themeColor="text1"/>
          <w:sz w:val="24"/>
          <w:szCs w:val="24"/>
          <w:highlight w:val="yellow"/>
        </w:rPr>
        <w:t>oard ICPs to be used.</w:t>
      </w:r>
    </w:p>
    <w:p w:rsidR="00D7342F" w:rsidRDefault="00D7342F" w:rsidP="00D7342F">
      <w:pPr>
        <w:pStyle w:val="ListParagraph"/>
        <w:numPr>
          <w:ilvl w:val="1"/>
          <w:numId w:val="2"/>
        </w:numPr>
        <w:rPr>
          <w:sz w:val="24"/>
          <w:szCs w:val="24"/>
        </w:rPr>
      </w:pPr>
      <w:r w:rsidRPr="00A31057">
        <w:rPr>
          <w:color w:val="000000" w:themeColor="text1"/>
          <w:sz w:val="24"/>
          <w:szCs w:val="24"/>
        </w:rPr>
        <w:t xml:space="preserve">Operating notes will be done </w:t>
      </w:r>
      <w:r w:rsidR="00DE4BE2" w:rsidRPr="00A31057">
        <w:rPr>
          <w:color w:val="000000" w:themeColor="text1"/>
          <w:sz w:val="24"/>
          <w:szCs w:val="24"/>
        </w:rPr>
        <w:t>using GJNH wins</w:t>
      </w:r>
      <w:r w:rsidR="00983D3D" w:rsidRPr="00A31057">
        <w:rPr>
          <w:color w:val="000000" w:themeColor="text1"/>
          <w:sz w:val="24"/>
          <w:szCs w:val="24"/>
        </w:rPr>
        <w:t>cribe dictation, typed up by</w:t>
      </w:r>
      <w:r w:rsidR="00983D3D">
        <w:rPr>
          <w:sz w:val="24"/>
          <w:szCs w:val="24"/>
        </w:rPr>
        <w:t xml:space="preserve"> NHS</w:t>
      </w:r>
      <w:r w:rsidR="00DE4BE2">
        <w:rPr>
          <w:sz w:val="24"/>
          <w:szCs w:val="24"/>
        </w:rPr>
        <w:t xml:space="preserve"> GJ medical secretary</w:t>
      </w:r>
      <w:r w:rsidR="00983D3D">
        <w:rPr>
          <w:sz w:val="24"/>
          <w:szCs w:val="24"/>
        </w:rPr>
        <w:t xml:space="preserve"> and available on clinical portal</w:t>
      </w:r>
    </w:p>
    <w:p w:rsidR="00D7342F" w:rsidRDefault="00D7342F" w:rsidP="00D7342F">
      <w:pPr>
        <w:pStyle w:val="ListParagraph"/>
        <w:numPr>
          <w:ilvl w:val="1"/>
          <w:numId w:val="2"/>
        </w:numPr>
        <w:rPr>
          <w:sz w:val="24"/>
          <w:szCs w:val="24"/>
        </w:rPr>
      </w:pPr>
      <w:r>
        <w:rPr>
          <w:sz w:val="24"/>
          <w:szCs w:val="24"/>
        </w:rPr>
        <w:t>IDLs will be created by the GJNH ward staff. A copy will be sent to the referring Board (in addition to the GP).</w:t>
      </w:r>
    </w:p>
    <w:p w:rsidR="00D7342F" w:rsidRDefault="00D7342F" w:rsidP="00D7342F">
      <w:pPr>
        <w:pStyle w:val="ListParagraph"/>
        <w:numPr>
          <w:ilvl w:val="1"/>
          <w:numId w:val="2"/>
        </w:numPr>
        <w:rPr>
          <w:sz w:val="24"/>
          <w:szCs w:val="24"/>
        </w:rPr>
      </w:pPr>
      <w:r>
        <w:rPr>
          <w:sz w:val="24"/>
          <w:szCs w:val="24"/>
        </w:rPr>
        <w:t xml:space="preserve">FDLs if required will be generated by the operating surgeon using GJNH systems. </w:t>
      </w:r>
      <w:r w:rsidR="00DB5405">
        <w:rPr>
          <w:sz w:val="24"/>
          <w:szCs w:val="24"/>
        </w:rPr>
        <w:t>A copy will be sent to the referring Board (in addition to the GP).</w:t>
      </w:r>
      <w:r w:rsidR="00DB5405">
        <w:rPr>
          <w:sz w:val="24"/>
          <w:szCs w:val="24"/>
        </w:rPr>
        <w:tab/>
      </w:r>
    </w:p>
    <w:p w:rsidR="00DB5405" w:rsidRPr="00D7342F" w:rsidRDefault="00DB5405" w:rsidP="00DB5405">
      <w:pPr>
        <w:pStyle w:val="ListParagraph"/>
        <w:ind w:left="792"/>
        <w:rPr>
          <w:sz w:val="24"/>
          <w:szCs w:val="24"/>
        </w:rPr>
      </w:pPr>
    </w:p>
    <w:p w:rsidR="001108FB" w:rsidRDefault="001108FB" w:rsidP="001108FB">
      <w:pPr>
        <w:pStyle w:val="ListParagraph"/>
        <w:numPr>
          <w:ilvl w:val="0"/>
          <w:numId w:val="2"/>
        </w:numPr>
        <w:rPr>
          <w:b/>
          <w:sz w:val="24"/>
          <w:szCs w:val="24"/>
        </w:rPr>
      </w:pPr>
      <w:r w:rsidRPr="001108FB">
        <w:rPr>
          <w:b/>
          <w:sz w:val="24"/>
          <w:szCs w:val="24"/>
        </w:rPr>
        <w:t>Clinical Governance</w:t>
      </w:r>
    </w:p>
    <w:p w:rsidR="00DB5405" w:rsidRDefault="00DB5405" w:rsidP="00DB5405">
      <w:pPr>
        <w:pStyle w:val="ListParagraph"/>
        <w:numPr>
          <w:ilvl w:val="1"/>
          <w:numId w:val="2"/>
        </w:numPr>
        <w:rPr>
          <w:sz w:val="24"/>
          <w:szCs w:val="24"/>
        </w:rPr>
      </w:pPr>
      <w:r w:rsidRPr="00DB5405">
        <w:rPr>
          <w:sz w:val="24"/>
          <w:szCs w:val="24"/>
        </w:rPr>
        <w:t>Any incidents or complaints relating to the GJNH portion of care will be managed through the GJNH Datix system.</w:t>
      </w:r>
      <w:r>
        <w:rPr>
          <w:sz w:val="24"/>
          <w:szCs w:val="24"/>
        </w:rPr>
        <w:t xml:space="preserve"> If appropriate they will be shared with the referring Board clinical governance team.</w:t>
      </w:r>
    </w:p>
    <w:p w:rsidR="00DB5405" w:rsidRPr="00DB5405" w:rsidRDefault="00DB5405" w:rsidP="00DB5405">
      <w:pPr>
        <w:pStyle w:val="ListParagraph"/>
        <w:numPr>
          <w:ilvl w:val="1"/>
          <w:numId w:val="2"/>
        </w:numPr>
        <w:rPr>
          <w:sz w:val="24"/>
          <w:szCs w:val="24"/>
        </w:rPr>
      </w:pPr>
      <w:r>
        <w:rPr>
          <w:sz w:val="24"/>
          <w:szCs w:val="24"/>
        </w:rPr>
        <w:t xml:space="preserve">Any other clinical governance issues can be discussed with the Associate Medical Director for Elective Services at the GJNH, and the approach agreed. For example, an M&amp;M discussion might be best taking place in the parent team, but might benefit from input from GJNH team. </w:t>
      </w:r>
      <w:r w:rsidRPr="00DB5405">
        <w:rPr>
          <w:sz w:val="24"/>
          <w:szCs w:val="24"/>
        </w:rPr>
        <w:t xml:space="preserve"> </w:t>
      </w:r>
    </w:p>
    <w:p w:rsidR="001108FB" w:rsidRPr="001108FB" w:rsidRDefault="001108FB">
      <w:pPr>
        <w:rPr>
          <w:sz w:val="24"/>
          <w:szCs w:val="24"/>
        </w:rPr>
      </w:pPr>
      <w:r w:rsidRPr="001108FB">
        <w:rPr>
          <w:sz w:val="24"/>
          <w:szCs w:val="24"/>
        </w:rPr>
        <w:br w:type="page"/>
      </w:r>
    </w:p>
    <w:p w:rsidR="001108FB" w:rsidRPr="001108FB" w:rsidRDefault="001108FB" w:rsidP="001108FB">
      <w:pPr>
        <w:rPr>
          <w:sz w:val="24"/>
          <w:szCs w:val="24"/>
        </w:rPr>
      </w:pPr>
      <w:r w:rsidRPr="001108FB">
        <w:rPr>
          <w:sz w:val="24"/>
          <w:szCs w:val="24"/>
        </w:rPr>
        <w:t>Key Contacts</w:t>
      </w:r>
    </w:p>
    <w:tbl>
      <w:tblPr>
        <w:tblStyle w:val="TableGrid"/>
        <w:tblW w:w="0" w:type="auto"/>
        <w:tblLook w:val="04A0" w:firstRow="1" w:lastRow="0" w:firstColumn="1" w:lastColumn="0" w:noHBand="0" w:noVBand="1"/>
      </w:tblPr>
      <w:tblGrid>
        <w:gridCol w:w="1668"/>
        <w:gridCol w:w="1701"/>
        <w:gridCol w:w="1417"/>
        <w:gridCol w:w="2582"/>
        <w:gridCol w:w="1874"/>
      </w:tblGrid>
      <w:tr w:rsidR="008C33D6" w:rsidRPr="001108FB" w:rsidTr="008C33D6">
        <w:tc>
          <w:tcPr>
            <w:tcW w:w="1668" w:type="dxa"/>
            <w:shd w:val="clear" w:color="auto" w:fill="D9D9D9" w:themeFill="background1" w:themeFillShade="D9"/>
          </w:tcPr>
          <w:p w:rsidR="008C33D6" w:rsidRPr="001108FB" w:rsidRDefault="008C33D6" w:rsidP="001108FB">
            <w:pPr>
              <w:rPr>
                <w:b/>
                <w:sz w:val="24"/>
                <w:szCs w:val="24"/>
              </w:rPr>
            </w:pPr>
            <w:r w:rsidRPr="001108FB">
              <w:rPr>
                <w:b/>
                <w:sz w:val="24"/>
                <w:szCs w:val="24"/>
              </w:rPr>
              <w:t>Name</w:t>
            </w:r>
          </w:p>
        </w:tc>
        <w:tc>
          <w:tcPr>
            <w:tcW w:w="1701" w:type="dxa"/>
            <w:shd w:val="clear" w:color="auto" w:fill="D9D9D9" w:themeFill="background1" w:themeFillShade="D9"/>
          </w:tcPr>
          <w:p w:rsidR="008C33D6" w:rsidRPr="001108FB" w:rsidRDefault="008C33D6" w:rsidP="001108FB">
            <w:pPr>
              <w:rPr>
                <w:b/>
                <w:sz w:val="24"/>
                <w:szCs w:val="24"/>
              </w:rPr>
            </w:pPr>
            <w:r w:rsidRPr="001108FB">
              <w:rPr>
                <w:b/>
                <w:sz w:val="24"/>
                <w:szCs w:val="24"/>
              </w:rPr>
              <w:t>Title</w:t>
            </w:r>
          </w:p>
        </w:tc>
        <w:tc>
          <w:tcPr>
            <w:tcW w:w="1417" w:type="dxa"/>
            <w:shd w:val="clear" w:color="auto" w:fill="D9D9D9" w:themeFill="background1" w:themeFillShade="D9"/>
          </w:tcPr>
          <w:p w:rsidR="008C33D6" w:rsidRPr="001108FB" w:rsidRDefault="008C33D6" w:rsidP="001108FB">
            <w:pPr>
              <w:rPr>
                <w:b/>
                <w:sz w:val="24"/>
                <w:szCs w:val="24"/>
              </w:rPr>
            </w:pPr>
            <w:r w:rsidRPr="001108FB">
              <w:rPr>
                <w:b/>
                <w:sz w:val="24"/>
                <w:szCs w:val="24"/>
              </w:rPr>
              <w:t>Mobile</w:t>
            </w:r>
          </w:p>
        </w:tc>
        <w:tc>
          <w:tcPr>
            <w:tcW w:w="2582" w:type="dxa"/>
            <w:shd w:val="clear" w:color="auto" w:fill="D9D9D9" w:themeFill="background1" w:themeFillShade="D9"/>
          </w:tcPr>
          <w:p w:rsidR="008C33D6" w:rsidRPr="00A31057" w:rsidRDefault="00A31057" w:rsidP="00A31057">
            <w:pPr>
              <w:rPr>
                <w:b/>
                <w:color w:val="000000" w:themeColor="text1"/>
                <w:sz w:val="24"/>
                <w:szCs w:val="24"/>
              </w:rPr>
            </w:pPr>
            <w:r>
              <w:rPr>
                <w:b/>
                <w:color w:val="000000" w:themeColor="text1"/>
                <w:sz w:val="24"/>
                <w:szCs w:val="24"/>
              </w:rPr>
              <w:t>If Operating Consultant o</w:t>
            </w:r>
            <w:r w:rsidR="008C33D6" w:rsidRPr="00A31057">
              <w:rPr>
                <w:b/>
                <w:color w:val="000000" w:themeColor="text1"/>
                <w:sz w:val="24"/>
                <w:szCs w:val="24"/>
              </w:rPr>
              <w:t>r Registrar</w:t>
            </w:r>
            <w:r>
              <w:rPr>
                <w:b/>
                <w:color w:val="000000" w:themeColor="text1"/>
                <w:sz w:val="24"/>
                <w:szCs w:val="24"/>
              </w:rPr>
              <w:t>,</w:t>
            </w:r>
            <w:r w:rsidR="008C33D6" w:rsidRPr="00A31057">
              <w:rPr>
                <w:b/>
                <w:color w:val="000000" w:themeColor="text1"/>
                <w:sz w:val="24"/>
                <w:szCs w:val="24"/>
              </w:rPr>
              <w:t xml:space="preserve"> 2nd contact</w:t>
            </w:r>
            <w:r>
              <w:rPr>
                <w:b/>
                <w:color w:val="000000" w:themeColor="text1"/>
                <w:sz w:val="24"/>
                <w:szCs w:val="24"/>
              </w:rPr>
              <w:t xml:space="preserve"> number (e.g. home tel no/ alternative mobile no</w:t>
            </w:r>
            <w:r w:rsidR="008C33D6" w:rsidRPr="00A31057">
              <w:rPr>
                <w:b/>
                <w:color w:val="000000" w:themeColor="text1"/>
                <w:sz w:val="24"/>
                <w:szCs w:val="24"/>
              </w:rPr>
              <w:t>)</w:t>
            </w:r>
          </w:p>
        </w:tc>
        <w:tc>
          <w:tcPr>
            <w:tcW w:w="1874" w:type="dxa"/>
            <w:shd w:val="clear" w:color="auto" w:fill="D9D9D9" w:themeFill="background1" w:themeFillShade="D9"/>
          </w:tcPr>
          <w:p w:rsidR="008C33D6" w:rsidRPr="001108FB" w:rsidRDefault="008C33D6" w:rsidP="001108FB">
            <w:pPr>
              <w:rPr>
                <w:b/>
                <w:sz w:val="24"/>
                <w:szCs w:val="24"/>
              </w:rPr>
            </w:pPr>
            <w:r w:rsidRPr="001108FB">
              <w:rPr>
                <w:b/>
                <w:sz w:val="24"/>
                <w:szCs w:val="24"/>
              </w:rPr>
              <w:t>Email</w:t>
            </w:r>
          </w:p>
        </w:tc>
      </w:tr>
      <w:tr w:rsidR="008C33D6" w:rsidRPr="001108FB" w:rsidTr="008C33D6">
        <w:tc>
          <w:tcPr>
            <w:tcW w:w="1668" w:type="dxa"/>
          </w:tcPr>
          <w:p w:rsidR="008C33D6" w:rsidRPr="001108FB" w:rsidRDefault="008C33D6" w:rsidP="001108FB">
            <w:pPr>
              <w:rPr>
                <w:sz w:val="24"/>
                <w:szCs w:val="24"/>
              </w:rPr>
            </w:pPr>
          </w:p>
        </w:tc>
        <w:tc>
          <w:tcPr>
            <w:tcW w:w="1701" w:type="dxa"/>
          </w:tcPr>
          <w:p w:rsidR="008C33D6" w:rsidRPr="001108FB" w:rsidRDefault="008C33D6" w:rsidP="001108FB">
            <w:pPr>
              <w:rPr>
                <w:sz w:val="24"/>
                <w:szCs w:val="24"/>
              </w:rPr>
            </w:pPr>
          </w:p>
        </w:tc>
        <w:tc>
          <w:tcPr>
            <w:tcW w:w="1417" w:type="dxa"/>
          </w:tcPr>
          <w:p w:rsidR="008C33D6" w:rsidRPr="001108FB" w:rsidRDefault="008C33D6" w:rsidP="001108FB">
            <w:pPr>
              <w:rPr>
                <w:sz w:val="24"/>
                <w:szCs w:val="24"/>
              </w:rPr>
            </w:pPr>
          </w:p>
        </w:tc>
        <w:tc>
          <w:tcPr>
            <w:tcW w:w="2582" w:type="dxa"/>
          </w:tcPr>
          <w:p w:rsidR="008C33D6" w:rsidRPr="001108FB" w:rsidRDefault="008C33D6" w:rsidP="001108FB">
            <w:pPr>
              <w:rPr>
                <w:sz w:val="24"/>
                <w:szCs w:val="24"/>
              </w:rPr>
            </w:pPr>
          </w:p>
        </w:tc>
        <w:tc>
          <w:tcPr>
            <w:tcW w:w="1874" w:type="dxa"/>
          </w:tcPr>
          <w:p w:rsidR="008C33D6" w:rsidRPr="001108FB" w:rsidRDefault="008C33D6" w:rsidP="001108FB">
            <w:pPr>
              <w:rPr>
                <w:sz w:val="24"/>
                <w:szCs w:val="24"/>
              </w:rPr>
            </w:pPr>
          </w:p>
        </w:tc>
      </w:tr>
      <w:tr w:rsidR="008C33D6" w:rsidRPr="001108FB" w:rsidTr="008C33D6">
        <w:tc>
          <w:tcPr>
            <w:tcW w:w="1668" w:type="dxa"/>
          </w:tcPr>
          <w:p w:rsidR="008C33D6" w:rsidRPr="001108FB" w:rsidRDefault="008C33D6" w:rsidP="001108FB">
            <w:pPr>
              <w:rPr>
                <w:sz w:val="24"/>
                <w:szCs w:val="24"/>
              </w:rPr>
            </w:pPr>
          </w:p>
        </w:tc>
        <w:tc>
          <w:tcPr>
            <w:tcW w:w="1701" w:type="dxa"/>
          </w:tcPr>
          <w:p w:rsidR="008C33D6" w:rsidRPr="001108FB" w:rsidRDefault="008C33D6" w:rsidP="001108FB">
            <w:pPr>
              <w:rPr>
                <w:sz w:val="24"/>
                <w:szCs w:val="24"/>
              </w:rPr>
            </w:pPr>
          </w:p>
        </w:tc>
        <w:tc>
          <w:tcPr>
            <w:tcW w:w="1417" w:type="dxa"/>
          </w:tcPr>
          <w:p w:rsidR="008C33D6" w:rsidRPr="001108FB" w:rsidRDefault="008C33D6" w:rsidP="001108FB">
            <w:pPr>
              <w:rPr>
                <w:sz w:val="24"/>
                <w:szCs w:val="24"/>
              </w:rPr>
            </w:pPr>
          </w:p>
        </w:tc>
        <w:tc>
          <w:tcPr>
            <w:tcW w:w="2582" w:type="dxa"/>
          </w:tcPr>
          <w:p w:rsidR="008C33D6" w:rsidRPr="001108FB" w:rsidRDefault="008C33D6" w:rsidP="001108FB">
            <w:pPr>
              <w:rPr>
                <w:sz w:val="24"/>
                <w:szCs w:val="24"/>
              </w:rPr>
            </w:pPr>
          </w:p>
        </w:tc>
        <w:tc>
          <w:tcPr>
            <w:tcW w:w="1874" w:type="dxa"/>
          </w:tcPr>
          <w:p w:rsidR="008C33D6" w:rsidRPr="001108FB" w:rsidRDefault="008C33D6" w:rsidP="001108FB">
            <w:pPr>
              <w:rPr>
                <w:sz w:val="24"/>
                <w:szCs w:val="24"/>
              </w:rPr>
            </w:pPr>
          </w:p>
        </w:tc>
      </w:tr>
      <w:tr w:rsidR="008C33D6" w:rsidRPr="001108FB" w:rsidTr="008C33D6">
        <w:tc>
          <w:tcPr>
            <w:tcW w:w="1668" w:type="dxa"/>
          </w:tcPr>
          <w:p w:rsidR="008C33D6" w:rsidRPr="001108FB" w:rsidRDefault="008C33D6" w:rsidP="001108FB">
            <w:pPr>
              <w:rPr>
                <w:sz w:val="24"/>
                <w:szCs w:val="24"/>
              </w:rPr>
            </w:pPr>
          </w:p>
        </w:tc>
        <w:tc>
          <w:tcPr>
            <w:tcW w:w="1701" w:type="dxa"/>
          </w:tcPr>
          <w:p w:rsidR="008C33D6" w:rsidRPr="001108FB" w:rsidRDefault="008C33D6" w:rsidP="001108FB">
            <w:pPr>
              <w:rPr>
                <w:sz w:val="24"/>
                <w:szCs w:val="24"/>
              </w:rPr>
            </w:pPr>
          </w:p>
        </w:tc>
        <w:tc>
          <w:tcPr>
            <w:tcW w:w="1417" w:type="dxa"/>
          </w:tcPr>
          <w:p w:rsidR="008C33D6" w:rsidRPr="001108FB" w:rsidRDefault="008C33D6" w:rsidP="001108FB">
            <w:pPr>
              <w:rPr>
                <w:sz w:val="24"/>
                <w:szCs w:val="24"/>
              </w:rPr>
            </w:pPr>
          </w:p>
        </w:tc>
        <w:tc>
          <w:tcPr>
            <w:tcW w:w="2582" w:type="dxa"/>
          </w:tcPr>
          <w:p w:rsidR="008C33D6" w:rsidRPr="001108FB" w:rsidRDefault="008C33D6" w:rsidP="001108FB">
            <w:pPr>
              <w:rPr>
                <w:sz w:val="24"/>
                <w:szCs w:val="24"/>
              </w:rPr>
            </w:pPr>
          </w:p>
        </w:tc>
        <w:tc>
          <w:tcPr>
            <w:tcW w:w="1874" w:type="dxa"/>
          </w:tcPr>
          <w:p w:rsidR="008C33D6" w:rsidRPr="001108FB" w:rsidRDefault="008C33D6" w:rsidP="001108FB">
            <w:pPr>
              <w:rPr>
                <w:sz w:val="24"/>
                <w:szCs w:val="24"/>
              </w:rPr>
            </w:pPr>
          </w:p>
        </w:tc>
      </w:tr>
    </w:tbl>
    <w:p w:rsidR="001108FB" w:rsidRPr="001108FB" w:rsidRDefault="001108FB" w:rsidP="001108FB">
      <w:pPr>
        <w:rPr>
          <w:sz w:val="28"/>
          <w:szCs w:val="28"/>
        </w:rPr>
      </w:pPr>
    </w:p>
    <w:sectPr w:rsidR="001108FB" w:rsidRPr="001108FB" w:rsidSect="005130F3">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FB0" w:rsidRDefault="00360FB0" w:rsidP="005130F3">
      <w:pPr>
        <w:spacing w:after="0" w:line="240" w:lineRule="auto"/>
      </w:pPr>
      <w:r>
        <w:separator/>
      </w:r>
    </w:p>
  </w:endnote>
  <w:endnote w:type="continuationSeparator" w:id="0">
    <w:p w:rsidR="00360FB0" w:rsidRDefault="00360FB0" w:rsidP="0051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60487"/>
      <w:docPartObj>
        <w:docPartGallery w:val="Page Numbers (Bottom of Page)"/>
        <w:docPartUnique/>
      </w:docPartObj>
    </w:sdtPr>
    <w:sdtEndPr/>
    <w:sdtContent>
      <w:sdt>
        <w:sdtPr>
          <w:id w:val="-1769616900"/>
          <w:docPartObj>
            <w:docPartGallery w:val="Page Numbers (Top of Page)"/>
            <w:docPartUnique/>
          </w:docPartObj>
        </w:sdtPr>
        <w:sdtEndPr/>
        <w:sdtContent>
          <w:p w:rsidR="005130F3" w:rsidRDefault="005130F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3FF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3FF2">
              <w:rPr>
                <w:b/>
                <w:bCs/>
                <w:noProof/>
              </w:rPr>
              <w:t>7</w:t>
            </w:r>
            <w:r>
              <w:rPr>
                <w:b/>
                <w:bCs/>
                <w:sz w:val="24"/>
                <w:szCs w:val="24"/>
              </w:rPr>
              <w:fldChar w:fldCharType="end"/>
            </w:r>
          </w:p>
        </w:sdtContent>
      </w:sdt>
    </w:sdtContent>
  </w:sdt>
  <w:p w:rsidR="005130F3" w:rsidRDefault="00513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802"/>
      <w:gridCol w:w="6440"/>
    </w:tblGrid>
    <w:tr w:rsidR="005130F3" w:rsidRPr="001108FB" w:rsidTr="00015C0B">
      <w:tc>
        <w:tcPr>
          <w:tcW w:w="2802" w:type="dxa"/>
        </w:tcPr>
        <w:p w:rsidR="005130F3" w:rsidRPr="001108FB" w:rsidRDefault="005130F3" w:rsidP="005130F3">
          <w:pPr>
            <w:rPr>
              <w:b/>
              <w:sz w:val="24"/>
              <w:szCs w:val="28"/>
            </w:rPr>
          </w:pPr>
          <w:r w:rsidRPr="001108FB">
            <w:rPr>
              <w:b/>
              <w:sz w:val="24"/>
              <w:szCs w:val="28"/>
            </w:rPr>
            <w:t>Date:</w:t>
          </w:r>
        </w:p>
      </w:tc>
      <w:tc>
        <w:tcPr>
          <w:tcW w:w="6440" w:type="dxa"/>
        </w:tcPr>
        <w:p w:rsidR="005130F3" w:rsidRPr="001108FB" w:rsidRDefault="00A31057" w:rsidP="005130F3">
          <w:pPr>
            <w:rPr>
              <w:b/>
              <w:sz w:val="24"/>
              <w:szCs w:val="28"/>
            </w:rPr>
          </w:pPr>
          <w:r>
            <w:rPr>
              <w:b/>
              <w:sz w:val="24"/>
              <w:szCs w:val="28"/>
            </w:rPr>
            <w:t>21</w:t>
          </w:r>
          <w:r w:rsidR="001108FB" w:rsidRPr="001108FB">
            <w:rPr>
              <w:b/>
              <w:sz w:val="24"/>
              <w:szCs w:val="28"/>
            </w:rPr>
            <w:t>/04/2020</w:t>
          </w:r>
        </w:p>
      </w:tc>
    </w:tr>
    <w:tr w:rsidR="005130F3" w:rsidRPr="001108FB" w:rsidTr="00015C0B">
      <w:tc>
        <w:tcPr>
          <w:tcW w:w="2802" w:type="dxa"/>
        </w:tcPr>
        <w:p w:rsidR="005130F3" w:rsidRPr="001108FB" w:rsidRDefault="005130F3" w:rsidP="005130F3">
          <w:pPr>
            <w:rPr>
              <w:b/>
              <w:sz w:val="24"/>
              <w:szCs w:val="28"/>
            </w:rPr>
          </w:pPr>
          <w:r w:rsidRPr="001108FB">
            <w:rPr>
              <w:b/>
              <w:sz w:val="24"/>
              <w:szCs w:val="28"/>
            </w:rPr>
            <w:t>Version:</w:t>
          </w:r>
        </w:p>
      </w:tc>
      <w:tc>
        <w:tcPr>
          <w:tcW w:w="6440" w:type="dxa"/>
        </w:tcPr>
        <w:p w:rsidR="005130F3" w:rsidRPr="001108FB" w:rsidRDefault="00A31057" w:rsidP="005130F3">
          <w:pPr>
            <w:rPr>
              <w:b/>
              <w:sz w:val="24"/>
              <w:szCs w:val="28"/>
            </w:rPr>
          </w:pPr>
          <w:r>
            <w:rPr>
              <w:b/>
              <w:sz w:val="24"/>
              <w:szCs w:val="28"/>
            </w:rPr>
            <w:t>0.2</w:t>
          </w:r>
        </w:p>
      </w:tc>
    </w:tr>
    <w:tr w:rsidR="005130F3" w:rsidRPr="001108FB" w:rsidTr="00015C0B">
      <w:tc>
        <w:tcPr>
          <w:tcW w:w="2802" w:type="dxa"/>
        </w:tcPr>
        <w:p w:rsidR="005130F3" w:rsidRPr="001108FB" w:rsidRDefault="001108FB" w:rsidP="005130F3">
          <w:pPr>
            <w:rPr>
              <w:b/>
              <w:sz w:val="24"/>
            </w:rPr>
          </w:pPr>
          <w:r w:rsidRPr="001108FB">
            <w:rPr>
              <w:b/>
              <w:sz w:val="24"/>
            </w:rPr>
            <w:t>Authors:</w:t>
          </w:r>
        </w:p>
      </w:tc>
      <w:tc>
        <w:tcPr>
          <w:tcW w:w="6440" w:type="dxa"/>
        </w:tcPr>
        <w:p w:rsidR="005130F3" w:rsidRPr="001108FB" w:rsidRDefault="005130F3" w:rsidP="005130F3">
          <w:pPr>
            <w:rPr>
              <w:b/>
              <w:sz w:val="24"/>
              <w:szCs w:val="28"/>
            </w:rPr>
          </w:pPr>
        </w:p>
      </w:tc>
    </w:tr>
    <w:tr w:rsidR="001108FB" w:rsidRPr="001108FB" w:rsidTr="00015C0B">
      <w:tc>
        <w:tcPr>
          <w:tcW w:w="2802" w:type="dxa"/>
        </w:tcPr>
        <w:p w:rsidR="001108FB" w:rsidRPr="001108FB" w:rsidRDefault="001108FB" w:rsidP="005130F3">
          <w:pPr>
            <w:rPr>
              <w:b/>
              <w:sz w:val="24"/>
              <w:szCs w:val="28"/>
            </w:rPr>
          </w:pPr>
          <w:r w:rsidRPr="001108FB">
            <w:rPr>
              <w:b/>
              <w:sz w:val="24"/>
              <w:szCs w:val="28"/>
            </w:rPr>
            <w:t>GJ Management Lead:</w:t>
          </w:r>
        </w:p>
      </w:tc>
      <w:tc>
        <w:tcPr>
          <w:tcW w:w="6440" w:type="dxa"/>
        </w:tcPr>
        <w:p w:rsidR="001108FB" w:rsidRPr="001108FB" w:rsidRDefault="001108FB" w:rsidP="005130F3">
          <w:pPr>
            <w:rPr>
              <w:b/>
              <w:sz w:val="24"/>
              <w:szCs w:val="28"/>
            </w:rPr>
          </w:pPr>
        </w:p>
      </w:tc>
    </w:tr>
  </w:tbl>
  <w:p w:rsidR="005130F3" w:rsidRDefault="00513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FB0" w:rsidRDefault="00360FB0" w:rsidP="005130F3">
      <w:pPr>
        <w:spacing w:after="0" w:line="240" w:lineRule="auto"/>
      </w:pPr>
      <w:r>
        <w:separator/>
      </w:r>
    </w:p>
  </w:footnote>
  <w:footnote w:type="continuationSeparator" w:id="0">
    <w:p w:rsidR="00360FB0" w:rsidRDefault="00360FB0" w:rsidP="0051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F3" w:rsidRPr="005130F3" w:rsidRDefault="005130F3" w:rsidP="005130F3">
    <w:pPr>
      <w:pStyle w:val="Header"/>
      <w:jc w:val="right"/>
      <w:rPr>
        <w:b/>
      </w:rPr>
    </w:pPr>
    <w:r w:rsidRPr="005130F3">
      <w:rPr>
        <w:b/>
      </w:rPr>
      <w:t xml:space="preserve">Golden Jubilee National Hospital SOP for </w:t>
    </w:r>
    <w:r w:rsidRPr="005130F3">
      <w:rPr>
        <w:b/>
        <w:highlight w:val="yellow"/>
      </w:rPr>
      <w:t>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F3" w:rsidRDefault="005130F3">
    <w:pPr>
      <w:pStyle w:val="Header"/>
    </w:pPr>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-1905</wp:posOffset>
          </wp:positionV>
          <wp:extent cx="1375410" cy="9525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410" cy="952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8BC"/>
    <w:multiLevelType w:val="hybridMultilevel"/>
    <w:tmpl w:val="4962C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8B10F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FC57C10"/>
    <w:multiLevelType w:val="hybridMultilevel"/>
    <w:tmpl w:val="4086A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30F3"/>
    <w:rsid w:val="000F2430"/>
    <w:rsid w:val="001108FB"/>
    <w:rsid w:val="00117D23"/>
    <w:rsid w:val="00124F8E"/>
    <w:rsid w:val="002151FD"/>
    <w:rsid w:val="002C1642"/>
    <w:rsid w:val="00360FB0"/>
    <w:rsid w:val="0048159A"/>
    <w:rsid w:val="004F34CB"/>
    <w:rsid w:val="005130F3"/>
    <w:rsid w:val="00554843"/>
    <w:rsid w:val="00687129"/>
    <w:rsid w:val="006A1A61"/>
    <w:rsid w:val="007955DD"/>
    <w:rsid w:val="008C33D6"/>
    <w:rsid w:val="00983D3D"/>
    <w:rsid w:val="00A31057"/>
    <w:rsid w:val="00B76D59"/>
    <w:rsid w:val="00BA4EC9"/>
    <w:rsid w:val="00D7342F"/>
    <w:rsid w:val="00DB5405"/>
    <w:rsid w:val="00DE4BE2"/>
    <w:rsid w:val="00DF3842"/>
    <w:rsid w:val="00F37A53"/>
    <w:rsid w:val="00F6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8CDF1"/>
  <w15:chartTrackingRefBased/>
  <w15:docId w15:val="{620D727A-B097-40DC-82B8-75C5ACC3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0F3"/>
  </w:style>
  <w:style w:type="paragraph" w:styleId="Footer">
    <w:name w:val="footer"/>
    <w:basedOn w:val="Normal"/>
    <w:link w:val="FooterChar"/>
    <w:uiPriority w:val="99"/>
    <w:unhideWhenUsed/>
    <w:rsid w:val="00513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0F3"/>
  </w:style>
  <w:style w:type="table" w:styleId="TableGrid">
    <w:name w:val="Table Grid"/>
    <w:basedOn w:val="TableNormal"/>
    <w:uiPriority w:val="59"/>
    <w:rsid w:val="0051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MacGregor</dc:creator>
  <cp:keywords/>
  <dc:description/>
  <cp:lastModifiedBy>Mark MacGregor</cp:lastModifiedBy>
  <cp:revision>3</cp:revision>
  <dcterms:created xsi:type="dcterms:W3CDTF">2020-04-22T17:35:00Z</dcterms:created>
  <dcterms:modified xsi:type="dcterms:W3CDTF">2020-04-22T17:36:00Z</dcterms:modified>
</cp:coreProperties>
</file>