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6B43" w:rsidRDefault="003F3831" w:rsidP="00E06B43">
      <w:pPr>
        <w:jc w:val="center"/>
        <w:rPr>
          <w:rFonts w:ascii="Stone Sans Semi Bold" w:hAnsi="Stone Sans Semi Bold"/>
          <w:b/>
          <w:color w:val="004380"/>
        </w:rPr>
      </w:pPr>
      <w:r w:rsidRPr="00941965">
        <w:rPr>
          <w:noProof/>
          <w:lang w:eastAsia="en-GB"/>
        </w:rPr>
        <w:drawing>
          <wp:inline distT="0" distB="0" distL="0" distR="0" wp14:anchorId="2AC2B48B" wp14:editId="0A9503BA">
            <wp:extent cx="6643939" cy="9420225"/>
            <wp:effectExtent l="0" t="0" r="0" b="0"/>
            <wp:docPr id="1" name="Picture 1" descr="C:\Users\mackiej\AppData\Local\Microsoft\Windows\Temporary Internet Files\Content.Outlook\Q0K5ANXT\IPBR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ej\AppData\Local\Microsoft\Windows\Temporary Internet Files\Content.Outlook\Q0K5ANXT\IPBR cove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658" cy="9465198"/>
                    </a:xfrm>
                    <a:prstGeom prst="rect">
                      <a:avLst/>
                    </a:prstGeom>
                    <a:noFill/>
                    <a:ln>
                      <a:noFill/>
                    </a:ln>
                  </pic:spPr>
                </pic:pic>
              </a:graphicData>
            </a:graphic>
          </wp:inline>
        </w:drawing>
      </w:r>
    </w:p>
    <w:p w:rsidR="00234ABE" w:rsidRPr="00B77BE0" w:rsidRDefault="00234ABE" w:rsidP="00E50634">
      <w:pPr>
        <w:pStyle w:val="Heading1"/>
        <w:rPr>
          <w:b w:val="0"/>
          <w:color w:val="17365D" w:themeColor="text2" w:themeShade="BF"/>
          <w:sz w:val="32"/>
          <w:szCs w:val="32"/>
        </w:rPr>
      </w:pPr>
      <w:r w:rsidRPr="00E50634">
        <w:lastRenderedPageBreak/>
        <w:t>Contents</w:t>
      </w:r>
      <w:r w:rsidRPr="00E50634">
        <w:tab/>
      </w:r>
      <w:r w:rsidRPr="00B77BE0">
        <w:rPr>
          <w:b w:val="0"/>
          <w:color w:val="17365D" w:themeColor="text2" w:themeShade="BF"/>
          <w:sz w:val="32"/>
          <w:szCs w:val="32"/>
        </w:rPr>
        <w:tab/>
      </w:r>
    </w:p>
    <w:p w:rsidR="0061763D" w:rsidRPr="00D13B1B" w:rsidRDefault="0061763D" w:rsidP="00882B57">
      <w:pPr>
        <w:rPr>
          <w:rFonts w:cs="Arial"/>
          <w:b/>
          <w:color w:val="17365D" w:themeColor="text2" w:themeShade="BF"/>
          <w:sz w:val="32"/>
          <w:szCs w:val="32"/>
          <w:highlight w:val="yellow"/>
        </w:rPr>
      </w:pPr>
    </w:p>
    <w:p w:rsidR="0061763D" w:rsidRPr="00D13B1B" w:rsidRDefault="00001985" w:rsidP="00882B57">
      <w:pPr>
        <w:rPr>
          <w:rFonts w:cs="Arial"/>
          <w:color w:val="17365D" w:themeColor="text2" w:themeShade="BF"/>
          <w:szCs w:val="22"/>
          <w:highlight w:val="yellow"/>
        </w:rPr>
      </w:pPr>
      <w:r>
        <w:rPr>
          <w:rFonts w:cs="Arial"/>
          <w:noProof/>
          <w:color w:val="17365D" w:themeColor="text2" w:themeShade="BF"/>
          <w:szCs w:val="22"/>
          <w:lang w:eastAsia="en-GB"/>
        </w:rPr>
        <w:pict w14:anchorId="6C0362B2">
          <v:rect id="_x0000_s1975" style="position:absolute;margin-left:1.25pt;margin-top:11.35pt;width:508.5pt;height:131.25pt;z-index:252897279" fillcolor="white [3212]">
            <v:textbox style="mso-next-textbox:#_x0000_s1975">
              <w:txbxContent>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Introduction</w:t>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00A8103D">
                    <w:rPr>
                      <w:b/>
                      <w:color w:val="17365D" w:themeColor="text2" w:themeShade="BF"/>
                      <w:sz w:val="24"/>
                      <w:szCs w:val="24"/>
                    </w:rPr>
                    <w:t>2</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Performance Summary Dashboard</w:t>
                  </w:r>
                  <w:r w:rsidRPr="00B0435F">
                    <w:rPr>
                      <w:b/>
                      <w:color w:val="17365D" w:themeColor="text2" w:themeShade="BF"/>
                      <w:sz w:val="24"/>
                      <w:szCs w:val="24"/>
                    </w:rPr>
                    <w:tab/>
                    <w:t>4</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Integrated Performance Report: Executive Summary</w:t>
                  </w:r>
                  <w:r w:rsidRPr="00B0435F">
                    <w:rPr>
                      <w:b/>
                      <w:color w:val="17365D" w:themeColor="text2" w:themeShade="BF"/>
                      <w:sz w:val="24"/>
                      <w:szCs w:val="24"/>
                    </w:rPr>
                    <w:tab/>
                  </w:r>
                  <w:r w:rsidR="00A8103D">
                    <w:rPr>
                      <w:b/>
                      <w:color w:val="17365D" w:themeColor="text2" w:themeShade="BF"/>
                      <w:sz w:val="24"/>
                      <w:szCs w:val="24"/>
                    </w:rPr>
                    <w:t>6</w:t>
                  </w:r>
                </w:p>
              </w:txbxContent>
            </v:textbox>
          </v:rect>
        </w:pict>
      </w:r>
    </w:p>
    <w:p w:rsidR="0040438D" w:rsidRPr="00D13B1B" w:rsidRDefault="0040438D" w:rsidP="001B4295">
      <w:pPr>
        <w:tabs>
          <w:tab w:val="left" w:pos="1418"/>
          <w:tab w:val="left" w:pos="1701"/>
          <w:tab w:val="left" w:pos="1985"/>
          <w:tab w:val="left" w:pos="2268"/>
          <w:tab w:val="right" w:pos="9072"/>
        </w:tabs>
        <w:rPr>
          <w:rFonts w:cs="Arial"/>
          <w:color w:val="17365D" w:themeColor="text2" w:themeShade="BF"/>
          <w:szCs w:val="22"/>
          <w:highlight w:val="yellow"/>
        </w:rPr>
      </w:pPr>
    </w:p>
    <w:p w:rsidR="0061763D" w:rsidRPr="00D13B1B" w:rsidRDefault="0061763D"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ED7630" w:rsidRPr="00D13B1B" w:rsidRDefault="00ED7630"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1B3EC4" w:rsidRPr="00B77BE0" w:rsidRDefault="001B3EC4" w:rsidP="001B4295">
      <w:pPr>
        <w:tabs>
          <w:tab w:val="left" w:pos="1418"/>
          <w:tab w:val="left" w:pos="1701"/>
          <w:tab w:val="left" w:pos="1985"/>
          <w:tab w:val="left" w:pos="2268"/>
          <w:tab w:val="right" w:pos="9072"/>
        </w:tabs>
        <w:rPr>
          <w:rFonts w:cs="Arial"/>
          <w:color w:val="17365D" w:themeColor="text2" w:themeShade="BF"/>
          <w:szCs w:val="22"/>
        </w:rPr>
      </w:pPr>
    </w:p>
    <w:p w:rsidR="0061763D" w:rsidRPr="00B77BE0" w:rsidRDefault="0061763D" w:rsidP="001B4295">
      <w:pPr>
        <w:tabs>
          <w:tab w:val="left" w:pos="1418"/>
          <w:tab w:val="left" w:pos="1701"/>
          <w:tab w:val="left" w:pos="1985"/>
          <w:tab w:val="left" w:pos="2268"/>
          <w:tab w:val="right" w:pos="9072"/>
        </w:tabs>
        <w:rPr>
          <w:rFonts w:cs="Arial"/>
          <w:color w:val="17365D" w:themeColor="text2" w:themeShade="BF"/>
          <w:szCs w:val="22"/>
        </w:rPr>
      </w:pPr>
    </w:p>
    <w:p w:rsidR="001B4295" w:rsidRPr="00B77BE0" w:rsidRDefault="001B3EC4" w:rsidP="00EE40D1">
      <w:pPr>
        <w:tabs>
          <w:tab w:val="left" w:pos="1418"/>
          <w:tab w:val="left" w:pos="1701"/>
          <w:tab w:val="left" w:pos="1985"/>
          <w:tab w:val="left" w:pos="2268"/>
          <w:tab w:val="right" w:pos="9072"/>
        </w:tabs>
        <w:rPr>
          <w:rFonts w:cs="Arial"/>
          <w:color w:val="17365D" w:themeColor="text2" w:themeShade="BF"/>
          <w:szCs w:val="22"/>
        </w:rPr>
      </w:pPr>
      <w:r w:rsidRPr="00B77BE0">
        <w:rPr>
          <w:rFonts w:cs="Arial"/>
          <w:color w:val="17365D" w:themeColor="text2" w:themeShade="BF"/>
          <w:szCs w:val="22"/>
        </w:rPr>
        <w:tab/>
      </w:r>
      <w:r w:rsidRPr="00B77BE0">
        <w:rPr>
          <w:rFonts w:cs="Arial"/>
          <w:color w:val="17365D" w:themeColor="text2" w:themeShade="BF"/>
          <w:szCs w:val="22"/>
        </w:rPr>
        <w:tab/>
      </w:r>
    </w:p>
    <w:p w:rsidR="0061763D" w:rsidRPr="00B77BE0" w:rsidRDefault="001B4295" w:rsidP="00EE40D1">
      <w:pPr>
        <w:tabs>
          <w:tab w:val="left" w:pos="1418"/>
          <w:tab w:val="left" w:pos="1701"/>
          <w:tab w:val="left" w:pos="1985"/>
          <w:tab w:val="left" w:pos="2268"/>
          <w:tab w:val="right" w:pos="9072"/>
        </w:tabs>
        <w:rPr>
          <w:rFonts w:cs="Arial"/>
          <w:color w:val="17365D" w:themeColor="text2" w:themeShade="BF"/>
          <w:szCs w:val="22"/>
        </w:rPr>
      </w:pPr>
      <w:r w:rsidRPr="00B77BE0">
        <w:rPr>
          <w:rFonts w:cs="Arial"/>
          <w:color w:val="17365D" w:themeColor="text2" w:themeShade="BF"/>
          <w:szCs w:val="22"/>
        </w:rPr>
        <w:tab/>
      </w:r>
      <w:r w:rsidRPr="00B77BE0">
        <w:rPr>
          <w:rFonts w:cs="Arial"/>
          <w:color w:val="17365D" w:themeColor="text2" w:themeShade="BF"/>
          <w:szCs w:val="22"/>
        </w:rPr>
        <w:tab/>
      </w:r>
      <w:r w:rsidRPr="00B77BE0">
        <w:rPr>
          <w:rFonts w:cs="Arial"/>
          <w:color w:val="17365D" w:themeColor="text2" w:themeShade="BF"/>
          <w:szCs w:val="22"/>
        </w:rPr>
        <w:tab/>
      </w:r>
      <w:r w:rsidRPr="00B77BE0">
        <w:rPr>
          <w:rFonts w:cs="Arial"/>
          <w:color w:val="17365D" w:themeColor="text2" w:themeShade="BF"/>
          <w:szCs w:val="22"/>
        </w:rPr>
        <w:tab/>
      </w:r>
    </w:p>
    <w:p w:rsidR="009E0B90" w:rsidRPr="00D13B1B" w:rsidRDefault="009E0B90"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23158A" w:rsidRDefault="0023158A"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bookmarkStart w:id="0" w:name="_GoBack"/>
      <w:bookmarkEnd w:id="0"/>
    </w:p>
    <w:p w:rsidR="00E50634" w:rsidRDefault="00E50634" w:rsidP="00882B57">
      <w:pPr>
        <w:rPr>
          <w:rFonts w:cs="Arial"/>
          <w:b/>
          <w:highlight w:val="yellow"/>
        </w:rPr>
      </w:pPr>
    </w:p>
    <w:p w:rsidR="00E50634" w:rsidRDefault="00E50634" w:rsidP="00882B57">
      <w:pPr>
        <w:rPr>
          <w:rFonts w:cs="Arial"/>
          <w:b/>
          <w:highlight w:val="yellow"/>
        </w:rPr>
      </w:pPr>
    </w:p>
    <w:p w:rsidR="00E50634" w:rsidRPr="00D13B1B" w:rsidRDefault="00E50634" w:rsidP="00882B57">
      <w:pPr>
        <w:rPr>
          <w:rFonts w:cs="Arial"/>
          <w:b/>
          <w:highlight w:val="yellow"/>
        </w:rPr>
      </w:pPr>
    </w:p>
    <w:p w:rsidR="00234ABE" w:rsidRPr="00AA1592" w:rsidRDefault="00E50634" w:rsidP="00AA1592">
      <w:pPr>
        <w:pStyle w:val="Heading1"/>
      </w:pPr>
      <w:r>
        <w:t xml:space="preserve">Section A: </w:t>
      </w:r>
      <w:r w:rsidR="00ED7630" w:rsidRPr="00AA1592">
        <w:t>Introduction</w:t>
      </w:r>
      <w:r w:rsidR="002668C8" w:rsidRPr="00AA1592">
        <w:tab/>
      </w:r>
    </w:p>
    <w:p w:rsidR="00AA1592" w:rsidRPr="00E92537" w:rsidRDefault="00AA1592" w:rsidP="00AA1592">
      <w:pPr>
        <w:spacing w:after="180"/>
        <w:jc w:val="both"/>
        <w:rPr>
          <w:rFonts w:cs="Arial"/>
          <w:szCs w:val="22"/>
        </w:rPr>
      </w:pPr>
      <w:r w:rsidRPr="00E92537">
        <w:rPr>
          <w:rFonts w:cs="Arial"/>
          <w:szCs w:val="22"/>
        </w:rPr>
        <w:t>The purpose of the Integrated Performance Report (IPR) is to provide assurance on NHS Golden Jubilee’s performance relating to National Standards, local priorities and significant risks.</w:t>
      </w:r>
    </w:p>
    <w:p w:rsidR="00AA1592" w:rsidRPr="00E92537" w:rsidRDefault="00AA1592" w:rsidP="00AA1592">
      <w:pPr>
        <w:spacing w:after="180"/>
        <w:jc w:val="both"/>
        <w:rPr>
          <w:rFonts w:cs="Arial"/>
          <w:szCs w:val="22"/>
        </w:rPr>
      </w:pPr>
      <w:r w:rsidRPr="00E92537">
        <w:rPr>
          <w:rFonts w:cs="Arial"/>
          <w:szCs w:val="22"/>
        </w:rPr>
        <w:t xml:space="preserve">The IPR comprises </w:t>
      </w:r>
      <w:r>
        <w:rPr>
          <w:rFonts w:cs="Arial"/>
          <w:szCs w:val="22"/>
        </w:rPr>
        <w:t>four section with each section being considered in detail by the appropriate Standing Committee</w:t>
      </w:r>
      <w:r w:rsidRPr="00E92537">
        <w:rPr>
          <w:rFonts w:cs="Arial"/>
          <w:szCs w:val="22"/>
        </w:rPr>
        <w:t>:</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A</w:t>
      </w:r>
      <w:r w:rsidRPr="00E92537">
        <w:rPr>
          <w:rFonts w:cs="Arial"/>
          <w:sz w:val="22"/>
          <w:szCs w:val="22"/>
        </w:rPr>
        <w:tab/>
        <w:t>Introduction</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B:1</w:t>
      </w:r>
      <w:r w:rsidRPr="00E92537">
        <w:rPr>
          <w:rFonts w:cs="Arial"/>
          <w:sz w:val="22"/>
          <w:szCs w:val="22"/>
        </w:rPr>
        <w:tab/>
        <w:t>Clinical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B:2</w:t>
      </w:r>
      <w:r w:rsidRPr="00E92537">
        <w:rPr>
          <w:rFonts w:cs="Arial"/>
          <w:sz w:val="22"/>
          <w:szCs w:val="22"/>
        </w:rPr>
        <w:tab/>
        <w:t>Staff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B:3</w:t>
      </w:r>
      <w:r w:rsidRPr="00E92537">
        <w:rPr>
          <w:rFonts w:cs="Arial"/>
          <w:sz w:val="22"/>
          <w:szCs w:val="22"/>
        </w:rPr>
        <w:tab/>
        <w:t>Finance, Performance &amp; Planning</w:t>
      </w:r>
    </w:p>
    <w:p w:rsidR="00AA1592" w:rsidRDefault="00AA1592" w:rsidP="00AA1592">
      <w:pPr>
        <w:spacing w:after="180"/>
        <w:jc w:val="both"/>
        <w:rPr>
          <w:rFonts w:cs="Arial"/>
          <w:szCs w:val="22"/>
        </w:rPr>
      </w:pPr>
    </w:p>
    <w:p w:rsidR="00AA1592" w:rsidRDefault="00AA1592" w:rsidP="00AA1592">
      <w:pPr>
        <w:spacing w:after="180"/>
        <w:jc w:val="both"/>
        <w:rPr>
          <w:rFonts w:cs="Arial"/>
          <w:szCs w:val="22"/>
        </w:rPr>
      </w:pPr>
      <w:r>
        <w:rPr>
          <w:rFonts w:cs="Arial"/>
          <w:szCs w:val="22"/>
        </w:rPr>
        <w:t>This Board Summary Report of the IPR is presented to the Board and contains the summaries from each section of the full IPR.</w:t>
      </w:r>
    </w:p>
    <w:p w:rsidR="003440C2" w:rsidRPr="00D13B1B" w:rsidRDefault="003440C2" w:rsidP="004C0D07">
      <w:pPr>
        <w:spacing w:after="180"/>
        <w:jc w:val="both"/>
        <w:rPr>
          <w:rFonts w:cs="Arial"/>
          <w:szCs w:val="22"/>
          <w:highlight w:val="yellow"/>
        </w:rPr>
      </w:pPr>
    </w:p>
    <w:p w:rsidR="00AA1592" w:rsidRDefault="00AA1592" w:rsidP="00AA1592">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t>Colin Neil</w:t>
      </w:r>
      <w:r>
        <w:rPr>
          <w:rFonts w:cs="Arial"/>
          <w:b/>
          <w:bCs/>
        </w:rPr>
        <w:tab/>
      </w:r>
      <w:r>
        <w:rPr>
          <w:rFonts w:cs="Arial"/>
          <w:b/>
          <w:bCs/>
        </w:rPr>
        <w:tab/>
      </w:r>
      <w:r>
        <w:rPr>
          <w:rFonts w:cs="Arial"/>
          <w:b/>
          <w:bCs/>
        </w:rPr>
        <w:tab/>
        <w:t>June Rogers</w:t>
      </w:r>
    </w:p>
    <w:p w:rsidR="00AA1592" w:rsidRDefault="00AA1592" w:rsidP="00AA1592">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t>Deputy Chief Executive</w:t>
      </w:r>
    </w:p>
    <w:p w:rsidR="005148A3" w:rsidRPr="00D13B1B" w:rsidRDefault="005148A3" w:rsidP="004C0D07">
      <w:pPr>
        <w:spacing w:after="180"/>
        <w:jc w:val="both"/>
        <w:rPr>
          <w:rFonts w:cs="Arial"/>
          <w:szCs w:val="22"/>
          <w:highlight w:val="yellow"/>
        </w:rPr>
        <w:sectPr w:rsidR="005148A3" w:rsidRPr="00D13B1B" w:rsidSect="00093B15">
          <w:footerReference w:type="default" r:id="rId9"/>
          <w:pgSz w:w="11906" w:h="16838" w:code="9"/>
          <w:pgMar w:top="720" w:right="720" w:bottom="720" w:left="720" w:header="709" w:footer="709" w:gutter="0"/>
          <w:cols w:space="708"/>
          <w:titlePg/>
          <w:docGrid w:linePitch="360"/>
        </w:sectPr>
      </w:pPr>
    </w:p>
    <w:p w:rsidR="00B42B0C" w:rsidRPr="007A64A0" w:rsidRDefault="0008461C" w:rsidP="00B42B0C">
      <w:pPr>
        <w:spacing w:after="180"/>
        <w:jc w:val="center"/>
        <w:rPr>
          <w:rFonts w:cs="Arial"/>
          <w:bCs/>
          <w:sz w:val="36"/>
          <w:szCs w:val="36"/>
        </w:rPr>
      </w:pPr>
      <w:r w:rsidRPr="007A64A0">
        <w:rPr>
          <w:rFonts w:cs="Arial"/>
          <w:bCs/>
          <w:sz w:val="36"/>
          <w:szCs w:val="36"/>
        </w:rPr>
        <w:lastRenderedPageBreak/>
        <w:t>Performance Summary</w:t>
      </w:r>
      <w:r w:rsidR="002341CE" w:rsidRPr="007A64A0">
        <w:rPr>
          <w:rFonts w:cs="Arial"/>
          <w:bCs/>
          <w:sz w:val="36"/>
          <w:szCs w:val="36"/>
        </w:rPr>
        <w:t xml:space="preserve"> </w:t>
      </w:r>
      <w:r w:rsidR="00CB2BFA" w:rsidRPr="007A64A0">
        <w:rPr>
          <w:rFonts w:cs="Arial"/>
          <w:bCs/>
          <w:sz w:val="36"/>
          <w:szCs w:val="36"/>
        </w:rPr>
        <w:t>Dashboard</w:t>
      </w:r>
      <w:r w:rsidR="00247F73" w:rsidRPr="007A64A0">
        <w:rPr>
          <w:rFonts w:cs="Arial"/>
          <w:bCs/>
          <w:sz w:val="36"/>
          <w:szCs w:val="36"/>
        </w:rPr>
        <w:t xml:space="preserve"> – Guidance</w:t>
      </w:r>
    </w:p>
    <w:p w:rsidR="00247F73" w:rsidRPr="00571E3D" w:rsidRDefault="00942B09" w:rsidP="00B42B0C">
      <w:pPr>
        <w:spacing w:after="180"/>
        <w:jc w:val="center"/>
        <w:rPr>
          <w:rFonts w:cs="Arial"/>
          <w:bCs/>
          <w:sz w:val="36"/>
          <w:szCs w:val="36"/>
        </w:rPr>
      </w:pPr>
      <w:r w:rsidRPr="007A64A0">
        <w:rPr>
          <w:rFonts w:cs="Arial"/>
          <w:noProof/>
          <w:lang w:eastAsia="en-GB"/>
        </w:rPr>
        <w:drawing>
          <wp:inline distT="0" distB="0" distL="0" distR="0" wp14:anchorId="332BF638" wp14:editId="3891A135">
            <wp:extent cx="8891270" cy="4181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270" cy="4181148"/>
                    </a:xfrm>
                    <a:prstGeom prst="rect">
                      <a:avLst/>
                    </a:prstGeom>
                    <a:noFill/>
                    <a:ln>
                      <a:noFill/>
                    </a:ln>
                  </pic:spPr>
                </pic:pic>
              </a:graphicData>
            </a:graphic>
          </wp:inline>
        </w:drawing>
      </w:r>
    </w:p>
    <w:p w:rsidR="00247F73" w:rsidRPr="00571E3D" w:rsidRDefault="00894CA6" w:rsidP="00247F73">
      <w:pPr>
        <w:spacing w:after="180"/>
        <w:rPr>
          <w:rFonts w:cs="Arial"/>
          <w:bCs/>
          <w:color w:val="FF0000"/>
          <w:sz w:val="36"/>
          <w:szCs w:val="36"/>
        </w:rPr>
      </w:pPr>
      <w:r w:rsidRPr="00571E3D">
        <w:rPr>
          <w:rFonts w:cs="Arial"/>
          <w:bCs/>
          <w:sz w:val="36"/>
          <w:szCs w:val="36"/>
        </w:rPr>
        <w:t xml:space="preserve"> </w:t>
      </w:r>
      <w:r w:rsidR="002B697F">
        <w:rPr>
          <w:rFonts w:cs="Arial"/>
          <w:bCs/>
          <w:noProof/>
          <w:sz w:val="36"/>
          <w:szCs w:val="36"/>
          <w:lang w:eastAsia="en-GB"/>
        </w:rPr>
        <w:drawing>
          <wp:inline distT="0" distB="0" distL="0" distR="0" wp14:anchorId="48F63387">
            <wp:extent cx="5340350" cy="1341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1341120"/>
                    </a:xfrm>
                    <a:prstGeom prst="rect">
                      <a:avLst/>
                    </a:prstGeom>
                    <a:noFill/>
                  </pic:spPr>
                </pic:pic>
              </a:graphicData>
            </a:graphic>
          </wp:inline>
        </w:drawing>
      </w:r>
    </w:p>
    <w:p w:rsidR="00571E3D" w:rsidRDefault="008303CF" w:rsidP="00133250">
      <w:pPr>
        <w:spacing w:after="180"/>
        <w:jc w:val="center"/>
        <w:rPr>
          <w:rFonts w:cs="Arial"/>
          <w:bCs/>
          <w:sz w:val="36"/>
          <w:szCs w:val="36"/>
        </w:rPr>
      </w:pPr>
      <w:r w:rsidRPr="00571E3D">
        <w:rPr>
          <w:rFonts w:cs="Arial"/>
          <w:bCs/>
          <w:sz w:val="36"/>
          <w:szCs w:val="36"/>
        </w:rPr>
        <w:lastRenderedPageBreak/>
        <w:t>Board</w:t>
      </w:r>
      <w:r w:rsidR="00247F73" w:rsidRPr="00571E3D">
        <w:rPr>
          <w:rFonts w:cs="Arial"/>
          <w:bCs/>
          <w:sz w:val="36"/>
          <w:szCs w:val="36"/>
        </w:rPr>
        <w:t xml:space="preserve"> Performance Dashboard</w:t>
      </w:r>
      <w:r w:rsidR="00133250" w:rsidRPr="00571E3D">
        <w:rPr>
          <w:rFonts w:cs="Arial"/>
          <w:bCs/>
          <w:sz w:val="36"/>
          <w:szCs w:val="36"/>
        </w:rPr>
        <w:t xml:space="preserve"> – P</w:t>
      </w:r>
      <w:r w:rsidR="00D4735B" w:rsidRPr="00571E3D">
        <w:rPr>
          <w:rFonts w:cs="Arial"/>
          <w:bCs/>
          <w:sz w:val="36"/>
          <w:szCs w:val="36"/>
        </w:rPr>
        <w:t xml:space="preserve">art </w:t>
      </w:r>
      <w:r w:rsidR="00133250" w:rsidRPr="00571E3D">
        <w:rPr>
          <w:rFonts w:cs="Arial"/>
          <w:bCs/>
          <w:sz w:val="36"/>
          <w:szCs w:val="36"/>
        </w:rPr>
        <w:t>1</w:t>
      </w:r>
    </w:p>
    <w:p w:rsidR="00412200" w:rsidRDefault="00462716" w:rsidP="00133250">
      <w:pPr>
        <w:spacing w:after="180"/>
        <w:jc w:val="center"/>
        <w:rPr>
          <w:rFonts w:cs="Arial"/>
          <w:bCs/>
          <w:sz w:val="36"/>
          <w:szCs w:val="36"/>
          <w:highlight w:val="yellow"/>
        </w:rPr>
      </w:pPr>
      <w:r w:rsidRPr="007A64A0">
        <w:rPr>
          <w:rFonts w:cs="Arial"/>
          <w:noProof/>
          <w:lang w:eastAsia="en-GB"/>
        </w:rPr>
        <w:drawing>
          <wp:inline distT="0" distB="0" distL="0" distR="0" wp14:anchorId="312AD4DD" wp14:editId="3B7861B8">
            <wp:extent cx="8891270" cy="11277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760"/>
                    </a:xfrm>
                    <a:prstGeom prst="rect">
                      <a:avLst/>
                    </a:prstGeom>
                    <a:noFill/>
                    <a:ln>
                      <a:noFill/>
                    </a:ln>
                  </pic:spPr>
                </pic:pic>
              </a:graphicData>
            </a:graphic>
          </wp:inline>
        </w:drawing>
      </w:r>
      <w:r w:rsidR="00E11866" w:rsidRPr="00E11866">
        <w:rPr>
          <w:noProof/>
          <w:lang w:eastAsia="en-GB"/>
        </w:rPr>
        <w:drawing>
          <wp:inline distT="0" distB="0" distL="0" distR="0">
            <wp:extent cx="8891270" cy="1973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1973243"/>
                    </a:xfrm>
                    <a:prstGeom prst="rect">
                      <a:avLst/>
                    </a:prstGeom>
                    <a:noFill/>
                    <a:ln>
                      <a:noFill/>
                    </a:ln>
                  </pic:spPr>
                </pic:pic>
              </a:graphicData>
            </a:graphic>
          </wp:inline>
        </w:drawing>
      </w:r>
    </w:p>
    <w:p w:rsidR="00A1496B" w:rsidRDefault="00A1496B" w:rsidP="00133250">
      <w:pPr>
        <w:spacing w:after="180"/>
        <w:jc w:val="center"/>
        <w:rPr>
          <w:rFonts w:cs="Arial"/>
          <w:bCs/>
          <w:sz w:val="36"/>
          <w:szCs w:val="36"/>
          <w:highlight w:val="yellow"/>
        </w:rPr>
      </w:pPr>
    </w:p>
    <w:p w:rsidR="00A1496B" w:rsidRPr="00D13B1B" w:rsidRDefault="00A1496B" w:rsidP="00133250">
      <w:pPr>
        <w:spacing w:after="180"/>
        <w:jc w:val="center"/>
        <w:rPr>
          <w:rFonts w:cs="Arial"/>
          <w:bCs/>
          <w:sz w:val="36"/>
          <w:szCs w:val="36"/>
          <w:highlight w:val="yellow"/>
        </w:rPr>
      </w:pPr>
    </w:p>
    <w:p w:rsidR="00412200" w:rsidRDefault="00412200" w:rsidP="00133250">
      <w:pPr>
        <w:spacing w:after="180"/>
        <w:jc w:val="center"/>
        <w:rPr>
          <w:rFonts w:cs="Arial"/>
          <w:bCs/>
          <w:sz w:val="36"/>
          <w:szCs w:val="36"/>
          <w:highlight w:val="yellow"/>
        </w:rPr>
      </w:pPr>
    </w:p>
    <w:p w:rsidR="005518EA" w:rsidRDefault="005518EA" w:rsidP="00133250">
      <w:pPr>
        <w:spacing w:after="180"/>
        <w:jc w:val="center"/>
        <w:rPr>
          <w:rFonts w:cs="Arial"/>
          <w:bCs/>
          <w:sz w:val="36"/>
          <w:szCs w:val="36"/>
          <w:highlight w:val="yellow"/>
        </w:rPr>
      </w:pPr>
    </w:p>
    <w:p w:rsidR="00E11866" w:rsidRDefault="00E11866" w:rsidP="00133250">
      <w:pPr>
        <w:spacing w:after="180"/>
        <w:jc w:val="center"/>
        <w:rPr>
          <w:rFonts w:cs="Arial"/>
          <w:bCs/>
          <w:sz w:val="36"/>
          <w:szCs w:val="36"/>
          <w:highlight w:val="yellow"/>
        </w:rPr>
      </w:pPr>
    </w:p>
    <w:p w:rsidR="00E11866" w:rsidRPr="00D13B1B" w:rsidRDefault="00E11866" w:rsidP="00133250">
      <w:pPr>
        <w:spacing w:after="180"/>
        <w:jc w:val="center"/>
        <w:rPr>
          <w:rFonts w:cs="Arial"/>
          <w:bCs/>
          <w:sz w:val="36"/>
          <w:szCs w:val="36"/>
          <w:highlight w:val="yellow"/>
        </w:rPr>
      </w:pPr>
    </w:p>
    <w:p w:rsidR="00133250" w:rsidRPr="005518EA" w:rsidRDefault="008303CF" w:rsidP="00133250">
      <w:pPr>
        <w:spacing w:after="180"/>
        <w:jc w:val="center"/>
        <w:rPr>
          <w:rFonts w:cs="Arial"/>
          <w:bCs/>
          <w:color w:val="FF0000"/>
          <w:sz w:val="36"/>
          <w:szCs w:val="36"/>
        </w:rPr>
      </w:pPr>
      <w:r w:rsidRPr="005518EA">
        <w:rPr>
          <w:rFonts w:cs="Arial"/>
          <w:bCs/>
          <w:sz w:val="36"/>
          <w:szCs w:val="36"/>
        </w:rPr>
        <w:lastRenderedPageBreak/>
        <w:t>Board</w:t>
      </w:r>
      <w:r w:rsidR="00133250" w:rsidRPr="005518EA">
        <w:rPr>
          <w:rFonts w:cs="Arial"/>
          <w:bCs/>
          <w:sz w:val="36"/>
          <w:szCs w:val="36"/>
        </w:rPr>
        <w:t xml:space="preserve"> Performance Dashboard – P</w:t>
      </w:r>
      <w:r w:rsidR="00D4735B" w:rsidRPr="005518EA">
        <w:rPr>
          <w:rFonts w:cs="Arial"/>
          <w:bCs/>
          <w:sz w:val="36"/>
          <w:szCs w:val="36"/>
        </w:rPr>
        <w:t xml:space="preserve">art </w:t>
      </w:r>
      <w:r w:rsidR="00133250" w:rsidRPr="005518EA">
        <w:rPr>
          <w:rFonts w:cs="Arial"/>
          <w:bCs/>
          <w:sz w:val="36"/>
          <w:szCs w:val="36"/>
        </w:rPr>
        <w:t>2</w:t>
      </w:r>
    </w:p>
    <w:p w:rsidR="00E11866" w:rsidRDefault="000E66BE" w:rsidP="00A1496B">
      <w:pPr>
        <w:spacing w:after="180"/>
        <w:rPr>
          <w:rFonts w:cs="Arial"/>
          <w:bCs/>
          <w:color w:val="FF0000"/>
          <w:sz w:val="36"/>
          <w:szCs w:val="36"/>
          <w:highlight w:val="yellow"/>
        </w:rPr>
      </w:pPr>
      <w:r w:rsidRPr="007A64A0">
        <w:rPr>
          <w:rFonts w:cs="Arial"/>
          <w:noProof/>
          <w:lang w:eastAsia="en-GB"/>
        </w:rPr>
        <w:drawing>
          <wp:inline distT="0" distB="0" distL="0" distR="0" wp14:anchorId="2C26976A" wp14:editId="5F8B787A">
            <wp:extent cx="8891270" cy="112785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r w:rsidR="00E11866" w:rsidRPr="00E11866">
        <w:rPr>
          <w:noProof/>
          <w:lang w:eastAsia="en-GB"/>
        </w:rPr>
        <w:drawing>
          <wp:inline distT="0" distB="0" distL="0" distR="0">
            <wp:extent cx="8891270" cy="3164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3164195"/>
                    </a:xfrm>
                    <a:prstGeom prst="rect">
                      <a:avLst/>
                    </a:prstGeom>
                    <a:noFill/>
                    <a:ln>
                      <a:noFill/>
                    </a:ln>
                  </pic:spPr>
                </pic:pic>
              </a:graphicData>
            </a:graphic>
          </wp:inline>
        </w:drawing>
      </w:r>
    </w:p>
    <w:p w:rsidR="00D70064" w:rsidRPr="00595050" w:rsidRDefault="005700BA" w:rsidP="005700BA">
      <w:pPr>
        <w:spacing w:after="180"/>
        <w:rPr>
          <w:rFonts w:cs="Arial"/>
          <w:bCs/>
          <w:sz w:val="24"/>
          <w:szCs w:val="36"/>
        </w:rPr>
      </w:pPr>
      <w:r w:rsidRPr="00595050">
        <w:rPr>
          <w:rFonts w:cs="Arial"/>
          <w:bCs/>
          <w:sz w:val="24"/>
          <w:szCs w:val="36"/>
        </w:rPr>
        <w:t>Note: Th</w:t>
      </w:r>
      <w:r w:rsidR="00967851" w:rsidRPr="00595050">
        <w:rPr>
          <w:rFonts w:cs="Arial"/>
          <w:bCs/>
          <w:sz w:val="24"/>
          <w:szCs w:val="36"/>
        </w:rPr>
        <w:t>is</w:t>
      </w:r>
      <w:r w:rsidRPr="00595050">
        <w:rPr>
          <w:rFonts w:cs="Arial"/>
          <w:bCs/>
          <w:sz w:val="24"/>
          <w:szCs w:val="36"/>
        </w:rPr>
        <w:t xml:space="preserve"> Board performance dashboard aggregates</w:t>
      </w:r>
      <w:r w:rsidR="00967851" w:rsidRPr="00595050">
        <w:rPr>
          <w:rFonts w:cs="Arial"/>
          <w:bCs/>
          <w:sz w:val="24"/>
          <w:szCs w:val="36"/>
        </w:rPr>
        <w:t xml:space="preserve"> KPIs</w:t>
      </w:r>
      <w:r w:rsidRPr="00595050">
        <w:rPr>
          <w:rFonts w:cs="Arial"/>
          <w:bCs/>
          <w:sz w:val="24"/>
          <w:szCs w:val="36"/>
        </w:rPr>
        <w:t xml:space="preserve"> indicators for Bed Occupancy and Cancellation rates</w:t>
      </w:r>
      <w:r w:rsidR="00967851" w:rsidRPr="00595050">
        <w:rPr>
          <w:rFonts w:cs="Arial"/>
          <w:bCs/>
          <w:sz w:val="24"/>
          <w:szCs w:val="36"/>
        </w:rPr>
        <w:t xml:space="preserve"> into Hospital level performance</w:t>
      </w:r>
      <w:r w:rsidRPr="00595050">
        <w:rPr>
          <w:rFonts w:cs="Arial"/>
          <w:bCs/>
          <w:sz w:val="24"/>
          <w:szCs w:val="36"/>
        </w:rPr>
        <w:t xml:space="preserve">. </w:t>
      </w:r>
    </w:p>
    <w:p w:rsidR="00D70064" w:rsidRDefault="00D70064" w:rsidP="00133250">
      <w:pPr>
        <w:spacing w:after="180"/>
        <w:jc w:val="center"/>
        <w:rPr>
          <w:rFonts w:cs="Arial"/>
          <w:bCs/>
          <w:color w:val="FF0000"/>
          <w:sz w:val="36"/>
          <w:szCs w:val="36"/>
          <w:highlight w:val="yellow"/>
        </w:rPr>
      </w:pPr>
    </w:p>
    <w:p w:rsidR="00A32056" w:rsidRPr="00A33D5E" w:rsidRDefault="00A32056" w:rsidP="00A32056">
      <w:pPr>
        <w:spacing w:after="180"/>
        <w:rPr>
          <w:rFonts w:cs="Arial"/>
          <w:szCs w:val="22"/>
        </w:rPr>
        <w:sectPr w:rsidR="00A32056" w:rsidRPr="00A33D5E" w:rsidSect="00551C36">
          <w:footerReference w:type="first" r:id="rId15"/>
          <w:pgSz w:w="16838" w:h="11906" w:orient="landscape" w:code="9"/>
          <w:pgMar w:top="1134" w:right="1418" w:bottom="1134" w:left="1418" w:header="709" w:footer="709" w:gutter="0"/>
          <w:cols w:space="708"/>
          <w:titlePg/>
          <w:docGrid w:linePitch="360"/>
        </w:sectPr>
      </w:pPr>
    </w:p>
    <w:p w:rsidR="00AA1592" w:rsidRDefault="00AA1592" w:rsidP="00D717CD">
      <w:pPr>
        <w:spacing w:after="180"/>
        <w:rPr>
          <w:rFonts w:cs="Arial"/>
          <w:color w:val="000000" w:themeColor="text1"/>
          <w:sz w:val="24"/>
          <w:szCs w:val="22"/>
        </w:rPr>
      </w:pPr>
      <w:r w:rsidRPr="00AA1592">
        <w:rPr>
          <w:rFonts w:cs="Arial"/>
          <w:color w:val="000000" w:themeColor="text1"/>
          <w:sz w:val="24"/>
          <w:szCs w:val="22"/>
        </w:rPr>
        <w:lastRenderedPageBreak/>
        <w:t xml:space="preserve">At each meeting, the Standing Committees of NHS Golden Jubilee consider targets and </w:t>
      </w:r>
      <w:r w:rsidR="006A3CF5">
        <w:rPr>
          <w:rFonts w:cs="Arial"/>
          <w:color w:val="000000" w:themeColor="text1"/>
          <w:sz w:val="24"/>
          <w:szCs w:val="22"/>
        </w:rPr>
        <w:t>s</w:t>
      </w:r>
      <w:r w:rsidRPr="00AA1592">
        <w:rPr>
          <w:rFonts w:cs="Arial"/>
          <w:color w:val="000000" w:themeColor="text1"/>
          <w:sz w:val="24"/>
          <w:szCs w:val="22"/>
        </w:rPr>
        <w:t>tandards specific to their area of remit</w:t>
      </w:r>
      <w:r w:rsidR="00B620AB">
        <w:rPr>
          <w:rFonts w:cs="Arial"/>
          <w:color w:val="000000" w:themeColor="text1"/>
          <w:sz w:val="24"/>
          <w:szCs w:val="22"/>
        </w:rPr>
        <w:t xml:space="preserve"> using the Integrated Performance Report (IPR)</w:t>
      </w:r>
      <w:r w:rsidRPr="00AA1592">
        <w:rPr>
          <w:rFonts w:cs="Arial"/>
          <w:color w:val="000000" w:themeColor="text1"/>
          <w:sz w:val="24"/>
          <w:szCs w:val="22"/>
        </w:rPr>
        <w:t>. Th</w:t>
      </w:r>
      <w:r w:rsidR="00B620AB">
        <w:rPr>
          <w:rFonts w:cs="Arial"/>
          <w:color w:val="000000" w:themeColor="text1"/>
          <w:sz w:val="24"/>
          <w:szCs w:val="22"/>
        </w:rPr>
        <w:t>ere is a</w:t>
      </w:r>
      <w:r w:rsidRPr="00AA1592">
        <w:rPr>
          <w:rFonts w:cs="Arial"/>
          <w:color w:val="000000" w:themeColor="text1"/>
          <w:sz w:val="24"/>
          <w:szCs w:val="22"/>
        </w:rPr>
        <w:t xml:space="preserve"> section of the IPR </w:t>
      </w:r>
      <w:r w:rsidR="00B620AB">
        <w:rPr>
          <w:rFonts w:cs="Arial"/>
          <w:color w:val="000000" w:themeColor="text1"/>
          <w:sz w:val="24"/>
          <w:szCs w:val="22"/>
        </w:rPr>
        <w:t xml:space="preserve">which </w:t>
      </w:r>
      <w:r w:rsidRPr="00AA1592">
        <w:rPr>
          <w:rFonts w:cs="Arial"/>
          <w:color w:val="000000" w:themeColor="text1"/>
          <w:sz w:val="24"/>
          <w:szCs w:val="22"/>
        </w:rPr>
        <w:t>provides a summary of performance Standards and targets identified as areas of note</w:t>
      </w:r>
      <w:r w:rsidR="00B620AB">
        <w:rPr>
          <w:rFonts w:cs="Arial"/>
          <w:color w:val="000000" w:themeColor="text1"/>
          <w:sz w:val="24"/>
          <w:szCs w:val="22"/>
        </w:rPr>
        <w:t xml:space="preserve"> which is reproduced below</w:t>
      </w:r>
      <w:r w:rsidRPr="00AA1592">
        <w:rPr>
          <w:rFonts w:cs="Arial"/>
          <w:color w:val="000000" w:themeColor="text1"/>
          <w:sz w:val="24"/>
          <w:szCs w:val="22"/>
        </w:rPr>
        <w:t>. Topics are grouped under the heading of the Committee responsible for scrutiny of performance.</w:t>
      </w:r>
    </w:p>
    <w:p w:rsidR="0077268D" w:rsidRPr="00AA1592" w:rsidRDefault="0077268D" w:rsidP="00D717CD">
      <w:pPr>
        <w:spacing w:after="180"/>
        <w:rPr>
          <w:rFonts w:cs="Arial"/>
          <w:color w:val="000000" w:themeColor="text1"/>
          <w:sz w:val="24"/>
          <w:szCs w:val="22"/>
        </w:rPr>
      </w:pPr>
    </w:p>
    <w:p w:rsidR="00025608" w:rsidRPr="00191F09" w:rsidRDefault="00025608" w:rsidP="00025608">
      <w:pPr>
        <w:pStyle w:val="Heading1"/>
      </w:pPr>
      <w:r w:rsidRPr="007A64A0">
        <w:t>Section B: 1 Clinical Governance</w:t>
      </w:r>
    </w:p>
    <w:tbl>
      <w:tblPr>
        <w:tblStyle w:val="TableGrid"/>
        <w:tblW w:w="9286" w:type="dxa"/>
        <w:tblLayout w:type="fixed"/>
        <w:tblLook w:val="04A0" w:firstRow="1" w:lastRow="0" w:firstColumn="1" w:lastColumn="0" w:noHBand="0" w:noVBand="1"/>
      </w:tblPr>
      <w:tblGrid>
        <w:gridCol w:w="2802"/>
        <w:gridCol w:w="567"/>
        <w:gridCol w:w="5917"/>
      </w:tblGrid>
      <w:tr w:rsidR="00E11866" w:rsidRPr="00777967" w:rsidTr="00087A7D">
        <w:trPr>
          <w:trHeight w:val="132"/>
        </w:trPr>
        <w:tc>
          <w:tcPr>
            <w:tcW w:w="9286" w:type="dxa"/>
            <w:gridSpan w:val="3"/>
            <w:shd w:val="clear" w:color="auto" w:fill="B8CCE4" w:themeFill="accent1" w:themeFillTint="66"/>
          </w:tcPr>
          <w:p w:rsidR="00E11866" w:rsidRPr="00777967" w:rsidRDefault="00E11866" w:rsidP="00087A7D">
            <w:pPr>
              <w:jc w:val="both"/>
              <w:rPr>
                <w:rFonts w:cs="Arial"/>
                <w:b/>
                <w:color w:val="000000" w:themeColor="text1"/>
                <w:sz w:val="24"/>
                <w:szCs w:val="24"/>
                <w:highlight w:val="yellow"/>
              </w:rPr>
            </w:pPr>
            <w:r w:rsidRPr="00E83A4C">
              <w:rPr>
                <w:rFonts w:cs="Arial"/>
                <w:b/>
                <w:color w:val="000000" w:themeColor="text1"/>
                <w:sz w:val="24"/>
                <w:szCs w:val="24"/>
              </w:rPr>
              <w:t>Clinical Governance</w:t>
            </w:r>
          </w:p>
        </w:tc>
      </w:tr>
      <w:tr w:rsidR="00E11866" w:rsidRPr="00E83A4C" w:rsidTr="00087A7D">
        <w:trPr>
          <w:trHeight w:val="280"/>
        </w:trPr>
        <w:tc>
          <w:tcPr>
            <w:tcW w:w="2802" w:type="dxa"/>
          </w:tcPr>
          <w:p w:rsidR="00E11866" w:rsidRPr="00E83A4C" w:rsidRDefault="00E11866" w:rsidP="00087A7D">
            <w:pPr>
              <w:jc w:val="both"/>
              <w:rPr>
                <w:rFonts w:cs="Arial"/>
                <w:b/>
                <w:color w:val="000000" w:themeColor="text1"/>
                <w:sz w:val="24"/>
                <w:szCs w:val="24"/>
              </w:rPr>
            </w:pPr>
            <w:r w:rsidRPr="00E83A4C">
              <w:rPr>
                <w:rFonts w:cs="Arial"/>
                <w:b/>
                <w:color w:val="000000" w:themeColor="text1"/>
                <w:sz w:val="24"/>
                <w:szCs w:val="24"/>
              </w:rPr>
              <w:t>KPI</w:t>
            </w:r>
          </w:p>
        </w:tc>
        <w:tc>
          <w:tcPr>
            <w:tcW w:w="567" w:type="dxa"/>
            <w:vAlign w:val="center"/>
          </w:tcPr>
          <w:p w:rsidR="00E11866" w:rsidRPr="00E83A4C" w:rsidRDefault="00E11866" w:rsidP="00087A7D">
            <w:pPr>
              <w:jc w:val="center"/>
              <w:rPr>
                <w:rFonts w:cs="Arial"/>
                <w:b/>
                <w:color w:val="000000" w:themeColor="text1"/>
                <w:sz w:val="24"/>
                <w:szCs w:val="24"/>
              </w:rPr>
            </w:pPr>
            <w:r w:rsidRPr="00E83A4C">
              <w:rPr>
                <w:rFonts w:cs="Arial"/>
                <w:b/>
                <w:color w:val="000000" w:themeColor="text1"/>
                <w:sz w:val="14"/>
                <w:szCs w:val="24"/>
              </w:rPr>
              <w:t>RAG</w:t>
            </w:r>
          </w:p>
        </w:tc>
        <w:tc>
          <w:tcPr>
            <w:tcW w:w="5917" w:type="dxa"/>
          </w:tcPr>
          <w:p w:rsidR="00E11866" w:rsidRPr="00E83A4C" w:rsidRDefault="00E11866" w:rsidP="00087A7D">
            <w:pPr>
              <w:jc w:val="both"/>
              <w:rPr>
                <w:rFonts w:cs="Arial"/>
                <w:b/>
                <w:color w:val="000000" w:themeColor="text1"/>
                <w:sz w:val="24"/>
                <w:szCs w:val="24"/>
              </w:rPr>
            </w:pPr>
            <w:r w:rsidRPr="00E83A4C">
              <w:rPr>
                <w:rFonts w:cs="Arial"/>
                <w:b/>
                <w:color w:val="000000" w:themeColor="text1"/>
                <w:sz w:val="24"/>
                <w:szCs w:val="24"/>
              </w:rPr>
              <w:t>Position:</w:t>
            </w:r>
          </w:p>
        </w:tc>
      </w:tr>
      <w:tr w:rsidR="00E11866" w:rsidRPr="004259C7" w:rsidTr="00087A7D">
        <w:trPr>
          <w:trHeight w:val="551"/>
        </w:trPr>
        <w:tc>
          <w:tcPr>
            <w:tcW w:w="2802" w:type="dxa"/>
          </w:tcPr>
          <w:p w:rsidR="00E11866" w:rsidRPr="004259C7" w:rsidRDefault="00E11866" w:rsidP="00087A7D">
            <w:pPr>
              <w:rPr>
                <w:rFonts w:cs="Arial"/>
                <w:color w:val="000000" w:themeColor="text1"/>
                <w:sz w:val="24"/>
                <w:szCs w:val="24"/>
              </w:rPr>
            </w:pPr>
            <w:r w:rsidRPr="004259C7">
              <w:rPr>
                <w:rFonts w:cs="Arial"/>
                <w:color w:val="000000" w:themeColor="text1"/>
                <w:sz w:val="24"/>
                <w:szCs w:val="24"/>
              </w:rPr>
              <w:t>Total complaints (Stage 1 and 2) as a percentage of activity.</w:t>
            </w:r>
          </w:p>
        </w:tc>
        <w:tc>
          <w:tcPr>
            <w:tcW w:w="567" w:type="dxa"/>
            <w:shd w:val="clear" w:color="auto" w:fill="D6E3BC" w:themeFill="accent3" w:themeFillTint="66"/>
          </w:tcPr>
          <w:p w:rsidR="00E11866" w:rsidRPr="00D3264A" w:rsidRDefault="00E11866" w:rsidP="00087A7D">
            <w:pPr>
              <w:rPr>
                <w:rFonts w:cs="Arial"/>
                <w:color w:val="FF0000"/>
                <w:sz w:val="24"/>
                <w:szCs w:val="24"/>
              </w:rPr>
            </w:pPr>
          </w:p>
        </w:tc>
        <w:tc>
          <w:tcPr>
            <w:tcW w:w="5917" w:type="dxa"/>
          </w:tcPr>
          <w:p w:rsidR="00E11866" w:rsidRPr="004259C7" w:rsidRDefault="00E11866" w:rsidP="00087A7D">
            <w:pPr>
              <w:rPr>
                <w:rFonts w:cs="Arial"/>
                <w:color w:val="000000" w:themeColor="text1"/>
                <w:sz w:val="24"/>
                <w:szCs w:val="24"/>
              </w:rPr>
            </w:pPr>
            <w:r w:rsidRPr="004259C7">
              <w:rPr>
                <w:rFonts w:cs="Arial"/>
                <w:color w:val="000000" w:themeColor="text1"/>
                <w:sz w:val="24"/>
                <w:szCs w:val="24"/>
              </w:rPr>
              <w:t>Position improved from 0.11% in September 2019 to 0.09% in October 2019. The volume of complaints decreased by one to eight.</w:t>
            </w:r>
          </w:p>
        </w:tc>
      </w:tr>
      <w:tr w:rsidR="00E11866" w:rsidRPr="00E5271F" w:rsidTr="00087A7D">
        <w:tc>
          <w:tcPr>
            <w:tcW w:w="2802" w:type="dxa"/>
          </w:tcPr>
          <w:p w:rsidR="00E11866" w:rsidRPr="00E5271F" w:rsidRDefault="00E11866" w:rsidP="00087A7D">
            <w:pPr>
              <w:rPr>
                <w:rFonts w:cs="Arial"/>
                <w:sz w:val="24"/>
                <w:szCs w:val="24"/>
              </w:rPr>
            </w:pPr>
            <w:r w:rsidRPr="00E5271F">
              <w:rPr>
                <w:rFonts w:cs="Arial"/>
                <w:sz w:val="24"/>
                <w:szCs w:val="24"/>
              </w:rPr>
              <w:t>Stage 1 complaints response time</w:t>
            </w:r>
          </w:p>
        </w:tc>
        <w:tc>
          <w:tcPr>
            <w:tcW w:w="567" w:type="dxa"/>
            <w:shd w:val="clear" w:color="auto" w:fill="FBD4B4" w:themeFill="accent6" w:themeFillTint="66"/>
          </w:tcPr>
          <w:p w:rsidR="00E11866" w:rsidRPr="00E5271F" w:rsidRDefault="00E11866" w:rsidP="00087A7D">
            <w:pPr>
              <w:rPr>
                <w:rFonts w:cs="Arial"/>
                <w:sz w:val="24"/>
                <w:szCs w:val="24"/>
              </w:rPr>
            </w:pPr>
          </w:p>
        </w:tc>
        <w:tc>
          <w:tcPr>
            <w:tcW w:w="5917" w:type="dxa"/>
          </w:tcPr>
          <w:p w:rsidR="00E11866" w:rsidRPr="00E5271F" w:rsidRDefault="00E11866" w:rsidP="00087A7D">
            <w:pPr>
              <w:rPr>
                <w:rFonts w:cs="Arial"/>
                <w:sz w:val="24"/>
                <w:szCs w:val="24"/>
              </w:rPr>
            </w:pPr>
            <w:r w:rsidRPr="00E5271F">
              <w:rPr>
                <w:rFonts w:cs="Arial"/>
                <w:sz w:val="24"/>
                <w:szCs w:val="24"/>
              </w:rPr>
              <w:t xml:space="preserve">The target was not achieved in November 2019 </w:t>
            </w:r>
            <w:r>
              <w:rPr>
                <w:rFonts w:cs="Arial"/>
                <w:sz w:val="24"/>
                <w:szCs w:val="24"/>
              </w:rPr>
              <w:t>with</w:t>
            </w:r>
            <w:r w:rsidRPr="00E5271F">
              <w:rPr>
                <w:rFonts w:cs="Arial"/>
                <w:sz w:val="24"/>
                <w:szCs w:val="24"/>
              </w:rPr>
              <w:t xml:space="preserve"> seven out of ten (70.0%) responses within </w:t>
            </w:r>
            <w:r>
              <w:rPr>
                <w:rFonts w:cs="Arial"/>
                <w:sz w:val="24"/>
                <w:szCs w:val="24"/>
              </w:rPr>
              <w:t>the five day response threshold against a target of 75%</w:t>
            </w:r>
          </w:p>
        </w:tc>
      </w:tr>
      <w:tr w:rsidR="00E11866" w:rsidRPr="00E5271F" w:rsidTr="00087A7D">
        <w:trPr>
          <w:trHeight w:val="321"/>
        </w:trPr>
        <w:tc>
          <w:tcPr>
            <w:tcW w:w="2802" w:type="dxa"/>
          </w:tcPr>
          <w:p w:rsidR="00E11866" w:rsidRPr="00E5271F" w:rsidRDefault="00E11866" w:rsidP="00087A7D">
            <w:pPr>
              <w:rPr>
                <w:rFonts w:cs="Arial"/>
                <w:sz w:val="24"/>
                <w:szCs w:val="24"/>
              </w:rPr>
            </w:pPr>
            <w:r w:rsidRPr="00E5271F">
              <w:rPr>
                <w:rFonts w:cs="Arial"/>
                <w:sz w:val="24"/>
                <w:szCs w:val="24"/>
              </w:rPr>
              <w:t xml:space="preserve">Stage 2 complaints response time </w:t>
            </w:r>
          </w:p>
        </w:tc>
        <w:tc>
          <w:tcPr>
            <w:tcW w:w="567" w:type="dxa"/>
            <w:shd w:val="clear" w:color="auto" w:fill="D6E3BC" w:themeFill="accent3" w:themeFillTint="66"/>
          </w:tcPr>
          <w:p w:rsidR="00E11866" w:rsidRPr="00E5271F" w:rsidRDefault="00E11866" w:rsidP="00087A7D">
            <w:pPr>
              <w:rPr>
                <w:rFonts w:cs="Arial"/>
                <w:sz w:val="24"/>
                <w:szCs w:val="24"/>
              </w:rPr>
            </w:pPr>
          </w:p>
        </w:tc>
        <w:tc>
          <w:tcPr>
            <w:tcW w:w="5917" w:type="dxa"/>
          </w:tcPr>
          <w:p w:rsidR="00E11866" w:rsidRPr="00E5271F" w:rsidRDefault="00E11866" w:rsidP="00087A7D">
            <w:pPr>
              <w:rPr>
                <w:rFonts w:cs="Arial"/>
                <w:sz w:val="24"/>
                <w:szCs w:val="24"/>
              </w:rPr>
            </w:pPr>
            <w:r w:rsidRPr="00E5271F">
              <w:rPr>
                <w:rFonts w:cs="Arial"/>
                <w:sz w:val="24"/>
                <w:szCs w:val="24"/>
              </w:rPr>
              <w:t>In October 2019 100% (4/4) Stage 2 complaints were responded to within 20 working days.</w:t>
            </w:r>
          </w:p>
        </w:tc>
      </w:tr>
      <w:tr w:rsidR="00E11866" w:rsidRPr="001A5B14" w:rsidTr="00087A7D">
        <w:trPr>
          <w:trHeight w:val="321"/>
        </w:trPr>
        <w:tc>
          <w:tcPr>
            <w:tcW w:w="2802" w:type="dxa"/>
          </w:tcPr>
          <w:p w:rsidR="00E11866" w:rsidRPr="001A5B14" w:rsidRDefault="00E11866" w:rsidP="00087A7D">
            <w:pPr>
              <w:rPr>
                <w:rFonts w:cs="Arial"/>
                <w:color w:val="000000" w:themeColor="text1"/>
                <w:sz w:val="24"/>
                <w:szCs w:val="24"/>
              </w:rPr>
            </w:pPr>
            <w:r w:rsidRPr="001A5B14">
              <w:rPr>
                <w:rFonts w:cs="Arial"/>
                <w:color w:val="000000" w:themeColor="text1"/>
                <w:sz w:val="24"/>
                <w:szCs w:val="24"/>
              </w:rPr>
              <w:t>Mortality</w:t>
            </w:r>
          </w:p>
        </w:tc>
        <w:tc>
          <w:tcPr>
            <w:tcW w:w="567" w:type="dxa"/>
            <w:shd w:val="clear" w:color="auto" w:fill="D6E3BC" w:themeFill="accent3" w:themeFillTint="66"/>
          </w:tcPr>
          <w:p w:rsidR="00E11866" w:rsidRPr="00D3264A" w:rsidRDefault="00E11866" w:rsidP="00087A7D">
            <w:pPr>
              <w:rPr>
                <w:rFonts w:cs="Arial"/>
                <w:color w:val="FF0000"/>
                <w:sz w:val="24"/>
                <w:szCs w:val="24"/>
              </w:rPr>
            </w:pPr>
          </w:p>
        </w:tc>
        <w:tc>
          <w:tcPr>
            <w:tcW w:w="5917" w:type="dxa"/>
          </w:tcPr>
          <w:p w:rsidR="00E11866" w:rsidRPr="001A5B14" w:rsidRDefault="00E11866" w:rsidP="00087A7D">
            <w:pPr>
              <w:rPr>
                <w:rFonts w:cs="Arial"/>
                <w:color w:val="000000" w:themeColor="text1"/>
                <w:sz w:val="24"/>
                <w:szCs w:val="24"/>
              </w:rPr>
            </w:pPr>
            <w:r w:rsidRPr="001A5B14">
              <w:rPr>
                <w:rFonts w:cs="Arial"/>
                <w:color w:val="000000" w:themeColor="text1"/>
                <w:sz w:val="24"/>
                <w:szCs w:val="24"/>
              </w:rPr>
              <w:t>The mortality figure for November 2019 was reported as ten. There were eleven deaths in October 2019.</w:t>
            </w:r>
          </w:p>
        </w:tc>
      </w:tr>
      <w:tr w:rsidR="00E11866" w:rsidRPr="00E5271F" w:rsidTr="00087A7D">
        <w:trPr>
          <w:trHeight w:val="321"/>
        </w:trPr>
        <w:tc>
          <w:tcPr>
            <w:tcW w:w="2802" w:type="dxa"/>
          </w:tcPr>
          <w:p w:rsidR="00E11866" w:rsidRPr="00E5271F" w:rsidRDefault="00E11866" w:rsidP="00087A7D">
            <w:pPr>
              <w:rPr>
                <w:rFonts w:cs="Arial"/>
                <w:sz w:val="24"/>
                <w:szCs w:val="24"/>
              </w:rPr>
            </w:pPr>
            <w:r w:rsidRPr="00E5271F">
              <w:rPr>
                <w:rFonts w:cs="Arial"/>
                <w:sz w:val="24"/>
                <w:szCs w:val="24"/>
              </w:rPr>
              <w:t>Significant adverse events</w:t>
            </w:r>
          </w:p>
        </w:tc>
        <w:tc>
          <w:tcPr>
            <w:tcW w:w="567" w:type="dxa"/>
            <w:shd w:val="clear" w:color="auto" w:fill="D6E3BC" w:themeFill="accent3" w:themeFillTint="66"/>
          </w:tcPr>
          <w:p w:rsidR="00E11866" w:rsidRPr="00E5271F" w:rsidRDefault="00E11866" w:rsidP="00087A7D">
            <w:pPr>
              <w:rPr>
                <w:rFonts w:cs="Arial"/>
                <w:sz w:val="24"/>
                <w:szCs w:val="24"/>
              </w:rPr>
            </w:pPr>
          </w:p>
        </w:tc>
        <w:tc>
          <w:tcPr>
            <w:tcW w:w="5917" w:type="dxa"/>
          </w:tcPr>
          <w:p w:rsidR="00E11866" w:rsidRPr="00E5271F" w:rsidRDefault="00E11866" w:rsidP="00087A7D">
            <w:pPr>
              <w:rPr>
                <w:rFonts w:cs="Arial"/>
                <w:sz w:val="24"/>
                <w:szCs w:val="24"/>
              </w:rPr>
            </w:pPr>
            <w:r w:rsidRPr="00E5271F">
              <w:rPr>
                <w:rFonts w:cs="Arial"/>
                <w:sz w:val="24"/>
                <w:szCs w:val="24"/>
              </w:rPr>
              <w:t xml:space="preserve">There were three significant adverse event reviews in November 2019, one less than in October 2019 and within the set tolerance limit. </w:t>
            </w:r>
          </w:p>
        </w:tc>
      </w:tr>
      <w:tr w:rsidR="00E11866" w:rsidRPr="00E5271F" w:rsidTr="00087A7D">
        <w:trPr>
          <w:trHeight w:val="321"/>
        </w:trPr>
        <w:tc>
          <w:tcPr>
            <w:tcW w:w="2802" w:type="dxa"/>
          </w:tcPr>
          <w:p w:rsidR="00E11866" w:rsidRPr="00E5271F" w:rsidRDefault="00E11866" w:rsidP="00087A7D">
            <w:pPr>
              <w:rPr>
                <w:rFonts w:cs="Arial"/>
                <w:sz w:val="24"/>
                <w:szCs w:val="24"/>
              </w:rPr>
            </w:pPr>
            <w:r w:rsidRPr="00E5271F">
              <w:rPr>
                <w:rFonts w:cs="Arial"/>
                <w:sz w:val="24"/>
                <w:szCs w:val="24"/>
              </w:rPr>
              <w:t>MRSA/MSSA cases</w:t>
            </w:r>
          </w:p>
          <w:p w:rsidR="00E11866" w:rsidRPr="00E5271F" w:rsidRDefault="00E11866" w:rsidP="00087A7D">
            <w:pPr>
              <w:rPr>
                <w:rFonts w:cs="Arial"/>
                <w:sz w:val="24"/>
                <w:szCs w:val="24"/>
              </w:rPr>
            </w:pPr>
          </w:p>
        </w:tc>
        <w:tc>
          <w:tcPr>
            <w:tcW w:w="567" w:type="dxa"/>
            <w:shd w:val="clear" w:color="auto" w:fill="D6E3BC" w:themeFill="accent3" w:themeFillTint="66"/>
          </w:tcPr>
          <w:p w:rsidR="00E11866" w:rsidRPr="00E5271F" w:rsidRDefault="00E11866" w:rsidP="00087A7D">
            <w:pPr>
              <w:rPr>
                <w:rFonts w:cs="Arial"/>
                <w:sz w:val="24"/>
                <w:szCs w:val="24"/>
              </w:rPr>
            </w:pPr>
          </w:p>
        </w:tc>
        <w:tc>
          <w:tcPr>
            <w:tcW w:w="5917" w:type="dxa"/>
          </w:tcPr>
          <w:p w:rsidR="00E11866" w:rsidRPr="00E5271F" w:rsidRDefault="00E11866" w:rsidP="00087A7D">
            <w:pPr>
              <w:rPr>
                <w:rFonts w:cs="Arial"/>
                <w:sz w:val="24"/>
                <w:szCs w:val="24"/>
              </w:rPr>
            </w:pPr>
            <w:r w:rsidRPr="00E5271F">
              <w:rPr>
                <w:rFonts w:cs="Arial"/>
                <w:sz w:val="24"/>
                <w:szCs w:val="24"/>
              </w:rPr>
              <w:t>There were no instances of Staphylococcus aureus Bacteraemia (SAB) reported in November 2019.</w:t>
            </w:r>
          </w:p>
        </w:tc>
      </w:tr>
      <w:tr w:rsidR="00E11866" w:rsidRPr="00E5271F" w:rsidTr="00087A7D">
        <w:trPr>
          <w:trHeight w:val="321"/>
        </w:trPr>
        <w:tc>
          <w:tcPr>
            <w:tcW w:w="2802" w:type="dxa"/>
          </w:tcPr>
          <w:p w:rsidR="00E11866" w:rsidRPr="00E5271F" w:rsidRDefault="00E11866" w:rsidP="00087A7D">
            <w:pPr>
              <w:rPr>
                <w:rFonts w:cs="Arial"/>
                <w:sz w:val="24"/>
                <w:szCs w:val="24"/>
              </w:rPr>
            </w:pPr>
            <w:r w:rsidRPr="00E5271F">
              <w:rPr>
                <w:rFonts w:cs="Arial"/>
                <w:sz w:val="24"/>
                <w:szCs w:val="24"/>
              </w:rPr>
              <w:t>Clostridiodes Difficile</w:t>
            </w:r>
          </w:p>
        </w:tc>
        <w:tc>
          <w:tcPr>
            <w:tcW w:w="567" w:type="dxa"/>
            <w:shd w:val="clear" w:color="auto" w:fill="D6E3BC" w:themeFill="accent3" w:themeFillTint="66"/>
          </w:tcPr>
          <w:p w:rsidR="00E11866" w:rsidRPr="00E5271F" w:rsidRDefault="00E11866" w:rsidP="00087A7D">
            <w:pPr>
              <w:rPr>
                <w:rFonts w:cs="Arial"/>
                <w:sz w:val="24"/>
                <w:szCs w:val="24"/>
              </w:rPr>
            </w:pPr>
          </w:p>
        </w:tc>
        <w:tc>
          <w:tcPr>
            <w:tcW w:w="5917" w:type="dxa"/>
          </w:tcPr>
          <w:p w:rsidR="00E11866" w:rsidRPr="00E5271F" w:rsidRDefault="00E11866" w:rsidP="00087A7D">
            <w:pPr>
              <w:rPr>
                <w:rFonts w:cs="Arial"/>
                <w:sz w:val="24"/>
                <w:szCs w:val="24"/>
              </w:rPr>
            </w:pPr>
            <w:r w:rsidRPr="00E5271F">
              <w:rPr>
                <w:rFonts w:cs="Arial"/>
                <w:sz w:val="24"/>
                <w:szCs w:val="24"/>
              </w:rPr>
              <w:t>There were zero Clostridiodes Difficile Infections (CDI) reported  in November 2019.</w:t>
            </w:r>
          </w:p>
        </w:tc>
      </w:tr>
    </w:tbl>
    <w:p w:rsidR="00AA1592" w:rsidRPr="007F0372" w:rsidRDefault="00AA1592" w:rsidP="00AA1592">
      <w:pPr>
        <w:rPr>
          <w:sz w:val="24"/>
        </w:rPr>
      </w:pPr>
    </w:p>
    <w:p w:rsidR="00A33DAD" w:rsidRDefault="00A33DAD"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780706" w:rsidRDefault="00780706" w:rsidP="00BB2C7D">
      <w:pPr>
        <w:spacing w:after="180"/>
        <w:rPr>
          <w:rFonts w:cs="Arial"/>
          <w:b/>
          <w:color w:val="000000" w:themeColor="text1"/>
          <w:sz w:val="28"/>
          <w:szCs w:val="28"/>
        </w:rPr>
      </w:pPr>
    </w:p>
    <w:p w:rsidR="00BB2C7D" w:rsidRPr="007A64A0" w:rsidRDefault="00D717CD" w:rsidP="00961DB1">
      <w:pPr>
        <w:spacing w:after="180"/>
        <w:rPr>
          <w:rFonts w:cs="Arial"/>
          <w:b/>
          <w:color w:val="000000" w:themeColor="text1"/>
          <w:sz w:val="28"/>
          <w:szCs w:val="28"/>
        </w:rPr>
      </w:pPr>
      <w:r>
        <w:rPr>
          <w:rFonts w:cs="Arial"/>
          <w:b/>
          <w:color w:val="000000" w:themeColor="text1"/>
          <w:sz w:val="28"/>
          <w:szCs w:val="28"/>
        </w:rPr>
        <w:lastRenderedPageBreak/>
        <w:t xml:space="preserve">Clinical Governance </w:t>
      </w:r>
      <w:r w:rsidR="00BB2C7D" w:rsidRPr="00A33D5E">
        <w:rPr>
          <w:rFonts w:cs="Arial"/>
          <w:b/>
          <w:color w:val="000000" w:themeColor="text1"/>
          <w:sz w:val="28"/>
          <w:szCs w:val="28"/>
        </w:rPr>
        <w:t>Executive Summary</w:t>
      </w:r>
    </w:p>
    <w:p w:rsidR="00A33DAD" w:rsidRPr="00595050" w:rsidRDefault="00A33DAD" w:rsidP="00A33DAD">
      <w:pPr>
        <w:rPr>
          <w:sz w:val="24"/>
        </w:rPr>
      </w:pPr>
      <w:r w:rsidRPr="00595050">
        <w:rPr>
          <w:sz w:val="24"/>
        </w:rPr>
        <w:t xml:space="preserve">Within the Clinical Governance section of the IPR, we are maintaining the existing indicators from the corporate balance scorecard relating to complaints and infections, and also proposing that we add the number of Significant Adverse Events (SAE) and crude hospital mortality as further indicators of safety.  It must be stressed that neither indicator is necessarily suggestive of harm, as an SAE can be a low severity or near miss event, and not all deaths are preventable. However, both act as a prompt to review and consider learning and it is therefore felt useful to include and monitor the overall levels using statistical process charts. </w:t>
      </w:r>
    </w:p>
    <w:p w:rsidR="00A33DAD" w:rsidRPr="00595050" w:rsidRDefault="00A33DAD" w:rsidP="00A33DAD">
      <w:pPr>
        <w:rPr>
          <w:sz w:val="24"/>
        </w:rPr>
      </w:pPr>
      <w:r w:rsidRPr="00595050">
        <w:rPr>
          <w:sz w:val="24"/>
        </w:rPr>
        <w:t>With regards mortality; Hospital Standardised Mortality Rate (HSMR) data will be published on a quarterly basis and the intention is to include the national data when published. Recommendation from Healthcare Improvement Scotland is that Boards monitor crude mortality on a more regular basis. </w:t>
      </w:r>
    </w:p>
    <w:p w:rsidR="00A33DAD" w:rsidRPr="00595050" w:rsidRDefault="00A33DAD" w:rsidP="00A33DAD">
      <w:pPr>
        <w:rPr>
          <w:sz w:val="24"/>
        </w:rPr>
      </w:pPr>
    </w:p>
    <w:p w:rsidR="00A33DAD" w:rsidRPr="00595050" w:rsidRDefault="00A33DAD" w:rsidP="00A33DAD">
      <w:pPr>
        <w:rPr>
          <w:sz w:val="24"/>
        </w:rPr>
      </w:pPr>
      <w:r w:rsidRPr="00595050">
        <w:rPr>
          <w:sz w:val="24"/>
        </w:rPr>
        <w:t>The response times for stage two complaints remain under close monitoring and we are pleased to note the improvement in Octobers figures.  Clinical Governance Risk Management Group continues to monitor the actions to support process improvements and have agreed further revisions to the process which it is anticipated will support the response times and quality of responses also.  Clinical Governance Department are also undertaking a further deep dive across the various forms of feedback and benchmarking with external Boards.    </w:t>
      </w:r>
    </w:p>
    <w:p w:rsidR="00A33DAD" w:rsidRPr="00595050" w:rsidRDefault="00A33DAD" w:rsidP="00A33DAD">
      <w:pPr>
        <w:rPr>
          <w:sz w:val="24"/>
        </w:rPr>
      </w:pPr>
    </w:p>
    <w:p w:rsidR="00A33DAD" w:rsidRPr="00595050" w:rsidRDefault="00A33DAD" w:rsidP="00A33DAD">
      <w:pPr>
        <w:rPr>
          <w:sz w:val="24"/>
        </w:rPr>
      </w:pPr>
      <w:r w:rsidRPr="00595050">
        <w:rPr>
          <w:sz w:val="24"/>
        </w:rPr>
        <w:t>Mortality remains within limits.  The latest HSMR publication data is shown below for noting; both the HSMR and crude mortality rates are shown.  GJNH remains within limits for HSMR and significantly below the national crude mortality rate with no issues to highlight:</w:t>
      </w:r>
    </w:p>
    <w:p w:rsidR="00A33DAD" w:rsidRDefault="00A33DAD"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780706" w:rsidRDefault="00780706" w:rsidP="00A33DAD">
      <w:pPr>
        <w:rPr>
          <w:b/>
          <w:bCs/>
          <w:color w:val="1F497D"/>
        </w:rPr>
      </w:pPr>
    </w:p>
    <w:p w:rsidR="00A33DAD" w:rsidRPr="00767853" w:rsidRDefault="00A33DAD" w:rsidP="00A33DAD">
      <w:pPr>
        <w:rPr>
          <w:b/>
          <w:bCs/>
        </w:rPr>
      </w:pPr>
      <w:r w:rsidRPr="00767853">
        <w:rPr>
          <w:b/>
          <w:bCs/>
        </w:rPr>
        <w:t>HSMR:</w:t>
      </w:r>
    </w:p>
    <w:p w:rsidR="00A33DAD" w:rsidRDefault="00A33DAD" w:rsidP="00A33DAD"/>
    <w:p w:rsidR="00A33DAD" w:rsidRDefault="00A33DAD" w:rsidP="00A33DAD">
      <w:r>
        <w:rPr>
          <w:noProof/>
          <w:lang w:eastAsia="en-GB"/>
        </w:rPr>
        <w:lastRenderedPageBreak/>
        <w:drawing>
          <wp:inline distT="0" distB="0" distL="0" distR="0" wp14:anchorId="3277004F" wp14:editId="1A53B184">
            <wp:extent cx="6108700" cy="4947858"/>
            <wp:effectExtent l="0" t="0" r="0" b="0"/>
            <wp:docPr id="11" name="Picture 11" descr="cid:image002.jpg@01D5B59A.C6EB2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B59A.C6EB2D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5915" cy="4953702"/>
                    </a:xfrm>
                    <a:prstGeom prst="rect">
                      <a:avLst/>
                    </a:prstGeom>
                    <a:noFill/>
                    <a:ln>
                      <a:noFill/>
                    </a:ln>
                  </pic:spPr>
                </pic:pic>
              </a:graphicData>
            </a:graphic>
          </wp:inline>
        </w:drawing>
      </w:r>
    </w:p>
    <w:p w:rsidR="00A33DAD" w:rsidRDefault="00A33DAD" w:rsidP="00A33DAD"/>
    <w:p w:rsidR="00A33DAD" w:rsidRDefault="00A33DAD" w:rsidP="00A33DAD"/>
    <w:p w:rsidR="00A33DAD" w:rsidRDefault="00A33DAD" w:rsidP="00A33DAD"/>
    <w:p w:rsidR="00A33DAD" w:rsidRDefault="00A33DAD" w:rsidP="00A33DAD">
      <w:r>
        <w:rPr>
          <w:noProof/>
          <w:lang w:eastAsia="en-GB"/>
        </w:rPr>
        <w:drawing>
          <wp:inline distT="0" distB="0" distL="0" distR="0" wp14:anchorId="17CDCE20" wp14:editId="4D696BCE">
            <wp:extent cx="6047105" cy="1981200"/>
            <wp:effectExtent l="0" t="0" r="0" b="0"/>
            <wp:docPr id="4" name="Picture 4" descr="cid:image006.jpg@01D5B59A.C6EB2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5B59A.C6EB2D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60508" cy="1985591"/>
                    </a:xfrm>
                    <a:prstGeom prst="rect">
                      <a:avLst/>
                    </a:prstGeom>
                    <a:noFill/>
                    <a:ln>
                      <a:noFill/>
                    </a:ln>
                  </pic:spPr>
                </pic:pic>
              </a:graphicData>
            </a:graphic>
          </wp:inline>
        </w:drawing>
      </w:r>
    </w:p>
    <w:p w:rsidR="00E6234A" w:rsidRDefault="00E6234A" w:rsidP="00CC5F6F">
      <w:pPr>
        <w:tabs>
          <w:tab w:val="left" w:pos="1418"/>
        </w:tabs>
        <w:spacing w:after="120"/>
        <w:jc w:val="both"/>
        <w:rPr>
          <w:rFonts w:cs="Arial"/>
          <w:b/>
          <w:sz w:val="24"/>
          <w:szCs w:val="22"/>
          <w:u w:val="single"/>
        </w:rPr>
      </w:pPr>
    </w:p>
    <w:p w:rsidR="00780706" w:rsidRDefault="00780706" w:rsidP="00CC5F6F">
      <w:pPr>
        <w:tabs>
          <w:tab w:val="left" w:pos="1418"/>
        </w:tabs>
        <w:spacing w:after="120"/>
        <w:jc w:val="both"/>
        <w:rPr>
          <w:rFonts w:cs="Arial"/>
          <w:b/>
          <w:sz w:val="24"/>
          <w:szCs w:val="22"/>
          <w:u w:val="single"/>
        </w:rPr>
      </w:pPr>
    </w:p>
    <w:p w:rsidR="00780706" w:rsidRDefault="00780706" w:rsidP="00CC5F6F">
      <w:pPr>
        <w:tabs>
          <w:tab w:val="left" w:pos="1418"/>
        </w:tabs>
        <w:spacing w:after="120"/>
        <w:jc w:val="both"/>
        <w:rPr>
          <w:rFonts w:cs="Arial"/>
          <w:b/>
          <w:sz w:val="24"/>
          <w:szCs w:val="22"/>
          <w:u w:val="single"/>
        </w:rPr>
      </w:pPr>
    </w:p>
    <w:p w:rsidR="00780706" w:rsidRDefault="00780706" w:rsidP="00CC5F6F">
      <w:pPr>
        <w:tabs>
          <w:tab w:val="left" w:pos="1418"/>
        </w:tabs>
        <w:spacing w:after="120"/>
        <w:jc w:val="both"/>
        <w:rPr>
          <w:rFonts w:cs="Arial"/>
          <w:b/>
          <w:sz w:val="24"/>
          <w:szCs w:val="22"/>
          <w:u w:val="single"/>
        </w:rPr>
      </w:pPr>
    </w:p>
    <w:p w:rsidR="00780706" w:rsidRDefault="00780706" w:rsidP="00CC5F6F">
      <w:pPr>
        <w:tabs>
          <w:tab w:val="left" w:pos="1418"/>
        </w:tabs>
        <w:spacing w:after="120"/>
        <w:jc w:val="both"/>
        <w:rPr>
          <w:rFonts w:cs="Arial"/>
          <w:b/>
          <w:sz w:val="24"/>
          <w:szCs w:val="22"/>
          <w:u w:val="single"/>
        </w:rPr>
      </w:pPr>
    </w:p>
    <w:p w:rsidR="00780706" w:rsidRPr="00CC5F6F" w:rsidRDefault="00780706" w:rsidP="00CC5F6F">
      <w:pPr>
        <w:tabs>
          <w:tab w:val="left" w:pos="1418"/>
        </w:tabs>
        <w:spacing w:after="120"/>
        <w:jc w:val="both"/>
        <w:rPr>
          <w:rFonts w:cs="Arial"/>
          <w:b/>
          <w:sz w:val="24"/>
          <w:szCs w:val="22"/>
          <w:u w:val="single"/>
        </w:rPr>
      </w:pPr>
    </w:p>
    <w:p w:rsidR="00CC5F6F" w:rsidRPr="00D717CD" w:rsidRDefault="00CC5F6F" w:rsidP="00D717CD">
      <w:pPr>
        <w:tabs>
          <w:tab w:val="left" w:pos="1418"/>
        </w:tabs>
        <w:jc w:val="both"/>
        <w:rPr>
          <w:rFonts w:cs="Arial"/>
          <w:b/>
          <w:sz w:val="24"/>
          <w:szCs w:val="22"/>
        </w:rPr>
      </w:pPr>
      <w:r w:rsidRPr="00D717CD">
        <w:rPr>
          <w:rFonts w:cs="Arial"/>
          <w:b/>
          <w:sz w:val="24"/>
          <w:szCs w:val="22"/>
        </w:rPr>
        <w:t xml:space="preserve">Key Healthcare Associated Infection Headlines </w:t>
      </w:r>
    </w:p>
    <w:p w:rsidR="00D717CD" w:rsidRDefault="00D717CD" w:rsidP="00D717CD">
      <w:pPr>
        <w:contextualSpacing/>
        <w:rPr>
          <w:rFonts w:cs="Arial"/>
          <w:b/>
          <w:i/>
          <w:iCs/>
          <w:sz w:val="24"/>
          <w:szCs w:val="22"/>
        </w:rPr>
      </w:pPr>
    </w:p>
    <w:p w:rsidR="00D717CD" w:rsidRPr="00A33DAD" w:rsidRDefault="00CC5F6F" w:rsidP="00D717CD">
      <w:pPr>
        <w:contextualSpacing/>
        <w:rPr>
          <w:rFonts w:cs="Arial"/>
          <w:b/>
          <w:sz w:val="24"/>
          <w:szCs w:val="22"/>
        </w:rPr>
      </w:pPr>
      <w:r w:rsidRPr="00A33DAD">
        <w:rPr>
          <w:rFonts w:cs="Arial"/>
          <w:b/>
          <w:i/>
          <w:iCs/>
          <w:sz w:val="24"/>
          <w:szCs w:val="22"/>
        </w:rPr>
        <w:t>Staphylococcus aureus</w:t>
      </w:r>
      <w:r w:rsidR="00D717CD" w:rsidRPr="00A33DAD">
        <w:rPr>
          <w:rFonts w:cs="Arial"/>
          <w:b/>
          <w:sz w:val="24"/>
          <w:szCs w:val="22"/>
        </w:rPr>
        <w:t xml:space="preserve"> Bacteraemia</w:t>
      </w:r>
    </w:p>
    <w:p w:rsidR="00D717CD" w:rsidRPr="00A33DAD" w:rsidRDefault="00D717CD" w:rsidP="00D717CD">
      <w:pPr>
        <w:contextualSpacing/>
        <w:rPr>
          <w:rFonts w:cs="Arial"/>
          <w:color w:val="FF0000"/>
          <w:sz w:val="10"/>
          <w:szCs w:val="10"/>
        </w:rPr>
      </w:pPr>
    </w:p>
    <w:p w:rsidR="00CC5F6F" w:rsidRPr="00595050" w:rsidRDefault="00A33DAD" w:rsidP="00D717CD">
      <w:pPr>
        <w:contextualSpacing/>
        <w:rPr>
          <w:rFonts w:cs="Arial"/>
          <w:color w:val="FF0000"/>
          <w:sz w:val="28"/>
          <w:szCs w:val="22"/>
        </w:rPr>
      </w:pPr>
      <w:r w:rsidRPr="00595050">
        <w:rPr>
          <w:rFonts w:cs="Arial"/>
          <w:sz w:val="24"/>
          <w:szCs w:val="22"/>
        </w:rPr>
        <w:t>No SAB to report in November 2019</w:t>
      </w:r>
      <w:r w:rsidR="00CC5F6F" w:rsidRPr="00595050">
        <w:rPr>
          <w:rFonts w:cs="Arial"/>
          <w:color w:val="FF0000"/>
          <w:sz w:val="28"/>
          <w:szCs w:val="22"/>
        </w:rPr>
        <w:t>.</w:t>
      </w:r>
    </w:p>
    <w:p w:rsidR="00CC5F6F" w:rsidRPr="00595050" w:rsidRDefault="00CC5F6F" w:rsidP="00D717CD">
      <w:pPr>
        <w:pStyle w:val="ListParagraph"/>
        <w:rPr>
          <w:rFonts w:cs="Arial"/>
          <w:color w:val="FF0000"/>
          <w:sz w:val="28"/>
          <w:szCs w:val="22"/>
        </w:rPr>
      </w:pPr>
    </w:p>
    <w:p w:rsidR="00D717CD" w:rsidRPr="00A33DAD" w:rsidRDefault="00D717CD" w:rsidP="00D717CD">
      <w:pPr>
        <w:pStyle w:val="ListParagraph"/>
        <w:rPr>
          <w:rFonts w:cs="Arial"/>
          <w:color w:val="FF0000"/>
          <w:szCs w:val="22"/>
        </w:rPr>
      </w:pPr>
    </w:p>
    <w:p w:rsidR="00CC5F6F" w:rsidRPr="00A33DAD" w:rsidRDefault="00CC5F6F" w:rsidP="00D717CD">
      <w:pPr>
        <w:contextualSpacing/>
        <w:rPr>
          <w:rFonts w:cs="Arial"/>
          <w:b/>
          <w:i/>
          <w:sz w:val="24"/>
          <w:szCs w:val="22"/>
        </w:rPr>
      </w:pPr>
      <w:r w:rsidRPr="00A33DAD">
        <w:rPr>
          <w:rFonts w:cs="Arial"/>
          <w:b/>
          <w:i/>
          <w:sz w:val="24"/>
          <w:szCs w:val="22"/>
        </w:rPr>
        <w:t>Clostridioides difficile</w:t>
      </w:r>
      <w:r w:rsidRPr="00A33DAD">
        <w:rPr>
          <w:rFonts w:cs="Arial"/>
          <w:b/>
          <w:sz w:val="24"/>
          <w:szCs w:val="22"/>
        </w:rPr>
        <w:t xml:space="preserve"> infection (previously known as </w:t>
      </w:r>
      <w:r w:rsidR="00D717CD" w:rsidRPr="00A33DAD">
        <w:rPr>
          <w:rFonts w:cs="Arial"/>
          <w:b/>
          <w:i/>
          <w:sz w:val="24"/>
          <w:szCs w:val="22"/>
        </w:rPr>
        <w:t>Clostridium difficile)</w:t>
      </w:r>
    </w:p>
    <w:p w:rsidR="00D717CD" w:rsidRPr="00A33DAD" w:rsidRDefault="00D717CD" w:rsidP="00D717CD">
      <w:pPr>
        <w:contextualSpacing/>
        <w:rPr>
          <w:rFonts w:cs="Arial"/>
          <w:b/>
          <w:i/>
          <w:sz w:val="10"/>
          <w:szCs w:val="10"/>
        </w:rPr>
      </w:pPr>
    </w:p>
    <w:p w:rsidR="00CC5F6F" w:rsidRPr="00595050" w:rsidRDefault="00A33DAD" w:rsidP="00A33DAD">
      <w:pPr>
        <w:rPr>
          <w:rFonts w:cs="Arial"/>
          <w:sz w:val="24"/>
          <w:szCs w:val="22"/>
        </w:rPr>
      </w:pPr>
      <w:r w:rsidRPr="00595050">
        <w:rPr>
          <w:rFonts w:cs="Arial"/>
          <w:sz w:val="24"/>
          <w:szCs w:val="22"/>
        </w:rPr>
        <w:t>No CDI to report in November 2019</w:t>
      </w:r>
    </w:p>
    <w:p w:rsidR="00D717CD" w:rsidRPr="00595050" w:rsidRDefault="00D717CD" w:rsidP="00D717CD">
      <w:pPr>
        <w:pStyle w:val="ListParagraph"/>
        <w:rPr>
          <w:rFonts w:cs="Arial"/>
          <w:color w:val="FF0000"/>
          <w:sz w:val="28"/>
          <w:szCs w:val="22"/>
        </w:rPr>
      </w:pPr>
    </w:p>
    <w:p w:rsidR="0005279E" w:rsidRPr="00A33DAD" w:rsidRDefault="0005279E" w:rsidP="00D717CD">
      <w:pPr>
        <w:pStyle w:val="ListParagraph"/>
        <w:rPr>
          <w:rFonts w:cs="Arial"/>
          <w:color w:val="FF0000"/>
          <w:szCs w:val="22"/>
        </w:rPr>
      </w:pPr>
    </w:p>
    <w:p w:rsidR="00D717CD" w:rsidRPr="00A33DAD" w:rsidRDefault="00CC5F6F" w:rsidP="00D717CD">
      <w:pPr>
        <w:contextualSpacing/>
        <w:rPr>
          <w:rFonts w:cs="Arial"/>
          <w:b/>
          <w:sz w:val="24"/>
          <w:szCs w:val="22"/>
        </w:rPr>
      </w:pPr>
      <w:r w:rsidRPr="00A33DAD">
        <w:rPr>
          <w:rFonts w:cs="Arial"/>
          <w:b/>
          <w:sz w:val="24"/>
          <w:szCs w:val="22"/>
        </w:rPr>
        <w:t>Hand Hygiene</w:t>
      </w:r>
    </w:p>
    <w:p w:rsidR="00D717CD" w:rsidRPr="00A33DAD" w:rsidRDefault="00D717CD" w:rsidP="00D717CD">
      <w:pPr>
        <w:contextualSpacing/>
        <w:rPr>
          <w:rFonts w:cs="Arial"/>
          <w:b/>
          <w:sz w:val="10"/>
          <w:szCs w:val="10"/>
        </w:rPr>
      </w:pPr>
    </w:p>
    <w:p w:rsidR="00CC5F6F" w:rsidRPr="00595050" w:rsidRDefault="00A33DAD" w:rsidP="00A33DAD">
      <w:pPr>
        <w:contextualSpacing/>
        <w:rPr>
          <w:rFonts w:cs="Arial"/>
          <w:b/>
          <w:sz w:val="24"/>
          <w:szCs w:val="22"/>
        </w:rPr>
      </w:pPr>
      <w:r w:rsidRPr="00595050">
        <w:rPr>
          <w:rFonts w:cs="Arial"/>
          <w:sz w:val="24"/>
          <w:szCs w:val="22"/>
        </w:rPr>
        <w:t>The bimonthly report from November demonstrates an overall compliance of 99% with hand hygiene opportunity and technique. Medical staff compliance has increased from 95% to 98%.</w:t>
      </w:r>
    </w:p>
    <w:p w:rsidR="00D717CD" w:rsidRPr="00595050" w:rsidRDefault="00D717CD" w:rsidP="00D717CD">
      <w:pPr>
        <w:pStyle w:val="ListParagraph"/>
        <w:contextualSpacing/>
        <w:rPr>
          <w:rFonts w:cs="Arial"/>
          <w:b/>
          <w:color w:val="FF0000"/>
          <w:sz w:val="28"/>
          <w:szCs w:val="22"/>
        </w:rPr>
      </w:pPr>
    </w:p>
    <w:p w:rsidR="0005279E" w:rsidRPr="00A33DAD" w:rsidRDefault="0005279E" w:rsidP="00D717CD">
      <w:pPr>
        <w:pStyle w:val="ListParagraph"/>
        <w:contextualSpacing/>
        <w:rPr>
          <w:rFonts w:cs="Arial"/>
          <w:b/>
          <w:color w:val="FF0000"/>
          <w:szCs w:val="22"/>
        </w:rPr>
      </w:pPr>
    </w:p>
    <w:p w:rsidR="00CC5F6F" w:rsidRPr="0005279E" w:rsidRDefault="00CC5F6F" w:rsidP="00D717CD">
      <w:pPr>
        <w:contextualSpacing/>
        <w:rPr>
          <w:rFonts w:cs="Arial"/>
          <w:b/>
          <w:sz w:val="24"/>
          <w:szCs w:val="22"/>
        </w:rPr>
      </w:pPr>
      <w:r w:rsidRPr="0005279E">
        <w:rPr>
          <w:rFonts w:cs="Arial"/>
          <w:b/>
          <w:sz w:val="24"/>
          <w:szCs w:val="22"/>
        </w:rPr>
        <w:t>Cleaning and the Healthcare Environment- Facilities Management Tool</w:t>
      </w:r>
    </w:p>
    <w:p w:rsidR="00D717CD" w:rsidRPr="0005279E" w:rsidRDefault="00D717CD" w:rsidP="00D717CD">
      <w:pPr>
        <w:contextualSpacing/>
        <w:rPr>
          <w:rFonts w:cs="Arial"/>
          <w:b/>
          <w:sz w:val="10"/>
          <w:szCs w:val="10"/>
        </w:rPr>
      </w:pPr>
    </w:p>
    <w:p w:rsidR="00CC5F6F" w:rsidRPr="00595050" w:rsidRDefault="00CC5F6F" w:rsidP="00D717CD">
      <w:pPr>
        <w:rPr>
          <w:rFonts w:cs="Arial"/>
          <w:sz w:val="24"/>
          <w:szCs w:val="22"/>
        </w:rPr>
      </w:pPr>
      <w:r w:rsidRPr="00595050">
        <w:rPr>
          <w:rFonts w:cs="Arial"/>
          <w:sz w:val="24"/>
          <w:szCs w:val="22"/>
        </w:rPr>
        <w:t>Housekeeping</w:t>
      </w:r>
      <w:r w:rsidR="00174624" w:rsidRPr="00595050">
        <w:rPr>
          <w:rFonts w:cs="Arial"/>
          <w:sz w:val="24"/>
          <w:szCs w:val="22"/>
        </w:rPr>
        <w:t xml:space="preserve"> Compliance: </w:t>
      </w:r>
      <w:r w:rsidR="0005279E" w:rsidRPr="00595050">
        <w:rPr>
          <w:rFonts w:cs="Arial"/>
          <w:sz w:val="24"/>
          <w:szCs w:val="22"/>
        </w:rPr>
        <w:t>98.7</w:t>
      </w:r>
      <w:r w:rsidR="00174624" w:rsidRPr="00595050">
        <w:rPr>
          <w:rFonts w:cs="Arial"/>
          <w:sz w:val="24"/>
          <w:szCs w:val="22"/>
        </w:rPr>
        <w:t>% Estates</w:t>
      </w:r>
      <w:r w:rsidRPr="00595050">
        <w:rPr>
          <w:rFonts w:cs="Arial"/>
          <w:sz w:val="24"/>
          <w:szCs w:val="22"/>
        </w:rPr>
        <w:t xml:space="preserve"> Compliance: </w:t>
      </w:r>
      <w:r w:rsidR="0005279E" w:rsidRPr="00595050">
        <w:rPr>
          <w:rFonts w:cs="Arial"/>
          <w:sz w:val="24"/>
          <w:szCs w:val="22"/>
        </w:rPr>
        <w:t>99.13</w:t>
      </w:r>
      <w:r w:rsidRPr="00595050">
        <w:rPr>
          <w:rFonts w:cs="Arial"/>
          <w:sz w:val="24"/>
          <w:szCs w:val="22"/>
        </w:rPr>
        <w:t>%</w:t>
      </w:r>
    </w:p>
    <w:p w:rsidR="00D717CD" w:rsidRDefault="00D717CD" w:rsidP="00D717CD">
      <w:pPr>
        <w:rPr>
          <w:rStyle w:val="A3"/>
          <w:rFonts w:cs="Arial"/>
          <w:color w:val="auto"/>
          <w:sz w:val="24"/>
          <w:szCs w:val="22"/>
        </w:rPr>
      </w:pPr>
    </w:p>
    <w:p w:rsidR="0005279E" w:rsidRPr="0005279E" w:rsidRDefault="0005279E" w:rsidP="00D717CD">
      <w:pPr>
        <w:rPr>
          <w:rStyle w:val="A3"/>
          <w:rFonts w:cs="Arial"/>
          <w:color w:val="auto"/>
          <w:sz w:val="24"/>
          <w:szCs w:val="22"/>
        </w:rPr>
      </w:pPr>
    </w:p>
    <w:p w:rsidR="00CC5F6F" w:rsidRPr="0005279E" w:rsidRDefault="00D717CD" w:rsidP="00D717CD">
      <w:pPr>
        <w:contextualSpacing/>
        <w:rPr>
          <w:rFonts w:cs="Arial"/>
          <w:b/>
          <w:sz w:val="24"/>
          <w:szCs w:val="22"/>
        </w:rPr>
      </w:pPr>
      <w:r w:rsidRPr="0005279E">
        <w:rPr>
          <w:rFonts w:cs="Arial"/>
          <w:b/>
          <w:sz w:val="24"/>
          <w:szCs w:val="22"/>
        </w:rPr>
        <w:t>Surgical Site Infection (SSI)</w:t>
      </w:r>
    </w:p>
    <w:p w:rsidR="00D717CD" w:rsidRPr="0005279E" w:rsidRDefault="00D717CD" w:rsidP="00D717CD">
      <w:pPr>
        <w:contextualSpacing/>
        <w:rPr>
          <w:rFonts w:cs="Arial"/>
          <w:b/>
          <w:sz w:val="10"/>
          <w:szCs w:val="10"/>
        </w:rPr>
      </w:pPr>
    </w:p>
    <w:p w:rsidR="0005279E" w:rsidRPr="00595050" w:rsidRDefault="0005279E" w:rsidP="0005279E">
      <w:pPr>
        <w:rPr>
          <w:rFonts w:cs="Arial"/>
          <w:sz w:val="24"/>
          <w:szCs w:val="22"/>
        </w:rPr>
      </w:pPr>
      <w:r w:rsidRPr="00595050">
        <w:rPr>
          <w:rFonts w:cs="Arial"/>
          <w:sz w:val="24"/>
          <w:szCs w:val="22"/>
        </w:rPr>
        <w:t>Hip replacement SSI rates within control limits.</w:t>
      </w:r>
    </w:p>
    <w:p w:rsidR="0005279E" w:rsidRPr="00595050" w:rsidRDefault="0005279E" w:rsidP="0005279E">
      <w:pPr>
        <w:rPr>
          <w:rFonts w:cs="Arial"/>
          <w:sz w:val="24"/>
          <w:szCs w:val="22"/>
        </w:rPr>
      </w:pPr>
      <w:r w:rsidRPr="00595050">
        <w:rPr>
          <w:rFonts w:cs="Arial"/>
          <w:sz w:val="24"/>
          <w:szCs w:val="22"/>
        </w:rPr>
        <w:t>Knee replacement SSI rates breached upper control limit in October (n=2 superficial infections) reduced to 1 case in November. Due to low numbers of infection upper control limits can be breached with only two cases. The PCIT will remain vigilant to further cases.</w:t>
      </w:r>
    </w:p>
    <w:p w:rsidR="0005279E" w:rsidRPr="00595050" w:rsidRDefault="0005279E" w:rsidP="0005279E">
      <w:pPr>
        <w:pStyle w:val="ListParagraph"/>
        <w:rPr>
          <w:rFonts w:cs="Arial"/>
          <w:sz w:val="28"/>
          <w:szCs w:val="22"/>
        </w:rPr>
      </w:pPr>
    </w:p>
    <w:p w:rsidR="00CC5F6F" w:rsidRPr="00595050" w:rsidRDefault="0005279E" w:rsidP="0005279E">
      <w:pPr>
        <w:rPr>
          <w:rFonts w:cs="Arial"/>
          <w:sz w:val="24"/>
          <w:szCs w:val="22"/>
        </w:rPr>
      </w:pPr>
      <w:r w:rsidRPr="00595050">
        <w:rPr>
          <w:rFonts w:cs="Arial"/>
          <w:sz w:val="24"/>
          <w:szCs w:val="22"/>
        </w:rPr>
        <w:t>Cardiac and CABG SSI rates (within 30-day post-operative period) within control limits.</w:t>
      </w:r>
    </w:p>
    <w:p w:rsidR="00CC5F6F" w:rsidRPr="00595050" w:rsidRDefault="00CC5F6F" w:rsidP="007F0372">
      <w:pPr>
        <w:rPr>
          <w:rFonts w:cs="Arial"/>
          <w:sz w:val="28"/>
          <w:szCs w:val="22"/>
        </w:rPr>
      </w:pPr>
    </w:p>
    <w:p w:rsidR="00A107C4" w:rsidRDefault="00A107C4" w:rsidP="00AA1592">
      <w:pPr>
        <w:rPr>
          <w:sz w:val="24"/>
        </w:rPr>
      </w:pPr>
    </w:p>
    <w:p w:rsidR="00A107C4" w:rsidRDefault="00A107C4" w:rsidP="00AA1592">
      <w:pPr>
        <w:rPr>
          <w:sz w:val="24"/>
        </w:rPr>
      </w:pPr>
    </w:p>
    <w:p w:rsidR="0005279E" w:rsidRDefault="0005279E" w:rsidP="0005279E">
      <w:pPr>
        <w:rPr>
          <w:sz w:val="24"/>
        </w:rPr>
      </w:pPr>
    </w:p>
    <w:p w:rsidR="0005279E" w:rsidRPr="0005279E" w:rsidRDefault="0005279E" w:rsidP="0005279E">
      <w:pPr>
        <w:rPr>
          <w:b/>
          <w:sz w:val="24"/>
        </w:rPr>
      </w:pPr>
      <w:r w:rsidRPr="0005279E">
        <w:rPr>
          <w:b/>
          <w:sz w:val="24"/>
        </w:rPr>
        <w:t>Other HAI Related Activity</w:t>
      </w:r>
    </w:p>
    <w:p w:rsidR="0005279E" w:rsidRPr="0005279E" w:rsidRDefault="0005279E" w:rsidP="0005279E">
      <w:pPr>
        <w:rPr>
          <w:sz w:val="24"/>
        </w:rPr>
      </w:pPr>
    </w:p>
    <w:p w:rsidR="0005279E" w:rsidRPr="0005279E" w:rsidRDefault="0005279E" w:rsidP="0005279E">
      <w:pPr>
        <w:rPr>
          <w:b/>
          <w:sz w:val="24"/>
        </w:rPr>
      </w:pPr>
      <w:r w:rsidRPr="0005279E">
        <w:rPr>
          <w:sz w:val="24"/>
        </w:rPr>
        <w:t>•</w:t>
      </w:r>
      <w:r w:rsidRPr="0005279E">
        <w:rPr>
          <w:sz w:val="24"/>
        </w:rPr>
        <w:tab/>
      </w:r>
      <w:r w:rsidRPr="0005279E">
        <w:rPr>
          <w:b/>
          <w:sz w:val="24"/>
        </w:rPr>
        <w:t>Annual Operational Plan</w:t>
      </w:r>
    </w:p>
    <w:p w:rsidR="0005279E" w:rsidRPr="0005279E" w:rsidRDefault="0005279E" w:rsidP="0005279E">
      <w:pPr>
        <w:rPr>
          <w:sz w:val="24"/>
        </w:rPr>
      </w:pPr>
      <w:r w:rsidRPr="0005279E">
        <w:rPr>
          <w:sz w:val="24"/>
        </w:rPr>
        <w:t>New HAI targets for 2020 and beyond have been released by Scottish Government. These continue to focus on SAB, CDI however these have also been supplemented with antibiotic use, Gram negative bacteraemia, compliance with HIS HAI Standards, DL (2015) 19 and SHTM 03-01, SHTM 04-01 and HAI SCRIBE.</w:t>
      </w:r>
    </w:p>
    <w:p w:rsidR="0005279E" w:rsidRPr="0005279E" w:rsidRDefault="0005279E" w:rsidP="0005279E">
      <w:pPr>
        <w:rPr>
          <w:sz w:val="24"/>
        </w:rPr>
      </w:pPr>
    </w:p>
    <w:p w:rsidR="0005279E" w:rsidRPr="0005279E" w:rsidRDefault="0005279E" w:rsidP="0005279E">
      <w:pPr>
        <w:rPr>
          <w:sz w:val="24"/>
        </w:rPr>
      </w:pPr>
      <w:r w:rsidRPr="0005279E">
        <w:rPr>
          <w:sz w:val="24"/>
        </w:rPr>
        <w:t>•</w:t>
      </w:r>
      <w:r w:rsidRPr="0005279E">
        <w:rPr>
          <w:sz w:val="24"/>
        </w:rPr>
        <w:tab/>
      </w:r>
      <w:r w:rsidRPr="0005279E">
        <w:rPr>
          <w:b/>
          <w:sz w:val="24"/>
        </w:rPr>
        <w:t>Problem Assessment Groups (PAG).</w:t>
      </w:r>
      <w:r w:rsidRPr="0005279E">
        <w:rPr>
          <w:sz w:val="24"/>
        </w:rPr>
        <w:t xml:space="preserve"> </w:t>
      </w:r>
    </w:p>
    <w:p w:rsidR="007F0372" w:rsidRDefault="0005279E" w:rsidP="0005279E">
      <w:pPr>
        <w:rPr>
          <w:sz w:val="24"/>
        </w:rPr>
      </w:pPr>
      <w:r w:rsidRPr="0005279E">
        <w:rPr>
          <w:sz w:val="24"/>
        </w:rPr>
        <w:t>The PCIT worked closely with the clinical team in ICU 2 to determine a potential link in patients with the same isolate. Following a period of enhanced cleaning and application of control measures this incident has been closed. Incident report will be shared with relevant governance committees.</w:t>
      </w:r>
    </w:p>
    <w:p w:rsidR="007F0372" w:rsidRDefault="007F0372" w:rsidP="00AA1592">
      <w:pPr>
        <w:rPr>
          <w:sz w:val="24"/>
        </w:rPr>
      </w:pPr>
    </w:p>
    <w:p w:rsidR="00A107C4" w:rsidRDefault="00A107C4" w:rsidP="00AA1592">
      <w:pPr>
        <w:rPr>
          <w:sz w:val="24"/>
        </w:rPr>
      </w:pPr>
    </w:p>
    <w:p w:rsidR="00025608" w:rsidRPr="007B3705" w:rsidRDefault="00025608" w:rsidP="00025608">
      <w:pPr>
        <w:pStyle w:val="Heading1"/>
      </w:pPr>
      <w:r w:rsidRPr="007B3705">
        <w:lastRenderedPageBreak/>
        <w:t>Section B:2 Staff Governance</w:t>
      </w:r>
    </w:p>
    <w:p w:rsidR="007F0372" w:rsidRPr="007F0372" w:rsidRDefault="007F0372" w:rsidP="00AA1592">
      <w:pPr>
        <w:rPr>
          <w:sz w:val="24"/>
        </w:rPr>
      </w:pPr>
    </w:p>
    <w:tbl>
      <w:tblPr>
        <w:tblStyle w:val="TableGrid"/>
        <w:tblW w:w="9286" w:type="dxa"/>
        <w:tblLayout w:type="fixed"/>
        <w:tblLook w:val="04A0" w:firstRow="1" w:lastRow="0" w:firstColumn="1" w:lastColumn="0" w:noHBand="0" w:noVBand="1"/>
      </w:tblPr>
      <w:tblGrid>
        <w:gridCol w:w="2802"/>
        <w:gridCol w:w="567"/>
        <w:gridCol w:w="5917"/>
      </w:tblGrid>
      <w:tr w:rsidR="0005279E" w:rsidRPr="005A14C4" w:rsidTr="00087A7D">
        <w:trPr>
          <w:trHeight w:val="225"/>
        </w:trPr>
        <w:tc>
          <w:tcPr>
            <w:tcW w:w="9286" w:type="dxa"/>
            <w:gridSpan w:val="3"/>
            <w:shd w:val="clear" w:color="auto" w:fill="B2A1C7" w:themeFill="accent4" w:themeFillTint="99"/>
          </w:tcPr>
          <w:p w:rsidR="0005279E" w:rsidRPr="005A14C4" w:rsidRDefault="0005279E" w:rsidP="00087A7D">
            <w:pPr>
              <w:rPr>
                <w:rFonts w:cs="Arial"/>
                <w:color w:val="000000" w:themeColor="text1"/>
                <w:sz w:val="24"/>
                <w:szCs w:val="24"/>
                <w:highlight w:val="yellow"/>
              </w:rPr>
            </w:pPr>
            <w:r w:rsidRPr="005A14C4">
              <w:rPr>
                <w:rFonts w:cs="Arial"/>
                <w:b/>
                <w:color w:val="000000" w:themeColor="text1"/>
                <w:sz w:val="24"/>
                <w:szCs w:val="24"/>
              </w:rPr>
              <w:t>Staff Governance</w:t>
            </w:r>
          </w:p>
        </w:tc>
      </w:tr>
      <w:tr w:rsidR="0005279E" w:rsidRPr="005A14C4" w:rsidTr="00087A7D">
        <w:trPr>
          <w:trHeight w:val="651"/>
        </w:trPr>
        <w:tc>
          <w:tcPr>
            <w:tcW w:w="2802" w:type="dxa"/>
            <w:shd w:val="clear" w:color="auto" w:fill="auto"/>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 xml:space="preserve">Disciplinaries &amp; Grievances </w:t>
            </w:r>
          </w:p>
        </w:tc>
        <w:tc>
          <w:tcPr>
            <w:tcW w:w="567" w:type="dxa"/>
            <w:shd w:val="clear" w:color="auto" w:fill="D6E3BC" w:themeFill="accent3" w:themeFillTint="66"/>
          </w:tcPr>
          <w:p w:rsidR="0005279E" w:rsidRPr="005A14C4" w:rsidRDefault="0005279E" w:rsidP="00087A7D">
            <w:pPr>
              <w:rPr>
                <w:rFonts w:cs="Arial"/>
                <w:color w:val="000000" w:themeColor="text1"/>
                <w:sz w:val="24"/>
                <w:szCs w:val="24"/>
                <w:highlight w:val="yellow"/>
              </w:rPr>
            </w:pPr>
          </w:p>
        </w:tc>
        <w:tc>
          <w:tcPr>
            <w:tcW w:w="5917"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 xml:space="preserve">Both indicators were on target for November 2019. With zero disciplinary cases resulting in a warning and zero grievance cases reported. </w:t>
            </w:r>
          </w:p>
        </w:tc>
      </w:tr>
      <w:tr w:rsidR="0005279E" w:rsidRPr="005A14C4" w:rsidTr="00087A7D">
        <w:trPr>
          <w:trHeight w:val="651"/>
        </w:trPr>
        <w:tc>
          <w:tcPr>
            <w:tcW w:w="2802"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Bullying and harassment</w:t>
            </w:r>
          </w:p>
        </w:tc>
        <w:tc>
          <w:tcPr>
            <w:tcW w:w="567" w:type="dxa"/>
            <w:shd w:val="clear" w:color="auto" w:fill="FBD4B4" w:themeFill="accent6" w:themeFillTint="66"/>
          </w:tcPr>
          <w:p w:rsidR="0005279E" w:rsidRPr="005A14C4" w:rsidRDefault="0005279E" w:rsidP="00087A7D">
            <w:pPr>
              <w:rPr>
                <w:rFonts w:cs="Arial"/>
                <w:color w:val="000000" w:themeColor="text1"/>
                <w:sz w:val="24"/>
                <w:szCs w:val="24"/>
              </w:rPr>
            </w:pPr>
          </w:p>
        </w:tc>
        <w:tc>
          <w:tcPr>
            <w:tcW w:w="5917"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There was one bullying case reported in November 2019. This follows one case reported in October 2019.</w:t>
            </w:r>
          </w:p>
        </w:tc>
      </w:tr>
      <w:tr w:rsidR="0005279E" w:rsidRPr="005A14C4" w:rsidTr="00087A7D">
        <w:trPr>
          <w:trHeight w:val="651"/>
        </w:trPr>
        <w:tc>
          <w:tcPr>
            <w:tcW w:w="2802"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Local Sickness absence</w:t>
            </w:r>
          </w:p>
        </w:tc>
        <w:tc>
          <w:tcPr>
            <w:tcW w:w="567" w:type="dxa"/>
            <w:shd w:val="clear" w:color="auto" w:fill="E5B8B7" w:themeFill="accent2" w:themeFillTint="66"/>
          </w:tcPr>
          <w:p w:rsidR="0005279E" w:rsidRPr="005A14C4" w:rsidRDefault="0005279E" w:rsidP="00087A7D">
            <w:pPr>
              <w:rPr>
                <w:rFonts w:cs="Arial"/>
                <w:color w:val="000000" w:themeColor="text1"/>
                <w:sz w:val="24"/>
                <w:szCs w:val="24"/>
              </w:rPr>
            </w:pPr>
          </w:p>
        </w:tc>
        <w:tc>
          <w:tcPr>
            <w:tcW w:w="5917"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 xml:space="preserve">There was a 0.7% deterioration in sickness absence in November 2019 compared to October 2019, with sickness rising from 4.4% to 5.1%.  </w:t>
            </w:r>
            <w:r>
              <w:rPr>
                <w:rFonts w:cs="Arial"/>
                <w:color w:val="000000" w:themeColor="text1"/>
                <w:sz w:val="24"/>
                <w:szCs w:val="24"/>
              </w:rPr>
              <w:t xml:space="preserve">Corporate sickness rose by 1.9% from 2.3% to 4.2% </w:t>
            </w:r>
          </w:p>
        </w:tc>
      </w:tr>
      <w:tr w:rsidR="0005279E" w:rsidRPr="008F71E1" w:rsidTr="00087A7D">
        <w:trPr>
          <w:trHeight w:val="707"/>
        </w:trPr>
        <w:tc>
          <w:tcPr>
            <w:tcW w:w="2802" w:type="dxa"/>
          </w:tcPr>
          <w:p w:rsidR="0005279E" w:rsidRPr="008F71E1" w:rsidRDefault="0005279E" w:rsidP="00087A7D">
            <w:pPr>
              <w:rPr>
                <w:rFonts w:cs="Arial"/>
                <w:color w:val="000000" w:themeColor="text1"/>
                <w:sz w:val="24"/>
                <w:szCs w:val="24"/>
              </w:rPr>
            </w:pPr>
            <w:r w:rsidRPr="008F71E1">
              <w:rPr>
                <w:rFonts w:cs="Arial"/>
                <w:color w:val="000000" w:themeColor="text1"/>
                <w:sz w:val="24"/>
                <w:szCs w:val="24"/>
              </w:rPr>
              <w:t>Medical appraisal with completed interview and form 4</w:t>
            </w:r>
          </w:p>
        </w:tc>
        <w:tc>
          <w:tcPr>
            <w:tcW w:w="567" w:type="dxa"/>
            <w:shd w:val="clear" w:color="auto" w:fill="E5B8B7" w:themeFill="accent2" w:themeFillTint="66"/>
          </w:tcPr>
          <w:p w:rsidR="0005279E" w:rsidRPr="008F71E1" w:rsidRDefault="0005279E" w:rsidP="00087A7D">
            <w:pPr>
              <w:rPr>
                <w:rFonts w:cs="Arial"/>
                <w:color w:val="000000" w:themeColor="text1"/>
                <w:sz w:val="24"/>
                <w:szCs w:val="24"/>
              </w:rPr>
            </w:pPr>
          </w:p>
        </w:tc>
        <w:tc>
          <w:tcPr>
            <w:tcW w:w="5917" w:type="dxa"/>
          </w:tcPr>
          <w:p w:rsidR="0005279E" w:rsidRPr="008F71E1" w:rsidRDefault="0005279E" w:rsidP="00087A7D">
            <w:pPr>
              <w:rPr>
                <w:rFonts w:cs="Arial"/>
                <w:color w:val="000000" w:themeColor="text1"/>
                <w:sz w:val="24"/>
                <w:szCs w:val="24"/>
              </w:rPr>
            </w:pPr>
            <w:r w:rsidRPr="008F71E1">
              <w:rPr>
                <w:rFonts w:cs="Arial"/>
                <w:color w:val="000000" w:themeColor="text1"/>
                <w:sz w:val="24"/>
                <w:szCs w:val="24"/>
              </w:rPr>
              <w:t>Reported position at end of November 2019 was 22.4% (28/125) against a target of 50%.</w:t>
            </w:r>
          </w:p>
        </w:tc>
      </w:tr>
      <w:tr w:rsidR="0005279E" w:rsidRPr="005A14C4" w:rsidTr="00087A7D">
        <w:trPr>
          <w:trHeight w:val="651"/>
        </w:trPr>
        <w:tc>
          <w:tcPr>
            <w:tcW w:w="2802"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TURAS Appraisal rates</w:t>
            </w:r>
          </w:p>
        </w:tc>
        <w:tc>
          <w:tcPr>
            <w:tcW w:w="567" w:type="dxa"/>
            <w:shd w:val="clear" w:color="auto" w:fill="E5B8B7" w:themeFill="accent2" w:themeFillTint="66"/>
          </w:tcPr>
          <w:p w:rsidR="0005279E" w:rsidRPr="005A14C4" w:rsidRDefault="0005279E" w:rsidP="00087A7D">
            <w:pPr>
              <w:rPr>
                <w:rFonts w:cs="Arial"/>
                <w:color w:val="000000" w:themeColor="text1"/>
                <w:sz w:val="24"/>
                <w:szCs w:val="24"/>
              </w:rPr>
            </w:pPr>
          </w:p>
        </w:tc>
        <w:tc>
          <w:tcPr>
            <w:tcW w:w="5917" w:type="dxa"/>
          </w:tcPr>
          <w:p w:rsidR="0005279E" w:rsidRPr="005A14C4" w:rsidRDefault="0005279E" w:rsidP="00087A7D">
            <w:pPr>
              <w:rPr>
                <w:rFonts w:cs="Arial"/>
                <w:color w:val="000000" w:themeColor="text1"/>
                <w:sz w:val="24"/>
                <w:szCs w:val="24"/>
              </w:rPr>
            </w:pPr>
            <w:r w:rsidRPr="005A14C4">
              <w:rPr>
                <w:rFonts w:cs="Arial"/>
                <w:color w:val="000000" w:themeColor="text1"/>
                <w:sz w:val="24"/>
                <w:szCs w:val="24"/>
              </w:rPr>
              <w:t>Increased by four percent to 78% in November 2019 but remained below the required threshold of 80%. The Hotel (86%) and Heart, Lung and Diagnostic (80%) Divisions achieved the threshold</w:t>
            </w:r>
          </w:p>
        </w:tc>
      </w:tr>
      <w:tr w:rsidR="0005279E" w:rsidRPr="00550EA2" w:rsidTr="00087A7D">
        <w:trPr>
          <w:trHeight w:val="651"/>
        </w:trPr>
        <w:tc>
          <w:tcPr>
            <w:tcW w:w="2802" w:type="dxa"/>
          </w:tcPr>
          <w:p w:rsidR="0005279E" w:rsidRPr="00550EA2" w:rsidRDefault="0005279E" w:rsidP="00087A7D">
            <w:pPr>
              <w:rPr>
                <w:rFonts w:cs="Arial"/>
                <w:sz w:val="24"/>
                <w:szCs w:val="24"/>
                <w:highlight w:val="yellow"/>
              </w:rPr>
            </w:pPr>
            <w:r w:rsidRPr="00550EA2">
              <w:rPr>
                <w:rFonts w:cs="Arial"/>
                <w:sz w:val="24"/>
                <w:szCs w:val="24"/>
              </w:rPr>
              <w:t>Job Planning Surgical Specialties: Consultants</w:t>
            </w:r>
          </w:p>
        </w:tc>
        <w:tc>
          <w:tcPr>
            <w:tcW w:w="567" w:type="dxa"/>
            <w:shd w:val="clear" w:color="auto" w:fill="D6E3BC" w:themeFill="accent3" w:themeFillTint="66"/>
          </w:tcPr>
          <w:p w:rsidR="0005279E" w:rsidRPr="00550EA2" w:rsidRDefault="0005279E" w:rsidP="00087A7D">
            <w:pPr>
              <w:rPr>
                <w:rFonts w:cs="Arial"/>
                <w:sz w:val="24"/>
                <w:szCs w:val="24"/>
                <w:highlight w:val="yellow"/>
              </w:rPr>
            </w:pPr>
          </w:p>
        </w:tc>
        <w:tc>
          <w:tcPr>
            <w:tcW w:w="5917" w:type="dxa"/>
          </w:tcPr>
          <w:p w:rsidR="0005279E" w:rsidRPr="00550EA2" w:rsidRDefault="0005279E" w:rsidP="00087A7D">
            <w:pPr>
              <w:rPr>
                <w:rFonts w:cs="Arial"/>
                <w:sz w:val="24"/>
                <w:szCs w:val="24"/>
                <w:highlight w:val="yellow"/>
              </w:rPr>
            </w:pPr>
            <w:r w:rsidRPr="00550EA2">
              <w:rPr>
                <w:rFonts w:cs="Arial"/>
                <w:sz w:val="24"/>
                <w:szCs w:val="24"/>
              </w:rPr>
              <w:t xml:space="preserve">Surgical consultant job plans remain on target with 79.3%, (55/69), having an approved job plan. </w:t>
            </w:r>
          </w:p>
        </w:tc>
      </w:tr>
      <w:tr w:rsidR="0005279E" w:rsidRPr="00550EA2" w:rsidTr="00087A7D">
        <w:trPr>
          <w:trHeight w:val="574"/>
        </w:trPr>
        <w:tc>
          <w:tcPr>
            <w:tcW w:w="2802" w:type="dxa"/>
          </w:tcPr>
          <w:p w:rsidR="0005279E" w:rsidRPr="00550EA2" w:rsidRDefault="0005279E" w:rsidP="00087A7D">
            <w:pPr>
              <w:rPr>
                <w:rFonts w:cs="Arial"/>
                <w:sz w:val="24"/>
                <w:szCs w:val="24"/>
              </w:rPr>
            </w:pPr>
            <w:r w:rsidRPr="00550EA2">
              <w:rPr>
                <w:rFonts w:cs="Arial"/>
                <w:sz w:val="24"/>
                <w:szCs w:val="24"/>
              </w:rPr>
              <w:t>Job Planning SAS &amp; RNM Consultants</w:t>
            </w:r>
          </w:p>
        </w:tc>
        <w:tc>
          <w:tcPr>
            <w:tcW w:w="567" w:type="dxa"/>
            <w:shd w:val="clear" w:color="auto" w:fill="E5B8B7" w:themeFill="accent2" w:themeFillTint="66"/>
          </w:tcPr>
          <w:p w:rsidR="0005279E" w:rsidRPr="00550EA2" w:rsidRDefault="0005279E" w:rsidP="00087A7D">
            <w:pPr>
              <w:rPr>
                <w:rFonts w:cs="Arial"/>
                <w:sz w:val="24"/>
                <w:szCs w:val="24"/>
              </w:rPr>
            </w:pPr>
          </w:p>
        </w:tc>
        <w:tc>
          <w:tcPr>
            <w:tcW w:w="5917" w:type="dxa"/>
          </w:tcPr>
          <w:p w:rsidR="0005279E" w:rsidRPr="00550EA2" w:rsidRDefault="0005279E" w:rsidP="00087A7D">
            <w:pPr>
              <w:rPr>
                <w:rFonts w:cs="Arial"/>
                <w:sz w:val="24"/>
                <w:szCs w:val="24"/>
              </w:rPr>
            </w:pPr>
            <w:r w:rsidRPr="00550EA2">
              <w:rPr>
                <w:rFonts w:cs="Arial"/>
                <w:sz w:val="24"/>
                <w:szCs w:val="24"/>
              </w:rPr>
              <w:t xml:space="preserve">Position remains as 37.5% (3/8) of SAS doctors and 37.5% (6/16) of RNM consultants with approved job plans by the end of November 2019. </w:t>
            </w:r>
          </w:p>
        </w:tc>
      </w:tr>
    </w:tbl>
    <w:p w:rsidR="00AA1592" w:rsidRDefault="00AA1592"/>
    <w:p w:rsidR="00E6234A" w:rsidRDefault="00E6234A"/>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780706" w:rsidRDefault="00780706"/>
    <w:p w:rsidR="00312C58" w:rsidRDefault="00312C58"/>
    <w:p w:rsidR="00312C58" w:rsidRDefault="00312C58"/>
    <w:p w:rsidR="00312C58" w:rsidRDefault="00312C58"/>
    <w:p w:rsidR="00CC5F6F" w:rsidRPr="00BB2C7D" w:rsidRDefault="00D717CD" w:rsidP="00961DB1">
      <w:pPr>
        <w:spacing w:after="180"/>
        <w:rPr>
          <w:rFonts w:cs="Arial"/>
          <w:b/>
          <w:color w:val="000000" w:themeColor="text1"/>
          <w:sz w:val="28"/>
          <w:szCs w:val="28"/>
        </w:rPr>
      </w:pPr>
      <w:r>
        <w:rPr>
          <w:rFonts w:cs="Arial"/>
          <w:b/>
          <w:color w:val="000000" w:themeColor="text1"/>
          <w:sz w:val="28"/>
          <w:szCs w:val="28"/>
        </w:rPr>
        <w:lastRenderedPageBreak/>
        <w:t xml:space="preserve">Staff Governance </w:t>
      </w:r>
      <w:r w:rsidR="00CC5F6F" w:rsidRPr="00BB2C7D">
        <w:rPr>
          <w:rFonts w:cs="Arial"/>
          <w:b/>
          <w:color w:val="000000" w:themeColor="text1"/>
          <w:sz w:val="28"/>
          <w:szCs w:val="28"/>
        </w:rPr>
        <w:t>Executive Summary</w:t>
      </w:r>
    </w:p>
    <w:p w:rsidR="0005279E" w:rsidRPr="0064786A" w:rsidRDefault="0005279E" w:rsidP="0005279E">
      <w:pPr>
        <w:ind w:right="2"/>
        <w:rPr>
          <w:rFonts w:cs="Arial"/>
        </w:rPr>
      </w:pPr>
    </w:p>
    <w:p w:rsidR="0005279E" w:rsidRPr="00595050" w:rsidRDefault="0005279E" w:rsidP="0005279E">
      <w:pPr>
        <w:tabs>
          <w:tab w:val="left" w:pos="576"/>
        </w:tabs>
        <w:ind w:right="2"/>
        <w:textAlignment w:val="baseline"/>
        <w:rPr>
          <w:rFonts w:cs="Arial"/>
          <w:color w:val="000000"/>
          <w:sz w:val="24"/>
        </w:rPr>
      </w:pPr>
      <w:r w:rsidRPr="00595050">
        <w:rPr>
          <w:rFonts w:cs="Arial"/>
          <w:color w:val="000000"/>
          <w:sz w:val="24"/>
        </w:rPr>
        <w:t>Within the Staff Governance section of the IPR we report on the following:</w:t>
      </w:r>
    </w:p>
    <w:p w:rsidR="0005279E" w:rsidRPr="00595050" w:rsidRDefault="0005279E" w:rsidP="0005279E">
      <w:pPr>
        <w:numPr>
          <w:ilvl w:val="0"/>
          <w:numId w:val="33"/>
        </w:numPr>
        <w:tabs>
          <w:tab w:val="left" w:pos="576"/>
        </w:tabs>
        <w:ind w:right="2"/>
        <w:textAlignment w:val="baseline"/>
        <w:rPr>
          <w:rFonts w:cs="Arial"/>
          <w:color w:val="000000"/>
          <w:sz w:val="24"/>
        </w:rPr>
      </w:pPr>
      <w:r w:rsidRPr="00595050">
        <w:rPr>
          <w:rFonts w:cs="Arial"/>
          <w:color w:val="000000"/>
          <w:sz w:val="24"/>
        </w:rPr>
        <w:t>sickness absence rates;</w:t>
      </w:r>
    </w:p>
    <w:p w:rsidR="0005279E" w:rsidRPr="00595050" w:rsidRDefault="0005279E" w:rsidP="0005279E">
      <w:pPr>
        <w:numPr>
          <w:ilvl w:val="0"/>
          <w:numId w:val="33"/>
        </w:numPr>
        <w:tabs>
          <w:tab w:val="left" w:pos="576"/>
        </w:tabs>
        <w:ind w:right="2"/>
        <w:textAlignment w:val="baseline"/>
        <w:rPr>
          <w:rFonts w:cs="Arial"/>
          <w:color w:val="000000"/>
          <w:sz w:val="24"/>
        </w:rPr>
      </w:pPr>
      <w:r w:rsidRPr="00595050">
        <w:rPr>
          <w:rFonts w:cs="Arial"/>
          <w:color w:val="000000"/>
          <w:sz w:val="24"/>
        </w:rPr>
        <w:t>appraisal rates for those under Agenda for Change and medical pay scales; and</w:t>
      </w:r>
    </w:p>
    <w:p w:rsidR="0005279E" w:rsidRPr="0064786A" w:rsidRDefault="0005279E" w:rsidP="0005279E">
      <w:pPr>
        <w:numPr>
          <w:ilvl w:val="0"/>
          <w:numId w:val="33"/>
        </w:numPr>
        <w:tabs>
          <w:tab w:val="left" w:pos="576"/>
        </w:tabs>
        <w:ind w:right="2"/>
        <w:textAlignment w:val="baseline"/>
        <w:rPr>
          <w:rFonts w:cs="Arial"/>
          <w:color w:val="000000"/>
        </w:rPr>
      </w:pPr>
      <w:r w:rsidRPr="00595050">
        <w:rPr>
          <w:rFonts w:cs="Arial"/>
          <w:color w:val="000000"/>
          <w:sz w:val="24"/>
        </w:rPr>
        <w:t>medical job planning</w:t>
      </w:r>
      <w:r w:rsidRPr="0064786A">
        <w:rPr>
          <w:rFonts w:cs="Arial"/>
          <w:color w:val="000000"/>
        </w:rPr>
        <w:t>.</w:t>
      </w:r>
    </w:p>
    <w:p w:rsidR="0005279E" w:rsidRPr="0064786A" w:rsidRDefault="0005279E" w:rsidP="0005279E">
      <w:pPr>
        <w:tabs>
          <w:tab w:val="left" w:pos="576"/>
        </w:tabs>
        <w:ind w:right="2"/>
        <w:textAlignment w:val="baseline"/>
        <w:rPr>
          <w:rFonts w:cs="Arial"/>
          <w:color w:val="000000"/>
        </w:rPr>
      </w:pPr>
    </w:p>
    <w:p w:rsidR="0005279E" w:rsidRPr="00595050" w:rsidRDefault="0005279E" w:rsidP="0005279E">
      <w:pPr>
        <w:tabs>
          <w:tab w:val="left" w:pos="576"/>
        </w:tabs>
        <w:ind w:right="2"/>
        <w:textAlignment w:val="baseline"/>
        <w:rPr>
          <w:rFonts w:cs="Arial"/>
          <w:b/>
          <w:color w:val="000000"/>
          <w:sz w:val="24"/>
        </w:rPr>
      </w:pPr>
      <w:r w:rsidRPr="00595050">
        <w:rPr>
          <w:rFonts w:cs="Arial"/>
          <w:b/>
          <w:color w:val="000000"/>
          <w:sz w:val="24"/>
        </w:rPr>
        <w:t>Sickness absence</w:t>
      </w:r>
    </w:p>
    <w:p w:rsidR="0005279E" w:rsidRPr="00595050" w:rsidRDefault="0005279E" w:rsidP="0005279E">
      <w:pPr>
        <w:tabs>
          <w:tab w:val="left" w:pos="576"/>
        </w:tabs>
        <w:ind w:right="2"/>
        <w:textAlignment w:val="baseline"/>
        <w:rPr>
          <w:rFonts w:cs="Arial"/>
          <w:color w:val="000000"/>
          <w:sz w:val="24"/>
        </w:rPr>
      </w:pPr>
      <w:r w:rsidRPr="00595050">
        <w:rPr>
          <w:rFonts w:cs="Arial"/>
          <w:color w:val="000000"/>
          <w:sz w:val="24"/>
        </w:rPr>
        <w:t>In November 2019 the Board’s sickness absence rate rose to 5.1%, up from 4.4% the previous month.  This was accounted for by an increase in the rate of sickness absence across three of the directorates, most markedly in Corporate, which rose by 1.9% to 4.2%.  Only Regional and National Medicine fell, from 5.3% to 4.9%, but this is still markedly higher than the average for the Directorate.</w:t>
      </w:r>
    </w:p>
    <w:p w:rsidR="0005279E" w:rsidRPr="00595050" w:rsidRDefault="0005279E" w:rsidP="0005279E">
      <w:pPr>
        <w:tabs>
          <w:tab w:val="left" w:pos="576"/>
        </w:tabs>
        <w:ind w:right="2"/>
        <w:textAlignment w:val="baseline"/>
        <w:rPr>
          <w:rFonts w:cs="Arial"/>
          <w:color w:val="000000"/>
          <w:sz w:val="24"/>
        </w:rPr>
      </w:pPr>
    </w:p>
    <w:p w:rsidR="0005279E" w:rsidRPr="00595050" w:rsidRDefault="0005279E" w:rsidP="0005279E">
      <w:pPr>
        <w:rPr>
          <w:rFonts w:cs="Arial"/>
          <w:sz w:val="24"/>
        </w:rPr>
      </w:pPr>
      <w:r w:rsidRPr="00595050">
        <w:rPr>
          <w:rFonts w:cs="Arial"/>
          <w:sz w:val="24"/>
        </w:rPr>
        <w:t>As with previous months, a large proportion of sickness absence was due to “Anxiety/stress/ depression/other psychiatric illnesses”, which accounted for 30.2% of the Board’s sickness absence.  It was the main cause of sickness absence in all four directorates.</w:t>
      </w:r>
    </w:p>
    <w:p w:rsidR="0005279E" w:rsidRPr="00595050" w:rsidRDefault="0005279E" w:rsidP="0005279E">
      <w:pPr>
        <w:rPr>
          <w:rFonts w:cs="Arial"/>
          <w:sz w:val="24"/>
        </w:rPr>
      </w:pPr>
    </w:p>
    <w:p w:rsidR="0005279E" w:rsidRPr="00595050" w:rsidRDefault="0005279E" w:rsidP="0005279E">
      <w:pPr>
        <w:rPr>
          <w:rFonts w:cs="Arial"/>
          <w:sz w:val="24"/>
        </w:rPr>
      </w:pPr>
      <w:r w:rsidRPr="00595050">
        <w:rPr>
          <w:rFonts w:cs="Arial"/>
          <w:sz w:val="24"/>
        </w:rPr>
        <w:t>Information relating to directorate and departmental sickness absence rates continues to be circulated to Heads of Department on a monthly basis. Management, Occupational Health and the Human Resources Team continue to work together to support members of staff during their absences, and to work with staff members to reduce the number and length of sickness absences, assisting them to remain at work and return to work sooner. Occupational Health Physiotherapy offers rapid access to help alleviate musculoskeletal problems.</w:t>
      </w:r>
    </w:p>
    <w:p w:rsidR="0005279E" w:rsidRPr="00595050" w:rsidRDefault="0005279E" w:rsidP="0005279E">
      <w:pPr>
        <w:tabs>
          <w:tab w:val="left" w:pos="576"/>
        </w:tabs>
        <w:ind w:right="2"/>
        <w:textAlignment w:val="baseline"/>
        <w:rPr>
          <w:rFonts w:cs="Arial"/>
          <w:color w:val="000000"/>
          <w:sz w:val="24"/>
        </w:rPr>
      </w:pPr>
    </w:p>
    <w:p w:rsidR="0005279E" w:rsidRPr="00595050" w:rsidRDefault="0005279E" w:rsidP="0005279E">
      <w:pPr>
        <w:ind w:right="2"/>
        <w:textAlignment w:val="baseline"/>
        <w:rPr>
          <w:rFonts w:cs="Arial"/>
          <w:sz w:val="24"/>
        </w:rPr>
      </w:pPr>
      <w:r w:rsidRPr="00595050">
        <w:rPr>
          <w:rFonts w:cs="Arial"/>
          <w:sz w:val="24"/>
        </w:rPr>
        <w:t>We undertook a mental health check survey from 2</w:t>
      </w:r>
      <w:r w:rsidRPr="00595050">
        <w:rPr>
          <w:rFonts w:cs="Arial"/>
          <w:sz w:val="24"/>
          <w:vertAlign w:val="superscript"/>
        </w:rPr>
        <w:t>nd</w:t>
      </w:r>
      <w:r w:rsidRPr="00595050">
        <w:rPr>
          <w:rFonts w:cs="Arial"/>
          <w:sz w:val="24"/>
        </w:rPr>
        <w:t xml:space="preserve"> to 27</w:t>
      </w:r>
      <w:r w:rsidRPr="00595050">
        <w:rPr>
          <w:rFonts w:cs="Arial"/>
          <w:sz w:val="24"/>
          <w:vertAlign w:val="superscript"/>
        </w:rPr>
        <w:t>th</w:t>
      </w:r>
      <w:r w:rsidRPr="00595050">
        <w:rPr>
          <w:rFonts w:cs="Arial"/>
          <w:sz w:val="24"/>
        </w:rPr>
        <w:t xml:space="preserve"> September 2019 in partnership with See Me, the national programme to end mental health stigma and discrimination.  We received 490 responses from staff.  58% of respondents identified as having experienced a mental health problem within the organisation and or in a previous organisation.   A meeting took place on Tuesday 26</w:t>
      </w:r>
      <w:r w:rsidRPr="00595050">
        <w:rPr>
          <w:rFonts w:cs="Arial"/>
          <w:sz w:val="24"/>
          <w:vertAlign w:val="superscript"/>
        </w:rPr>
        <w:t>th</w:t>
      </w:r>
      <w:r w:rsidRPr="00595050">
        <w:rPr>
          <w:rFonts w:cs="Arial"/>
          <w:sz w:val="24"/>
        </w:rPr>
        <w:t xml:space="preserve"> November 2019 with See Me to discuss the findings within the report and identify the priorities for the Board in order to develop an action plan towards creating a mentally healthy workplace.</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sz w:val="24"/>
        </w:rPr>
      </w:pPr>
      <w:r w:rsidRPr="00595050">
        <w:rPr>
          <w:rFonts w:cs="Arial"/>
          <w:sz w:val="24"/>
        </w:rPr>
        <w:t>The report indicates that there are good areas of practice and staff do feel supported by managers and colleagues within the workplace.  There are areas where we can make improvements and which are likely to have the most impact for us such as:</w:t>
      </w:r>
    </w:p>
    <w:p w:rsidR="0005279E" w:rsidRPr="00595050" w:rsidRDefault="0005279E" w:rsidP="0005279E">
      <w:pPr>
        <w:numPr>
          <w:ilvl w:val="0"/>
          <w:numId w:val="34"/>
        </w:numPr>
        <w:ind w:right="2"/>
        <w:textAlignment w:val="baseline"/>
        <w:rPr>
          <w:rFonts w:cs="Arial"/>
          <w:sz w:val="24"/>
        </w:rPr>
      </w:pPr>
      <w:r w:rsidRPr="00595050">
        <w:rPr>
          <w:rFonts w:cs="Arial"/>
          <w:sz w:val="24"/>
        </w:rPr>
        <w:t>commitment of senior leaders and managers;</w:t>
      </w:r>
    </w:p>
    <w:p w:rsidR="0005279E" w:rsidRPr="00595050" w:rsidRDefault="0005279E" w:rsidP="0005279E">
      <w:pPr>
        <w:numPr>
          <w:ilvl w:val="0"/>
          <w:numId w:val="34"/>
        </w:numPr>
        <w:ind w:right="2"/>
        <w:textAlignment w:val="baseline"/>
        <w:rPr>
          <w:rFonts w:cs="Arial"/>
          <w:sz w:val="24"/>
        </w:rPr>
      </w:pPr>
      <w:r w:rsidRPr="00595050">
        <w:rPr>
          <w:rFonts w:cs="Arial"/>
          <w:sz w:val="24"/>
        </w:rPr>
        <w:t>safe, effective and pertinent disclosure of mental health concerns;</w:t>
      </w:r>
    </w:p>
    <w:p w:rsidR="0005279E" w:rsidRPr="00595050" w:rsidRDefault="0005279E" w:rsidP="0005279E">
      <w:pPr>
        <w:numPr>
          <w:ilvl w:val="0"/>
          <w:numId w:val="34"/>
        </w:numPr>
        <w:ind w:right="2"/>
        <w:textAlignment w:val="baseline"/>
        <w:rPr>
          <w:rFonts w:cs="Arial"/>
          <w:sz w:val="24"/>
        </w:rPr>
      </w:pPr>
      <w:r w:rsidRPr="00595050">
        <w:rPr>
          <w:rFonts w:cs="Arial"/>
          <w:sz w:val="24"/>
        </w:rPr>
        <w:t>confident and informed line managers;</w:t>
      </w:r>
    </w:p>
    <w:p w:rsidR="0005279E" w:rsidRPr="00595050" w:rsidRDefault="0005279E" w:rsidP="0005279E">
      <w:pPr>
        <w:numPr>
          <w:ilvl w:val="0"/>
          <w:numId w:val="34"/>
        </w:numPr>
        <w:ind w:right="2"/>
        <w:textAlignment w:val="baseline"/>
        <w:rPr>
          <w:rFonts w:cs="Arial"/>
          <w:sz w:val="24"/>
        </w:rPr>
      </w:pPr>
      <w:r w:rsidRPr="00595050">
        <w:rPr>
          <w:rFonts w:cs="Arial"/>
          <w:sz w:val="24"/>
        </w:rPr>
        <w:t>understanding and adopting reasonable adjustments;</w:t>
      </w:r>
    </w:p>
    <w:p w:rsidR="0005279E" w:rsidRPr="00595050" w:rsidRDefault="0005279E" w:rsidP="0005279E">
      <w:pPr>
        <w:numPr>
          <w:ilvl w:val="0"/>
          <w:numId w:val="34"/>
        </w:numPr>
        <w:ind w:right="2"/>
        <w:textAlignment w:val="baseline"/>
        <w:rPr>
          <w:rFonts w:cs="Arial"/>
          <w:sz w:val="24"/>
        </w:rPr>
      </w:pPr>
      <w:r w:rsidRPr="00595050">
        <w:rPr>
          <w:rFonts w:cs="Arial"/>
          <w:sz w:val="24"/>
        </w:rPr>
        <w:t>increased mental health awareness and literacy;</w:t>
      </w:r>
    </w:p>
    <w:p w:rsidR="0005279E" w:rsidRPr="00595050" w:rsidRDefault="0005279E" w:rsidP="0005279E">
      <w:pPr>
        <w:numPr>
          <w:ilvl w:val="0"/>
          <w:numId w:val="34"/>
        </w:numPr>
        <w:ind w:right="2"/>
        <w:textAlignment w:val="baseline"/>
        <w:rPr>
          <w:rFonts w:cs="Arial"/>
          <w:sz w:val="24"/>
        </w:rPr>
      </w:pPr>
      <w:r w:rsidRPr="00595050">
        <w:rPr>
          <w:rFonts w:cs="Arial"/>
          <w:sz w:val="24"/>
        </w:rPr>
        <w:t>effective approaches to training including a wider range of resource tools, e-learning for all staff;</w:t>
      </w:r>
    </w:p>
    <w:p w:rsidR="0005279E" w:rsidRPr="00595050" w:rsidRDefault="0005279E" w:rsidP="0005279E">
      <w:pPr>
        <w:numPr>
          <w:ilvl w:val="0"/>
          <w:numId w:val="34"/>
        </w:numPr>
        <w:ind w:right="2"/>
        <w:textAlignment w:val="baseline"/>
        <w:rPr>
          <w:rFonts w:cs="Arial"/>
          <w:sz w:val="24"/>
        </w:rPr>
      </w:pPr>
      <w:r w:rsidRPr="00595050">
        <w:rPr>
          <w:rFonts w:cs="Arial"/>
          <w:sz w:val="24"/>
        </w:rPr>
        <w:t>stigma free culture and ethos; and</w:t>
      </w:r>
    </w:p>
    <w:p w:rsidR="0005279E" w:rsidRPr="00595050" w:rsidRDefault="0005279E" w:rsidP="0005279E">
      <w:pPr>
        <w:numPr>
          <w:ilvl w:val="0"/>
          <w:numId w:val="34"/>
        </w:numPr>
        <w:ind w:right="2"/>
        <w:textAlignment w:val="baseline"/>
        <w:rPr>
          <w:rFonts w:cs="Arial"/>
          <w:sz w:val="24"/>
        </w:rPr>
      </w:pPr>
      <w:r w:rsidRPr="00595050">
        <w:rPr>
          <w:rFonts w:cs="Arial"/>
          <w:sz w:val="24"/>
        </w:rPr>
        <w:t>effective communication of support available to current staff and potential/future staff.</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sz w:val="24"/>
        </w:rPr>
      </w:pPr>
      <w:r w:rsidRPr="00595050">
        <w:rPr>
          <w:rFonts w:cs="Arial"/>
          <w:sz w:val="24"/>
        </w:rPr>
        <w:lastRenderedPageBreak/>
        <w:t>Further work will be done to formulate an action plan which will be shared with the Staff Governance Sub Group.</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b/>
          <w:sz w:val="24"/>
        </w:rPr>
      </w:pPr>
      <w:r w:rsidRPr="00595050">
        <w:rPr>
          <w:rFonts w:cs="Arial"/>
          <w:b/>
          <w:sz w:val="24"/>
        </w:rPr>
        <w:t>Agenda for Change appraisal</w:t>
      </w:r>
    </w:p>
    <w:p w:rsidR="0005279E" w:rsidRPr="00595050" w:rsidRDefault="0005279E" w:rsidP="0005279E">
      <w:pPr>
        <w:ind w:right="2"/>
        <w:textAlignment w:val="baseline"/>
        <w:rPr>
          <w:rFonts w:cs="Arial"/>
          <w:sz w:val="24"/>
        </w:rPr>
      </w:pPr>
      <w:r w:rsidRPr="00595050">
        <w:rPr>
          <w:rFonts w:cs="Arial"/>
          <w:sz w:val="24"/>
        </w:rPr>
        <w:t>Within the year to 30 November 2019 78% of staff who come under the Agenda for Change terms and conditions completed their appraisal using TURAS.  Managers are provided with monthly TURAS progress reports, which helps them to identify those members of staff who have undertaken appraisal within the previous rolling 12 months, as well as those who did not, and most urgently need to participate in appraisal.</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spacing w:val="-1"/>
          <w:sz w:val="24"/>
        </w:rPr>
      </w:pPr>
      <w:r w:rsidRPr="00595050">
        <w:rPr>
          <w:rFonts w:cs="Arial"/>
          <w:spacing w:val="-1"/>
          <w:sz w:val="24"/>
        </w:rPr>
        <w:t xml:space="preserve">We are undertaking an analysis of the staff governance data to compare sickness absence rates and TURAS appraisal completion rates to identify any departments where further support may be required where both areas are out with targets.  This information continues to be gathered in order that action plans can be developed to identify which areas require additional support to overcome any barriers or challenges they might be facing. </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b/>
          <w:sz w:val="24"/>
        </w:rPr>
      </w:pPr>
      <w:r w:rsidRPr="00595050">
        <w:rPr>
          <w:rFonts w:cs="Arial"/>
          <w:b/>
          <w:sz w:val="24"/>
        </w:rPr>
        <w:t>Medical appraisal</w:t>
      </w:r>
    </w:p>
    <w:p w:rsidR="0005279E" w:rsidRPr="00595050" w:rsidRDefault="0005279E" w:rsidP="0005279E">
      <w:pPr>
        <w:ind w:right="2"/>
        <w:textAlignment w:val="baseline"/>
        <w:rPr>
          <w:rFonts w:cs="Arial"/>
          <w:sz w:val="24"/>
        </w:rPr>
      </w:pPr>
      <w:r w:rsidRPr="00595050">
        <w:rPr>
          <w:rFonts w:cs="Arial"/>
          <w:sz w:val="24"/>
        </w:rPr>
        <w:t>The appraisal year for medical staff runs from 1 April to 31 March.  As at the end of November 129 medical staff were attached to NHS Golden Jubilee for appraisal and revalidation purposes.  By 30 November a total of 28/129 (21.7%) doctors had completed the appraisal process and had been issued with a Form 4, or had participated in an ARCP in the current appraisal year.</w:t>
      </w:r>
    </w:p>
    <w:p w:rsidR="0005279E" w:rsidRPr="00595050" w:rsidRDefault="0005279E" w:rsidP="0005279E">
      <w:pPr>
        <w:ind w:right="2"/>
        <w:textAlignment w:val="baseline"/>
        <w:rPr>
          <w:rFonts w:cs="Arial"/>
          <w:sz w:val="24"/>
        </w:rPr>
      </w:pPr>
    </w:p>
    <w:p w:rsidR="0005279E" w:rsidRPr="00595050" w:rsidRDefault="0005279E" w:rsidP="0005279E">
      <w:pPr>
        <w:ind w:right="2"/>
        <w:textAlignment w:val="baseline"/>
        <w:rPr>
          <w:rFonts w:cs="Arial"/>
          <w:b/>
          <w:sz w:val="24"/>
        </w:rPr>
      </w:pPr>
      <w:r w:rsidRPr="00595050">
        <w:rPr>
          <w:rFonts w:cs="Arial"/>
          <w:b/>
          <w:sz w:val="24"/>
        </w:rPr>
        <w:t>Medical job planning</w:t>
      </w:r>
    </w:p>
    <w:p w:rsidR="0005279E" w:rsidRPr="00595050" w:rsidRDefault="0005279E" w:rsidP="0005279E">
      <w:pPr>
        <w:ind w:right="2"/>
        <w:textAlignment w:val="baseline"/>
        <w:rPr>
          <w:rFonts w:cs="Arial"/>
          <w:sz w:val="24"/>
        </w:rPr>
      </w:pPr>
      <w:r w:rsidRPr="00595050">
        <w:rPr>
          <w:rFonts w:cs="Arial"/>
          <w:sz w:val="24"/>
        </w:rPr>
        <w:t>As of 30 November 64 out of 96 (66.7%) medical staff had signed off on their 2019/2020 job plan.</w:t>
      </w:r>
    </w:p>
    <w:p w:rsidR="00CC5F6F" w:rsidRPr="00595050" w:rsidRDefault="00CC5F6F">
      <w:pPr>
        <w:rPr>
          <w:sz w:val="24"/>
        </w:rPr>
      </w:pPr>
    </w:p>
    <w:p w:rsidR="00CC5F6F" w:rsidRPr="00595050" w:rsidRDefault="00CC5F6F">
      <w:pPr>
        <w:rPr>
          <w:sz w:val="24"/>
        </w:rPr>
      </w:pPr>
    </w:p>
    <w:p w:rsidR="00CC5F6F" w:rsidRDefault="00CC5F6F"/>
    <w:p w:rsidR="00CC5F6F" w:rsidRDefault="00CC5F6F"/>
    <w:p w:rsidR="00BB2C7D" w:rsidRDefault="00BB2C7D"/>
    <w:p w:rsidR="00D717CD" w:rsidRDefault="00D717CD">
      <w:pPr>
        <w:spacing w:after="200" w:line="276" w:lineRule="auto"/>
        <w:rPr>
          <w:rFonts w:cs="Arial"/>
          <w:b/>
          <w:color w:val="1F497D" w:themeColor="text2"/>
          <w:sz w:val="28"/>
          <w:szCs w:val="28"/>
        </w:rPr>
      </w:pPr>
      <w:r>
        <w:rPr>
          <w:rFonts w:cs="Arial"/>
          <w:b/>
          <w:color w:val="1F497D" w:themeColor="text2"/>
          <w:sz w:val="28"/>
          <w:szCs w:val="28"/>
        </w:rPr>
        <w:br w:type="page"/>
      </w:r>
    </w:p>
    <w:p w:rsidR="00A6577D" w:rsidRDefault="00A6577D" w:rsidP="00BB2C7D">
      <w:pPr>
        <w:spacing w:after="180"/>
        <w:rPr>
          <w:rFonts w:cs="Arial"/>
          <w:b/>
          <w:color w:val="1F497D" w:themeColor="text2"/>
          <w:sz w:val="28"/>
          <w:szCs w:val="28"/>
        </w:rPr>
      </w:pPr>
    </w:p>
    <w:p w:rsidR="00A6577D" w:rsidRPr="007B3705" w:rsidRDefault="00A6577D" w:rsidP="00A6577D">
      <w:pPr>
        <w:pStyle w:val="Heading1"/>
      </w:pPr>
      <w:r w:rsidRPr="007B3705">
        <w:t>Section B:</w:t>
      </w:r>
      <w:r>
        <w:t>3</w:t>
      </w:r>
      <w:r w:rsidRPr="007B3705">
        <w:t xml:space="preserve"> </w:t>
      </w:r>
      <w:r>
        <w:t>Finance, Performance and Resources</w:t>
      </w:r>
    </w:p>
    <w:p w:rsidR="00CC5F6F" w:rsidRDefault="00CC5F6F"/>
    <w:tbl>
      <w:tblPr>
        <w:tblStyle w:val="TableGrid"/>
        <w:tblW w:w="9286" w:type="dxa"/>
        <w:tblLayout w:type="fixed"/>
        <w:tblLook w:val="04A0" w:firstRow="1" w:lastRow="0" w:firstColumn="1" w:lastColumn="0" w:noHBand="0" w:noVBand="1"/>
      </w:tblPr>
      <w:tblGrid>
        <w:gridCol w:w="2802"/>
        <w:gridCol w:w="567"/>
        <w:gridCol w:w="5917"/>
      </w:tblGrid>
      <w:tr w:rsidR="0005279E" w:rsidRPr="00AF4974" w:rsidTr="00087A7D">
        <w:tc>
          <w:tcPr>
            <w:tcW w:w="9286" w:type="dxa"/>
            <w:gridSpan w:val="3"/>
            <w:shd w:val="clear" w:color="auto" w:fill="C4BC96" w:themeFill="background2" w:themeFillShade="BF"/>
          </w:tcPr>
          <w:p w:rsidR="0005279E" w:rsidRPr="00AF4974" w:rsidRDefault="0005279E" w:rsidP="00087A7D">
            <w:pPr>
              <w:rPr>
                <w:rFonts w:cs="Arial"/>
                <w:b/>
                <w:color w:val="000000" w:themeColor="text1"/>
                <w:sz w:val="24"/>
                <w:szCs w:val="24"/>
              </w:rPr>
            </w:pPr>
            <w:r w:rsidRPr="00AF4974">
              <w:rPr>
                <w:rFonts w:cs="Arial"/>
                <w:b/>
                <w:color w:val="000000" w:themeColor="text1"/>
                <w:sz w:val="24"/>
                <w:szCs w:val="24"/>
              </w:rPr>
              <w:t>Finance, Performance and Resources</w:t>
            </w:r>
          </w:p>
        </w:tc>
      </w:tr>
      <w:tr w:rsidR="0005279E" w:rsidRPr="00D1741D" w:rsidTr="00087A7D">
        <w:tc>
          <w:tcPr>
            <w:tcW w:w="2802" w:type="dxa"/>
          </w:tcPr>
          <w:p w:rsidR="0005279E" w:rsidRPr="00D1741D" w:rsidRDefault="0005279E" w:rsidP="00087A7D">
            <w:pPr>
              <w:rPr>
                <w:rFonts w:cs="Arial"/>
                <w:sz w:val="24"/>
                <w:szCs w:val="24"/>
              </w:rPr>
            </w:pPr>
            <w:r w:rsidRPr="00D1741D">
              <w:rPr>
                <w:rFonts w:cs="Arial"/>
                <w:sz w:val="24"/>
                <w:szCs w:val="24"/>
              </w:rPr>
              <w:t>Finance – Manage within annual budget limit</w:t>
            </w:r>
          </w:p>
        </w:tc>
        <w:tc>
          <w:tcPr>
            <w:tcW w:w="567" w:type="dxa"/>
            <w:shd w:val="clear" w:color="auto" w:fill="D6E3BC" w:themeFill="accent3" w:themeFillTint="66"/>
          </w:tcPr>
          <w:p w:rsidR="0005279E" w:rsidRPr="00D1741D" w:rsidRDefault="0005279E" w:rsidP="00087A7D">
            <w:pPr>
              <w:rPr>
                <w:rFonts w:cs="Arial"/>
                <w:sz w:val="24"/>
                <w:szCs w:val="24"/>
              </w:rPr>
            </w:pPr>
          </w:p>
        </w:tc>
        <w:tc>
          <w:tcPr>
            <w:tcW w:w="5917" w:type="dxa"/>
          </w:tcPr>
          <w:p w:rsidR="0005279E" w:rsidRPr="00D1741D" w:rsidRDefault="0005279E" w:rsidP="00312C58">
            <w:pPr>
              <w:rPr>
                <w:rFonts w:cs="Arial"/>
                <w:sz w:val="24"/>
                <w:szCs w:val="24"/>
              </w:rPr>
            </w:pPr>
            <w:r w:rsidRPr="00D1741D">
              <w:rPr>
                <w:rFonts w:cs="Arial"/>
                <w:sz w:val="24"/>
                <w:szCs w:val="24"/>
              </w:rPr>
              <w:t xml:space="preserve">The month </w:t>
            </w:r>
            <w:r w:rsidR="00312C58">
              <w:rPr>
                <w:rFonts w:cs="Arial"/>
                <w:sz w:val="24"/>
                <w:szCs w:val="24"/>
              </w:rPr>
              <w:t>eight</w:t>
            </w:r>
            <w:r w:rsidRPr="00D1741D">
              <w:rPr>
                <w:rFonts w:cs="Arial"/>
                <w:sz w:val="24"/>
                <w:szCs w:val="24"/>
              </w:rPr>
              <w:t xml:space="preserve"> year to date results show a position of £309,000 above the annual budget target. This is an improvement on month seven (£70,000).</w:t>
            </w:r>
          </w:p>
        </w:tc>
      </w:tr>
      <w:tr w:rsidR="0005279E" w:rsidRPr="00D1741D" w:rsidTr="00087A7D">
        <w:tc>
          <w:tcPr>
            <w:tcW w:w="2802" w:type="dxa"/>
          </w:tcPr>
          <w:p w:rsidR="0005279E" w:rsidRPr="00D1741D" w:rsidRDefault="0005279E" w:rsidP="00087A7D">
            <w:pPr>
              <w:rPr>
                <w:rFonts w:cs="Arial"/>
                <w:sz w:val="24"/>
                <w:szCs w:val="24"/>
              </w:rPr>
            </w:pPr>
            <w:r w:rsidRPr="00D1741D">
              <w:rPr>
                <w:rFonts w:cs="Arial"/>
                <w:sz w:val="24"/>
                <w:szCs w:val="24"/>
              </w:rPr>
              <w:t>Finance – Deliver Board efficiency target</w:t>
            </w:r>
          </w:p>
        </w:tc>
        <w:tc>
          <w:tcPr>
            <w:tcW w:w="567" w:type="dxa"/>
            <w:shd w:val="clear" w:color="auto" w:fill="FBD4B4" w:themeFill="accent6" w:themeFillTint="66"/>
          </w:tcPr>
          <w:p w:rsidR="0005279E" w:rsidRPr="00D1741D" w:rsidRDefault="0005279E" w:rsidP="00087A7D">
            <w:pPr>
              <w:rPr>
                <w:rFonts w:cs="Arial"/>
                <w:sz w:val="24"/>
                <w:szCs w:val="24"/>
              </w:rPr>
            </w:pPr>
          </w:p>
        </w:tc>
        <w:tc>
          <w:tcPr>
            <w:tcW w:w="5917" w:type="dxa"/>
          </w:tcPr>
          <w:p w:rsidR="0005279E" w:rsidRPr="00D1741D" w:rsidRDefault="0005279E" w:rsidP="00312C58">
            <w:pPr>
              <w:rPr>
                <w:rFonts w:cs="Arial"/>
                <w:sz w:val="24"/>
                <w:szCs w:val="24"/>
              </w:rPr>
            </w:pPr>
            <w:r w:rsidRPr="00D1741D">
              <w:rPr>
                <w:rFonts w:cs="Arial"/>
                <w:sz w:val="24"/>
                <w:szCs w:val="24"/>
              </w:rPr>
              <w:t xml:space="preserve">The month </w:t>
            </w:r>
            <w:r w:rsidR="00312C58">
              <w:rPr>
                <w:rFonts w:cs="Arial"/>
                <w:sz w:val="24"/>
                <w:szCs w:val="24"/>
              </w:rPr>
              <w:t>eight</w:t>
            </w:r>
            <w:r w:rsidRPr="00D1741D">
              <w:rPr>
                <w:rFonts w:cs="Arial"/>
                <w:sz w:val="24"/>
                <w:szCs w:val="24"/>
              </w:rPr>
              <w:t xml:space="preserve"> year to date results show an total cash releasing savings of £2.38m against a threshold of  £2.69m.</w:t>
            </w:r>
          </w:p>
        </w:tc>
      </w:tr>
      <w:tr w:rsidR="0005279E" w:rsidRPr="00D41D5A" w:rsidTr="00087A7D">
        <w:tc>
          <w:tcPr>
            <w:tcW w:w="2802" w:type="dxa"/>
            <w:shd w:val="clear" w:color="auto" w:fill="auto"/>
          </w:tcPr>
          <w:p w:rsidR="0005279E" w:rsidRPr="00D41D5A" w:rsidRDefault="0005279E" w:rsidP="00087A7D">
            <w:pPr>
              <w:rPr>
                <w:rFonts w:cs="Arial"/>
                <w:color w:val="000000" w:themeColor="text1"/>
                <w:sz w:val="24"/>
                <w:szCs w:val="24"/>
              </w:rPr>
            </w:pPr>
            <w:r w:rsidRPr="00D41D5A">
              <w:rPr>
                <w:rFonts w:cs="Arial"/>
                <w:color w:val="000000" w:themeColor="text1"/>
                <w:sz w:val="24"/>
                <w:szCs w:val="24"/>
              </w:rPr>
              <w:t xml:space="preserve">Cancer 31 Day </w:t>
            </w:r>
          </w:p>
        </w:tc>
        <w:tc>
          <w:tcPr>
            <w:tcW w:w="567" w:type="dxa"/>
            <w:shd w:val="clear" w:color="auto" w:fill="D6E3BC" w:themeFill="accent3" w:themeFillTint="66"/>
          </w:tcPr>
          <w:p w:rsidR="0005279E" w:rsidRPr="00D3264A" w:rsidRDefault="0005279E" w:rsidP="00087A7D">
            <w:pPr>
              <w:rPr>
                <w:rFonts w:cs="Arial"/>
                <w:color w:val="FF0000"/>
                <w:sz w:val="24"/>
                <w:szCs w:val="24"/>
              </w:rPr>
            </w:pPr>
          </w:p>
        </w:tc>
        <w:tc>
          <w:tcPr>
            <w:tcW w:w="5917" w:type="dxa"/>
            <w:shd w:val="clear" w:color="auto" w:fill="auto"/>
          </w:tcPr>
          <w:p w:rsidR="0005279E" w:rsidRPr="00D41D5A" w:rsidRDefault="0005279E" w:rsidP="00087A7D">
            <w:pPr>
              <w:rPr>
                <w:rFonts w:cs="Arial"/>
                <w:color w:val="000000" w:themeColor="text1"/>
                <w:sz w:val="24"/>
                <w:szCs w:val="24"/>
              </w:rPr>
            </w:pPr>
            <w:r w:rsidRPr="00D41D5A">
              <w:rPr>
                <w:rFonts w:cs="Arial"/>
                <w:color w:val="000000" w:themeColor="text1"/>
                <w:sz w:val="24"/>
                <w:szCs w:val="24"/>
              </w:rPr>
              <w:t xml:space="preserve">In October 2019 100% (29/30) patients on a cancer treatment pathway were reported as being seen within 31 days. </w:t>
            </w:r>
          </w:p>
        </w:tc>
      </w:tr>
      <w:tr w:rsidR="0005279E" w:rsidRPr="004B21A5" w:rsidTr="00087A7D">
        <w:tc>
          <w:tcPr>
            <w:tcW w:w="2802" w:type="dxa"/>
          </w:tcPr>
          <w:p w:rsidR="0005279E" w:rsidRPr="004B21A5" w:rsidRDefault="0005279E" w:rsidP="00087A7D">
            <w:pPr>
              <w:rPr>
                <w:rFonts w:cs="Arial"/>
                <w:color w:val="000000" w:themeColor="text1"/>
                <w:sz w:val="24"/>
                <w:szCs w:val="24"/>
                <w:highlight w:val="yellow"/>
              </w:rPr>
            </w:pPr>
            <w:r w:rsidRPr="004B21A5">
              <w:rPr>
                <w:rFonts w:cs="Arial"/>
                <w:color w:val="000000" w:themeColor="text1"/>
                <w:sz w:val="24"/>
                <w:szCs w:val="24"/>
              </w:rPr>
              <w:t>TTG: Number of patients who have breached the TTG</w:t>
            </w:r>
          </w:p>
        </w:tc>
        <w:tc>
          <w:tcPr>
            <w:tcW w:w="567" w:type="dxa"/>
            <w:shd w:val="clear" w:color="auto" w:fill="E5B8B7" w:themeFill="accent2" w:themeFillTint="66"/>
          </w:tcPr>
          <w:p w:rsidR="0005279E" w:rsidRPr="00D3264A" w:rsidRDefault="0005279E" w:rsidP="00087A7D">
            <w:pPr>
              <w:rPr>
                <w:rFonts w:cs="Arial"/>
                <w:color w:val="FF0000"/>
                <w:sz w:val="24"/>
                <w:szCs w:val="24"/>
                <w:highlight w:val="yellow"/>
              </w:rPr>
            </w:pPr>
          </w:p>
        </w:tc>
        <w:tc>
          <w:tcPr>
            <w:tcW w:w="5917" w:type="dxa"/>
          </w:tcPr>
          <w:p w:rsidR="0005279E" w:rsidRPr="004B21A5" w:rsidRDefault="0005279E" w:rsidP="00087A7D">
            <w:pPr>
              <w:rPr>
                <w:rFonts w:cs="Arial"/>
                <w:color w:val="000000" w:themeColor="text1"/>
                <w:sz w:val="24"/>
                <w:szCs w:val="24"/>
              </w:rPr>
            </w:pPr>
            <w:r w:rsidRPr="004B21A5">
              <w:rPr>
                <w:rFonts w:cs="Arial"/>
                <w:color w:val="000000" w:themeColor="text1"/>
                <w:sz w:val="24"/>
                <w:szCs w:val="24"/>
              </w:rPr>
              <w:t>In November 2019 there were 120 patients who exceeded their twelve week treatment time guarantee. This included 33 cardiac surgery patients,10 coronary patients,44 electrophysiology patients,21 device patients,2 lead extraction patients,1 TAVI patient,9 patients on the cardiology inpatient waiting list.</w:t>
            </w:r>
          </w:p>
        </w:tc>
      </w:tr>
      <w:tr w:rsidR="0005279E" w:rsidRPr="004B21A5" w:rsidTr="00087A7D">
        <w:tc>
          <w:tcPr>
            <w:tcW w:w="2802" w:type="dxa"/>
          </w:tcPr>
          <w:p w:rsidR="0005279E" w:rsidRPr="004B21A5" w:rsidRDefault="0005279E" w:rsidP="00087A7D">
            <w:pPr>
              <w:rPr>
                <w:rFonts w:cs="Arial"/>
                <w:color w:val="000000" w:themeColor="text1"/>
                <w:sz w:val="24"/>
                <w:szCs w:val="24"/>
              </w:rPr>
            </w:pPr>
            <w:r w:rsidRPr="004B21A5">
              <w:rPr>
                <w:rFonts w:cs="Arial"/>
                <w:color w:val="000000" w:themeColor="text1"/>
                <w:sz w:val="24"/>
                <w:szCs w:val="24"/>
              </w:rPr>
              <w:t>TTG: Percentage of patients admitted within 12 weeks</w:t>
            </w:r>
          </w:p>
        </w:tc>
        <w:tc>
          <w:tcPr>
            <w:tcW w:w="567" w:type="dxa"/>
            <w:shd w:val="clear" w:color="auto" w:fill="E5B8B7" w:themeFill="accent2" w:themeFillTint="66"/>
          </w:tcPr>
          <w:p w:rsidR="0005279E" w:rsidRPr="00D3264A" w:rsidRDefault="0005279E" w:rsidP="00087A7D">
            <w:pPr>
              <w:rPr>
                <w:rFonts w:cs="Arial"/>
                <w:color w:val="FF0000"/>
                <w:sz w:val="24"/>
                <w:szCs w:val="24"/>
              </w:rPr>
            </w:pPr>
          </w:p>
        </w:tc>
        <w:tc>
          <w:tcPr>
            <w:tcW w:w="5917" w:type="dxa"/>
            <w:shd w:val="clear" w:color="auto" w:fill="auto"/>
          </w:tcPr>
          <w:p w:rsidR="0005279E" w:rsidRPr="004B21A5" w:rsidRDefault="0005279E" w:rsidP="00087A7D">
            <w:pPr>
              <w:rPr>
                <w:rFonts w:cs="Arial"/>
                <w:color w:val="000000" w:themeColor="text1"/>
                <w:sz w:val="24"/>
                <w:szCs w:val="24"/>
              </w:rPr>
            </w:pPr>
            <w:r w:rsidRPr="004B21A5">
              <w:rPr>
                <w:rFonts w:cs="Arial"/>
                <w:color w:val="000000" w:themeColor="text1"/>
                <w:sz w:val="24"/>
                <w:szCs w:val="24"/>
              </w:rPr>
              <w:t>The percentage of patients who were admitted within their twelve week treatment time guarantee increased by 1.3% from 91.2% in October 2019 to 92.5% in November 2019. This reflects a decrease in the number of patients admitted over twelve weeks (-29).</w:t>
            </w:r>
          </w:p>
        </w:tc>
      </w:tr>
      <w:tr w:rsidR="0005279E" w:rsidRPr="001A3096" w:rsidTr="00087A7D">
        <w:tc>
          <w:tcPr>
            <w:tcW w:w="2802" w:type="dxa"/>
          </w:tcPr>
          <w:p w:rsidR="0005279E" w:rsidRPr="001A3096" w:rsidRDefault="0005279E" w:rsidP="00087A7D">
            <w:pPr>
              <w:rPr>
                <w:rFonts w:cs="Arial"/>
                <w:color w:val="000000" w:themeColor="text1"/>
                <w:sz w:val="24"/>
                <w:szCs w:val="24"/>
                <w:highlight w:val="yellow"/>
              </w:rPr>
            </w:pPr>
            <w:r w:rsidRPr="001A3096">
              <w:rPr>
                <w:rFonts w:cs="Arial"/>
                <w:color w:val="000000" w:themeColor="text1"/>
                <w:sz w:val="24"/>
                <w:szCs w:val="24"/>
              </w:rPr>
              <w:t>Stage of Treatment Guarantee – Inpatient and DC cases (Heart &amp; Lung only)</w:t>
            </w:r>
          </w:p>
        </w:tc>
        <w:tc>
          <w:tcPr>
            <w:tcW w:w="567" w:type="dxa"/>
            <w:shd w:val="clear" w:color="auto" w:fill="E5B8B7" w:themeFill="accent2" w:themeFillTint="66"/>
          </w:tcPr>
          <w:p w:rsidR="0005279E" w:rsidRPr="001A3096" w:rsidRDefault="0005279E" w:rsidP="00087A7D">
            <w:pPr>
              <w:rPr>
                <w:rFonts w:cs="Arial"/>
                <w:color w:val="000000" w:themeColor="text1"/>
                <w:sz w:val="24"/>
                <w:szCs w:val="24"/>
                <w:highlight w:val="yellow"/>
              </w:rPr>
            </w:pPr>
          </w:p>
        </w:tc>
        <w:tc>
          <w:tcPr>
            <w:tcW w:w="5917" w:type="dxa"/>
          </w:tcPr>
          <w:p w:rsidR="0005279E" w:rsidRPr="001A3096" w:rsidRDefault="0005279E" w:rsidP="00087A7D">
            <w:pPr>
              <w:rPr>
                <w:rFonts w:cs="Arial"/>
                <w:color w:val="000000" w:themeColor="text1"/>
                <w:sz w:val="24"/>
                <w:szCs w:val="24"/>
                <w:highlight w:val="yellow"/>
              </w:rPr>
            </w:pPr>
            <w:r w:rsidRPr="001A3096">
              <w:rPr>
                <w:rFonts w:cs="Arial"/>
                <w:color w:val="000000" w:themeColor="text1"/>
                <w:sz w:val="24"/>
                <w:szCs w:val="24"/>
              </w:rPr>
              <w:t>Position improved slightly from 77.7% in October 2019 to 78.9% in November 2019 but remained below the threshold of &gt;=90%. The number of patients treated over 12 weeks decreased to 79 (-25) whilst the number of patients treated within 12 weeks also decreased 295 (-67).</w:t>
            </w:r>
          </w:p>
        </w:tc>
      </w:tr>
      <w:tr w:rsidR="0005279E" w:rsidRPr="00E03192" w:rsidTr="00087A7D">
        <w:tc>
          <w:tcPr>
            <w:tcW w:w="2802" w:type="dxa"/>
          </w:tcPr>
          <w:p w:rsidR="0005279E" w:rsidRPr="00E03192" w:rsidRDefault="0005279E" w:rsidP="00087A7D">
            <w:pPr>
              <w:rPr>
                <w:rFonts w:cs="Arial"/>
                <w:color w:val="000000" w:themeColor="text1"/>
                <w:sz w:val="24"/>
                <w:szCs w:val="24"/>
                <w:highlight w:val="yellow"/>
              </w:rPr>
            </w:pPr>
            <w:r w:rsidRPr="00E03192">
              <w:rPr>
                <w:rFonts w:cs="Arial"/>
                <w:color w:val="000000" w:themeColor="text1"/>
                <w:sz w:val="24"/>
                <w:szCs w:val="24"/>
              </w:rPr>
              <w:t>DOSA rate: Cardiac Surgery</w:t>
            </w:r>
          </w:p>
        </w:tc>
        <w:tc>
          <w:tcPr>
            <w:tcW w:w="567" w:type="dxa"/>
            <w:shd w:val="clear" w:color="auto" w:fill="C2D69B" w:themeFill="accent3" w:themeFillTint="99"/>
          </w:tcPr>
          <w:p w:rsidR="0005279E" w:rsidRPr="00E03192" w:rsidRDefault="0005279E" w:rsidP="00087A7D">
            <w:pPr>
              <w:rPr>
                <w:rFonts w:cs="Arial"/>
                <w:color w:val="000000" w:themeColor="text1"/>
                <w:sz w:val="24"/>
                <w:szCs w:val="24"/>
                <w:highlight w:val="yellow"/>
              </w:rPr>
            </w:pPr>
          </w:p>
        </w:tc>
        <w:tc>
          <w:tcPr>
            <w:tcW w:w="5917" w:type="dxa"/>
          </w:tcPr>
          <w:p w:rsidR="0005279E" w:rsidRPr="00E03192" w:rsidRDefault="0005279E" w:rsidP="0037502B">
            <w:pPr>
              <w:rPr>
                <w:rFonts w:cs="Arial"/>
                <w:color w:val="000000" w:themeColor="text1"/>
                <w:sz w:val="24"/>
                <w:szCs w:val="24"/>
                <w:highlight w:val="yellow"/>
              </w:rPr>
            </w:pPr>
            <w:r w:rsidRPr="00E03192">
              <w:rPr>
                <w:rFonts w:cs="Arial"/>
                <w:color w:val="000000" w:themeColor="text1"/>
                <w:sz w:val="24"/>
                <w:szCs w:val="24"/>
              </w:rPr>
              <w:t xml:space="preserve">In </w:t>
            </w:r>
            <w:r w:rsidR="0037502B">
              <w:rPr>
                <w:rFonts w:cs="Arial"/>
                <w:color w:val="000000" w:themeColor="text1"/>
                <w:sz w:val="24"/>
                <w:szCs w:val="24"/>
              </w:rPr>
              <w:t>November</w:t>
            </w:r>
            <w:r w:rsidRPr="00E03192">
              <w:rPr>
                <w:rFonts w:cs="Arial"/>
                <w:color w:val="000000" w:themeColor="text1"/>
                <w:sz w:val="24"/>
                <w:szCs w:val="24"/>
              </w:rPr>
              <w:t xml:space="preserve"> 2019 the Cardiac DoSA rate was 22.4% and met the target of 17.9% for the first time. The November position represented a 10.8% increase compared to October 2019. The number of patients admitted as DoSA was 19, the highest number since recording started.</w:t>
            </w:r>
          </w:p>
        </w:tc>
      </w:tr>
      <w:tr w:rsidR="0005279E" w:rsidRPr="00E03192" w:rsidTr="00087A7D">
        <w:tc>
          <w:tcPr>
            <w:tcW w:w="2802" w:type="dxa"/>
          </w:tcPr>
          <w:p w:rsidR="0005279E" w:rsidRPr="00E03192" w:rsidRDefault="0005279E" w:rsidP="00087A7D">
            <w:pPr>
              <w:rPr>
                <w:rFonts w:cs="Arial"/>
                <w:color w:val="000000" w:themeColor="text1"/>
                <w:sz w:val="24"/>
                <w:szCs w:val="24"/>
                <w:highlight w:val="yellow"/>
              </w:rPr>
            </w:pPr>
            <w:r w:rsidRPr="00E03192">
              <w:rPr>
                <w:rFonts w:cs="Arial"/>
                <w:color w:val="000000" w:themeColor="text1"/>
                <w:sz w:val="24"/>
                <w:szCs w:val="24"/>
              </w:rPr>
              <w:t>DOSA rate: Orthopaedics</w:t>
            </w:r>
          </w:p>
        </w:tc>
        <w:tc>
          <w:tcPr>
            <w:tcW w:w="567" w:type="dxa"/>
            <w:shd w:val="clear" w:color="auto" w:fill="E5B8B7" w:themeFill="accent2" w:themeFillTint="66"/>
          </w:tcPr>
          <w:p w:rsidR="0005279E" w:rsidRPr="00E03192" w:rsidRDefault="0005279E" w:rsidP="00087A7D">
            <w:pPr>
              <w:rPr>
                <w:rFonts w:cs="Arial"/>
                <w:color w:val="000000" w:themeColor="text1"/>
                <w:sz w:val="24"/>
                <w:szCs w:val="24"/>
                <w:highlight w:val="yellow"/>
              </w:rPr>
            </w:pPr>
          </w:p>
        </w:tc>
        <w:tc>
          <w:tcPr>
            <w:tcW w:w="5917" w:type="dxa"/>
          </w:tcPr>
          <w:p w:rsidR="0005279E" w:rsidRPr="00E03192" w:rsidRDefault="0005279E" w:rsidP="00087A7D">
            <w:pPr>
              <w:rPr>
                <w:rFonts w:cs="Arial"/>
                <w:color w:val="000000" w:themeColor="text1"/>
                <w:sz w:val="24"/>
                <w:szCs w:val="24"/>
              </w:rPr>
            </w:pPr>
            <w:r w:rsidRPr="00E03192">
              <w:rPr>
                <w:rFonts w:cs="Arial"/>
                <w:color w:val="000000" w:themeColor="text1"/>
                <w:sz w:val="24"/>
                <w:szCs w:val="24"/>
              </w:rPr>
              <w:t>In November 2019 the Orthopaedic DoSA rate was 62.7% with a target of 75.0%. The October position represented a 2.5% decrease compared to October 2019 but represented the fifth consecutive month over 60%.</w:t>
            </w:r>
          </w:p>
        </w:tc>
      </w:tr>
      <w:tr w:rsidR="0005279E" w:rsidRPr="00E03192" w:rsidTr="00087A7D">
        <w:tc>
          <w:tcPr>
            <w:tcW w:w="2802" w:type="dxa"/>
          </w:tcPr>
          <w:p w:rsidR="0005279E" w:rsidRPr="00E03192" w:rsidRDefault="0005279E" w:rsidP="00087A7D">
            <w:pPr>
              <w:rPr>
                <w:rFonts w:cs="Arial"/>
                <w:color w:val="000000" w:themeColor="text1"/>
                <w:sz w:val="24"/>
                <w:szCs w:val="24"/>
                <w:highlight w:val="yellow"/>
              </w:rPr>
            </w:pPr>
            <w:r w:rsidRPr="00E03192">
              <w:rPr>
                <w:rFonts w:cs="Arial"/>
                <w:color w:val="000000" w:themeColor="text1"/>
                <w:sz w:val="24"/>
                <w:szCs w:val="24"/>
              </w:rPr>
              <w:t>DOSA rate: Thoracic Surgery</w:t>
            </w:r>
          </w:p>
        </w:tc>
        <w:tc>
          <w:tcPr>
            <w:tcW w:w="567" w:type="dxa"/>
            <w:shd w:val="clear" w:color="auto" w:fill="E5B8B7" w:themeFill="accent2" w:themeFillTint="66"/>
          </w:tcPr>
          <w:p w:rsidR="0005279E" w:rsidRPr="00E03192" w:rsidRDefault="0005279E" w:rsidP="00087A7D">
            <w:pPr>
              <w:rPr>
                <w:rFonts w:cs="Arial"/>
                <w:color w:val="000000" w:themeColor="text1"/>
                <w:sz w:val="24"/>
                <w:szCs w:val="24"/>
                <w:highlight w:val="yellow"/>
              </w:rPr>
            </w:pPr>
          </w:p>
        </w:tc>
        <w:tc>
          <w:tcPr>
            <w:tcW w:w="5917" w:type="dxa"/>
          </w:tcPr>
          <w:p w:rsidR="0005279E" w:rsidRPr="00E03192" w:rsidRDefault="0005279E" w:rsidP="00087A7D">
            <w:pPr>
              <w:rPr>
                <w:rFonts w:cs="Arial"/>
                <w:color w:val="000000" w:themeColor="text1"/>
                <w:sz w:val="24"/>
                <w:szCs w:val="24"/>
                <w:highlight w:val="yellow"/>
              </w:rPr>
            </w:pPr>
            <w:r w:rsidRPr="00E03192">
              <w:rPr>
                <w:rFonts w:cs="Arial"/>
                <w:color w:val="000000" w:themeColor="text1"/>
                <w:sz w:val="24"/>
                <w:szCs w:val="24"/>
              </w:rPr>
              <w:t>In November 2019 the Thoracic DoSA rate was 28.4% with a target of 40.0%. The November position represented a 6.5% decrease compared to October 2019. The number of patients admitted as DoSA decreased by 5 compared to the previous month.</w:t>
            </w:r>
          </w:p>
        </w:tc>
      </w:tr>
      <w:tr w:rsidR="0005279E" w:rsidRPr="00E03192" w:rsidTr="00087A7D">
        <w:tc>
          <w:tcPr>
            <w:tcW w:w="2802" w:type="dxa"/>
          </w:tcPr>
          <w:p w:rsidR="0005279E" w:rsidRPr="00E03192" w:rsidRDefault="0005279E" w:rsidP="00087A7D">
            <w:pPr>
              <w:rPr>
                <w:rFonts w:cs="Arial"/>
                <w:color w:val="000000" w:themeColor="text1"/>
                <w:sz w:val="24"/>
                <w:szCs w:val="24"/>
                <w:highlight w:val="yellow"/>
              </w:rPr>
            </w:pPr>
            <w:r w:rsidRPr="00E03192">
              <w:rPr>
                <w:rFonts w:cs="Arial"/>
                <w:color w:val="000000" w:themeColor="text1"/>
                <w:sz w:val="24"/>
                <w:szCs w:val="24"/>
              </w:rPr>
              <w:t>Theatre Cancellation Rates</w:t>
            </w:r>
          </w:p>
        </w:tc>
        <w:tc>
          <w:tcPr>
            <w:tcW w:w="567" w:type="dxa"/>
            <w:shd w:val="clear" w:color="auto" w:fill="E5B8B7" w:themeFill="accent2" w:themeFillTint="66"/>
          </w:tcPr>
          <w:p w:rsidR="0005279E" w:rsidRPr="00E03192" w:rsidRDefault="0005279E" w:rsidP="00087A7D">
            <w:pPr>
              <w:rPr>
                <w:rFonts w:cs="Arial"/>
                <w:color w:val="000000" w:themeColor="text1"/>
                <w:sz w:val="24"/>
                <w:szCs w:val="24"/>
                <w:highlight w:val="yellow"/>
              </w:rPr>
            </w:pPr>
          </w:p>
        </w:tc>
        <w:tc>
          <w:tcPr>
            <w:tcW w:w="5917" w:type="dxa"/>
          </w:tcPr>
          <w:p w:rsidR="0005279E" w:rsidRPr="00E03192" w:rsidRDefault="0005279E" w:rsidP="00087A7D">
            <w:pPr>
              <w:rPr>
                <w:rFonts w:cs="Arial"/>
                <w:color w:val="000000" w:themeColor="text1"/>
                <w:sz w:val="24"/>
                <w:szCs w:val="24"/>
              </w:rPr>
            </w:pPr>
            <w:r w:rsidRPr="00E03192">
              <w:rPr>
                <w:rFonts w:cs="Arial"/>
                <w:color w:val="000000" w:themeColor="text1"/>
                <w:sz w:val="24"/>
                <w:szCs w:val="24"/>
              </w:rPr>
              <w:t>In November 2019 the overall hospital cancellation rate was 5.3%. This represents a 0.32% d</w:t>
            </w:r>
            <w:r>
              <w:rPr>
                <w:rFonts w:cs="Arial"/>
                <w:color w:val="000000" w:themeColor="text1"/>
                <w:sz w:val="24"/>
                <w:szCs w:val="24"/>
              </w:rPr>
              <w:t xml:space="preserve">eterioration </w:t>
            </w:r>
            <w:r w:rsidRPr="00E03192">
              <w:rPr>
                <w:rFonts w:cs="Arial"/>
                <w:color w:val="000000" w:themeColor="text1"/>
                <w:sz w:val="24"/>
                <w:szCs w:val="24"/>
              </w:rPr>
              <w:lastRenderedPageBreak/>
              <w:t>compared to October 2019.</w:t>
            </w:r>
            <w:r>
              <w:rPr>
                <w:rFonts w:cs="Arial"/>
                <w:color w:val="000000" w:themeColor="text1"/>
                <w:sz w:val="24"/>
                <w:szCs w:val="24"/>
              </w:rPr>
              <w:t xml:space="preserve"> The increase was mainly due to increased Cardiac Surgery cancellations at 28 (+7).</w:t>
            </w:r>
            <w:r w:rsidRPr="00E03192">
              <w:rPr>
                <w:rFonts w:cs="Arial"/>
                <w:color w:val="000000" w:themeColor="text1"/>
                <w:sz w:val="24"/>
                <w:szCs w:val="24"/>
              </w:rPr>
              <w:t>There were 97 cancellations with 1820 procedures.</w:t>
            </w:r>
          </w:p>
        </w:tc>
      </w:tr>
      <w:tr w:rsidR="0005279E" w:rsidRPr="009520EB" w:rsidTr="00087A7D">
        <w:tc>
          <w:tcPr>
            <w:tcW w:w="2802" w:type="dxa"/>
          </w:tcPr>
          <w:p w:rsidR="0005279E" w:rsidRPr="009520EB" w:rsidRDefault="0005279E" w:rsidP="00087A7D">
            <w:pPr>
              <w:rPr>
                <w:rFonts w:cs="Arial"/>
                <w:color w:val="000000" w:themeColor="text1"/>
                <w:sz w:val="24"/>
                <w:szCs w:val="24"/>
              </w:rPr>
            </w:pPr>
            <w:r w:rsidRPr="009520EB">
              <w:rPr>
                <w:rFonts w:cs="Arial"/>
                <w:color w:val="000000" w:themeColor="text1"/>
                <w:sz w:val="24"/>
                <w:szCs w:val="24"/>
              </w:rPr>
              <w:lastRenderedPageBreak/>
              <w:t>Hospital Bed Occupancy</w:t>
            </w:r>
          </w:p>
        </w:tc>
        <w:tc>
          <w:tcPr>
            <w:tcW w:w="567" w:type="dxa"/>
            <w:shd w:val="clear" w:color="auto" w:fill="FBD4B4" w:themeFill="accent6" w:themeFillTint="66"/>
          </w:tcPr>
          <w:p w:rsidR="0005279E" w:rsidRPr="009520EB" w:rsidRDefault="0005279E" w:rsidP="00087A7D">
            <w:pPr>
              <w:rPr>
                <w:rFonts w:cs="Arial"/>
                <w:color w:val="000000" w:themeColor="text1"/>
                <w:sz w:val="24"/>
                <w:szCs w:val="24"/>
              </w:rPr>
            </w:pPr>
          </w:p>
        </w:tc>
        <w:tc>
          <w:tcPr>
            <w:tcW w:w="5917" w:type="dxa"/>
          </w:tcPr>
          <w:p w:rsidR="0005279E" w:rsidRPr="009520EB" w:rsidRDefault="0005279E" w:rsidP="00087A7D">
            <w:pPr>
              <w:rPr>
                <w:rFonts w:cs="Arial"/>
                <w:color w:val="000000" w:themeColor="text1"/>
                <w:sz w:val="24"/>
                <w:szCs w:val="24"/>
              </w:rPr>
            </w:pPr>
            <w:r w:rsidRPr="009520EB">
              <w:rPr>
                <w:rFonts w:cs="Arial"/>
                <w:color w:val="000000" w:themeColor="text1"/>
                <w:sz w:val="24"/>
                <w:szCs w:val="24"/>
              </w:rPr>
              <w:t>Hospital wide bed occupancy was reported as 79</w:t>
            </w:r>
            <w:r>
              <w:rPr>
                <w:rFonts w:cs="Arial"/>
                <w:color w:val="000000" w:themeColor="text1"/>
                <w:sz w:val="24"/>
                <w:szCs w:val="24"/>
              </w:rPr>
              <w:t>.0</w:t>
            </w:r>
            <w:r w:rsidRPr="009520EB">
              <w:rPr>
                <w:rFonts w:cs="Arial"/>
                <w:color w:val="000000" w:themeColor="text1"/>
                <w:sz w:val="24"/>
                <w:szCs w:val="24"/>
              </w:rPr>
              <w:t>% in November 2019 compared to 72.3% in October 2019. The calculated ‘green’ range, based on combining individual ward thresholds is between 83% to 88%.</w:t>
            </w:r>
            <w:r>
              <w:rPr>
                <w:rFonts w:cs="Arial"/>
                <w:color w:val="000000" w:themeColor="text1"/>
                <w:sz w:val="24"/>
                <w:szCs w:val="24"/>
              </w:rPr>
              <w:t xml:space="preserve"> HDU and Ward 2D reported occupancies in the ‘red’ range</w:t>
            </w:r>
          </w:p>
        </w:tc>
      </w:tr>
      <w:tr w:rsidR="0005279E" w:rsidRPr="00331305" w:rsidTr="00087A7D">
        <w:tc>
          <w:tcPr>
            <w:tcW w:w="2802" w:type="dxa"/>
          </w:tcPr>
          <w:p w:rsidR="0005279E" w:rsidRPr="00331305" w:rsidRDefault="0005279E" w:rsidP="00087A7D">
            <w:pPr>
              <w:rPr>
                <w:rFonts w:cs="Arial"/>
                <w:sz w:val="24"/>
                <w:szCs w:val="24"/>
              </w:rPr>
            </w:pPr>
            <w:r w:rsidRPr="00331305">
              <w:rPr>
                <w:rFonts w:cs="Arial"/>
                <w:sz w:val="24"/>
                <w:szCs w:val="24"/>
              </w:rPr>
              <w:t>Hotel Overall Net profit</w:t>
            </w:r>
          </w:p>
        </w:tc>
        <w:tc>
          <w:tcPr>
            <w:tcW w:w="567" w:type="dxa"/>
            <w:shd w:val="clear" w:color="auto" w:fill="D6E3BC" w:themeFill="accent3" w:themeFillTint="66"/>
          </w:tcPr>
          <w:p w:rsidR="0005279E" w:rsidRPr="00331305" w:rsidRDefault="0005279E" w:rsidP="00087A7D">
            <w:pPr>
              <w:rPr>
                <w:rFonts w:cs="Arial"/>
                <w:sz w:val="24"/>
                <w:szCs w:val="24"/>
              </w:rPr>
            </w:pPr>
          </w:p>
        </w:tc>
        <w:tc>
          <w:tcPr>
            <w:tcW w:w="5917" w:type="dxa"/>
          </w:tcPr>
          <w:p w:rsidR="0005279E" w:rsidRPr="00331305" w:rsidRDefault="0005279E" w:rsidP="00087A7D">
            <w:pPr>
              <w:rPr>
                <w:rFonts w:cs="Arial"/>
                <w:sz w:val="24"/>
                <w:szCs w:val="24"/>
              </w:rPr>
            </w:pPr>
            <w:r w:rsidRPr="00331305">
              <w:rPr>
                <w:rFonts w:cs="Arial"/>
                <w:sz w:val="24"/>
                <w:szCs w:val="24"/>
              </w:rPr>
              <w:t>The November 2019 position was +3.0% compared to –3.2% in October 2019 and remained within the ‘green’ threshold.</w:t>
            </w:r>
          </w:p>
        </w:tc>
      </w:tr>
      <w:tr w:rsidR="0005279E" w:rsidRPr="00331305" w:rsidTr="00087A7D">
        <w:tc>
          <w:tcPr>
            <w:tcW w:w="2802" w:type="dxa"/>
          </w:tcPr>
          <w:p w:rsidR="0005279E" w:rsidRPr="00331305" w:rsidRDefault="0005279E" w:rsidP="00087A7D">
            <w:pPr>
              <w:rPr>
                <w:rFonts w:cs="Arial"/>
                <w:sz w:val="24"/>
                <w:szCs w:val="24"/>
              </w:rPr>
            </w:pPr>
            <w:r w:rsidRPr="00331305">
              <w:rPr>
                <w:rFonts w:cs="Arial"/>
                <w:sz w:val="24"/>
                <w:szCs w:val="24"/>
              </w:rPr>
              <w:t>Hotel Patient Bed Night Usage</w:t>
            </w:r>
          </w:p>
        </w:tc>
        <w:tc>
          <w:tcPr>
            <w:tcW w:w="567" w:type="dxa"/>
            <w:shd w:val="clear" w:color="auto" w:fill="E5B8B7" w:themeFill="accent2" w:themeFillTint="66"/>
          </w:tcPr>
          <w:p w:rsidR="0005279E" w:rsidRPr="00331305" w:rsidRDefault="0005279E" w:rsidP="00087A7D">
            <w:pPr>
              <w:rPr>
                <w:rFonts w:cs="Arial"/>
                <w:sz w:val="24"/>
                <w:szCs w:val="24"/>
              </w:rPr>
            </w:pPr>
          </w:p>
        </w:tc>
        <w:tc>
          <w:tcPr>
            <w:tcW w:w="5917" w:type="dxa"/>
          </w:tcPr>
          <w:p w:rsidR="0005279E" w:rsidRPr="00331305" w:rsidRDefault="0005279E" w:rsidP="00087A7D">
            <w:pPr>
              <w:rPr>
                <w:rFonts w:cs="Arial"/>
                <w:sz w:val="24"/>
                <w:szCs w:val="24"/>
              </w:rPr>
            </w:pPr>
            <w:r w:rsidRPr="00331305">
              <w:rPr>
                <w:rFonts w:cs="Arial"/>
                <w:sz w:val="24"/>
                <w:szCs w:val="24"/>
              </w:rPr>
              <w:t>Patient bed night usage remained below target with the position remaining at -17.1% in November 2019.</w:t>
            </w:r>
          </w:p>
        </w:tc>
      </w:tr>
      <w:tr w:rsidR="0005279E" w:rsidRPr="00331305" w:rsidTr="00087A7D">
        <w:tc>
          <w:tcPr>
            <w:tcW w:w="2802" w:type="dxa"/>
          </w:tcPr>
          <w:p w:rsidR="0005279E" w:rsidRPr="00331305" w:rsidRDefault="0005279E" w:rsidP="00087A7D">
            <w:pPr>
              <w:rPr>
                <w:rFonts w:cs="Arial"/>
                <w:sz w:val="24"/>
                <w:szCs w:val="24"/>
                <w:highlight w:val="yellow"/>
              </w:rPr>
            </w:pPr>
            <w:r w:rsidRPr="00331305">
              <w:rPr>
                <w:rFonts w:cs="Arial"/>
                <w:sz w:val="24"/>
                <w:szCs w:val="24"/>
              </w:rPr>
              <w:t>Hotel Not for profit percentage</w:t>
            </w:r>
          </w:p>
        </w:tc>
        <w:tc>
          <w:tcPr>
            <w:tcW w:w="567" w:type="dxa"/>
            <w:shd w:val="clear" w:color="auto" w:fill="D6E3BC" w:themeFill="accent3" w:themeFillTint="66"/>
          </w:tcPr>
          <w:p w:rsidR="0005279E" w:rsidRPr="00331305" w:rsidRDefault="0005279E" w:rsidP="00087A7D">
            <w:pPr>
              <w:rPr>
                <w:rFonts w:cs="Arial"/>
                <w:sz w:val="24"/>
                <w:szCs w:val="24"/>
                <w:highlight w:val="yellow"/>
              </w:rPr>
            </w:pPr>
          </w:p>
        </w:tc>
        <w:tc>
          <w:tcPr>
            <w:tcW w:w="5917" w:type="dxa"/>
          </w:tcPr>
          <w:p w:rsidR="0005279E" w:rsidRPr="00331305" w:rsidRDefault="0005279E" w:rsidP="00087A7D">
            <w:pPr>
              <w:rPr>
                <w:rFonts w:cs="Arial"/>
                <w:sz w:val="24"/>
                <w:szCs w:val="24"/>
                <w:highlight w:val="yellow"/>
              </w:rPr>
            </w:pPr>
            <w:r w:rsidRPr="00331305">
              <w:rPr>
                <w:rFonts w:cs="Arial"/>
                <w:sz w:val="24"/>
                <w:szCs w:val="24"/>
              </w:rPr>
              <w:t xml:space="preserve">The percentage in November 2019 increased to 54.1% and was above the minimum threshold of 44% </w:t>
            </w:r>
          </w:p>
        </w:tc>
      </w:tr>
      <w:tr w:rsidR="0005279E" w:rsidRPr="00942720" w:rsidTr="00087A7D">
        <w:tc>
          <w:tcPr>
            <w:tcW w:w="2802" w:type="dxa"/>
          </w:tcPr>
          <w:p w:rsidR="0005279E" w:rsidRPr="00942720" w:rsidRDefault="0005279E" w:rsidP="00087A7D">
            <w:pPr>
              <w:rPr>
                <w:rFonts w:cs="Arial"/>
                <w:color w:val="000000" w:themeColor="text1"/>
                <w:sz w:val="24"/>
                <w:szCs w:val="24"/>
              </w:rPr>
            </w:pPr>
            <w:r w:rsidRPr="00942720">
              <w:rPr>
                <w:rFonts w:cs="Arial"/>
                <w:color w:val="000000" w:themeColor="text1"/>
                <w:sz w:val="24"/>
                <w:szCs w:val="24"/>
              </w:rPr>
              <w:t>Research &amp; Innovation</w:t>
            </w:r>
          </w:p>
        </w:tc>
        <w:tc>
          <w:tcPr>
            <w:tcW w:w="567" w:type="dxa"/>
            <w:shd w:val="clear" w:color="auto" w:fill="FFFFFF" w:themeFill="background1"/>
          </w:tcPr>
          <w:p w:rsidR="0005279E" w:rsidRPr="00942720" w:rsidRDefault="0005279E" w:rsidP="00087A7D">
            <w:pPr>
              <w:rPr>
                <w:rFonts w:cs="Arial"/>
                <w:color w:val="000000" w:themeColor="text1"/>
                <w:sz w:val="24"/>
                <w:szCs w:val="24"/>
                <w:highlight w:val="yellow"/>
              </w:rPr>
            </w:pPr>
          </w:p>
        </w:tc>
        <w:tc>
          <w:tcPr>
            <w:tcW w:w="5917" w:type="dxa"/>
          </w:tcPr>
          <w:p w:rsidR="0005279E" w:rsidRPr="00942720" w:rsidRDefault="0005279E" w:rsidP="00087A7D">
            <w:pPr>
              <w:rPr>
                <w:rFonts w:cs="Arial"/>
                <w:color w:val="000000" w:themeColor="text1"/>
                <w:sz w:val="24"/>
                <w:szCs w:val="24"/>
              </w:rPr>
            </w:pPr>
            <w:r w:rsidRPr="00942720">
              <w:rPr>
                <w:rFonts w:cs="Arial"/>
                <w:color w:val="000000" w:themeColor="text1"/>
                <w:sz w:val="24"/>
                <w:szCs w:val="24"/>
              </w:rPr>
              <w:t>R&amp;I KPIs will be updated for the February 2020 IPR</w:t>
            </w:r>
          </w:p>
        </w:tc>
      </w:tr>
    </w:tbl>
    <w:p w:rsidR="00BB2C7D" w:rsidRDefault="00BB2C7D"/>
    <w:tbl>
      <w:tblPr>
        <w:tblStyle w:val="TableGrid"/>
        <w:tblW w:w="9286" w:type="dxa"/>
        <w:tblLayout w:type="fixed"/>
        <w:tblLook w:val="04A0" w:firstRow="1" w:lastRow="0" w:firstColumn="1" w:lastColumn="0" w:noHBand="0" w:noVBand="1"/>
      </w:tblPr>
      <w:tblGrid>
        <w:gridCol w:w="9286"/>
      </w:tblGrid>
      <w:tr w:rsidR="0005279E" w:rsidRPr="00AF4974" w:rsidTr="00087A7D">
        <w:trPr>
          <w:trHeight w:val="181"/>
        </w:trPr>
        <w:tc>
          <w:tcPr>
            <w:tcW w:w="92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05279E" w:rsidRPr="00AF4974" w:rsidRDefault="0005279E" w:rsidP="00087A7D">
            <w:pPr>
              <w:rPr>
                <w:rFonts w:cs="Arial"/>
                <w:color w:val="000000" w:themeColor="text1"/>
                <w:sz w:val="24"/>
                <w:szCs w:val="24"/>
              </w:rPr>
            </w:pPr>
            <w:r w:rsidRPr="00AF4974">
              <w:rPr>
                <w:rFonts w:cs="Arial"/>
                <w:color w:val="000000" w:themeColor="text1"/>
                <w:sz w:val="24"/>
                <w:szCs w:val="24"/>
              </w:rPr>
              <w:t>National Comparison Table, Corporate Dashboard, Waiting list &amp; Productivity table</w:t>
            </w:r>
          </w:p>
        </w:tc>
      </w:tr>
      <w:tr w:rsidR="0005279E" w:rsidRPr="007E1A07" w:rsidTr="00087A7D">
        <w:tc>
          <w:tcPr>
            <w:tcW w:w="9286" w:type="dxa"/>
            <w:tcBorders>
              <w:top w:val="single" w:sz="4" w:space="0" w:color="auto"/>
            </w:tcBorders>
          </w:tcPr>
          <w:p w:rsidR="0005279E" w:rsidRPr="007E1A07" w:rsidRDefault="0005279E" w:rsidP="00087A7D">
            <w:pPr>
              <w:spacing w:after="180"/>
              <w:rPr>
                <w:rFonts w:cs="Arial"/>
                <w:color w:val="000000" w:themeColor="text1"/>
                <w:sz w:val="24"/>
                <w:szCs w:val="24"/>
                <w:highlight w:val="yellow"/>
              </w:rPr>
            </w:pPr>
            <w:r w:rsidRPr="00606D99">
              <w:rPr>
                <w:rFonts w:cs="Arial"/>
                <w:color w:val="000000" w:themeColor="text1"/>
                <w:sz w:val="24"/>
                <w:szCs w:val="24"/>
              </w:rPr>
              <w:t>The GJNH nationally reported elective cancellation rates increased from 5.0% in September 2019 to 5.1</w:t>
            </w:r>
            <w:r>
              <w:rPr>
                <w:rFonts w:cs="Arial"/>
                <w:color w:val="000000" w:themeColor="text1"/>
                <w:sz w:val="24"/>
                <w:szCs w:val="24"/>
              </w:rPr>
              <w:t xml:space="preserve">% in October. The GJNH had the </w:t>
            </w:r>
            <w:r w:rsidRPr="00606D99">
              <w:rPr>
                <w:rFonts w:cs="Arial"/>
                <w:color w:val="000000" w:themeColor="text1"/>
                <w:sz w:val="24"/>
                <w:szCs w:val="24"/>
              </w:rPr>
              <w:t>lowest elective cancellation rate nationally. The Scotland rate was 8.5%.</w:t>
            </w:r>
          </w:p>
        </w:tc>
      </w:tr>
      <w:tr w:rsidR="0005279E" w:rsidRPr="00756576" w:rsidTr="00087A7D">
        <w:tc>
          <w:tcPr>
            <w:tcW w:w="9286" w:type="dxa"/>
            <w:tcBorders>
              <w:top w:val="single" w:sz="4" w:space="0" w:color="auto"/>
            </w:tcBorders>
          </w:tcPr>
          <w:p w:rsidR="0005279E" w:rsidRPr="00756576" w:rsidRDefault="0005279E" w:rsidP="00087A7D">
            <w:pPr>
              <w:spacing w:after="180"/>
              <w:rPr>
                <w:rFonts w:cs="Arial"/>
                <w:sz w:val="24"/>
                <w:szCs w:val="24"/>
                <w:highlight w:val="yellow"/>
              </w:rPr>
            </w:pPr>
            <w:r w:rsidRPr="00756576">
              <w:rPr>
                <w:rFonts w:cs="Arial"/>
                <w:sz w:val="24"/>
                <w:szCs w:val="24"/>
              </w:rPr>
              <w:t>Golden Jubilee performance against the national 31 Day Cancer target is reported using the Information Services Division (ISD) nationally published position. For Quarter 2 2019 GJNH remains jointly ranked 1</w:t>
            </w:r>
            <w:r w:rsidRPr="00756576">
              <w:rPr>
                <w:rFonts w:cs="Arial"/>
                <w:sz w:val="24"/>
                <w:szCs w:val="24"/>
                <w:vertAlign w:val="superscript"/>
              </w:rPr>
              <w:t>st</w:t>
            </w:r>
            <w:r w:rsidRPr="00756576">
              <w:rPr>
                <w:rFonts w:cs="Arial"/>
                <w:sz w:val="24"/>
                <w:szCs w:val="24"/>
              </w:rPr>
              <w:t xml:space="preserve"> at 100%.  </w:t>
            </w:r>
          </w:p>
        </w:tc>
      </w:tr>
      <w:tr w:rsidR="0005279E" w:rsidRPr="00756576" w:rsidTr="00087A7D">
        <w:tc>
          <w:tcPr>
            <w:tcW w:w="9286" w:type="dxa"/>
          </w:tcPr>
          <w:p w:rsidR="0005279E" w:rsidRPr="00756576" w:rsidRDefault="0005279E" w:rsidP="00087A7D">
            <w:pPr>
              <w:spacing w:after="180"/>
              <w:rPr>
                <w:rFonts w:cs="Arial"/>
                <w:sz w:val="24"/>
                <w:szCs w:val="24"/>
                <w:highlight w:val="yellow"/>
              </w:rPr>
            </w:pPr>
            <w:r w:rsidRPr="00756576">
              <w:rPr>
                <w:rFonts w:cs="Arial"/>
                <w:sz w:val="24"/>
                <w:szCs w:val="24"/>
              </w:rPr>
              <w:t xml:space="preserve">Corporate sickness rates deteriorated in November 2019 (+1.9% </w:t>
            </w:r>
            <w:r>
              <w:rPr>
                <w:rFonts w:cs="Arial"/>
                <w:sz w:val="24"/>
                <w:szCs w:val="24"/>
              </w:rPr>
              <w:t xml:space="preserve">to </w:t>
            </w:r>
            <w:r w:rsidRPr="00756576">
              <w:rPr>
                <w:rFonts w:cs="Arial"/>
                <w:sz w:val="24"/>
                <w:szCs w:val="24"/>
              </w:rPr>
              <w:t>4.2%) with a number of departments over the 4% threshold: Business services, Clinical Governance, Communications, e-Health, Estates, Housekeeping, Human Resources, Occupational Health,  Procurement and Security.</w:t>
            </w:r>
          </w:p>
        </w:tc>
      </w:tr>
      <w:tr w:rsidR="0005279E" w:rsidRPr="00D41D5A" w:rsidTr="00087A7D">
        <w:tc>
          <w:tcPr>
            <w:tcW w:w="9286" w:type="dxa"/>
          </w:tcPr>
          <w:p w:rsidR="0005279E" w:rsidRPr="00D41D5A" w:rsidRDefault="0005279E" w:rsidP="00087A7D">
            <w:pPr>
              <w:spacing w:after="180"/>
              <w:rPr>
                <w:rFonts w:cs="Arial"/>
                <w:color w:val="000000" w:themeColor="text1"/>
                <w:sz w:val="24"/>
                <w:szCs w:val="24"/>
                <w:highlight w:val="yellow"/>
              </w:rPr>
            </w:pPr>
            <w:r w:rsidRPr="00D41D5A">
              <w:rPr>
                <w:rFonts w:cs="Arial"/>
                <w:color w:val="000000" w:themeColor="text1"/>
                <w:sz w:val="24"/>
                <w:szCs w:val="24"/>
              </w:rPr>
              <w:t>The total inpatient waiting list month end position increased by 30 from 3953 to 3983. The total outpatient waiting list decreased by 315 to 2231 with reductions seen in the Orthopaedic (1070, -78) and Ophthalmology (825, -159) waiting lists</w:t>
            </w:r>
            <w:r>
              <w:rPr>
                <w:rFonts w:cs="Arial"/>
                <w:color w:val="000000" w:themeColor="text1"/>
                <w:sz w:val="24"/>
                <w:szCs w:val="24"/>
              </w:rPr>
              <w:t>.</w:t>
            </w:r>
          </w:p>
        </w:tc>
      </w:tr>
    </w:tbl>
    <w:p w:rsidR="0005279E" w:rsidRDefault="0005279E"/>
    <w:p w:rsidR="005518EA" w:rsidRDefault="005518EA" w:rsidP="002F1F73">
      <w:pPr>
        <w:spacing w:after="200" w:line="276" w:lineRule="auto"/>
        <w:rPr>
          <w:rFonts w:cs="Arial"/>
          <w:b/>
          <w:bCs/>
          <w:noProof/>
          <w:color w:val="FFFFFF" w:themeColor="background1"/>
          <w:kern w:val="32"/>
          <w:sz w:val="28"/>
          <w:szCs w:val="28"/>
          <w:u w:val="single"/>
          <w:lang w:eastAsia="en-GB"/>
        </w:rPr>
      </w:pPr>
    </w:p>
    <w:p w:rsidR="0005279E" w:rsidRDefault="0005279E" w:rsidP="002F1F73">
      <w:pPr>
        <w:spacing w:after="200" w:line="276" w:lineRule="auto"/>
        <w:rPr>
          <w:rFonts w:cs="Arial"/>
          <w:b/>
          <w:bCs/>
          <w:noProof/>
          <w:color w:val="FFFFFF" w:themeColor="background1"/>
          <w:kern w:val="32"/>
          <w:sz w:val="28"/>
          <w:szCs w:val="28"/>
          <w:u w:val="single"/>
          <w:lang w:eastAsia="en-GB"/>
        </w:rPr>
      </w:pPr>
    </w:p>
    <w:p w:rsidR="0005279E" w:rsidRDefault="0005279E" w:rsidP="002F1F73">
      <w:pPr>
        <w:spacing w:after="200" w:line="276" w:lineRule="auto"/>
        <w:rPr>
          <w:rFonts w:cs="Arial"/>
          <w:b/>
          <w:bCs/>
          <w:noProof/>
          <w:color w:val="FFFFFF" w:themeColor="background1"/>
          <w:kern w:val="32"/>
          <w:sz w:val="28"/>
          <w:szCs w:val="28"/>
          <w:u w:val="single"/>
          <w:lang w:eastAsia="en-GB"/>
        </w:rPr>
      </w:pPr>
    </w:p>
    <w:p w:rsidR="0005279E" w:rsidRDefault="0005279E" w:rsidP="002F1F73">
      <w:pPr>
        <w:spacing w:after="200" w:line="276" w:lineRule="auto"/>
        <w:rPr>
          <w:rFonts w:cs="Arial"/>
          <w:b/>
          <w:bCs/>
          <w:noProof/>
          <w:color w:val="FFFFFF" w:themeColor="background1"/>
          <w:kern w:val="32"/>
          <w:sz w:val="28"/>
          <w:szCs w:val="28"/>
          <w:u w:val="single"/>
          <w:lang w:eastAsia="en-GB"/>
        </w:rPr>
      </w:pPr>
    </w:p>
    <w:p w:rsidR="0005279E" w:rsidRDefault="0005279E" w:rsidP="002F1F73">
      <w:pPr>
        <w:spacing w:after="200" w:line="276" w:lineRule="auto"/>
        <w:rPr>
          <w:rFonts w:cs="Arial"/>
          <w:b/>
          <w:bCs/>
          <w:noProof/>
          <w:color w:val="FFFFFF" w:themeColor="background1"/>
          <w:kern w:val="32"/>
          <w:sz w:val="28"/>
          <w:szCs w:val="28"/>
          <w:u w:val="single"/>
          <w:lang w:eastAsia="en-GB"/>
        </w:rPr>
      </w:pPr>
    </w:p>
    <w:p w:rsidR="008C28F2" w:rsidRDefault="008C28F2" w:rsidP="007F4702">
      <w:pPr>
        <w:rPr>
          <w:rFonts w:cs="Arial"/>
          <w:b/>
          <w:bCs/>
          <w:noProof/>
          <w:color w:val="FFFFFF" w:themeColor="background1"/>
          <w:kern w:val="32"/>
          <w:sz w:val="28"/>
          <w:szCs w:val="28"/>
          <w:u w:val="single"/>
          <w:lang w:eastAsia="en-GB"/>
        </w:rPr>
      </w:pPr>
    </w:p>
    <w:p w:rsidR="008C28F2" w:rsidRDefault="008C28F2" w:rsidP="007F4702">
      <w:pPr>
        <w:rPr>
          <w:rFonts w:cs="Arial"/>
          <w:b/>
          <w:bCs/>
          <w:noProof/>
          <w:color w:val="FFFFFF" w:themeColor="background1"/>
          <w:kern w:val="32"/>
          <w:sz w:val="28"/>
          <w:szCs w:val="28"/>
          <w:u w:val="single"/>
          <w:lang w:eastAsia="en-GB"/>
        </w:rPr>
      </w:pPr>
    </w:p>
    <w:p w:rsidR="008C28F2" w:rsidRDefault="008C28F2" w:rsidP="007F4702">
      <w:pPr>
        <w:rPr>
          <w:rFonts w:cs="Arial"/>
          <w:b/>
          <w:bCs/>
          <w:noProof/>
          <w:color w:val="FFFFFF" w:themeColor="background1"/>
          <w:kern w:val="32"/>
          <w:sz w:val="28"/>
          <w:szCs w:val="28"/>
          <w:u w:val="single"/>
          <w:lang w:eastAsia="en-GB"/>
        </w:rPr>
      </w:pPr>
    </w:p>
    <w:p w:rsidR="009F1F3F" w:rsidRDefault="009F1F3F" w:rsidP="007F4702">
      <w:pPr>
        <w:rPr>
          <w:rFonts w:cs="Arial"/>
          <w:b/>
          <w:bCs/>
          <w:noProof/>
          <w:color w:val="FFFFFF" w:themeColor="background1"/>
          <w:kern w:val="32"/>
          <w:sz w:val="28"/>
          <w:szCs w:val="28"/>
          <w:u w:val="single"/>
          <w:lang w:eastAsia="en-GB"/>
        </w:rPr>
      </w:pPr>
    </w:p>
    <w:p w:rsidR="00590B77" w:rsidRPr="00A107C4" w:rsidRDefault="00590B77" w:rsidP="00961DB1">
      <w:pPr>
        <w:ind w:hanging="426"/>
        <w:rPr>
          <w:rFonts w:cs="Arial"/>
          <w:b/>
          <w:sz w:val="28"/>
          <w:szCs w:val="24"/>
        </w:rPr>
      </w:pPr>
      <w:r w:rsidRPr="00A107C4">
        <w:rPr>
          <w:rFonts w:cs="Arial"/>
          <w:b/>
          <w:sz w:val="28"/>
          <w:szCs w:val="24"/>
        </w:rPr>
        <w:lastRenderedPageBreak/>
        <w:t xml:space="preserve">Business Performance </w:t>
      </w:r>
      <w:r w:rsidR="00A8103D" w:rsidRPr="00A107C4">
        <w:rPr>
          <w:rFonts w:cs="Arial"/>
          <w:b/>
          <w:sz w:val="28"/>
          <w:szCs w:val="24"/>
        </w:rPr>
        <w:t>Executive Summary</w:t>
      </w:r>
    </w:p>
    <w:p w:rsidR="007F4702" w:rsidRPr="00A107C4" w:rsidRDefault="007F4702" w:rsidP="007F4702">
      <w:pPr>
        <w:rPr>
          <w:rFonts w:cs="Arial"/>
          <w:b/>
          <w:sz w:val="28"/>
          <w:szCs w:val="24"/>
        </w:rPr>
      </w:pPr>
    </w:p>
    <w:p w:rsidR="0005279E" w:rsidRPr="00A107C4" w:rsidRDefault="0005279E" w:rsidP="0005279E">
      <w:pPr>
        <w:ind w:left="-360"/>
        <w:rPr>
          <w:rFonts w:cs="Arial"/>
          <w:b/>
          <w:sz w:val="24"/>
        </w:rPr>
      </w:pPr>
      <w:r w:rsidRPr="00A107C4">
        <w:rPr>
          <w:rFonts w:cs="Arial"/>
          <w:b/>
          <w:sz w:val="24"/>
        </w:rPr>
        <w:t>Background</w:t>
      </w:r>
    </w:p>
    <w:p w:rsidR="0005279E" w:rsidRDefault="0005279E" w:rsidP="0005279E">
      <w:pPr>
        <w:ind w:left="-360"/>
        <w:rPr>
          <w:rFonts w:cs="Arial"/>
          <w:b/>
        </w:rPr>
      </w:pPr>
    </w:p>
    <w:p w:rsidR="0005279E" w:rsidRDefault="0005279E" w:rsidP="0005279E">
      <w:pPr>
        <w:ind w:left="-360"/>
        <w:rPr>
          <w:rFonts w:cs="Arial"/>
          <w:b/>
        </w:rPr>
      </w:pPr>
      <w:r w:rsidRPr="00C53BA3">
        <w:rPr>
          <w:rFonts w:cs="Arial"/>
        </w:rPr>
        <w:t xml:space="preserve">Patient activity is reported on a monthly basis, both by month and year to date.  Data contained within the Performance Pack is primarily measured in episodes of care.  However, data is also captured to reflect the number of procedures being carried out by Board, by specialty.  This information is particularly relevant to referring Boards who are allocated activity and measure their activity/throughput at GJNH in numbers of procedures.  </w:t>
      </w:r>
    </w:p>
    <w:p w:rsidR="0005279E" w:rsidRDefault="0005279E" w:rsidP="0005279E">
      <w:pPr>
        <w:ind w:left="-360"/>
        <w:rPr>
          <w:rFonts w:cs="Arial"/>
          <w:b/>
        </w:rPr>
      </w:pPr>
    </w:p>
    <w:p w:rsidR="0005279E" w:rsidRDefault="0005279E" w:rsidP="0005279E">
      <w:pPr>
        <w:ind w:left="-360"/>
        <w:rPr>
          <w:rFonts w:cs="Arial"/>
          <w:b/>
        </w:rPr>
      </w:pPr>
      <w:r w:rsidRPr="00C53BA3">
        <w:rPr>
          <w:rFonts w:cs="Arial"/>
        </w:rPr>
        <w:t>Appendix A to this document is provided for information purposes and reflects the number of patients treated against an annual plan of 18,314 (patients).</w:t>
      </w:r>
    </w:p>
    <w:p w:rsidR="0005279E" w:rsidRDefault="0005279E" w:rsidP="0005279E">
      <w:pPr>
        <w:ind w:left="-360"/>
        <w:rPr>
          <w:rFonts w:cs="Arial"/>
          <w:b/>
        </w:rPr>
      </w:pPr>
    </w:p>
    <w:p w:rsidR="0005279E" w:rsidRDefault="0005279E" w:rsidP="0005279E">
      <w:pPr>
        <w:ind w:left="-360"/>
        <w:rPr>
          <w:rFonts w:cs="Arial"/>
          <w:b/>
        </w:rPr>
      </w:pPr>
      <w:r w:rsidRPr="00C53BA3">
        <w:rPr>
          <w:rFonts w:cs="Arial"/>
        </w:rPr>
        <w:t>Appendix B to this document is adjusted to represent theatre slots used (as opposed to numbers of patients) in both orthopaedic surgery and plastic surgery.  This allows us to more accurately reflect actual theatre utilisation and allows us to focus on maximising the theatre capacity that is available to us.</w:t>
      </w:r>
    </w:p>
    <w:p w:rsidR="0005279E" w:rsidRDefault="0005279E" w:rsidP="0005279E">
      <w:pPr>
        <w:ind w:left="-360"/>
        <w:rPr>
          <w:rFonts w:cs="Arial"/>
          <w:b/>
        </w:rPr>
      </w:pPr>
    </w:p>
    <w:p w:rsidR="0005279E" w:rsidRDefault="0005279E" w:rsidP="0005279E">
      <w:pPr>
        <w:ind w:left="-360"/>
        <w:rPr>
          <w:rFonts w:cs="Arial"/>
          <w:b/>
        </w:rPr>
      </w:pPr>
      <w:r w:rsidRPr="00C53BA3">
        <w:rPr>
          <w:rFonts w:cs="Arial"/>
        </w:rPr>
        <w:t>This paper is intended to monitor and report on the national waiting times activity allocated to Boards across Scotland.  High level Regional Heart and Lung Centre activity is also provided for information purposes.  This activity is reported in more detail on the Divisional Performance and Planning Reports which are then summarised for presentation to the Board.</w:t>
      </w:r>
    </w:p>
    <w:p w:rsidR="0005279E" w:rsidRDefault="0005279E" w:rsidP="0005279E">
      <w:pPr>
        <w:ind w:left="-360"/>
        <w:rPr>
          <w:rFonts w:cs="Arial"/>
          <w:b/>
        </w:rPr>
      </w:pPr>
    </w:p>
    <w:p w:rsidR="0005279E" w:rsidRPr="0005279E" w:rsidRDefault="0005279E" w:rsidP="0005279E">
      <w:pPr>
        <w:ind w:left="-360"/>
        <w:rPr>
          <w:rFonts w:cs="Arial"/>
          <w:b/>
        </w:rPr>
      </w:pPr>
      <w:r w:rsidRPr="00C53BA3">
        <w:rPr>
          <w:rFonts w:cs="Arial"/>
        </w:rPr>
        <w:t>Referring Boards receive a monthly monitoring document which provides a detailed breakdown of the number of patients referred, their complexity and the number of theatre slots used to treat them.</w:t>
      </w:r>
    </w:p>
    <w:p w:rsidR="0005279E" w:rsidRPr="00C53BA3" w:rsidRDefault="0005279E" w:rsidP="0005279E">
      <w:pPr>
        <w:ind w:right="180"/>
        <w:rPr>
          <w:rFonts w:cs="Arial"/>
        </w:rPr>
      </w:pPr>
    </w:p>
    <w:p w:rsidR="0005279E" w:rsidRPr="00C53BA3" w:rsidRDefault="0005279E" w:rsidP="0005279E">
      <w:pPr>
        <w:ind w:right="180"/>
        <w:rPr>
          <w:rFonts w:cs="Arial"/>
        </w:rPr>
      </w:pPr>
    </w:p>
    <w:p w:rsidR="0005279E" w:rsidRPr="00C53BA3" w:rsidRDefault="0005279E" w:rsidP="0005279E">
      <w:pPr>
        <w:ind w:right="180"/>
        <w:rPr>
          <w:rFonts w:cs="Arial"/>
        </w:rPr>
      </w:pPr>
    </w:p>
    <w:p w:rsidR="0005279E" w:rsidRPr="00A107C4" w:rsidRDefault="0005279E" w:rsidP="0005279E">
      <w:pPr>
        <w:ind w:left="-360"/>
        <w:rPr>
          <w:rFonts w:cs="Arial"/>
          <w:b/>
          <w:sz w:val="24"/>
        </w:rPr>
      </w:pPr>
      <w:r w:rsidRPr="00A107C4">
        <w:rPr>
          <w:rFonts w:cs="Arial"/>
          <w:b/>
          <w:sz w:val="24"/>
        </w:rPr>
        <w:t>Operational Governance</w:t>
      </w:r>
    </w:p>
    <w:p w:rsidR="0005279E" w:rsidRPr="00A107C4" w:rsidRDefault="0005279E" w:rsidP="0005279E">
      <w:pPr>
        <w:ind w:left="-360"/>
        <w:rPr>
          <w:rFonts w:cs="Arial"/>
          <w:b/>
          <w:sz w:val="24"/>
        </w:rPr>
      </w:pPr>
    </w:p>
    <w:p w:rsidR="0005279E" w:rsidRPr="00A107C4" w:rsidRDefault="0005279E" w:rsidP="0005279E">
      <w:pPr>
        <w:ind w:left="-360"/>
        <w:rPr>
          <w:rFonts w:cs="Arial"/>
          <w:b/>
          <w:sz w:val="24"/>
        </w:rPr>
      </w:pPr>
      <w:r w:rsidRPr="00A107C4">
        <w:rPr>
          <w:rFonts w:cs="Arial"/>
          <w:b/>
          <w:sz w:val="24"/>
        </w:rPr>
        <w:t>In Patient/Day Case/Diagnostic Imaging Activity Analysis November 2019</w:t>
      </w:r>
    </w:p>
    <w:p w:rsidR="0005279E" w:rsidRDefault="0005279E" w:rsidP="0005279E">
      <w:pPr>
        <w:ind w:left="-360"/>
        <w:rPr>
          <w:rFonts w:cs="Arial"/>
          <w:b/>
        </w:rPr>
      </w:pPr>
    </w:p>
    <w:p w:rsidR="0005279E" w:rsidRDefault="0005279E" w:rsidP="0005279E">
      <w:pPr>
        <w:ind w:left="-360"/>
        <w:rPr>
          <w:rFonts w:cs="Arial"/>
          <w:b/>
        </w:rPr>
      </w:pPr>
      <w:r w:rsidRPr="00C53BA3">
        <w:rPr>
          <w:rFonts w:cs="Arial"/>
        </w:rPr>
        <w:t xml:space="preserve">Activity for inpatient/day case procedures measured against a projection of 18,314 (which excludes cardiothoracic/cardiology activity) was </w:t>
      </w:r>
      <w:r>
        <w:rPr>
          <w:rFonts w:cs="Arial"/>
        </w:rPr>
        <w:t>slightly behind plan</w:t>
      </w:r>
      <w:r w:rsidRPr="00C53BA3">
        <w:rPr>
          <w:rFonts w:cs="Arial"/>
        </w:rPr>
        <w:t xml:space="preserve"> by </w:t>
      </w:r>
      <w:r>
        <w:rPr>
          <w:rFonts w:cs="Arial"/>
        </w:rPr>
        <w:t>1.1</w:t>
      </w:r>
      <w:r w:rsidRPr="00C53BA3">
        <w:rPr>
          <w:rFonts w:cs="Arial"/>
        </w:rPr>
        <w:t xml:space="preserve">% for the month of </w:t>
      </w:r>
      <w:r>
        <w:rPr>
          <w:rFonts w:cs="Arial"/>
        </w:rPr>
        <w:t>November</w:t>
      </w:r>
      <w:r w:rsidRPr="00C53BA3">
        <w:rPr>
          <w:rFonts w:cs="Arial"/>
        </w:rPr>
        <w:t xml:space="preserve"> when activity is adjusted to reflect complexity (Appendix B) and </w:t>
      </w:r>
      <w:r>
        <w:rPr>
          <w:rFonts w:cs="Arial"/>
        </w:rPr>
        <w:t>3.8</w:t>
      </w:r>
      <w:r w:rsidRPr="00C53BA3">
        <w:rPr>
          <w:rFonts w:cs="Arial"/>
        </w:rPr>
        <w:t xml:space="preserve">% behind the year to date plan. </w:t>
      </w:r>
    </w:p>
    <w:p w:rsidR="0005279E" w:rsidRDefault="0005279E" w:rsidP="0005279E">
      <w:pPr>
        <w:ind w:left="-360"/>
        <w:rPr>
          <w:rFonts w:cs="Arial"/>
          <w:b/>
        </w:rPr>
      </w:pPr>
    </w:p>
    <w:p w:rsidR="0005279E" w:rsidRPr="0005279E" w:rsidRDefault="0005279E" w:rsidP="0005279E">
      <w:pPr>
        <w:ind w:left="-360"/>
        <w:rPr>
          <w:rFonts w:cs="Arial"/>
          <w:b/>
        </w:rPr>
      </w:pPr>
      <w:r w:rsidRPr="00326A83">
        <w:rPr>
          <w:rFonts w:cs="Arial"/>
        </w:rPr>
        <w:t xml:space="preserve">Measured against a total activity projection of 61,734, the combined inpatient/day case and imaging activity at the end of </w:t>
      </w:r>
      <w:r>
        <w:rPr>
          <w:rFonts w:cs="Arial"/>
        </w:rPr>
        <w:t>November</w:t>
      </w:r>
      <w:r w:rsidRPr="00326A83">
        <w:rPr>
          <w:rFonts w:cs="Arial"/>
        </w:rPr>
        <w:t xml:space="preserve"> was behind plan by </w:t>
      </w:r>
      <w:r>
        <w:rPr>
          <w:rFonts w:cs="Arial"/>
        </w:rPr>
        <w:t>2.2</w:t>
      </w:r>
      <w:r w:rsidRPr="00326A83">
        <w:rPr>
          <w:rFonts w:cs="Arial"/>
        </w:rPr>
        <w:t xml:space="preserve">% for the month of </w:t>
      </w:r>
      <w:r>
        <w:rPr>
          <w:rFonts w:cs="Arial"/>
        </w:rPr>
        <w:t>November</w:t>
      </w:r>
      <w:r w:rsidRPr="00326A83">
        <w:rPr>
          <w:rFonts w:cs="Arial"/>
        </w:rPr>
        <w:t xml:space="preserve"> when adjusted to reflect complexity (Appendix B) and </w:t>
      </w:r>
      <w:r>
        <w:rPr>
          <w:rFonts w:cs="Arial"/>
        </w:rPr>
        <w:t>4.0</w:t>
      </w:r>
      <w:r w:rsidRPr="00326A83">
        <w:rPr>
          <w:rFonts w:cs="Arial"/>
        </w:rPr>
        <w:t>% behind the year to date plan.</w:t>
      </w:r>
    </w:p>
    <w:p w:rsidR="0005279E" w:rsidRPr="00C53BA3" w:rsidRDefault="0005279E" w:rsidP="0005279E">
      <w:pPr>
        <w:rPr>
          <w:rFonts w:cs="Arial"/>
        </w:rPr>
      </w:pPr>
    </w:p>
    <w:p w:rsidR="0005279E" w:rsidRPr="00A107C4" w:rsidRDefault="0005279E" w:rsidP="0005279E">
      <w:pPr>
        <w:ind w:left="-360"/>
        <w:rPr>
          <w:rFonts w:cs="Arial"/>
          <w:b/>
          <w:sz w:val="24"/>
        </w:rPr>
      </w:pPr>
      <w:r w:rsidRPr="00A107C4">
        <w:rPr>
          <w:rFonts w:cs="Arial"/>
          <w:b/>
          <w:sz w:val="24"/>
        </w:rPr>
        <w:t>Analysis of Performance Against Plan at End November 2019</w:t>
      </w:r>
    </w:p>
    <w:p w:rsidR="0005279E" w:rsidRDefault="0005279E" w:rsidP="0005279E">
      <w:pPr>
        <w:ind w:left="-360"/>
        <w:rPr>
          <w:rFonts w:cs="Arial"/>
          <w:b/>
        </w:rPr>
      </w:pPr>
    </w:p>
    <w:p w:rsidR="0005279E" w:rsidRDefault="0005279E" w:rsidP="0005279E">
      <w:pPr>
        <w:ind w:left="-360"/>
        <w:rPr>
          <w:rFonts w:cs="Arial"/>
          <w:b/>
          <w:sz w:val="24"/>
        </w:rPr>
      </w:pPr>
      <w:r w:rsidRPr="00C53BA3">
        <w:rPr>
          <w:rFonts w:cs="Arial"/>
          <w:b/>
          <w:sz w:val="24"/>
        </w:rPr>
        <w:t>Orthopaedic Surgery:</w:t>
      </w:r>
    </w:p>
    <w:p w:rsidR="0005279E" w:rsidRDefault="0005279E" w:rsidP="0005279E">
      <w:pPr>
        <w:ind w:left="-360"/>
        <w:rPr>
          <w:rFonts w:cs="Arial"/>
          <w:b/>
          <w:sz w:val="24"/>
        </w:rPr>
      </w:pPr>
    </w:p>
    <w:p w:rsidR="0005279E" w:rsidRDefault="0005279E" w:rsidP="0005279E">
      <w:pPr>
        <w:ind w:left="-360"/>
        <w:rPr>
          <w:rFonts w:cs="Arial"/>
          <w:sz w:val="24"/>
        </w:rPr>
      </w:pPr>
      <w:r w:rsidRPr="00C53BA3">
        <w:rPr>
          <w:rFonts w:cs="Arial"/>
          <w:sz w:val="24"/>
        </w:rPr>
        <w:t xml:space="preserve">The annual target for orthopaedic joint replacements for 2019/20 is based on 4003 primary joint replacements.  This number is calculated on the basis of one patient to one theatre slot.  Each session equals two primary joint theatre slots.  However, based on experience over the recent years, we have made the assumption that the number of complex joint replacements likely to be referred for treatment would be approximately 9%.  These procedures typically take the equivalent theatre space of 1.5 - 2 primary joint replacements.  </w:t>
      </w:r>
    </w:p>
    <w:p w:rsidR="0005279E" w:rsidRDefault="0005279E" w:rsidP="0005279E">
      <w:pPr>
        <w:ind w:left="-360"/>
        <w:rPr>
          <w:rFonts w:cs="Arial"/>
          <w:sz w:val="24"/>
        </w:rPr>
      </w:pPr>
      <w:r w:rsidRPr="00C53BA3">
        <w:rPr>
          <w:rFonts w:cs="Arial"/>
          <w:sz w:val="24"/>
        </w:rPr>
        <w:t xml:space="preserve">In addition to the 4003 primary joint replacements, there are a target number of 931 orthopaedic non joint procedures and 550 foot and ankle procedures for the year.  This </w:t>
      </w:r>
      <w:r w:rsidRPr="00C53BA3">
        <w:rPr>
          <w:rFonts w:cs="Arial"/>
          <w:sz w:val="24"/>
        </w:rPr>
        <w:lastRenderedPageBreak/>
        <w:t>equates to a total of 5484 orthopaedic theatre slots per annum (as documented in Appendix B).</w:t>
      </w:r>
    </w:p>
    <w:p w:rsidR="0005279E" w:rsidRDefault="0005279E" w:rsidP="0005279E">
      <w:pPr>
        <w:ind w:left="-360"/>
        <w:rPr>
          <w:rFonts w:cs="Arial"/>
          <w:sz w:val="24"/>
        </w:rPr>
      </w:pPr>
    </w:p>
    <w:p w:rsidR="0005279E" w:rsidRDefault="0005279E" w:rsidP="0005279E">
      <w:pPr>
        <w:ind w:left="-360"/>
        <w:rPr>
          <w:rFonts w:cs="Arial"/>
          <w:sz w:val="24"/>
        </w:rPr>
      </w:pPr>
      <w:r w:rsidRPr="00C53BA3">
        <w:rPr>
          <w:rFonts w:cs="Arial"/>
          <w:sz w:val="24"/>
        </w:rPr>
        <w:t xml:space="preserve">At the end of </w:t>
      </w:r>
      <w:r>
        <w:rPr>
          <w:rFonts w:cs="Arial"/>
          <w:sz w:val="24"/>
        </w:rPr>
        <w:t>November</w:t>
      </w:r>
      <w:r w:rsidRPr="00C53BA3">
        <w:rPr>
          <w:rFonts w:cs="Arial"/>
          <w:sz w:val="24"/>
        </w:rPr>
        <w:t xml:space="preserve">, orthopaedic joint activity was </w:t>
      </w:r>
      <w:r>
        <w:rPr>
          <w:rFonts w:cs="Arial"/>
          <w:sz w:val="24"/>
        </w:rPr>
        <w:t>ahead of</w:t>
      </w:r>
      <w:r w:rsidRPr="00C53BA3">
        <w:rPr>
          <w:rFonts w:cs="Arial"/>
          <w:sz w:val="24"/>
        </w:rPr>
        <w:t xml:space="preserve"> plan</w:t>
      </w:r>
      <w:r>
        <w:rPr>
          <w:rFonts w:cs="Arial"/>
          <w:sz w:val="24"/>
        </w:rPr>
        <w:t xml:space="preserve"> for the month</w:t>
      </w:r>
      <w:r w:rsidRPr="00C53BA3">
        <w:rPr>
          <w:rFonts w:cs="Arial"/>
          <w:sz w:val="24"/>
        </w:rPr>
        <w:t xml:space="preserve"> by </w:t>
      </w:r>
      <w:r>
        <w:rPr>
          <w:rFonts w:cs="Arial"/>
          <w:sz w:val="24"/>
        </w:rPr>
        <w:t>8</w:t>
      </w:r>
      <w:r w:rsidRPr="00C53BA3">
        <w:rPr>
          <w:rFonts w:cs="Arial"/>
          <w:sz w:val="24"/>
        </w:rPr>
        <w:t xml:space="preserve"> joint replacement</w:t>
      </w:r>
      <w:r>
        <w:rPr>
          <w:rFonts w:cs="Arial"/>
          <w:sz w:val="24"/>
        </w:rPr>
        <w:t>s and behind plan by 46</w:t>
      </w:r>
      <w:r w:rsidRPr="00C53BA3">
        <w:rPr>
          <w:rFonts w:cs="Arial"/>
          <w:sz w:val="24"/>
        </w:rPr>
        <w:t xml:space="preserve"> ‘non joint’ procedures</w:t>
      </w:r>
      <w:r>
        <w:rPr>
          <w:rFonts w:cs="Arial"/>
          <w:sz w:val="24"/>
        </w:rPr>
        <w:t xml:space="preserve"> and 7 </w:t>
      </w:r>
      <w:r w:rsidRPr="00C53BA3">
        <w:rPr>
          <w:rFonts w:cs="Arial"/>
          <w:sz w:val="24"/>
        </w:rPr>
        <w:t>foot and ankle procedures.  Overall, orthopaedic surgery in procedures/theatre slots</w:t>
      </w:r>
      <w:r>
        <w:rPr>
          <w:rFonts w:cs="Arial"/>
          <w:sz w:val="24"/>
        </w:rPr>
        <w:t xml:space="preserve"> is behind the year to date plan by 253</w:t>
      </w:r>
      <w:r w:rsidRPr="00C53BA3">
        <w:rPr>
          <w:rFonts w:cs="Arial"/>
          <w:sz w:val="24"/>
        </w:rPr>
        <w:t>.</w:t>
      </w:r>
    </w:p>
    <w:p w:rsidR="0005279E" w:rsidRDefault="0005279E" w:rsidP="0005279E">
      <w:pPr>
        <w:ind w:left="-360"/>
        <w:rPr>
          <w:rFonts w:cs="Arial"/>
          <w:sz w:val="24"/>
        </w:rPr>
      </w:pPr>
    </w:p>
    <w:p w:rsidR="0005279E" w:rsidRDefault="0005279E" w:rsidP="0005279E">
      <w:pPr>
        <w:ind w:left="-360"/>
        <w:rPr>
          <w:rFonts w:cs="Arial"/>
          <w:b/>
          <w:sz w:val="24"/>
        </w:rPr>
      </w:pPr>
      <w:r w:rsidRPr="00C53BA3">
        <w:rPr>
          <w:rFonts w:cs="Arial"/>
          <w:b/>
          <w:sz w:val="24"/>
        </w:rPr>
        <w:t>Ophthalmic Surgery</w:t>
      </w:r>
    </w:p>
    <w:p w:rsidR="0005279E" w:rsidRDefault="0005279E" w:rsidP="0005279E">
      <w:pPr>
        <w:ind w:left="-360"/>
        <w:rPr>
          <w:rFonts w:cs="Arial"/>
          <w:b/>
          <w:sz w:val="24"/>
        </w:rPr>
      </w:pPr>
    </w:p>
    <w:p w:rsidR="0005279E" w:rsidRDefault="0005279E" w:rsidP="0005279E">
      <w:pPr>
        <w:ind w:left="-360"/>
        <w:rPr>
          <w:rFonts w:cs="Arial"/>
          <w:sz w:val="24"/>
        </w:rPr>
      </w:pPr>
      <w:r w:rsidRPr="00C53BA3">
        <w:rPr>
          <w:rFonts w:cs="Arial"/>
          <w:sz w:val="24"/>
        </w:rPr>
        <w:t>Ophthalmology activity</w:t>
      </w:r>
      <w:r>
        <w:rPr>
          <w:rFonts w:cs="Arial"/>
          <w:sz w:val="24"/>
        </w:rPr>
        <w:t xml:space="preserve"> was ahead of</w:t>
      </w:r>
      <w:r w:rsidRPr="00C53BA3">
        <w:rPr>
          <w:rFonts w:cs="Arial"/>
          <w:sz w:val="24"/>
        </w:rPr>
        <w:t xml:space="preserve"> the monthly plan by</w:t>
      </w:r>
      <w:r>
        <w:rPr>
          <w:rFonts w:cs="Arial"/>
          <w:sz w:val="24"/>
        </w:rPr>
        <w:t xml:space="preserve"> 22</w:t>
      </w:r>
      <w:r w:rsidRPr="00C53BA3">
        <w:rPr>
          <w:rFonts w:cs="Arial"/>
          <w:sz w:val="24"/>
        </w:rPr>
        <w:t xml:space="preserve"> procedures for the month of </w:t>
      </w:r>
      <w:r>
        <w:rPr>
          <w:rFonts w:cs="Arial"/>
          <w:sz w:val="24"/>
        </w:rPr>
        <w:t>November</w:t>
      </w:r>
      <w:r w:rsidRPr="00C53BA3">
        <w:rPr>
          <w:rFonts w:cs="Arial"/>
          <w:sz w:val="24"/>
        </w:rPr>
        <w:t xml:space="preserve"> and behind </w:t>
      </w:r>
      <w:r>
        <w:rPr>
          <w:rFonts w:cs="Arial"/>
          <w:sz w:val="24"/>
        </w:rPr>
        <w:t>the year to date plan by 78</w:t>
      </w:r>
      <w:r w:rsidRPr="00C53BA3">
        <w:rPr>
          <w:rFonts w:cs="Arial"/>
          <w:sz w:val="24"/>
        </w:rPr>
        <w:t xml:space="preserve"> procedures. </w:t>
      </w:r>
    </w:p>
    <w:p w:rsidR="0005279E" w:rsidRDefault="0005279E" w:rsidP="0005279E">
      <w:pPr>
        <w:ind w:left="-360"/>
        <w:rPr>
          <w:rFonts w:cs="Arial"/>
          <w:sz w:val="24"/>
        </w:rPr>
      </w:pPr>
    </w:p>
    <w:p w:rsidR="0005279E" w:rsidRDefault="0005279E" w:rsidP="0005279E">
      <w:pPr>
        <w:ind w:left="-360"/>
        <w:rPr>
          <w:rFonts w:cs="Arial"/>
          <w:b/>
          <w:sz w:val="24"/>
        </w:rPr>
      </w:pPr>
      <w:r w:rsidRPr="00C53BA3">
        <w:rPr>
          <w:rFonts w:cs="Arial"/>
          <w:b/>
          <w:sz w:val="24"/>
        </w:rPr>
        <w:t>General Surgery</w:t>
      </w:r>
    </w:p>
    <w:p w:rsidR="0005279E" w:rsidRDefault="0005279E" w:rsidP="0005279E">
      <w:pPr>
        <w:ind w:left="-360"/>
        <w:rPr>
          <w:rFonts w:cs="Arial"/>
          <w:b/>
          <w:sz w:val="24"/>
        </w:rPr>
      </w:pPr>
    </w:p>
    <w:p w:rsidR="0005279E" w:rsidRDefault="0005279E" w:rsidP="0005279E">
      <w:pPr>
        <w:ind w:left="-360"/>
        <w:rPr>
          <w:rFonts w:cs="Arial"/>
          <w:sz w:val="24"/>
        </w:rPr>
      </w:pPr>
      <w:r w:rsidRPr="00C53BA3">
        <w:rPr>
          <w:rFonts w:cs="Arial"/>
          <w:sz w:val="24"/>
        </w:rPr>
        <w:t xml:space="preserve">General surgery performed </w:t>
      </w:r>
      <w:r>
        <w:rPr>
          <w:rFonts w:cs="Arial"/>
          <w:sz w:val="24"/>
        </w:rPr>
        <w:t>behind by only 1</w:t>
      </w:r>
      <w:r w:rsidRPr="00C53BA3">
        <w:rPr>
          <w:rFonts w:cs="Arial"/>
          <w:sz w:val="24"/>
        </w:rPr>
        <w:t xml:space="preserve"> </w:t>
      </w:r>
      <w:r>
        <w:rPr>
          <w:rFonts w:cs="Arial"/>
          <w:sz w:val="24"/>
        </w:rPr>
        <w:t>procedure</w:t>
      </w:r>
      <w:r w:rsidRPr="00C53BA3">
        <w:rPr>
          <w:rFonts w:cs="Arial"/>
          <w:sz w:val="24"/>
        </w:rPr>
        <w:t xml:space="preserve"> for the month of </w:t>
      </w:r>
      <w:r>
        <w:rPr>
          <w:rFonts w:cs="Arial"/>
          <w:sz w:val="24"/>
        </w:rPr>
        <w:t>November</w:t>
      </w:r>
      <w:r w:rsidRPr="00C53BA3">
        <w:rPr>
          <w:rFonts w:cs="Arial"/>
          <w:sz w:val="24"/>
        </w:rPr>
        <w:t xml:space="preserve"> and </w:t>
      </w:r>
      <w:r>
        <w:rPr>
          <w:rFonts w:cs="Arial"/>
          <w:sz w:val="24"/>
        </w:rPr>
        <w:t>is 90</w:t>
      </w:r>
      <w:r w:rsidRPr="00C53BA3">
        <w:rPr>
          <w:rFonts w:cs="Arial"/>
          <w:sz w:val="24"/>
        </w:rPr>
        <w:t xml:space="preserve"> behind the year to date plan. </w:t>
      </w:r>
    </w:p>
    <w:p w:rsidR="0005279E" w:rsidRDefault="0005279E" w:rsidP="0005279E">
      <w:pPr>
        <w:ind w:left="-360"/>
        <w:rPr>
          <w:rFonts w:cs="Arial"/>
          <w:sz w:val="24"/>
        </w:rPr>
      </w:pPr>
    </w:p>
    <w:p w:rsidR="0005279E" w:rsidRDefault="0005279E" w:rsidP="0005279E">
      <w:pPr>
        <w:ind w:left="-360"/>
        <w:rPr>
          <w:rFonts w:cs="Arial"/>
          <w:b/>
          <w:sz w:val="24"/>
        </w:rPr>
      </w:pPr>
      <w:r w:rsidRPr="00C53BA3">
        <w:rPr>
          <w:rFonts w:cs="Arial"/>
          <w:b/>
          <w:sz w:val="24"/>
        </w:rPr>
        <w:t>Plastic Surgery</w:t>
      </w:r>
    </w:p>
    <w:p w:rsidR="0005279E" w:rsidRDefault="0005279E" w:rsidP="0005279E">
      <w:pPr>
        <w:ind w:left="-360"/>
        <w:rPr>
          <w:rFonts w:cs="Arial"/>
          <w:b/>
          <w:sz w:val="24"/>
        </w:rPr>
      </w:pPr>
    </w:p>
    <w:p w:rsidR="0005279E" w:rsidRDefault="0005279E" w:rsidP="0005279E">
      <w:pPr>
        <w:ind w:left="-360"/>
        <w:rPr>
          <w:rFonts w:cs="Arial"/>
          <w:sz w:val="24"/>
        </w:rPr>
      </w:pPr>
      <w:r w:rsidRPr="00C53BA3">
        <w:rPr>
          <w:rFonts w:cs="Arial"/>
          <w:sz w:val="24"/>
        </w:rPr>
        <w:t xml:space="preserve">For reporting purposes Plastic Surgery has been split and will be monitored throughout 2019/20 as hand surgery and minor plastic surgery.  </w:t>
      </w:r>
    </w:p>
    <w:p w:rsidR="0005279E" w:rsidRDefault="0005279E" w:rsidP="0005279E">
      <w:pPr>
        <w:ind w:left="-360"/>
        <w:rPr>
          <w:rFonts w:cs="Arial"/>
          <w:sz w:val="24"/>
        </w:rPr>
      </w:pPr>
    </w:p>
    <w:p w:rsidR="0005279E" w:rsidRDefault="0005279E" w:rsidP="0005279E">
      <w:pPr>
        <w:ind w:left="-360"/>
        <w:rPr>
          <w:rFonts w:cs="Arial"/>
          <w:sz w:val="24"/>
        </w:rPr>
      </w:pPr>
      <w:r w:rsidRPr="00C53BA3">
        <w:rPr>
          <w:rFonts w:cs="Arial"/>
          <w:sz w:val="24"/>
        </w:rPr>
        <w:t xml:space="preserve">Hand surgery </w:t>
      </w:r>
      <w:r>
        <w:rPr>
          <w:rFonts w:cs="Arial"/>
          <w:sz w:val="24"/>
        </w:rPr>
        <w:t>was behind</w:t>
      </w:r>
      <w:r w:rsidRPr="00C53BA3">
        <w:rPr>
          <w:rFonts w:cs="Arial"/>
          <w:sz w:val="24"/>
        </w:rPr>
        <w:t xml:space="preserve"> plan for </w:t>
      </w:r>
      <w:r>
        <w:rPr>
          <w:rFonts w:cs="Arial"/>
          <w:sz w:val="24"/>
        </w:rPr>
        <w:t>November</w:t>
      </w:r>
      <w:r w:rsidRPr="00C53BA3">
        <w:rPr>
          <w:rFonts w:cs="Arial"/>
          <w:sz w:val="24"/>
        </w:rPr>
        <w:t xml:space="preserve"> by</w:t>
      </w:r>
      <w:r>
        <w:rPr>
          <w:rFonts w:cs="Arial"/>
          <w:sz w:val="24"/>
        </w:rPr>
        <w:t xml:space="preserve"> 8</w:t>
      </w:r>
      <w:r w:rsidRPr="00C53BA3">
        <w:rPr>
          <w:rFonts w:cs="Arial"/>
          <w:sz w:val="24"/>
        </w:rPr>
        <w:t xml:space="preserve"> procedures. </w:t>
      </w:r>
    </w:p>
    <w:p w:rsidR="0005279E" w:rsidRDefault="0005279E" w:rsidP="0005279E">
      <w:pPr>
        <w:ind w:left="-360"/>
        <w:rPr>
          <w:rFonts w:cs="Arial"/>
          <w:sz w:val="24"/>
        </w:rPr>
      </w:pPr>
      <w:r w:rsidRPr="00C53BA3">
        <w:rPr>
          <w:rFonts w:cs="Arial"/>
          <w:sz w:val="24"/>
        </w:rPr>
        <w:t xml:space="preserve">Minor plastic surgery was behind plan for </w:t>
      </w:r>
      <w:r>
        <w:rPr>
          <w:rFonts w:cs="Arial"/>
          <w:sz w:val="24"/>
        </w:rPr>
        <w:t>November by 5</w:t>
      </w:r>
      <w:r w:rsidRPr="00C53BA3">
        <w:rPr>
          <w:rFonts w:cs="Arial"/>
          <w:sz w:val="24"/>
        </w:rPr>
        <w:t xml:space="preserve"> procedures. </w:t>
      </w:r>
    </w:p>
    <w:p w:rsidR="0005279E" w:rsidRDefault="0005279E" w:rsidP="0005279E">
      <w:pPr>
        <w:ind w:left="-360"/>
        <w:rPr>
          <w:rFonts w:cs="Arial"/>
          <w:sz w:val="24"/>
        </w:rPr>
      </w:pPr>
    </w:p>
    <w:p w:rsidR="0005279E" w:rsidRDefault="0005279E" w:rsidP="0005279E">
      <w:pPr>
        <w:ind w:left="-360"/>
        <w:rPr>
          <w:rFonts w:cs="Arial"/>
          <w:b/>
          <w:sz w:val="24"/>
        </w:rPr>
      </w:pPr>
      <w:r w:rsidRPr="00C53BA3">
        <w:rPr>
          <w:rFonts w:cs="Arial"/>
          <w:b/>
          <w:sz w:val="24"/>
        </w:rPr>
        <w:t>Endoscopy</w:t>
      </w:r>
    </w:p>
    <w:p w:rsidR="0005279E" w:rsidRDefault="0005279E" w:rsidP="0005279E">
      <w:pPr>
        <w:ind w:left="-360"/>
        <w:rPr>
          <w:rFonts w:cs="Arial"/>
          <w:b/>
          <w:sz w:val="24"/>
        </w:rPr>
      </w:pPr>
    </w:p>
    <w:p w:rsidR="0005279E" w:rsidRDefault="0005279E" w:rsidP="0005279E">
      <w:pPr>
        <w:ind w:left="-360"/>
        <w:rPr>
          <w:rFonts w:cs="Arial"/>
          <w:sz w:val="24"/>
        </w:rPr>
      </w:pPr>
      <w:r w:rsidRPr="00C53BA3">
        <w:rPr>
          <w:rFonts w:cs="Arial"/>
          <w:sz w:val="24"/>
        </w:rPr>
        <w:t>The endoscopy activity was</w:t>
      </w:r>
      <w:r>
        <w:rPr>
          <w:rFonts w:cs="Arial"/>
          <w:sz w:val="24"/>
        </w:rPr>
        <w:t xml:space="preserve"> ahead of the planned activity by 22 procedures</w:t>
      </w:r>
      <w:r w:rsidRPr="00C53BA3">
        <w:rPr>
          <w:rFonts w:cs="Arial"/>
          <w:sz w:val="24"/>
        </w:rPr>
        <w:t xml:space="preserve"> </w:t>
      </w:r>
      <w:r>
        <w:rPr>
          <w:rFonts w:cs="Arial"/>
          <w:sz w:val="24"/>
        </w:rPr>
        <w:t>and remains 39</w:t>
      </w:r>
      <w:r w:rsidRPr="00C53BA3">
        <w:rPr>
          <w:rFonts w:cs="Arial"/>
          <w:sz w:val="24"/>
        </w:rPr>
        <w:t xml:space="preserve"> behind year to date. </w:t>
      </w:r>
    </w:p>
    <w:p w:rsidR="0005279E" w:rsidRDefault="0005279E" w:rsidP="0005279E">
      <w:pPr>
        <w:ind w:left="-360"/>
        <w:rPr>
          <w:rFonts w:cs="Arial"/>
          <w:sz w:val="24"/>
        </w:rPr>
      </w:pPr>
    </w:p>
    <w:p w:rsidR="0005279E" w:rsidRDefault="0005279E" w:rsidP="0005279E">
      <w:pPr>
        <w:ind w:left="-360"/>
        <w:rPr>
          <w:rFonts w:cs="Arial"/>
          <w:b/>
          <w:sz w:val="24"/>
        </w:rPr>
      </w:pPr>
      <w:r w:rsidRPr="00C53BA3">
        <w:rPr>
          <w:rFonts w:cs="Arial"/>
          <w:b/>
          <w:sz w:val="24"/>
        </w:rPr>
        <w:t>Diagnostic Imaging</w:t>
      </w:r>
    </w:p>
    <w:p w:rsidR="0005279E" w:rsidRDefault="0005279E" w:rsidP="0005279E">
      <w:pPr>
        <w:ind w:left="-360"/>
        <w:rPr>
          <w:rFonts w:cs="Arial"/>
          <w:b/>
          <w:sz w:val="24"/>
        </w:rPr>
      </w:pPr>
    </w:p>
    <w:p w:rsidR="0005279E" w:rsidRDefault="0005279E" w:rsidP="0005279E">
      <w:pPr>
        <w:ind w:left="-360"/>
        <w:rPr>
          <w:rFonts w:cs="Arial"/>
          <w:b/>
        </w:rPr>
      </w:pPr>
      <w:r w:rsidRPr="00326A83">
        <w:rPr>
          <w:rFonts w:cs="Arial"/>
          <w:sz w:val="24"/>
        </w:rPr>
        <w:t xml:space="preserve">Diagnostic imaging activity was behind the planned activity for </w:t>
      </w:r>
      <w:r>
        <w:rPr>
          <w:rFonts w:cs="Arial"/>
          <w:sz w:val="24"/>
        </w:rPr>
        <w:t>November by 97</w:t>
      </w:r>
      <w:r w:rsidRPr="00326A83">
        <w:rPr>
          <w:rFonts w:cs="Arial"/>
          <w:sz w:val="24"/>
        </w:rPr>
        <w:t xml:space="preserve"> examinations and is </w:t>
      </w:r>
      <w:r>
        <w:rPr>
          <w:rFonts w:cs="Arial"/>
          <w:sz w:val="24"/>
        </w:rPr>
        <w:t>1,208</w:t>
      </w:r>
      <w:r w:rsidRPr="00326A83">
        <w:rPr>
          <w:rFonts w:cs="Arial"/>
          <w:sz w:val="24"/>
        </w:rPr>
        <w:t xml:space="preserve"> behind the year to date plan.</w:t>
      </w:r>
      <w:r>
        <w:rPr>
          <w:rFonts w:cs="Arial"/>
          <w:sz w:val="24"/>
        </w:rPr>
        <w:t xml:space="preserve"> </w:t>
      </w:r>
    </w:p>
    <w:p w:rsidR="0005279E" w:rsidRDefault="0005279E" w:rsidP="0005279E">
      <w:pPr>
        <w:ind w:left="-360"/>
        <w:rPr>
          <w:rFonts w:cs="Arial"/>
          <w:b/>
        </w:rPr>
      </w:pPr>
    </w:p>
    <w:p w:rsidR="0005279E" w:rsidRPr="00A107C4" w:rsidRDefault="0005279E" w:rsidP="0005279E">
      <w:pPr>
        <w:ind w:left="-360"/>
        <w:rPr>
          <w:rFonts w:cs="Arial"/>
          <w:b/>
          <w:sz w:val="24"/>
        </w:rPr>
      </w:pPr>
      <w:r w:rsidRPr="00A107C4">
        <w:rPr>
          <w:rFonts w:cs="Arial"/>
          <w:b/>
          <w:sz w:val="24"/>
        </w:rPr>
        <w:t xml:space="preserve">Current Situation </w:t>
      </w:r>
    </w:p>
    <w:p w:rsidR="0005279E" w:rsidRDefault="0005279E" w:rsidP="0005279E">
      <w:pPr>
        <w:ind w:left="-360"/>
        <w:rPr>
          <w:rFonts w:cs="Arial"/>
          <w:b/>
        </w:rPr>
      </w:pPr>
    </w:p>
    <w:p w:rsidR="0005279E" w:rsidRPr="0005279E" w:rsidRDefault="0005279E" w:rsidP="0005279E">
      <w:pPr>
        <w:pStyle w:val="ListParagraph"/>
        <w:numPr>
          <w:ilvl w:val="0"/>
          <w:numId w:val="38"/>
        </w:numPr>
        <w:rPr>
          <w:rFonts w:cs="Arial"/>
          <w:b/>
        </w:rPr>
      </w:pPr>
      <w:r w:rsidRPr="0005279E">
        <w:rPr>
          <w:rFonts w:cs="Arial"/>
        </w:rPr>
        <w:t>Orthopaedic joint replacements exceeded the November planned activity by 8 procedures, orthopaedic non joint activity was behind by 46 procedures and foot and ankle surgery behind by 7 procedures.  Overall, in November the service utilised 415 orthopaedic theatre slots against a plan of 459 and they are now behind the year to date plan by 253 procedures.</w:t>
      </w:r>
    </w:p>
    <w:p w:rsidR="0005279E" w:rsidRPr="00C53BA3" w:rsidRDefault="0005279E" w:rsidP="0005279E">
      <w:pPr>
        <w:rPr>
          <w:rFonts w:cs="Arial"/>
        </w:rPr>
      </w:pPr>
    </w:p>
    <w:p w:rsidR="0005279E" w:rsidRPr="0005279E" w:rsidRDefault="0005279E" w:rsidP="0005279E">
      <w:pPr>
        <w:pStyle w:val="ListParagraph"/>
        <w:numPr>
          <w:ilvl w:val="0"/>
          <w:numId w:val="38"/>
        </w:numPr>
        <w:rPr>
          <w:rFonts w:cs="Arial"/>
        </w:rPr>
      </w:pPr>
      <w:r w:rsidRPr="0005279E">
        <w:rPr>
          <w:rFonts w:cs="Arial"/>
        </w:rPr>
        <w:t>The shortfall in orthopaedic activity has been due to a number of contributing factors including:</w:t>
      </w:r>
    </w:p>
    <w:p w:rsidR="0005279E" w:rsidRDefault="0005279E" w:rsidP="0005279E">
      <w:pPr>
        <w:ind w:left="709"/>
        <w:rPr>
          <w:rFonts w:cs="Arial"/>
        </w:rPr>
      </w:pPr>
    </w:p>
    <w:p w:rsidR="0005279E" w:rsidRDefault="0005279E" w:rsidP="0005279E">
      <w:pPr>
        <w:pStyle w:val="ListParagraph"/>
        <w:numPr>
          <w:ilvl w:val="1"/>
          <w:numId w:val="36"/>
        </w:numPr>
        <w:rPr>
          <w:rFonts w:cs="Arial"/>
        </w:rPr>
      </w:pPr>
      <w:r>
        <w:rPr>
          <w:rFonts w:cs="Arial"/>
        </w:rPr>
        <w:t>Consultant willingness to carry out waiting list initiative sessions when colleagues are on annual or sick leave.</w:t>
      </w:r>
    </w:p>
    <w:p w:rsidR="0005279E" w:rsidRDefault="0005279E" w:rsidP="0005279E">
      <w:pPr>
        <w:pStyle w:val="ListParagraph"/>
        <w:numPr>
          <w:ilvl w:val="1"/>
          <w:numId w:val="36"/>
        </w:numPr>
        <w:rPr>
          <w:rFonts w:cs="Arial"/>
        </w:rPr>
      </w:pPr>
      <w:r>
        <w:rPr>
          <w:rFonts w:cs="Arial"/>
        </w:rPr>
        <w:t xml:space="preserve">One consultant reduced his job planned sessions.  These sessions are being replaced by a new consultant.  However, the new consultant will </w:t>
      </w:r>
      <w:r>
        <w:rPr>
          <w:rFonts w:cs="Arial"/>
        </w:rPr>
        <w:lastRenderedPageBreak/>
        <w:t>not take up these sessions until January resulting in a gap that cannot be utilised.</w:t>
      </w:r>
    </w:p>
    <w:p w:rsidR="0005279E" w:rsidRDefault="0005279E" w:rsidP="0005279E">
      <w:pPr>
        <w:pStyle w:val="ListParagraph"/>
        <w:numPr>
          <w:ilvl w:val="1"/>
          <w:numId w:val="36"/>
        </w:numPr>
        <w:rPr>
          <w:rFonts w:cs="Arial"/>
        </w:rPr>
      </w:pPr>
      <w:r>
        <w:rPr>
          <w:rFonts w:cs="Arial"/>
        </w:rPr>
        <w:t>One consultant was on sick leave earlier in the year and has not yet resumed full operating.</w:t>
      </w:r>
    </w:p>
    <w:p w:rsidR="0005279E" w:rsidRDefault="0005279E" w:rsidP="0005279E">
      <w:pPr>
        <w:pStyle w:val="ListParagraph"/>
        <w:numPr>
          <w:ilvl w:val="1"/>
          <w:numId w:val="36"/>
        </w:numPr>
        <w:rPr>
          <w:rFonts w:cs="Arial"/>
        </w:rPr>
      </w:pPr>
      <w:r>
        <w:rPr>
          <w:rFonts w:cs="Arial"/>
        </w:rPr>
        <w:t>A number of patients being referred to GJNH for surgery are ‘long waiters’ and the conversion to surgery rate has been much lower than we have typically experienced in the past.</w:t>
      </w:r>
    </w:p>
    <w:p w:rsidR="0005279E" w:rsidRDefault="0005279E" w:rsidP="0005279E">
      <w:pPr>
        <w:pStyle w:val="ListParagraph"/>
        <w:numPr>
          <w:ilvl w:val="1"/>
          <w:numId w:val="36"/>
        </w:numPr>
        <w:rPr>
          <w:rFonts w:cs="Arial"/>
        </w:rPr>
      </w:pPr>
      <w:r>
        <w:rPr>
          <w:rFonts w:cs="Arial"/>
        </w:rPr>
        <w:t>Theatre staffing has been an issue since the summer, however, this situation is expected to improve in Q4.</w:t>
      </w:r>
    </w:p>
    <w:p w:rsidR="0005279E" w:rsidRDefault="0005279E" w:rsidP="0005279E">
      <w:pPr>
        <w:pStyle w:val="ListParagraph"/>
        <w:rPr>
          <w:rFonts w:cs="Arial"/>
        </w:rPr>
      </w:pPr>
    </w:p>
    <w:p w:rsidR="0005279E" w:rsidRDefault="0005279E" w:rsidP="0005279E">
      <w:pPr>
        <w:pStyle w:val="ListParagraph"/>
        <w:rPr>
          <w:rFonts w:cs="Arial"/>
        </w:rPr>
      </w:pPr>
      <w:r>
        <w:rPr>
          <w:rFonts w:cs="Arial"/>
        </w:rPr>
        <w:t xml:space="preserve">The team are continually exploring opportunities to recover the shortfall in activity and they envisage some improvement from January to March. </w:t>
      </w:r>
    </w:p>
    <w:p w:rsidR="008C28F2" w:rsidRDefault="008C28F2" w:rsidP="008C28F2">
      <w:pPr>
        <w:pStyle w:val="ListParagraph"/>
        <w:rPr>
          <w:rFonts w:cs="Arial"/>
        </w:rPr>
      </w:pPr>
    </w:p>
    <w:p w:rsidR="0005279E" w:rsidRPr="008C28F2" w:rsidRDefault="0005279E" w:rsidP="008C28F2">
      <w:pPr>
        <w:pStyle w:val="ListParagraph"/>
        <w:numPr>
          <w:ilvl w:val="0"/>
          <w:numId w:val="41"/>
        </w:numPr>
        <w:rPr>
          <w:rFonts w:cs="Arial"/>
        </w:rPr>
      </w:pPr>
      <w:r w:rsidRPr="008C28F2">
        <w:rPr>
          <w:rFonts w:cs="Arial"/>
        </w:rPr>
        <w:t xml:space="preserve">For the third consecutive month, Ophthalmology activity exceeded the monthly plan by 82 procedures.   The Division remains focussed on recovering the year to date shortfall which has now reduced to 78 procedures. Every opportunity continues to be explored to minimise DNAs and late cancellations.    </w:t>
      </w:r>
    </w:p>
    <w:p w:rsidR="0005279E" w:rsidRPr="00EC6684" w:rsidRDefault="0005279E" w:rsidP="0005279E">
      <w:pPr>
        <w:pStyle w:val="ListParagraph"/>
        <w:rPr>
          <w:rFonts w:cs="Arial"/>
        </w:rPr>
      </w:pPr>
    </w:p>
    <w:p w:rsidR="0005279E" w:rsidRDefault="0005279E" w:rsidP="0005279E">
      <w:pPr>
        <w:pStyle w:val="ListParagraph"/>
        <w:numPr>
          <w:ilvl w:val="0"/>
          <w:numId w:val="36"/>
        </w:numPr>
        <w:tabs>
          <w:tab w:val="left" w:pos="709"/>
        </w:tabs>
        <w:rPr>
          <w:rFonts w:cs="Arial"/>
        </w:rPr>
      </w:pPr>
      <w:r w:rsidRPr="005D7B2D">
        <w:rPr>
          <w:rFonts w:cs="Arial"/>
        </w:rPr>
        <w:t xml:space="preserve">Endoscopy procedures carried out in </w:t>
      </w:r>
      <w:r>
        <w:rPr>
          <w:rFonts w:cs="Arial"/>
        </w:rPr>
        <w:t>November were ahead of plan by 22</w:t>
      </w:r>
      <w:r w:rsidRPr="005D7B2D">
        <w:rPr>
          <w:rFonts w:cs="Arial"/>
        </w:rPr>
        <w:t xml:space="preserve"> procedures.  The service continue</w:t>
      </w:r>
      <w:r>
        <w:rPr>
          <w:rFonts w:cs="Arial"/>
        </w:rPr>
        <w:t>s</w:t>
      </w:r>
      <w:r w:rsidRPr="005D7B2D">
        <w:rPr>
          <w:rFonts w:cs="Arial"/>
        </w:rPr>
        <w:t xml:space="preserve"> to work towards recovery of the year to date shortfall which</w:t>
      </w:r>
      <w:r>
        <w:rPr>
          <w:rFonts w:cs="Arial"/>
        </w:rPr>
        <w:t xml:space="preserve"> has now reduced to 39</w:t>
      </w:r>
      <w:r w:rsidRPr="005D7B2D">
        <w:rPr>
          <w:rFonts w:cs="Arial"/>
        </w:rPr>
        <w:t xml:space="preserve"> procedures.</w:t>
      </w:r>
    </w:p>
    <w:p w:rsidR="0005279E" w:rsidRPr="005D7B2D" w:rsidRDefault="0005279E" w:rsidP="0005279E">
      <w:pPr>
        <w:tabs>
          <w:tab w:val="left" w:pos="709"/>
        </w:tabs>
        <w:rPr>
          <w:rFonts w:cs="Arial"/>
        </w:rPr>
      </w:pPr>
      <w:r w:rsidRPr="005D7B2D">
        <w:rPr>
          <w:rFonts w:cs="Arial"/>
        </w:rPr>
        <w:t xml:space="preserve">  </w:t>
      </w:r>
    </w:p>
    <w:p w:rsidR="0005279E" w:rsidRDefault="0005279E" w:rsidP="0005279E">
      <w:pPr>
        <w:pStyle w:val="ListParagraph"/>
        <w:numPr>
          <w:ilvl w:val="1"/>
          <w:numId w:val="37"/>
        </w:numPr>
        <w:ind w:left="709" w:right="-360" w:hanging="283"/>
        <w:rPr>
          <w:rFonts w:cs="Arial"/>
        </w:rPr>
      </w:pPr>
      <w:r w:rsidRPr="00AD2E57">
        <w:rPr>
          <w:rFonts w:cs="Arial"/>
        </w:rPr>
        <w:t xml:space="preserve">There has been sustained improvement in Diagnostic Imaging in November although the service is behind the monthly plan by 97 examinations.  The shortfall </w:t>
      </w:r>
      <w:r>
        <w:rPr>
          <w:rFonts w:cs="Arial"/>
        </w:rPr>
        <w:t xml:space="preserve">of 1208 examinations </w:t>
      </w:r>
      <w:r w:rsidRPr="00AD2E57">
        <w:rPr>
          <w:rFonts w:cs="Arial"/>
        </w:rPr>
        <w:t>remains significant</w:t>
      </w:r>
      <w:r>
        <w:rPr>
          <w:rFonts w:cs="Arial"/>
        </w:rPr>
        <w:t>.  However, there is some confidence that this shortfall will be recovered by the year end.</w:t>
      </w:r>
      <w:r w:rsidRPr="00AD2E57">
        <w:rPr>
          <w:rFonts w:cs="Arial"/>
        </w:rPr>
        <w:t xml:space="preserve"> </w:t>
      </w:r>
    </w:p>
    <w:p w:rsidR="0005279E" w:rsidRPr="00AD2E57" w:rsidRDefault="0005279E" w:rsidP="0005279E">
      <w:pPr>
        <w:pStyle w:val="ListParagraph"/>
        <w:ind w:right="-360"/>
        <w:rPr>
          <w:rFonts w:cs="Arial"/>
        </w:rPr>
      </w:pPr>
    </w:p>
    <w:p w:rsidR="0005279E" w:rsidRPr="005401CC" w:rsidRDefault="0005279E" w:rsidP="0005279E">
      <w:pPr>
        <w:rPr>
          <w:rFonts w:cs="Arial"/>
          <w:sz w:val="24"/>
        </w:rPr>
      </w:pPr>
      <w:r w:rsidRPr="005401CC">
        <w:rPr>
          <w:rFonts w:cs="Arial"/>
          <w:sz w:val="24"/>
        </w:rPr>
        <w:t>Although slightly behind the plan for November, activity carried out in November is 8.3% higher than in October.  However, due to our dependency on visiting consultants and the willingness of consultants to carry out waiting list initiative sessions, recovering the year to date shortfall continues to be extremely challenging.  The Recovery Group continue to meet on a weekly basis and remain focussed on identifying alternative solutions to challenges as they arise, addressing recruitment challenges and detailing a recovery plan for shortfalls by specialty.</w:t>
      </w:r>
    </w:p>
    <w:p w:rsidR="0005279E" w:rsidRPr="005401CC" w:rsidRDefault="0005279E" w:rsidP="0005279E">
      <w:pPr>
        <w:rPr>
          <w:rFonts w:cs="Arial"/>
          <w:b/>
          <w:sz w:val="24"/>
        </w:rPr>
      </w:pPr>
    </w:p>
    <w:p w:rsidR="00D717CD" w:rsidRPr="007F4702" w:rsidRDefault="00D717CD" w:rsidP="0056643A">
      <w:pPr>
        <w:ind w:right="2"/>
        <w:textAlignment w:val="baseline"/>
        <w:rPr>
          <w:rFonts w:cs="Arial"/>
          <w:b/>
          <w:sz w:val="24"/>
          <w:szCs w:val="24"/>
        </w:rPr>
      </w:pPr>
    </w:p>
    <w:p w:rsidR="00D717CD" w:rsidRDefault="00D717CD" w:rsidP="0056643A">
      <w:pPr>
        <w:ind w:right="2"/>
        <w:textAlignment w:val="baseline"/>
        <w:rPr>
          <w:rFonts w:cs="Arial"/>
          <w:b/>
          <w:szCs w:val="22"/>
        </w:rPr>
      </w:pPr>
    </w:p>
    <w:p w:rsidR="00D717CD" w:rsidRDefault="00D717CD" w:rsidP="0056643A">
      <w:pPr>
        <w:ind w:right="2"/>
        <w:textAlignment w:val="baseline"/>
        <w:rPr>
          <w:rFonts w:cs="Arial"/>
          <w:b/>
          <w:szCs w:val="22"/>
        </w:rPr>
      </w:pPr>
    </w:p>
    <w:p w:rsidR="007F4702" w:rsidRDefault="007F4702">
      <w:pPr>
        <w:spacing w:after="200" w:line="276" w:lineRule="auto"/>
        <w:rPr>
          <w:rFonts w:cs="Arial"/>
          <w:b/>
          <w:sz w:val="24"/>
          <w:szCs w:val="24"/>
        </w:rPr>
      </w:pPr>
      <w:r>
        <w:rPr>
          <w:rFonts w:cs="Arial"/>
          <w:b/>
          <w:sz w:val="24"/>
          <w:szCs w:val="24"/>
        </w:rPr>
        <w:br w:type="page"/>
      </w:r>
    </w:p>
    <w:p w:rsidR="00D717CD" w:rsidRPr="00D86FFF" w:rsidRDefault="00D86FFF" w:rsidP="00D86FFF">
      <w:pPr>
        <w:rPr>
          <w:rFonts w:cs="Arial"/>
          <w:b/>
          <w:sz w:val="28"/>
          <w:szCs w:val="24"/>
        </w:rPr>
      </w:pPr>
      <w:r w:rsidRPr="00D86FFF">
        <w:rPr>
          <w:rFonts w:cs="Arial"/>
          <w:b/>
          <w:sz w:val="28"/>
          <w:szCs w:val="24"/>
        </w:rPr>
        <w:lastRenderedPageBreak/>
        <w:t>F</w:t>
      </w:r>
      <w:r w:rsidR="009F1F3F">
        <w:rPr>
          <w:rFonts w:cs="Arial"/>
          <w:b/>
          <w:sz w:val="28"/>
          <w:szCs w:val="24"/>
        </w:rPr>
        <w:t>inance</w:t>
      </w:r>
      <w:r w:rsidRPr="00D86FFF">
        <w:rPr>
          <w:rFonts w:cs="Arial"/>
          <w:b/>
          <w:sz w:val="28"/>
          <w:szCs w:val="24"/>
        </w:rPr>
        <w:t>, P</w:t>
      </w:r>
      <w:r w:rsidR="009F1F3F">
        <w:rPr>
          <w:rFonts w:cs="Arial"/>
          <w:b/>
          <w:sz w:val="28"/>
          <w:szCs w:val="24"/>
        </w:rPr>
        <w:t>erformance</w:t>
      </w:r>
      <w:r w:rsidRPr="00D86FFF">
        <w:rPr>
          <w:rFonts w:cs="Arial"/>
          <w:b/>
          <w:sz w:val="28"/>
          <w:szCs w:val="24"/>
        </w:rPr>
        <w:t xml:space="preserve"> </w:t>
      </w:r>
      <w:r w:rsidR="009F1F3F">
        <w:rPr>
          <w:rFonts w:cs="Arial"/>
          <w:b/>
          <w:sz w:val="28"/>
          <w:szCs w:val="24"/>
        </w:rPr>
        <w:t>and Resources</w:t>
      </w:r>
      <w:r w:rsidR="00961DB1">
        <w:rPr>
          <w:rFonts w:cs="Arial"/>
          <w:b/>
          <w:sz w:val="28"/>
          <w:szCs w:val="24"/>
        </w:rPr>
        <w:t xml:space="preserve"> Executive Summary</w:t>
      </w:r>
    </w:p>
    <w:p w:rsidR="0070320C" w:rsidRDefault="0070320C" w:rsidP="0056643A">
      <w:pPr>
        <w:ind w:right="2"/>
        <w:textAlignment w:val="baseline"/>
        <w:rPr>
          <w:rFonts w:cs="Arial"/>
          <w:b/>
          <w:sz w:val="24"/>
          <w:szCs w:val="24"/>
        </w:rPr>
      </w:pPr>
    </w:p>
    <w:p w:rsidR="00D86FFF" w:rsidRPr="00D86FFF" w:rsidRDefault="00D86FFF" w:rsidP="00D86FFF">
      <w:pPr>
        <w:ind w:right="2"/>
        <w:textAlignment w:val="baseline"/>
        <w:rPr>
          <w:rFonts w:cs="Arial"/>
          <w:b/>
          <w:sz w:val="24"/>
          <w:szCs w:val="22"/>
        </w:rPr>
      </w:pPr>
      <w:r w:rsidRPr="00D86FFF">
        <w:rPr>
          <w:rFonts w:cs="Arial"/>
          <w:b/>
          <w:sz w:val="24"/>
          <w:szCs w:val="22"/>
        </w:rPr>
        <w:t>Financial Position as at Month 8, November 2019</w:t>
      </w:r>
    </w:p>
    <w:p w:rsidR="00D86FFF" w:rsidRPr="00D86FFF" w:rsidRDefault="00D86FFF" w:rsidP="00D86FFF">
      <w:pPr>
        <w:ind w:right="2"/>
        <w:textAlignment w:val="baseline"/>
        <w:rPr>
          <w:rFonts w:cs="Arial"/>
          <w:b/>
          <w:sz w:val="24"/>
          <w:szCs w:val="22"/>
        </w:rPr>
      </w:pPr>
      <w:r w:rsidRPr="00D86FFF">
        <w:rPr>
          <w:rFonts w:cs="Arial"/>
          <w:b/>
          <w:sz w:val="24"/>
          <w:szCs w:val="22"/>
        </w:rPr>
        <w:t>Revenue Position</w:t>
      </w:r>
    </w:p>
    <w:p w:rsidR="00D86FFF" w:rsidRPr="0002447B" w:rsidRDefault="00D86FFF" w:rsidP="00D86FFF">
      <w:pPr>
        <w:ind w:right="2"/>
        <w:textAlignment w:val="baseline"/>
        <w:rPr>
          <w:rFonts w:cs="Arial"/>
          <w:b/>
          <w:szCs w:val="22"/>
        </w:rPr>
      </w:pPr>
    </w:p>
    <w:p w:rsidR="00D86FFF" w:rsidRPr="0002447B" w:rsidRDefault="00D86FFF" w:rsidP="00D86FFF">
      <w:pPr>
        <w:rPr>
          <w:rFonts w:cs="Arial"/>
          <w:szCs w:val="22"/>
        </w:rPr>
      </w:pPr>
      <w:r w:rsidRPr="0002447B">
        <w:rPr>
          <w:rFonts w:cs="Arial"/>
          <w:szCs w:val="22"/>
        </w:rPr>
        <w:t xml:space="preserve">The total surplus as at Month </w:t>
      </w:r>
      <w:r>
        <w:rPr>
          <w:rFonts w:cs="Arial"/>
          <w:szCs w:val="22"/>
        </w:rPr>
        <w:t>8</w:t>
      </w:r>
      <w:r w:rsidRPr="0002447B">
        <w:rPr>
          <w:rFonts w:cs="Arial"/>
          <w:szCs w:val="22"/>
        </w:rPr>
        <w:t xml:space="preserve">, </w:t>
      </w:r>
      <w:r>
        <w:rPr>
          <w:rFonts w:cs="Arial"/>
          <w:szCs w:val="22"/>
        </w:rPr>
        <w:t>November</w:t>
      </w:r>
      <w:r w:rsidRPr="0002447B">
        <w:rPr>
          <w:rFonts w:cs="Arial"/>
          <w:szCs w:val="22"/>
        </w:rPr>
        <w:t xml:space="preserve"> 2019 amounts to £</w:t>
      </w:r>
      <w:r>
        <w:rPr>
          <w:rFonts w:cs="Arial"/>
          <w:szCs w:val="22"/>
        </w:rPr>
        <w:t>309k</w:t>
      </w:r>
      <w:r w:rsidRPr="0002447B">
        <w:rPr>
          <w:rFonts w:cs="Arial"/>
          <w:szCs w:val="22"/>
        </w:rPr>
        <w:t xml:space="preserve">. This comprises of an income </w:t>
      </w:r>
      <w:r>
        <w:rPr>
          <w:rFonts w:cs="Arial"/>
          <w:szCs w:val="22"/>
        </w:rPr>
        <w:t>unde</w:t>
      </w:r>
      <w:r w:rsidRPr="0002447B">
        <w:rPr>
          <w:rFonts w:cs="Arial"/>
          <w:szCs w:val="22"/>
        </w:rPr>
        <w:t xml:space="preserve">r-recovery of </w:t>
      </w:r>
      <w:r>
        <w:rPr>
          <w:rFonts w:cs="Arial"/>
          <w:szCs w:val="22"/>
        </w:rPr>
        <w:t>(</w:t>
      </w:r>
      <w:r w:rsidRPr="0002447B">
        <w:rPr>
          <w:rFonts w:cs="Arial"/>
          <w:szCs w:val="22"/>
        </w:rPr>
        <w:t>£</w:t>
      </w:r>
      <w:r>
        <w:rPr>
          <w:rFonts w:cs="Arial"/>
          <w:szCs w:val="22"/>
        </w:rPr>
        <w:t>131k)</w:t>
      </w:r>
      <w:r w:rsidRPr="0002447B">
        <w:rPr>
          <w:rFonts w:cs="Arial"/>
          <w:szCs w:val="22"/>
        </w:rPr>
        <w:t xml:space="preserve">, a core expenditure </w:t>
      </w:r>
      <w:r>
        <w:rPr>
          <w:rFonts w:cs="Arial"/>
          <w:szCs w:val="22"/>
        </w:rPr>
        <w:t xml:space="preserve">underspend </w:t>
      </w:r>
      <w:r w:rsidRPr="0002447B">
        <w:rPr>
          <w:rFonts w:cs="Arial"/>
          <w:szCs w:val="22"/>
        </w:rPr>
        <w:t>of £</w:t>
      </w:r>
      <w:r>
        <w:rPr>
          <w:rFonts w:cs="Arial"/>
          <w:szCs w:val="22"/>
        </w:rPr>
        <w:t>441k</w:t>
      </w:r>
      <w:r w:rsidRPr="0002447B">
        <w:rPr>
          <w:rFonts w:cs="Arial"/>
          <w:szCs w:val="22"/>
        </w:rPr>
        <w:t xml:space="preserve"> and a non-core </w:t>
      </w:r>
      <w:r>
        <w:rPr>
          <w:rFonts w:cs="Arial"/>
          <w:szCs w:val="22"/>
        </w:rPr>
        <w:t>break-even position</w:t>
      </w:r>
      <w:r w:rsidRPr="0002447B">
        <w:rPr>
          <w:rFonts w:cs="Arial"/>
          <w:szCs w:val="22"/>
        </w:rPr>
        <w:t xml:space="preserve">. This reported underspend position </w:t>
      </w:r>
      <w:r>
        <w:rPr>
          <w:rFonts w:cs="Arial"/>
          <w:szCs w:val="22"/>
        </w:rPr>
        <w:t>compares to an</w:t>
      </w:r>
      <w:r w:rsidRPr="0002447B">
        <w:rPr>
          <w:rFonts w:cs="Arial"/>
          <w:szCs w:val="22"/>
        </w:rPr>
        <w:t xml:space="preserve"> original Financial Plan Forecast of </w:t>
      </w:r>
      <w:r>
        <w:rPr>
          <w:rFonts w:cs="Arial"/>
          <w:szCs w:val="22"/>
        </w:rPr>
        <w:t>a break-even</w:t>
      </w:r>
      <w:r w:rsidRPr="0002447B">
        <w:rPr>
          <w:rFonts w:cs="Arial"/>
          <w:szCs w:val="22"/>
        </w:rPr>
        <w:t xml:space="preserve"> by the end of </w:t>
      </w:r>
      <w:r>
        <w:rPr>
          <w:rFonts w:cs="Arial"/>
          <w:szCs w:val="22"/>
        </w:rPr>
        <w:t>November</w:t>
      </w:r>
      <w:r w:rsidRPr="0002447B">
        <w:rPr>
          <w:rFonts w:cs="Arial"/>
          <w:szCs w:val="22"/>
        </w:rPr>
        <w:t xml:space="preserve"> 2019</w:t>
      </w:r>
      <w:r>
        <w:rPr>
          <w:rFonts w:cs="Arial"/>
          <w:szCs w:val="22"/>
        </w:rPr>
        <w:t>.</w:t>
      </w:r>
    </w:p>
    <w:p w:rsidR="00D86FFF" w:rsidRPr="0002447B" w:rsidRDefault="00D86FFF" w:rsidP="00D86FFF">
      <w:pPr>
        <w:rPr>
          <w:rFonts w:cs="Arial"/>
          <w:szCs w:val="22"/>
        </w:rPr>
      </w:pPr>
    </w:p>
    <w:p w:rsidR="00D86FFF" w:rsidRPr="0002447B" w:rsidRDefault="00D86FFF" w:rsidP="00D86FFF">
      <w:pPr>
        <w:rPr>
          <w:rFonts w:cs="Arial"/>
          <w:szCs w:val="22"/>
        </w:rPr>
      </w:pPr>
      <w:r w:rsidRPr="0002447B">
        <w:rPr>
          <w:rFonts w:cs="Arial"/>
          <w:szCs w:val="22"/>
        </w:rPr>
        <w:t xml:space="preserve">The </w:t>
      </w:r>
      <w:r>
        <w:rPr>
          <w:rFonts w:cs="Arial"/>
          <w:szCs w:val="22"/>
        </w:rPr>
        <w:t>f</w:t>
      </w:r>
      <w:r w:rsidRPr="0002447B">
        <w:rPr>
          <w:rFonts w:cs="Arial"/>
          <w:szCs w:val="22"/>
        </w:rPr>
        <w:t xml:space="preserve">orecast to the financial year-end at this point of the financial year remains to predict </w:t>
      </w:r>
      <w:r>
        <w:rPr>
          <w:rFonts w:cs="Arial"/>
          <w:szCs w:val="22"/>
        </w:rPr>
        <w:t>being within budget and now expects a level of surplus given recent results and run rate.</w:t>
      </w:r>
      <w:r w:rsidRPr="0002447B">
        <w:rPr>
          <w:rFonts w:cs="Arial"/>
          <w:szCs w:val="22"/>
        </w:rPr>
        <w:t xml:space="preserve"> </w:t>
      </w:r>
    </w:p>
    <w:p w:rsidR="00D86FFF" w:rsidRPr="0002447B" w:rsidRDefault="00D86FFF" w:rsidP="00D86FFF">
      <w:pPr>
        <w:rPr>
          <w:rFonts w:cs="Arial"/>
          <w:szCs w:val="22"/>
        </w:rPr>
      </w:pPr>
    </w:p>
    <w:p w:rsidR="00D86FFF" w:rsidRPr="00D86FFF" w:rsidRDefault="00D86FFF" w:rsidP="00D86FFF">
      <w:pPr>
        <w:rPr>
          <w:rFonts w:cs="Arial"/>
          <w:b/>
          <w:sz w:val="24"/>
          <w:szCs w:val="22"/>
        </w:rPr>
      </w:pPr>
      <w:r w:rsidRPr="00D86FFF">
        <w:rPr>
          <w:rFonts w:cs="Arial"/>
          <w:b/>
          <w:sz w:val="24"/>
          <w:szCs w:val="22"/>
        </w:rPr>
        <w:t>Main Points to note</w:t>
      </w:r>
    </w:p>
    <w:p w:rsidR="00D86FFF" w:rsidRPr="0002447B" w:rsidRDefault="00D86FFF" w:rsidP="00D86FFF">
      <w:pPr>
        <w:rPr>
          <w:rFonts w:cs="Arial"/>
          <w:szCs w:val="22"/>
        </w:rPr>
      </w:pPr>
    </w:p>
    <w:p w:rsidR="00D86FFF" w:rsidRDefault="00D86FFF" w:rsidP="00D86FFF">
      <w:pPr>
        <w:pStyle w:val="ListParagraph"/>
        <w:numPr>
          <w:ilvl w:val="0"/>
          <w:numId w:val="29"/>
        </w:numPr>
        <w:contextualSpacing/>
        <w:rPr>
          <w:rFonts w:cs="Arial"/>
          <w:szCs w:val="22"/>
          <w:lang w:eastAsia="en-GB"/>
        </w:rPr>
      </w:pPr>
      <w:r>
        <w:rPr>
          <w:rFonts w:cs="Arial"/>
          <w:szCs w:val="22"/>
          <w:lang w:eastAsia="en-GB"/>
        </w:rPr>
        <w:t>The YTD Budget across Expenditure headings amounts to c£97m, with the underspend above of £441k being split between pay, at £633k underspent, and non-pay, being (£192k) overspent. Whilst this overall position is favourable some ongoing pressures exist in Medical Pay lines due to excess costs to assist in meeting capacity demands, and within equipment repair and rental and thoracic supplies in non-pay, with these areas being subject of local reviews to define remedial actions. The income under-recovery is associated with some SLA activity being behind targeted plans at month 8, as previously reported.</w:t>
      </w:r>
    </w:p>
    <w:p w:rsidR="00D86FFF" w:rsidRDefault="00D86FFF" w:rsidP="00D86FFF">
      <w:pPr>
        <w:pStyle w:val="ListParagraph"/>
        <w:rPr>
          <w:rFonts w:cs="Arial"/>
          <w:szCs w:val="22"/>
          <w:lang w:eastAsia="en-GB"/>
        </w:rPr>
      </w:pPr>
    </w:p>
    <w:p w:rsidR="00D86FFF" w:rsidRPr="0002447B" w:rsidRDefault="00D86FFF" w:rsidP="00D86FFF">
      <w:pPr>
        <w:pStyle w:val="ListParagraph"/>
        <w:numPr>
          <w:ilvl w:val="0"/>
          <w:numId w:val="29"/>
        </w:numPr>
        <w:contextualSpacing/>
        <w:rPr>
          <w:rFonts w:cs="Arial"/>
          <w:szCs w:val="22"/>
          <w:lang w:eastAsia="en-GB"/>
        </w:rPr>
      </w:pPr>
      <w:r w:rsidRPr="0002447B">
        <w:rPr>
          <w:rFonts w:cs="Arial"/>
          <w:szCs w:val="22"/>
        </w:rPr>
        <w:t>The Efficiency Savings target for the year amounts to £4.807m</w:t>
      </w:r>
      <w:r>
        <w:rPr>
          <w:rFonts w:cs="Arial"/>
          <w:szCs w:val="22"/>
        </w:rPr>
        <w:t>. At the end of November 2019,</w:t>
      </w:r>
      <w:r w:rsidRPr="0002447B">
        <w:rPr>
          <w:rFonts w:cs="Arial"/>
          <w:szCs w:val="22"/>
        </w:rPr>
        <w:t xml:space="preserve"> £</w:t>
      </w:r>
      <w:r>
        <w:rPr>
          <w:rFonts w:cs="Arial"/>
          <w:szCs w:val="22"/>
        </w:rPr>
        <w:t>4.534</w:t>
      </w:r>
      <w:r w:rsidRPr="0002447B">
        <w:rPr>
          <w:rFonts w:cs="Arial"/>
          <w:szCs w:val="22"/>
        </w:rPr>
        <w:t>m of schemes have been identified, with £</w:t>
      </w:r>
      <w:r>
        <w:rPr>
          <w:rFonts w:cs="Arial"/>
          <w:szCs w:val="22"/>
        </w:rPr>
        <w:t>2.53</w:t>
      </w:r>
      <w:r w:rsidRPr="0002447B">
        <w:rPr>
          <w:rFonts w:cs="Arial"/>
          <w:szCs w:val="22"/>
        </w:rPr>
        <w:t>m being recurring schemes and £2.0</w:t>
      </w:r>
      <w:r>
        <w:rPr>
          <w:rFonts w:cs="Arial"/>
          <w:szCs w:val="22"/>
        </w:rPr>
        <w:t>04</w:t>
      </w:r>
      <w:r w:rsidRPr="0002447B">
        <w:rPr>
          <w:rFonts w:cs="Arial"/>
          <w:szCs w:val="22"/>
        </w:rPr>
        <w:t xml:space="preserve">m non-recurring opportunities. At month </w:t>
      </w:r>
      <w:r>
        <w:rPr>
          <w:rFonts w:cs="Arial"/>
          <w:szCs w:val="22"/>
        </w:rPr>
        <w:t>8</w:t>
      </w:r>
      <w:r w:rsidRPr="0002447B">
        <w:rPr>
          <w:rFonts w:cs="Arial"/>
          <w:szCs w:val="22"/>
        </w:rPr>
        <w:t xml:space="preserve"> this reflects a</w:t>
      </w:r>
      <w:r>
        <w:rPr>
          <w:rFonts w:cs="Arial"/>
          <w:szCs w:val="22"/>
        </w:rPr>
        <w:t>n</w:t>
      </w:r>
      <w:r w:rsidRPr="0002447B">
        <w:rPr>
          <w:rFonts w:cs="Arial"/>
          <w:szCs w:val="22"/>
        </w:rPr>
        <w:t xml:space="preserve"> in-year gap of £</w:t>
      </w:r>
      <w:r>
        <w:rPr>
          <w:rFonts w:cs="Arial"/>
          <w:szCs w:val="22"/>
        </w:rPr>
        <w:t>273k</w:t>
      </w:r>
      <w:r w:rsidRPr="0002447B">
        <w:rPr>
          <w:rFonts w:cs="Arial"/>
          <w:szCs w:val="22"/>
        </w:rPr>
        <w:t xml:space="preserve"> and a FYE gap of £</w:t>
      </w:r>
      <w:r>
        <w:rPr>
          <w:rFonts w:cs="Arial"/>
          <w:szCs w:val="22"/>
        </w:rPr>
        <w:t>1.277m</w:t>
      </w:r>
      <w:r w:rsidRPr="0002447B">
        <w:rPr>
          <w:rFonts w:cs="Arial"/>
          <w:szCs w:val="22"/>
        </w:rPr>
        <w:t>, albeit further opportunities will be explored</w:t>
      </w:r>
      <w:r>
        <w:rPr>
          <w:rFonts w:cs="Arial"/>
          <w:szCs w:val="22"/>
        </w:rPr>
        <w:t>,</w:t>
      </w:r>
      <w:r w:rsidRPr="0002447B">
        <w:rPr>
          <w:rFonts w:cs="Arial"/>
          <w:szCs w:val="22"/>
        </w:rPr>
        <w:t xml:space="preserve"> and be of significant focus</w:t>
      </w:r>
      <w:r>
        <w:rPr>
          <w:rFonts w:cs="Arial"/>
          <w:szCs w:val="22"/>
        </w:rPr>
        <w:t>,</w:t>
      </w:r>
      <w:r w:rsidRPr="0002447B">
        <w:rPr>
          <w:rFonts w:cs="Arial"/>
          <w:szCs w:val="22"/>
        </w:rPr>
        <w:t xml:space="preserve"> via planned Performance Review Groups with the Divisions to source additional initiatives.</w:t>
      </w:r>
      <w:r>
        <w:rPr>
          <w:rFonts w:cs="Arial"/>
          <w:szCs w:val="22"/>
        </w:rPr>
        <w:t xml:space="preserve"> Positively, £2.932m of cash releasing savings have been identified and achieved as at month 8, which is ahead of the planned YTD target of £2.69m.</w:t>
      </w:r>
    </w:p>
    <w:p w:rsidR="00D86FFF" w:rsidRPr="0002447B" w:rsidRDefault="00D86FFF" w:rsidP="00D86FFF">
      <w:pPr>
        <w:pStyle w:val="ListParagraph"/>
        <w:rPr>
          <w:rFonts w:cs="Arial"/>
          <w:szCs w:val="22"/>
          <w:lang w:eastAsia="en-GB"/>
        </w:rPr>
      </w:pPr>
    </w:p>
    <w:p w:rsidR="00D86FFF" w:rsidRDefault="00D86FFF" w:rsidP="00D86FFF">
      <w:pPr>
        <w:pStyle w:val="ListParagraph"/>
        <w:numPr>
          <w:ilvl w:val="0"/>
          <w:numId w:val="29"/>
        </w:numPr>
        <w:contextualSpacing/>
        <w:rPr>
          <w:rFonts w:cs="Arial"/>
          <w:szCs w:val="22"/>
          <w:lang w:eastAsia="en-GB"/>
        </w:rPr>
      </w:pPr>
      <w:r w:rsidRPr="0002447B">
        <w:rPr>
          <w:rFonts w:cs="Arial"/>
          <w:szCs w:val="22"/>
        </w:rPr>
        <w:t xml:space="preserve">In addition to these savings schemes, there are cost avoidance </w:t>
      </w:r>
      <w:r>
        <w:rPr>
          <w:rFonts w:cs="Arial"/>
          <w:szCs w:val="22"/>
        </w:rPr>
        <w:t xml:space="preserve">and productivity </w:t>
      </w:r>
      <w:r w:rsidRPr="0002447B">
        <w:rPr>
          <w:rFonts w:cs="Arial"/>
          <w:szCs w:val="22"/>
        </w:rPr>
        <w:t>schemes</w:t>
      </w:r>
      <w:r>
        <w:rPr>
          <w:rFonts w:cs="Arial"/>
          <w:szCs w:val="22"/>
        </w:rPr>
        <w:t xml:space="preserve"> assisting the run rate and operational efficiencies, albeit these cannot be set against the target above. These schemes are under detailed scrutiny to assess the organisational benefits which can be recognised in year.</w:t>
      </w:r>
    </w:p>
    <w:p w:rsidR="00D86FFF" w:rsidRPr="002D0EA3" w:rsidRDefault="00D86FFF" w:rsidP="00D86FFF">
      <w:pPr>
        <w:pStyle w:val="ListParagraph"/>
        <w:rPr>
          <w:rFonts w:cs="Arial"/>
          <w:szCs w:val="22"/>
          <w:lang w:eastAsia="en-GB"/>
        </w:rPr>
      </w:pPr>
    </w:p>
    <w:p w:rsidR="00D86FFF" w:rsidRPr="0002447B" w:rsidRDefault="00D86FFF" w:rsidP="00D86FFF">
      <w:pPr>
        <w:pStyle w:val="ListParagraph"/>
        <w:numPr>
          <w:ilvl w:val="0"/>
          <w:numId w:val="29"/>
        </w:numPr>
        <w:contextualSpacing/>
        <w:rPr>
          <w:rFonts w:cs="Arial"/>
          <w:szCs w:val="22"/>
          <w:lang w:eastAsia="en-GB"/>
        </w:rPr>
      </w:pPr>
      <w:r>
        <w:rPr>
          <w:rFonts w:cs="Arial"/>
          <w:szCs w:val="22"/>
          <w:lang w:eastAsia="en-GB"/>
        </w:rPr>
        <w:t>The Clinical Waste contract and service contingency arrangements continue to be in transitional phase with the interim arrangements resulting in additional charges of c£14k per month from the contractor together with some internal costs to maintain service delivery. These costs have been factored into the Boards financial forecasts, recognising the full financial risk, with the changeover of services due at the beginning of the calendar year.</w:t>
      </w:r>
    </w:p>
    <w:p w:rsidR="00D86FFF" w:rsidRPr="0002447B" w:rsidRDefault="00D86FFF" w:rsidP="00D86FFF">
      <w:pPr>
        <w:pStyle w:val="ListParagraph"/>
        <w:rPr>
          <w:rFonts w:cs="Arial"/>
          <w:szCs w:val="22"/>
          <w:lang w:eastAsia="en-GB"/>
        </w:rPr>
      </w:pPr>
    </w:p>
    <w:p w:rsidR="00D86FFF" w:rsidRDefault="00D86FFF" w:rsidP="00D86FFF">
      <w:pPr>
        <w:pStyle w:val="ListParagraph"/>
        <w:numPr>
          <w:ilvl w:val="0"/>
          <w:numId w:val="29"/>
        </w:numPr>
        <w:contextualSpacing/>
        <w:rPr>
          <w:rFonts w:cs="Arial"/>
          <w:szCs w:val="22"/>
          <w:lang w:eastAsia="en-GB"/>
        </w:rPr>
      </w:pPr>
      <w:r w:rsidRPr="0002447B">
        <w:rPr>
          <w:rFonts w:cs="Arial"/>
          <w:szCs w:val="22"/>
          <w:lang w:eastAsia="en-GB"/>
        </w:rPr>
        <w:t>The Hotel Expenditure position is £</w:t>
      </w:r>
      <w:r>
        <w:rPr>
          <w:rFonts w:cs="Arial"/>
          <w:szCs w:val="22"/>
          <w:lang w:eastAsia="en-GB"/>
        </w:rPr>
        <w:t>37</w:t>
      </w:r>
      <w:r w:rsidRPr="0002447B">
        <w:rPr>
          <w:rFonts w:cs="Arial"/>
          <w:szCs w:val="22"/>
          <w:lang w:eastAsia="en-GB"/>
        </w:rPr>
        <w:t xml:space="preserve">k </w:t>
      </w:r>
      <w:r>
        <w:rPr>
          <w:rFonts w:cs="Arial"/>
          <w:szCs w:val="22"/>
          <w:lang w:eastAsia="en-GB"/>
        </w:rPr>
        <w:t>under</w:t>
      </w:r>
      <w:r w:rsidRPr="0002447B">
        <w:rPr>
          <w:rFonts w:cs="Arial"/>
          <w:szCs w:val="22"/>
          <w:lang w:eastAsia="en-GB"/>
        </w:rPr>
        <w:t xml:space="preserve">spent following Pay Award funding, and </w:t>
      </w:r>
      <w:r>
        <w:rPr>
          <w:rFonts w:cs="Arial"/>
          <w:szCs w:val="22"/>
          <w:lang w:eastAsia="en-GB"/>
        </w:rPr>
        <w:t>forecasts a surplus for infrastructure reinvestment by the financial year-end. Hence the previously reported expectation of recovery is progressing well in the second half of the financial year.</w:t>
      </w:r>
    </w:p>
    <w:p w:rsidR="00D86FFF" w:rsidRPr="00530337" w:rsidRDefault="00D86FFF" w:rsidP="00D86FFF">
      <w:pPr>
        <w:pStyle w:val="ListParagraph"/>
        <w:rPr>
          <w:rFonts w:cs="Arial"/>
          <w:szCs w:val="22"/>
          <w:lang w:eastAsia="en-GB"/>
        </w:rPr>
      </w:pPr>
    </w:p>
    <w:p w:rsidR="00D86FFF" w:rsidRDefault="00D86FFF" w:rsidP="00D86FFF">
      <w:pPr>
        <w:pStyle w:val="ListParagraph"/>
        <w:numPr>
          <w:ilvl w:val="0"/>
          <w:numId w:val="29"/>
        </w:numPr>
        <w:contextualSpacing/>
        <w:rPr>
          <w:rFonts w:cs="Arial"/>
          <w:szCs w:val="22"/>
          <w:lang w:eastAsia="en-GB"/>
        </w:rPr>
      </w:pPr>
      <w:r>
        <w:rPr>
          <w:rFonts w:cs="Arial"/>
          <w:szCs w:val="22"/>
          <w:lang w:eastAsia="en-GB"/>
        </w:rPr>
        <w:lastRenderedPageBreak/>
        <w:t>At a previous Annual Operating Plan Meeting with Scottish Government colleagues, confirmation of funding was provided for key Waiting Times Improvement Plan funding, which also included Independent Sector activity funds. Monthly monitoring reports will be issued to Scottish Government by Board, Supplier and Specialty to capture current and forecast positions and aid robust national reporting. These funds have been issued on a non-recurring basis and will re-appear in our finance plan for 20/21.</w:t>
      </w:r>
    </w:p>
    <w:p w:rsidR="00D86FFF" w:rsidRPr="000D1603" w:rsidRDefault="00D86FFF" w:rsidP="00D86FFF">
      <w:pPr>
        <w:pStyle w:val="ListParagraph"/>
        <w:rPr>
          <w:rFonts w:cs="Arial"/>
          <w:szCs w:val="22"/>
          <w:lang w:eastAsia="en-GB"/>
        </w:rPr>
      </w:pPr>
    </w:p>
    <w:p w:rsidR="00D86FFF" w:rsidRDefault="00D86FFF" w:rsidP="00D86FFF">
      <w:pPr>
        <w:pStyle w:val="ListParagraph"/>
        <w:rPr>
          <w:rFonts w:cs="Arial"/>
          <w:szCs w:val="22"/>
          <w:lang w:eastAsia="en-GB"/>
        </w:rPr>
      </w:pPr>
    </w:p>
    <w:p w:rsidR="00D86FFF" w:rsidRPr="00D86FFF" w:rsidRDefault="00D86FFF" w:rsidP="00D86FFF">
      <w:pPr>
        <w:ind w:right="2"/>
        <w:textAlignment w:val="baseline"/>
        <w:rPr>
          <w:rFonts w:cs="Arial"/>
          <w:b/>
          <w:sz w:val="24"/>
          <w:szCs w:val="22"/>
        </w:rPr>
      </w:pPr>
      <w:r w:rsidRPr="00D86FFF">
        <w:rPr>
          <w:rFonts w:cs="Arial"/>
          <w:b/>
          <w:sz w:val="24"/>
          <w:szCs w:val="22"/>
        </w:rPr>
        <w:t>Capital Position</w:t>
      </w:r>
    </w:p>
    <w:p w:rsidR="00D86FFF" w:rsidRPr="0002447B" w:rsidRDefault="00D86FFF" w:rsidP="00D86FFF">
      <w:pPr>
        <w:ind w:right="2"/>
        <w:textAlignment w:val="baseline"/>
        <w:rPr>
          <w:rFonts w:cs="Arial"/>
          <w:b/>
          <w:szCs w:val="22"/>
        </w:rPr>
      </w:pPr>
    </w:p>
    <w:p w:rsidR="00D86FFF" w:rsidRDefault="00D86FFF" w:rsidP="00D86FFF">
      <w:pPr>
        <w:pStyle w:val="ListParagraph"/>
        <w:numPr>
          <w:ilvl w:val="0"/>
          <w:numId w:val="31"/>
        </w:numPr>
        <w:contextualSpacing/>
        <w:rPr>
          <w:rFonts w:cs="Arial"/>
          <w:szCs w:val="22"/>
        </w:rPr>
      </w:pPr>
      <w:r w:rsidRPr="002D0EA3">
        <w:rPr>
          <w:rFonts w:cs="Arial"/>
          <w:szCs w:val="22"/>
        </w:rPr>
        <w:t xml:space="preserve">Formula Capital of £2.691m and Capital Stimulus funding of £1.922m combine </w:t>
      </w:r>
      <w:r>
        <w:rPr>
          <w:rFonts w:cs="Arial"/>
          <w:szCs w:val="22"/>
        </w:rPr>
        <w:t xml:space="preserve">with a specific NSD allocation, a revenue to capital transfer of £1.2m and Elective Centre Capital to derive the </w:t>
      </w:r>
      <w:r w:rsidRPr="002D0EA3">
        <w:rPr>
          <w:rFonts w:cs="Arial"/>
          <w:szCs w:val="22"/>
        </w:rPr>
        <w:t>overall allocation below of £</w:t>
      </w:r>
      <w:r>
        <w:rPr>
          <w:rFonts w:cs="Arial"/>
          <w:szCs w:val="22"/>
        </w:rPr>
        <w:t>19.856</w:t>
      </w:r>
      <w:r w:rsidRPr="002D0EA3">
        <w:rPr>
          <w:rFonts w:cs="Arial"/>
          <w:szCs w:val="22"/>
        </w:rPr>
        <w:t>m of capital funding split across the</w:t>
      </w:r>
      <w:r>
        <w:rPr>
          <w:rFonts w:cs="Arial"/>
          <w:szCs w:val="22"/>
        </w:rPr>
        <w:t>se</w:t>
      </w:r>
      <w:r w:rsidRPr="002D0EA3">
        <w:rPr>
          <w:rFonts w:cs="Arial"/>
          <w:szCs w:val="22"/>
        </w:rPr>
        <w:t xml:space="preserve"> </w:t>
      </w:r>
      <w:r>
        <w:rPr>
          <w:rFonts w:cs="Arial"/>
          <w:szCs w:val="22"/>
        </w:rPr>
        <w:t>4</w:t>
      </w:r>
      <w:r w:rsidRPr="002D0EA3">
        <w:rPr>
          <w:rFonts w:cs="Arial"/>
          <w:szCs w:val="22"/>
        </w:rPr>
        <w:t xml:space="preserve"> key allocation headings, which at month </w:t>
      </w:r>
      <w:r>
        <w:rPr>
          <w:rFonts w:cs="Arial"/>
          <w:szCs w:val="22"/>
        </w:rPr>
        <w:t>8</w:t>
      </w:r>
      <w:r w:rsidRPr="002D0EA3">
        <w:rPr>
          <w:rFonts w:cs="Arial"/>
          <w:szCs w:val="22"/>
        </w:rPr>
        <w:t xml:space="preserve"> has </w:t>
      </w:r>
      <w:r>
        <w:rPr>
          <w:rFonts w:cs="Arial"/>
          <w:szCs w:val="22"/>
        </w:rPr>
        <w:t xml:space="preserve">an expenditure profile of </w:t>
      </w:r>
      <w:r w:rsidRPr="002D0EA3">
        <w:rPr>
          <w:rFonts w:cs="Arial"/>
          <w:szCs w:val="22"/>
        </w:rPr>
        <w:t>£</w:t>
      </w:r>
      <w:r>
        <w:rPr>
          <w:rFonts w:cs="Arial"/>
          <w:szCs w:val="22"/>
        </w:rPr>
        <w:t>8.59m</w:t>
      </w:r>
      <w:r w:rsidRPr="002D0EA3">
        <w:rPr>
          <w:rFonts w:cs="Arial"/>
          <w:szCs w:val="22"/>
        </w:rPr>
        <w:t>.</w:t>
      </w:r>
    </w:p>
    <w:p w:rsidR="00D86FFF" w:rsidRDefault="00D86FFF" w:rsidP="00D86FFF">
      <w:pPr>
        <w:pStyle w:val="ListParagraph"/>
        <w:numPr>
          <w:ilvl w:val="0"/>
          <w:numId w:val="31"/>
        </w:numPr>
        <w:contextualSpacing/>
        <w:rPr>
          <w:rFonts w:cs="Arial"/>
          <w:szCs w:val="22"/>
        </w:rPr>
      </w:pPr>
      <w:r>
        <w:rPr>
          <w:rFonts w:cs="Arial"/>
          <w:szCs w:val="22"/>
        </w:rPr>
        <w:t>The revenue to capital transfer has been actioned following detailed review of capital spend, prioritisation of needs and discussion with Scottish Government to agree this value which has allowed the procurement of a CT Scanner to be incorporated within this financial year.</w:t>
      </w:r>
    </w:p>
    <w:p w:rsidR="00D86FFF" w:rsidRDefault="00D86FFF" w:rsidP="00D86FFF">
      <w:pPr>
        <w:rPr>
          <w:rFonts w:cs="Arial"/>
          <w:szCs w:val="22"/>
        </w:rPr>
      </w:pPr>
    </w:p>
    <w:p w:rsidR="00D86FFF" w:rsidRPr="000D1603" w:rsidRDefault="00D86FFF" w:rsidP="00D86FFF">
      <w:pPr>
        <w:jc w:val="both"/>
        <w:rPr>
          <w:rFonts w:cs="Arial"/>
          <w:szCs w:val="22"/>
        </w:rPr>
      </w:pPr>
    </w:p>
    <w:tbl>
      <w:tblPr>
        <w:tblW w:w="5220" w:type="dxa"/>
        <w:jc w:val="center"/>
        <w:tblLook w:val="04A0" w:firstRow="1" w:lastRow="0" w:firstColumn="1" w:lastColumn="0" w:noHBand="0" w:noVBand="1"/>
      </w:tblPr>
      <w:tblGrid>
        <w:gridCol w:w="2760"/>
        <w:gridCol w:w="1200"/>
        <w:gridCol w:w="1260"/>
      </w:tblGrid>
      <w:tr w:rsidR="00D86FFF" w:rsidRPr="00FA3304" w:rsidTr="007E525E">
        <w:trPr>
          <w:trHeight w:val="300"/>
          <w:jc w:val="center"/>
        </w:trPr>
        <w:tc>
          <w:tcPr>
            <w:tcW w:w="2760" w:type="dxa"/>
            <w:tcBorders>
              <w:top w:val="single" w:sz="4" w:space="0" w:color="auto"/>
              <w:left w:val="single" w:sz="4" w:space="0" w:color="auto"/>
              <w:bottom w:val="nil"/>
              <w:right w:val="nil"/>
            </w:tcBorders>
            <w:shd w:val="clear" w:color="000000" w:fill="D9D9D9"/>
            <w:noWrap/>
            <w:vAlign w:val="bottom"/>
            <w:hideMark/>
          </w:tcPr>
          <w:p w:rsidR="00D86FFF" w:rsidRPr="00FA3304" w:rsidRDefault="00D86FFF" w:rsidP="007E525E">
            <w:pPr>
              <w:rPr>
                <w:rFonts w:ascii="Calibri" w:hAnsi="Calibri" w:cs="Calibri"/>
                <w:b/>
                <w:bCs/>
                <w:color w:val="000000"/>
                <w:u w:val="single"/>
              </w:rPr>
            </w:pPr>
          </w:p>
        </w:tc>
        <w:tc>
          <w:tcPr>
            <w:tcW w:w="1200" w:type="dxa"/>
            <w:tcBorders>
              <w:top w:val="single" w:sz="4" w:space="0" w:color="auto"/>
              <w:left w:val="single" w:sz="4" w:space="0" w:color="auto"/>
              <w:bottom w:val="nil"/>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Annual</w:t>
            </w:r>
          </w:p>
        </w:tc>
        <w:tc>
          <w:tcPr>
            <w:tcW w:w="1260" w:type="dxa"/>
            <w:tcBorders>
              <w:top w:val="single" w:sz="4" w:space="0" w:color="auto"/>
              <w:left w:val="nil"/>
              <w:bottom w:val="nil"/>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Spend at</w:t>
            </w:r>
          </w:p>
        </w:tc>
      </w:tr>
      <w:tr w:rsidR="00D86FFF" w:rsidRPr="00FA3304" w:rsidTr="007E525E">
        <w:trPr>
          <w:trHeight w:val="300"/>
          <w:jc w:val="center"/>
        </w:trPr>
        <w:tc>
          <w:tcPr>
            <w:tcW w:w="2760" w:type="dxa"/>
            <w:tcBorders>
              <w:top w:val="nil"/>
              <w:left w:val="single" w:sz="4" w:space="0" w:color="auto"/>
              <w:bottom w:val="nil"/>
              <w:right w:val="nil"/>
            </w:tcBorders>
            <w:shd w:val="clear" w:color="000000" w:fill="D9D9D9"/>
            <w:noWrap/>
            <w:vAlign w:val="bottom"/>
            <w:hideMark/>
          </w:tcPr>
          <w:p w:rsidR="00D86FFF" w:rsidRPr="00FA3304" w:rsidRDefault="00D86FFF" w:rsidP="007E525E">
            <w:pPr>
              <w:rPr>
                <w:rFonts w:ascii="Calibri" w:hAnsi="Calibri" w:cs="Calibri"/>
                <w:b/>
                <w:bCs/>
                <w:color w:val="000000"/>
                <w:u w:val="single"/>
              </w:rPr>
            </w:pPr>
          </w:p>
        </w:tc>
        <w:tc>
          <w:tcPr>
            <w:tcW w:w="1200" w:type="dxa"/>
            <w:tcBorders>
              <w:top w:val="nil"/>
              <w:left w:val="single" w:sz="4" w:space="0" w:color="auto"/>
              <w:bottom w:val="nil"/>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Budget</w:t>
            </w:r>
          </w:p>
        </w:tc>
        <w:tc>
          <w:tcPr>
            <w:tcW w:w="1260" w:type="dxa"/>
            <w:tcBorders>
              <w:top w:val="nil"/>
              <w:left w:val="nil"/>
              <w:bottom w:val="nil"/>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Month 8</w:t>
            </w:r>
          </w:p>
        </w:tc>
      </w:tr>
      <w:tr w:rsidR="00D86FFF" w:rsidRPr="00FA3304" w:rsidTr="007E525E">
        <w:trPr>
          <w:trHeight w:val="300"/>
          <w:jc w:val="center"/>
        </w:trPr>
        <w:tc>
          <w:tcPr>
            <w:tcW w:w="2760" w:type="dxa"/>
            <w:tcBorders>
              <w:top w:val="nil"/>
              <w:left w:val="single" w:sz="4" w:space="0" w:color="auto"/>
              <w:bottom w:val="single" w:sz="4" w:space="0" w:color="auto"/>
              <w:right w:val="nil"/>
            </w:tcBorders>
            <w:shd w:val="clear" w:color="000000" w:fill="D9D9D9"/>
            <w:noWrap/>
            <w:vAlign w:val="bottom"/>
            <w:hideMark/>
          </w:tcPr>
          <w:p w:rsidR="00D86FFF" w:rsidRPr="00FA3304" w:rsidRDefault="00D86FFF" w:rsidP="007E525E">
            <w:pPr>
              <w:rPr>
                <w:rFonts w:ascii="Calibri" w:hAnsi="Calibri" w:cs="Calibri"/>
                <w:b/>
                <w:bCs/>
                <w:color w:val="000000"/>
                <w:u w:val="single"/>
              </w:rPr>
            </w:pPr>
            <w:r w:rsidRPr="00FA3304">
              <w:rPr>
                <w:rFonts w:ascii="Calibri" w:hAnsi="Calibri" w:cs="Calibri"/>
                <w:b/>
                <w:bCs/>
                <w:color w:val="000000"/>
                <w:u w:val="single"/>
              </w:rPr>
              <w:t>Area of Spend</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£000's</w:t>
            </w:r>
          </w:p>
        </w:tc>
        <w:tc>
          <w:tcPr>
            <w:tcW w:w="1260" w:type="dxa"/>
            <w:tcBorders>
              <w:top w:val="nil"/>
              <w:left w:val="nil"/>
              <w:bottom w:val="single" w:sz="4" w:space="0" w:color="auto"/>
              <w:right w:val="single" w:sz="4" w:space="0" w:color="auto"/>
            </w:tcBorders>
            <w:shd w:val="clear" w:color="000000" w:fill="D9D9D9"/>
            <w:noWrap/>
            <w:vAlign w:val="bottom"/>
            <w:hideMark/>
          </w:tcPr>
          <w:p w:rsidR="00D86FFF" w:rsidRPr="00FA3304" w:rsidRDefault="00D86FFF" w:rsidP="007E525E">
            <w:pPr>
              <w:jc w:val="center"/>
              <w:rPr>
                <w:rFonts w:ascii="Calibri" w:hAnsi="Calibri" w:cs="Calibri"/>
                <w:b/>
                <w:bCs/>
                <w:color w:val="000000"/>
                <w:u w:val="single"/>
              </w:rPr>
            </w:pPr>
            <w:r w:rsidRPr="00FA3304">
              <w:rPr>
                <w:rFonts w:ascii="Calibri" w:hAnsi="Calibri" w:cs="Calibri"/>
                <w:b/>
                <w:bCs/>
                <w:color w:val="000000"/>
                <w:u w:val="single"/>
              </w:rPr>
              <w:t>£000's</w:t>
            </w:r>
          </w:p>
        </w:tc>
      </w:tr>
      <w:tr w:rsidR="00D86FFF" w:rsidRPr="00FA3304" w:rsidTr="007E525E">
        <w:trPr>
          <w:trHeight w:val="300"/>
          <w:jc w:val="center"/>
        </w:trPr>
        <w:tc>
          <w:tcPr>
            <w:tcW w:w="2760" w:type="dxa"/>
            <w:tcBorders>
              <w:top w:val="single" w:sz="4" w:space="0" w:color="auto"/>
              <w:left w:val="single" w:sz="4" w:space="0" w:color="auto"/>
              <w:bottom w:val="nil"/>
              <w:right w:val="nil"/>
            </w:tcBorders>
            <w:shd w:val="clear" w:color="000000" w:fill="FFFFFF"/>
            <w:noWrap/>
            <w:vAlign w:val="bottom"/>
            <w:hideMark/>
          </w:tcPr>
          <w:p w:rsidR="00D86FFF" w:rsidRPr="00FA3304" w:rsidRDefault="00D86FFF" w:rsidP="007E525E">
            <w:pPr>
              <w:rPr>
                <w:rFonts w:ascii="Calibri" w:hAnsi="Calibri" w:cs="Calibri"/>
                <w:color w:val="000000"/>
              </w:rPr>
            </w:pPr>
            <w:r w:rsidRPr="00FA3304">
              <w:rPr>
                <w:rFonts w:ascii="Calibri" w:hAnsi="Calibri" w:cs="Calibri"/>
                <w:color w:val="000000"/>
              </w:rPr>
              <w:t>Property</w:t>
            </w:r>
          </w:p>
        </w:tc>
        <w:tc>
          <w:tcPr>
            <w:tcW w:w="1200" w:type="dxa"/>
            <w:tcBorders>
              <w:top w:val="nil"/>
              <w:left w:val="single" w:sz="4" w:space="0" w:color="auto"/>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1,703</w:t>
            </w:r>
          </w:p>
        </w:tc>
        <w:tc>
          <w:tcPr>
            <w:tcW w:w="1260" w:type="dxa"/>
            <w:tcBorders>
              <w:top w:val="nil"/>
              <w:left w:val="nil"/>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451</w:t>
            </w:r>
          </w:p>
        </w:tc>
      </w:tr>
      <w:tr w:rsidR="00D86FFF" w:rsidRPr="00FA3304" w:rsidTr="007E525E">
        <w:trPr>
          <w:trHeight w:val="300"/>
          <w:jc w:val="center"/>
        </w:trPr>
        <w:tc>
          <w:tcPr>
            <w:tcW w:w="2760" w:type="dxa"/>
            <w:tcBorders>
              <w:top w:val="nil"/>
              <w:left w:val="single" w:sz="4" w:space="0" w:color="auto"/>
              <w:bottom w:val="nil"/>
              <w:right w:val="nil"/>
            </w:tcBorders>
            <w:shd w:val="clear" w:color="000000" w:fill="FFFFFF"/>
            <w:noWrap/>
            <w:vAlign w:val="bottom"/>
            <w:hideMark/>
          </w:tcPr>
          <w:p w:rsidR="00D86FFF" w:rsidRPr="00FA3304" w:rsidRDefault="00D86FFF" w:rsidP="007E525E">
            <w:pPr>
              <w:rPr>
                <w:rFonts w:ascii="Calibri" w:hAnsi="Calibri" w:cs="Calibri"/>
                <w:color w:val="000000"/>
              </w:rPr>
            </w:pPr>
            <w:r w:rsidRPr="00FA3304">
              <w:rPr>
                <w:rFonts w:ascii="Calibri" w:hAnsi="Calibri" w:cs="Calibri"/>
                <w:color w:val="000000"/>
              </w:rPr>
              <w:t>Medical Equipment</w:t>
            </w:r>
          </w:p>
        </w:tc>
        <w:tc>
          <w:tcPr>
            <w:tcW w:w="1200" w:type="dxa"/>
            <w:tcBorders>
              <w:top w:val="nil"/>
              <w:left w:val="single" w:sz="4" w:space="0" w:color="auto"/>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3,554</w:t>
            </w:r>
          </w:p>
        </w:tc>
        <w:tc>
          <w:tcPr>
            <w:tcW w:w="1260" w:type="dxa"/>
            <w:tcBorders>
              <w:top w:val="nil"/>
              <w:left w:val="nil"/>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1,192</w:t>
            </w:r>
          </w:p>
        </w:tc>
      </w:tr>
      <w:tr w:rsidR="00D86FFF" w:rsidRPr="00FA3304" w:rsidTr="007E525E">
        <w:trPr>
          <w:trHeight w:val="300"/>
          <w:jc w:val="center"/>
        </w:trPr>
        <w:tc>
          <w:tcPr>
            <w:tcW w:w="2760" w:type="dxa"/>
            <w:tcBorders>
              <w:top w:val="nil"/>
              <w:left w:val="single" w:sz="4" w:space="0" w:color="auto"/>
              <w:bottom w:val="nil"/>
              <w:right w:val="nil"/>
            </w:tcBorders>
            <w:shd w:val="clear" w:color="000000" w:fill="FFFFFF"/>
            <w:noWrap/>
            <w:vAlign w:val="bottom"/>
            <w:hideMark/>
          </w:tcPr>
          <w:p w:rsidR="00D86FFF" w:rsidRPr="00FA3304" w:rsidRDefault="00D86FFF" w:rsidP="007E525E">
            <w:pPr>
              <w:rPr>
                <w:rFonts w:ascii="Calibri" w:hAnsi="Calibri" w:cs="Calibri"/>
                <w:color w:val="000000"/>
              </w:rPr>
            </w:pPr>
            <w:r w:rsidRPr="00FA3304">
              <w:rPr>
                <w:rFonts w:ascii="Calibri" w:hAnsi="Calibri" w:cs="Calibri"/>
                <w:color w:val="000000"/>
              </w:rPr>
              <w:t>IM&amp;T</w:t>
            </w:r>
          </w:p>
        </w:tc>
        <w:tc>
          <w:tcPr>
            <w:tcW w:w="1200" w:type="dxa"/>
            <w:tcBorders>
              <w:top w:val="nil"/>
              <w:left w:val="single" w:sz="4" w:space="0" w:color="auto"/>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626</w:t>
            </w:r>
          </w:p>
        </w:tc>
        <w:tc>
          <w:tcPr>
            <w:tcW w:w="1260" w:type="dxa"/>
            <w:tcBorders>
              <w:top w:val="nil"/>
              <w:left w:val="nil"/>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0</w:t>
            </w:r>
          </w:p>
        </w:tc>
      </w:tr>
      <w:tr w:rsidR="00D86FFF" w:rsidRPr="00FA3304" w:rsidTr="007E525E">
        <w:trPr>
          <w:trHeight w:val="300"/>
          <w:jc w:val="center"/>
        </w:trPr>
        <w:tc>
          <w:tcPr>
            <w:tcW w:w="2760" w:type="dxa"/>
            <w:tcBorders>
              <w:top w:val="nil"/>
              <w:left w:val="single" w:sz="4" w:space="0" w:color="auto"/>
              <w:bottom w:val="nil"/>
              <w:right w:val="nil"/>
            </w:tcBorders>
            <w:shd w:val="clear" w:color="000000" w:fill="FFFFFF"/>
            <w:noWrap/>
            <w:vAlign w:val="bottom"/>
            <w:hideMark/>
          </w:tcPr>
          <w:p w:rsidR="00D86FFF" w:rsidRPr="00FA3304" w:rsidRDefault="00D86FFF" w:rsidP="007E525E">
            <w:pPr>
              <w:rPr>
                <w:rFonts w:ascii="Calibri" w:hAnsi="Calibri" w:cs="Calibri"/>
                <w:color w:val="000000"/>
              </w:rPr>
            </w:pPr>
            <w:r w:rsidRPr="00FA3304">
              <w:rPr>
                <w:rFonts w:ascii="Calibri" w:hAnsi="Calibri" w:cs="Calibri"/>
                <w:color w:val="000000"/>
              </w:rPr>
              <w:t>Elective Centres</w:t>
            </w:r>
          </w:p>
        </w:tc>
        <w:tc>
          <w:tcPr>
            <w:tcW w:w="1200" w:type="dxa"/>
            <w:tcBorders>
              <w:top w:val="nil"/>
              <w:left w:val="single" w:sz="4" w:space="0" w:color="auto"/>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13,973</w:t>
            </w:r>
          </w:p>
        </w:tc>
        <w:tc>
          <w:tcPr>
            <w:tcW w:w="1260" w:type="dxa"/>
            <w:tcBorders>
              <w:top w:val="nil"/>
              <w:left w:val="nil"/>
              <w:bottom w:val="nil"/>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6,947</w:t>
            </w:r>
          </w:p>
        </w:tc>
      </w:tr>
      <w:tr w:rsidR="00D86FFF" w:rsidRPr="00FA3304" w:rsidTr="007E525E">
        <w:trPr>
          <w:trHeight w:val="315"/>
          <w:jc w:val="center"/>
        </w:trPr>
        <w:tc>
          <w:tcPr>
            <w:tcW w:w="2760" w:type="dxa"/>
            <w:tcBorders>
              <w:top w:val="nil"/>
              <w:left w:val="single" w:sz="4" w:space="0" w:color="auto"/>
              <w:bottom w:val="single" w:sz="4" w:space="0" w:color="auto"/>
              <w:right w:val="nil"/>
            </w:tcBorders>
            <w:shd w:val="clear" w:color="000000" w:fill="FFFFFF"/>
            <w:noWrap/>
            <w:vAlign w:val="bottom"/>
            <w:hideMark/>
          </w:tcPr>
          <w:p w:rsidR="00D86FFF" w:rsidRPr="00FA3304" w:rsidRDefault="00D86FFF" w:rsidP="007E525E">
            <w:pPr>
              <w:rPr>
                <w:rFonts w:ascii="Calibri" w:hAnsi="Calibri" w:cs="Calibri"/>
                <w:color w:val="000000"/>
              </w:rPr>
            </w:pPr>
            <w:r w:rsidRPr="00FA3304">
              <w:rPr>
                <w:rFonts w:ascii="Calibri" w:hAnsi="Calibri" w:cs="Calibri"/>
                <w:color w:val="000000"/>
              </w:rPr>
              <w:t>Total</w:t>
            </w:r>
          </w:p>
        </w:tc>
        <w:tc>
          <w:tcPr>
            <w:tcW w:w="120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19,856</w:t>
            </w:r>
          </w:p>
        </w:tc>
        <w:tc>
          <w:tcPr>
            <w:tcW w:w="1260" w:type="dxa"/>
            <w:tcBorders>
              <w:top w:val="single" w:sz="4" w:space="0" w:color="auto"/>
              <w:left w:val="nil"/>
              <w:bottom w:val="single" w:sz="8" w:space="0" w:color="auto"/>
              <w:right w:val="single" w:sz="4" w:space="0" w:color="auto"/>
            </w:tcBorders>
            <w:shd w:val="clear" w:color="000000" w:fill="FFFFFF"/>
            <w:noWrap/>
            <w:vAlign w:val="bottom"/>
            <w:hideMark/>
          </w:tcPr>
          <w:p w:rsidR="00D86FFF" w:rsidRPr="00FA3304" w:rsidRDefault="00D86FFF" w:rsidP="007E525E">
            <w:pPr>
              <w:jc w:val="right"/>
              <w:rPr>
                <w:rFonts w:ascii="Calibri" w:hAnsi="Calibri" w:cs="Calibri"/>
                <w:color w:val="000000"/>
              </w:rPr>
            </w:pPr>
            <w:r w:rsidRPr="00FA3304">
              <w:rPr>
                <w:rFonts w:ascii="Calibri" w:hAnsi="Calibri" w:cs="Calibri"/>
                <w:color w:val="000000"/>
              </w:rPr>
              <w:t>8,590</w:t>
            </w:r>
          </w:p>
        </w:tc>
      </w:tr>
    </w:tbl>
    <w:p w:rsidR="00D86FFF" w:rsidRDefault="00D86FFF" w:rsidP="00D86FFF">
      <w:pPr>
        <w:jc w:val="both"/>
        <w:rPr>
          <w:rFonts w:cs="Arial"/>
          <w:szCs w:val="22"/>
        </w:rPr>
      </w:pPr>
    </w:p>
    <w:p w:rsidR="00D86FFF" w:rsidRPr="0002447B" w:rsidRDefault="00D86FFF" w:rsidP="00D86FFF">
      <w:pPr>
        <w:rPr>
          <w:rFonts w:cs="Arial"/>
          <w:szCs w:val="22"/>
        </w:rPr>
      </w:pPr>
    </w:p>
    <w:p w:rsidR="00D86FFF" w:rsidRPr="003C08D5" w:rsidRDefault="00D86FFF" w:rsidP="00D86FFF">
      <w:pPr>
        <w:pStyle w:val="ListParagraph"/>
        <w:numPr>
          <w:ilvl w:val="0"/>
          <w:numId w:val="30"/>
        </w:numPr>
        <w:contextualSpacing/>
        <w:rPr>
          <w:rFonts w:cs="Arial"/>
          <w:szCs w:val="22"/>
        </w:rPr>
      </w:pPr>
      <w:r w:rsidRPr="002D0EA3">
        <w:rPr>
          <w:rFonts w:cs="Arial"/>
          <w:szCs w:val="22"/>
        </w:rPr>
        <w:t xml:space="preserve">Elective Centre Funding relating to phase one and phase two developments is received as a separate allocation.  Phase one relates to the Ophthalmology expansion with funding of £10.473m included in the </w:t>
      </w:r>
      <w:r>
        <w:rPr>
          <w:rFonts w:cs="Arial"/>
          <w:szCs w:val="22"/>
        </w:rPr>
        <w:t xml:space="preserve">capital </w:t>
      </w:r>
      <w:r w:rsidRPr="002D0EA3">
        <w:rPr>
          <w:rFonts w:cs="Arial"/>
          <w:szCs w:val="22"/>
        </w:rPr>
        <w:t>plan for the year. The in-year spend for phase one is £</w:t>
      </w:r>
      <w:r>
        <w:rPr>
          <w:rFonts w:cs="Arial"/>
          <w:szCs w:val="22"/>
        </w:rPr>
        <w:t>4.782</w:t>
      </w:r>
      <w:r w:rsidRPr="002D0EA3">
        <w:rPr>
          <w:rFonts w:cs="Arial"/>
          <w:szCs w:val="22"/>
        </w:rPr>
        <w:t xml:space="preserve">m as at </w:t>
      </w:r>
      <w:r>
        <w:rPr>
          <w:rFonts w:cs="Arial"/>
          <w:szCs w:val="22"/>
        </w:rPr>
        <w:t>November</w:t>
      </w:r>
      <w:r w:rsidRPr="002D0EA3">
        <w:rPr>
          <w:rFonts w:cs="Arial"/>
          <w:szCs w:val="22"/>
        </w:rPr>
        <w:t xml:space="preserve"> 2019. </w:t>
      </w:r>
      <w:r w:rsidRPr="003C08D5">
        <w:rPr>
          <w:rFonts w:cs="Arial"/>
          <w:szCs w:val="22"/>
        </w:rPr>
        <w:t>Phase two relates to the creation of a new facility to increase Orthopaedic Surgery capacity, and an element has been allowed in the capital plan in year with regard to this</w:t>
      </w:r>
      <w:r>
        <w:rPr>
          <w:rFonts w:cs="Arial"/>
          <w:szCs w:val="22"/>
        </w:rPr>
        <w:t>, £3.5m</w:t>
      </w:r>
      <w:r w:rsidRPr="003C08D5">
        <w:rPr>
          <w:rFonts w:cs="Arial"/>
          <w:szCs w:val="22"/>
        </w:rPr>
        <w:t xml:space="preserve">. The Outline Business Case </w:t>
      </w:r>
      <w:r>
        <w:rPr>
          <w:rFonts w:cs="Arial"/>
          <w:szCs w:val="22"/>
        </w:rPr>
        <w:t xml:space="preserve">was approved and close </w:t>
      </w:r>
      <w:r w:rsidRPr="003C08D5">
        <w:rPr>
          <w:rFonts w:cs="Arial"/>
          <w:szCs w:val="22"/>
        </w:rPr>
        <w:t xml:space="preserve">communication with SG colleagues is in place given the scale and importance of this key development. The in-year expenditure related to appropriate enabling works for phase two at the end of month </w:t>
      </w:r>
      <w:r>
        <w:rPr>
          <w:rFonts w:cs="Arial"/>
          <w:szCs w:val="22"/>
        </w:rPr>
        <w:t>8</w:t>
      </w:r>
      <w:r w:rsidRPr="003C08D5">
        <w:rPr>
          <w:rFonts w:cs="Arial"/>
          <w:szCs w:val="22"/>
        </w:rPr>
        <w:t xml:space="preserve"> is £</w:t>
      </w:r>
      <w:r>
        <w:rPr>
          <w:rFonts w:cs="Arial"/>
          <w:szCs w:val="22"/>
        </w:rPr>
        <w:t>2.165m</w:t>
      </w:r>
      <w:r w:rsidRPr="003C08D5">
        <w:rPr>
          <w:rFonts w:cs="Arial"/>
          <w:szCs w:val="22"/>
        </w:rPr>
        <w:t>, which is informed in detail at internal cost control meetings.</w:t>
      </w:r>
      <w:r>
        <w:rPr>
          <w:rFonts w:cs="Arial"/>
          <w:szCs w:val="22"/>
        </w:rPr>
        <w:t xml:space="preserve"> Therefore, the total Elective Centre spend stands at £6.947m at the end of Month 8.</w:t>
      </w:r>
    </w:p>
    <w:p w:rsidR="00D86FFF" w:rsidRDefault="00D86FFF" w:rsidP="00D86FFF">
      <w:pPr>
        <w:rPr>
          <w:rFonts w:cs="Arial"/>
          <w:szCs w:val="22"/>
        </w:rPr>
      </w:pPr>
    </w:p>
    <w:p w:rsidR="00D86FFF" w:rsidRPr="002D0EA3" w:rsidRDefault="00D86FFF" w:rsidP="00D86FFF">
      <w:pPr>
        <w:pStyle w:val="ListParagraph"/>
        <w:numPr>
          <w:ilvl w:val="0"/>
          <w:numId w:val="30"/>
        </w:numPr>
        <w:contextualSpacing/>
        <w:rPr>
          <w:rFonts w:cs="Arial"/>
          <w:szCs w:val="22"/>
        </w:rPr>
      </w:pPr>
      <w:r w:rsidRPr="002D0EA3">
        <w:rPr>
          <w:rFonts w:cs="Arial"/>
          <w:szCs w:val="22"/>
        </w:rPr>
        <w:t>The Board forecast to remain within the Capital Resource Limit for the financial year</w:t>
      </w:r>
      <w:r>
        <w:rPr>
          <w:rFonts w:cs="Arial"/>
          <w:szCs w:val="22"/>
        </w:rPr>
        <w:t xml:space="preserve"> to meet the financial targets for 2019/20</w:t>
      </w:r>
      <w:r w:rsidRPr="002D0EA3">
        <w:rPr>
          <w:rFonts w:cs="Arial"/>
          <w:szCs w:val="22"/>
        </w:rPr>
        <w:t>.</w:t>
      </w:r>
    </w:p>
    <w:p w:rsidR="00D86FFF" w:rsidRPr="0002447B" w:rsidRDefault="00D86FFF" w:rsidP="00D86FFF">
      <w:pPr>
        <w:rPr>
          <w:rFonts w:cs="Arial"/>
          <w:szCs w:val="22"/>
        </w:rPr>
      </w:pPr>
    </w:p>
    <w:p w:rsidR="00D86FFF" w:rsidRPr="00D717CD" w:rsidRDefault="00D86FFF" w:rsidP="0056643A">
      <w:pPr>
        <w:ind w:right="2"/>
        <w:textAlignment w:val="baseline"/>
        <w:rPr>
          <w:rFonts w:cs="Arial"/>
          <w:b/>
          <w:sz w:val="24"/>
          <w:szCs w:val="24"/>
        </w:rPr>
      </w:pPr>
    </w:p>
    <w:sectPr w:rsidR="00D86FFF" w:rsidRPr="00D717CD" w:rsidSect="0083559D">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54" w:rsidRDefault="00036B54" w:rsidP="005A1C4D">
      <w:r>
        <w:separator/>
      </w:r>
    </w:p>
  </w:endnote>
  <w:endnote w:type="continuationSeparator" w:id="0">
    <w:p w:rsidR="00036B54" w:rsidRDefault="00036B54" w:rsidP="005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tone Sans Semi Bold">
    <w:altName w:val="Calibri"/>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3936"/>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001985">
          <w:rPr>
            <w:noProof/>
          </w:rPr>
          <w:t>18</w:t>
        </w:r>
        <w:r>
          <w:rPr>
            <w:noProof/>
          </w:rPr>
          <w:fldChar w:fldCharType="end"/>
        </w:r>
      </w:p>
    </w:sdtContent>
  </w:sdt>
  <w:p w:rsidR="009A4D4A" w:rsidRDefault="009A4D4A" w:rsidP="00A403AC">
    <w:pPr>
      <w:pStyle w:val="Footer"/>
      <w:tabs>
        <w:tab w:val="clear" w:pos="4320"/>
        <w:tab w:val="clear" w:pos="8640"/>
        <w:tab w:val="right"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500"/>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001985">
          <w:rPr>
            <w:noProof/>
          </w:rPr>
          <w:t>6</w:t>
        </w:r>
        <w:r>
          <w:rPr>
            <w:noProof/>
          </w:rPr>
          <w:fldChar w:fldCharType="end"/>
        </w:r>
      </w:p>
    </w:sdtContent>
  </w:sdt>
  <w:p w:rsidR="009A4D4A" w:rsidRPr="0000750A" w:rsidRDefault="009A4D4A" w:rsidP="000075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54" w:rsidRDefault="00036B54" w:rsidP="005A1C4D">
      <w:r>
        <w:separator/>
      </w:r>
    </w:p>
  </w:footnote>
  <w:footnote w:type="continuationSeparator" w:id="0">
    <w:p w:rsidR="00036B54" w:rsidRDefault="00036B54" w:rsidP="005A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
      </v:shape>
    </w:pict>
  </w:numPicBullet>
  <w:numPicBullet w:numPicBulletId="1">
    <w:pict>
      <v:shape id="_x0000_i1028" type="#_x0000_t75" style="width:10.9pt;height:10.9pt" o:bullet="t">
        <v:imagedata r:id="rId2" o:title="mso6BF8"/>
      </v:shape>
    </w:pict>
  </w:numPicBullet>
  <w:abstractNum w:abstractNumId="0" w15:restartNumberingAfterBreak="0">
    <w:nsid w:val="01566280"/>
    <w:multiLevelType w:val="hybridMultilevel"/>
    <w:tmpl w:val="2E36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76D84"/>
    <w:multiLevelType w:val="hybridMultilevel"/>
    <w:tmpl w:val="7AD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66A29"/>
    <w:multiLevelType w:val="hybridMultilevel"/>
    <w:tmpl w:val="FABA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37BBD"/>
    <w:multiLevelType w:val="hybridMultilevel"/>
    <w:tmpl w:val="8830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4B23"/>
    <w:multiLevelType w:val="hybridMultilevel"/>
    <w:tmpl w:val="902673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33B8F"/>
    <w:multiLevelType w:val="hybridMultilevel"/>
    <w:tmpl w:val="3C7A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2298D"/>
    <w:multiLevelType w:val="hybridMultilevel"/>
    <w:tmpl w:val="727C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D5BCB"/>
    <w:multiLevelType w:val="hybridMultilevel"/>
    <w:tmpl w:val="139A44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26107"/>
    <w:multiLevelType w:val="hybridMultilevel"/>
    <w:tmpl w:val="2AA2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C185A"/>
    <w:multiLevelType w:val="hybridMultilevel"/>
    <w:tmpl w:val="F484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35D56"/>
    <w:multiLevelType w:val="hybridMultilevel"/>
    <w:tmpl w:val="7DB04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756A08"/>
    <w:multiLevelType w:val="hybridMultilevel"/>
    <w:tmpl w:val="CDF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1693"/>
    <w:multiLevelType w:val="hybridMultilevel"/>
    <w:tmpl w:val="6102EA9C"/>
    <w:lvl w:ilvl="0" w:tplc="6BF85F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83219"/>
    <w:multiLevelType w:val="hybridMultilevel"/>
    <w:tmpl w:val="61381AC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0C5781"/>
    <w:multiLevelType w:val="hybridMultilevel"/>
    <w:tmpl w:val="7BFA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92927"/>
    <w:multiLevelType w:val="hybridMultilevel"/>
    <w:tmpl w:val="E73215A0"/>
    <w:lvl w:ilvl="0" w:tplc="04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24394D2A"/>
    <w:multiLevelType w:val="hybridMultilevel"/>
    <w:tmpl w:val="9E2A4D00"/>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272B7"/>
    <w:multiLevelType w:val="hybridMultilevel"/>
    <w:tmpl w:val="6C1AA840"/>
    <w:lvl w:ilvl="0" w:tplc="08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C4603"/>
    <w:multiLevelType w:val="hybridMultilevel"/>
    <w:tmpl w:val="4CA486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21" w15:restartNumberingAfterBreak="0">
    <w:nsid w:val="2AB521FC"/>
    <w:multiLevelType w:val="hybridMultilevel"/>
    <w:tmpl w:val="0F5E0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B384AF4"/>
    <w:multiLevelType w:val="hybridMultilevel"/>
    <w:tmpl w:val="646ACFAC"/>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091153"/>
    <w:multiLevelType w:val="hybridMultilevel"/>
    <w:tmpl w:val="4D0C375A"/>
    <w:lvl w:ilvl="0" w:tplc="6896B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E0246"/>
    <w:multiLevelType w:val="hybridMultilevel"/>
    <w:tmpl w:val="B4BA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644CF7"/>
    <w:multiLevelType w:val="hybridMultilevel"/>
    <w:tmpl w:val="BDC85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AB2F03"/>
    <w:multiLevelType w:val="hybridMultilevel"/>
    <w:tmpl w:val="666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7F0AA9"/>
    <w:multiLevelType w:val="hybridMultilevel"/>
    <w:tmpl w:val="120A69AC"/>
    <w:lvl w:ilvl="0" w:tplc="5B2628E4">
      <w:start w:val="2"/>
      <w:numFmt w:val="decimal"/>
      <w:lvlText w:val="%1."/>
      <w:lvlJc w:val="left"/>
      <w:pPr>
        <w:tabs>
          <w:tab w:val="num" w:pos="360"/>
        </w:tabs>
        <w:ind w:left="36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AAA6108">
      <w:numFmt w:val="bullet"/>
      <w:lvlText w:val="-"/>
      <w:lvlJc w:val="left"/>
      <w:pPr>
        <w:tabs>
          <w:tab w:val="num" w:pos="1260"/>
        </w:tabs>
        <w:ind w:left="1260" w:hanging="360"/>
      </w:pPr>
      <w:rPr>
        <w:rFonts w:ascii="Arial" w:eastAsia="Times New Roman" w:hAnsi="Arial" w:cs="Arial"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8" w15:restartNumberingAfterBreak="0">
    <w:nsid w:val="35B927EC"/>
    <w:multiLevelType w:val="multilevel"/>
    <w:tmpl w:val="88CEC6F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AA510DF"/>
    <w:multiLevelType w:val="hybridMultilevel"/>
    <w:tmpl w:val="C8201E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C536A2C"/>
    <w:multiLevelType w:val="hybridMultilevel"/>
    <w:tmpl w:val="38B86C96"/>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C20A69"/>
    <w:multiLevelType w:val="multilevel"/>
    <w:tmpl w:val="B664B4F2"/>
    <w:lvl w:ilvl="0">
      <w:start w:val="1"/>
      <w:numFmt w:val="none"/>
      <w:lvlText w:val=""/>
      <w:lvlJc w:val="left"/>
      <w:pPr>
        <w:ind w:left="432" w:hanging="432"/>
      </w:pPr>
      <w:rPr>
        <w:rFonts w:hint="default"/>
      </w:rPr>
    </w:lvl>
    <w:lvl w:ilvl="1">
      <w:start w:val="1"/>
      <w:numFmt w:val="decimal"/>
      <w:lvlRestart w:val="0"/>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44890C92"/>
    <w:multiLevelType w:val="hybridMultilevel"/>
    <w:tmpl w:val="E810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EB7593"/>
    <w:multiLevelType w:val="hybridMultilevel"/>
    <w:tmpl w:val="EF1E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E94048"/>
    <w:multiLevelType w:val="hybridMultilevel"/>
    <w:tmpl w:val="849C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127C1"/>
    <w:multiLevelType w:val="hybridMultilevel"/>
    <w:tmpl w:val="C0C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6180F"/>
    <w:multiLevelType w:val="hybridMultilevel"/>
    <w:tmpl w:val="3AB4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96895"/>
    <w:multiLevelType w:val="hybridMultilevel"/>
    <w:tmpl w:val="C6042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F674F6"/>
    <w:multiLevelType w:val="hybridMultilevel"/>
    <w:tmpl w:val="A10610E4"/>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35C3B"/>
    <w:multiLevelType w:val="hybridMultilevel"/>
    <w:tmpl w:val="F71A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A32FC"/>
    <w:multiLevelType w:val="hybridMultilevel"/>
    <w:tmpl w:val="4B06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41E1E"/>
    <w:multiLevelType w:val="hybridMultilevel"/>
    <w:tmpl w:val="5BAC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B5546"/>
    <w:multiLevelType w:val="hybridMultilevel"/>
    <w:tmpl w:val="71E61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431BDF"/>
    <w:multiLevelType w:val="hybridMultilevel"/>
    <w:tmpl w:val="5D5AC7FA"/>
    <w:lvl w:ilvl="0" w:tplc="A56EEFE2">
      <w:start w:val="1"/>
      <w:numFmt w:val="bullet"/>
      <w:lvlText w:val=""/>
      <w:lvlJc w:val="left"/>
      <w:pPr>
        <w:ind w:left="1077" w:hanging="357"/>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20"/>
  </w:num>
  <w:num w:numId="4">
    <w:abstractNumId w:val="42"/>
  </w:num>
  <w:num w:numId="5">
    <w:abstractNumId w:val="10"/>
  </w:num>
  <w:num w:numId="6">
    <w:abstractNumId w:val="41"/>
  </w:num>
  <w:num w:numId="7">
    <w:abstractNumId w:val="12"/>
  </w:num>
  <w:num w:numId="8">
    <w:abstractNumId w:val="37"/>
  </w:num>
  <w:num w:numId="9">
    <w:abstractNumId w:val="36"/>
  </w:num>
  <w:num w:numId="10">
    <w:abstractNumId w:val="7"/>
  </w:num>
  <w:num w:numId="11">
    <w:abstractNumId w:val="30"/>
  </w:num>
  <w:num w:numId="12">
    <w:abstractNumId w:val="2"/>
  </w:num>
  <w:num w:numId="13">
    <w:abstractNumId w:val="18"/>
  </w:num>
  <w:num w:numId="14">
    <w:abstractNumId w:val="5"/>
  </w:num>
  <w:num w:numId="15">
    <w:abstractNumId w:val="40"/>
  </w:num>
  <w:num w:numId="16">
    <w:abstractNumId w:val="16"/>
  </w:num>
  <w:num w:numId="17">
    <w:abstractNumId w:val="17"/>
  </w:num>
  <w:num w:numId="18">
    <w:abstractNumId w:val="22"/>
  </w:num>
  <w:num w:numId="19">
    <w:abstractNumId w:val="24"/>
  </w:num>
  <w:num w:numId="20">
    <w:abstractNumId w:val="32"/>
  </w:num>
  <w:num w:numId="21">
    <w:abstractNumId w:val="28"/>
  </w:num>
  <w:num w:numId="22">
    <w:abstractNumId w:val="3"/>
  </w:num>
  <w:num w:numId="23">
    <w:abstractNumId w:val="38"/>
  </w:num>
  <w:num w:numId="24">
    <w:abstractNumId w:val="11"/>
  </w:num>
  <w:num w:numId="25">
    <w:abstractNumId w:val="43"/>
  </w:num>
  <w:num w:numId="26">
    <w:abstractNumId w:val="34"/>
  </w:num>
  <w:num w:numId="27">
    <w:abstractNumId w:val="39"/>
  </w:num>
  <w:num w:numId="28">
    <w:abstractNumId w:val="21"/>
  </w:num>
  <w:num w:numId="29">
    <w:abstractNumId w:val="8"/>
  </w:num>
  <w:num w:numId="30">
    <w:abstractNumId w:val="35"/>
  </w:num>
  <w:num w:numId="31">
    <w:abstractNumId w:val="26"/>
  </w:num>
  <w:num w:numId="32">
    <w:abstractNumId w:val="1"/>
  </w:num>
  <w:num w:numId="33">
    <w:abstractNumId w:val="0"/>
  </w:num>
  <w:num w:numId="34">
    <w:abstractNumId w:val="44"/>
  </w:num>
  <w:num w:numId="35">
    <w:abstractNumId w:val="27"/>
  </w:num>
  <w:num w:numId="36">
    <w:abstractNumId w:val="33"/>
  </w:num>
  <w:num w:numId="37">
    <w:abstractNumId w:val="19"/>
  </w:num>
  <w:num w:numId="38">
    <w:abstractNumId w:val="25"/>
  </w:num>
  <w:num w:numId="39">
    <w:abstractNumId w:val="9"/>
  </w:num>
  <w:num w:numId="40">
    <w:abstractNumId w:val="6"/>
  </w:num>
  <w:num w:numId="41">
    <w:abstractNumId w:val="14"/>
  </w:num>
  <w:num w:numId="42">
    <w:abstractNumId w:val="29"/>
  </w:num>
  <w:num w:numId="43">
    <w:abstractNumId w:val="45"/>
  </w:num>
  <w:num w:numId="44">
    <w:abstractNumId w:val="15"/>
  </w:num>
  <w:num w:numId="45">
    <w:abstractNumId w:val="13"/>
  </w:num>
  <w:num w:numId="4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drawingGridHorizontalSpacing w:val="110"/>
  <w:displayHorizontalDrawingGridEvery w:val="2"/>
  <w:characterSpacingControl w:val="doNotCompress"/>
  <w:hdr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w:hdrShapeDefaults>
  <w:footnotePr>
    <w:footnote w:id="-1"/>
    <w:footnote w:id="0"/>
  </w:footnotePr>
  <w:endnotePr>
    <w:endnote w:id="-1"/>
    <w:endnote w:id="0"/>
  </w:endnotePr>
  <w:compat>
    <w:compatSetting w:name="compatibilityMode" w:uri="http://schemas.microsoft.com/office/word" w:val="12"/>
  </w:compat>
  <w:rsids>
    <w:rsidRoot w:val="00234ABE"/>
    <w:rsid w:val="00000344"/>
    <w:rsid w:val="00000522"/>
    <w:rsid w:val="0000063A"/>
    <w:rsid w:val="00000641"/>
    <w:rsid w:val="00000EF3"/>
    <w:rsid w:val="00001653"/>
    <w:rsid w:val="00001985"/>
    <w:rsid w:val="00001DD4"/>
    <w:rsid w:val="00001DDC"/>
    <w:rsid w:val="00001F33"/>
    <w:rsid w:val="00002A14"/>
    <w:rsid w:val="0000389C"/>
    <w:rsid w:val="00003FDF"/>
    <w:rsid w:val="00004163"/>
    <w:rsid w:val="00004A7E"/>
    <w:rsid w:val="0000552B"/>
    <w:rsid w:val="00005B93"/>
    <w:rsid w:val="00006715"/>
    <w:rsid w:val="0000750A"/>
    <w:rsid w:val="000077B8"/>
    <w:rsid w:val="00007A8F"/>
    <w:rsid w:val="000102D0"/>
    <w:rsid w:val="00010603"/>
    <w:rsid w:val="00010862"/>
    <w:rsid w:val="00010DAB"/>
    <w:rsid w:val="00011268"/>
    <w:rsid w:val="00011BD0"/>
    <w:rsid w:val="00012ADE"/>
    <w:rsid w:val="00012D8A"/>
    <w:rsid w:val="00013344"/>
    <w:rsid w:val="00013BAD"/>
    <w:rsid w:val="00015DEE"/>
    <w:rsid w:val="0001741C"/>
    <w:rsid w:val="000179EB"/>
    <w:rsid w:val="00022A8F"/>
    <w:rsid w:val="00022C08"/>
    <w:rsid w:val="00022EC3"/>
    <w:rsid w:val="00023BDC"/>
    <w:rsid w:val="00023C1D"/>
    <w:rsid w:val="00023F59"/>
    <w:rsid w:val="0002479D"/>
    <w:rsid w:val="00024F25"/>
    <w:rsid w:val="000252BF"/>
    <w:rsid w:val="000254F5"/>
    <w:rsid w:val="000255FB"/>
    <w:rsid w:val="00025608"/>
    <w:rsid w:val="00026AD3"/>
    <w:rsid w:val="0002776F"/>
    <w:rsid w:val="0002792E"/>
    <w:rsid w:val="00027F88"/>
    <w:rsid w:val="00030119"/>
    <w:rsid w:val="00030FD4"/>
    <w:rsid w:val="00031036"/>
    <w:rsid w:val="00031610"/>
    <w:rsid w:val="00031C47"/>
    <w:rsid w:val="00031CC0"/>
    <w:rsid w:val="000320E7"/>
    <w:rsid w:val="00032476"/>
    <w:rsid w:val="000325C5"/>
    <w:rsid w:val="00032EFB"/>
    <w:rsid w:val="00033537"/>
    <w:rsid w:val="00034CC9"/>
    <w:rsid w:val="000352C2"/>
    <w:rsid w:val="000354E8"/>
    <w:rsid w:val="000359CC"/>
    <w:rsid w:val="0003663A"/>
    <w:rsid w:val="0003678D"/>
    <w:rsid w:val="0003690B"/>
    <w:rsid w:val="00036AAC"/>
    <w:rsid w:val="00036B54"/>
    <w:rsid w:val="00037409"/>
    <w:rsid w:val="000425C2"/>
    <w:rsid w:val="00043005"/>
    <w:rsid w:val="0004300E"/>
    <w:rsid w:val="000441AE"/>
    <w:rsid w:val="00044433"/>
    <w:rsid w:val="00045EEB"/>
    <w:rsid w:val="00045F20"/>
    <w:rsid w:val="000469A3"/>
    <w:rsid w:val="000477B7"/>
    <w:rsid w:val="000508AC"/>
    <w:rsid w:val="0005279E"/>
    <w:rsid w:val="00053EB2"/>
    <w:rsid w:val="0005542B"/>
    <w:rsid w:val="000556F0"/>
    <w:rsid w:val="0005676F"/>
    <w:rsid w:val="00057658"/>
    <w:rsid w:val="00057D18"/>
    <w:rsid w:val="0006009C"/>
    <w:rsid w:val="000605F7"/>
    <w:rsid w:val="00060807"/>
    <w:rsid w:val="00060D50"/>
    <w:rsid w:val="00060ED7"/>
    <w:rsid w:val="00063741"/>
    <w:rsid w:val="000637D1"/>
    <w:rsid w:val="00063CA5"/>
    <w:rsid w:val="00064152"/>
    <w:rsid w:val="00064A0C"/>
    <w:rsid w:val="00064EF8"/>
    <w:rsid w:val="00066620"/>
    <w:rsid w:val="00067F6C"/>
    <w:rsid w:val="00070FA2"/>
    <w:rsid w:val="000717ED"/>
    <w:rsid w:val="00072EAD"/>
    <w:rsid w:val="00073169"/>
    <w:rsid w:val="0007331A"/>
    <w:rsid w:val="00073418"/>
    <w:rsid w:val="0007351C"/>
    <w:rsid w:val="000744B6"/>
    <w:rsid w:val="00074632"/>
    <w:rsid w:val="00075929"/>
    <w:rsid w:val="00075F91"/>
    <w:rsid w:val="000777BF"/>
    <w:rsid w:val="0008052D"/>
    <w:rsid w:val="00080A82"/>
    <w:rsid w:val="00080FEB"/>
    <w:rsid w:val="00081403"/>
    <w:rsid w:val="00081C6A"/>
    <w:rsid w:val="0008456B"/>
    <w:rsid w:val="0008461C"/>
    <w:rsid w:val="00085A9C"/>
    <w:rsid w:val="00085CD3"/>
    <w:rsid w:val="00086167"/>
    <w:rsid w:val="00086388"/>
    <w:rsid w:val="000865FF"/>
    <w:rsid w:val="00087C06"/>
    <w:rsid w:val="00087C84"/>
    <w:rsid w:val="00087EF4"/>
    <w:rsid w:val="00091498"/>
    <w:rsid w:val="00091952"/>
    <w:rsid w:val="00092955"/>
    <w:rsid w:val="00093559"/>
    <w:rsid w:val="00093A56"/>
    <w:rsid w:val="00093B15"/>
    <w:rsid w:val="00094F31"/>
    <w:rsid w:val="000951FE"/>
    <w:rsid w:val="0009546E"/>
    <w:rsid w:val="00095479"/>
    <w:rsid w:val="00095904"/>
    <w:rsid w:val="00096022"/>
    <w:rsid w:val="00096B7B"/>
    <w:rsid w:val="00096E25"/>
    <w:rsid w:val="00097425"/>
    <w:rsid w:val="00097A2C"/>
    <w:rsid w:val="000A09BA"/>
    <w:rsid w:val="000A0E90"/>
    <w:rsid w:val="000A1EE7"/>
    <w:rsid w:val="000A49C0"/>
    <w:rsid w:val="000A4F39"/>
    <w:rsid w:val="000A4FD6"/>
    <w:rsid w:val="000A5272"/>
    <w:rsid w:val="000A6B2A"/>
    <w:rsid w:val="000A6BC0"/>
    <w:rsid w:val="000A7070"/>
    <w:rsid w:val="000A72F3"/>
    <w:rsid w:val="000A73CC"/>
    <w:rsid w:val="000A7A2F"/>
    <w:rsid w:val="000B00C3"/>
    <w:rsid w:val="000B0C4B"/>
    <w:rsid w:val="000B1464"/>
    <w:rsid w:val="000B19D9"/>
    <w:rsid w:val="000B2AE3"/>
    <w:rsid w:val="000B32C2"/>
    <w:rsid w:val="000B38A4"/>
    <w:rsid w:val="000B3D2C"/>
    <w:rsid w:val="000B41FE"/>
    <w:rsid w:val="000B4E79"/>
    <w:rsid w:val="000B5257"/>
    <w:rsid w:val="000B567C"/>
    <w:rsid w:val="000B6E0E"/>
    <w:rsid w:val="000B6F4A"/>
    <w:rsid w:val="000B764E"/>
    <w:rsid w:val="000C0299"/>
    <w:rsid w:val="000C293D"/>
    <w:rsid w:val="000C3735"/>
    <w:rsid w:val="000C38E4"/>
    <w:rsid w:val="000C40BD"/>
    <w:rsid w:val="000C46DB"/>
    <w:rsid w:val="000C4BED"/>
    <w:rsid w:val="000C55B5"/>
    <w:rsid w:val="000C77EF"/>
    <w:rsid w:val="000C78D2"/>
    <w:rsid w:val="000D02CB"/>
    <w:rsid w:val="000D0BB5"/>
    <w:rsid w:val="000D1107"/>
    <w:rsid w:val="000D1572"/>
    <w:rsid w:val="000D1BC6"/>
    <w:rsid w:val="000D262A"/>
    <w:rsid w:val="000D3B61"/>
    <w:rsid w:val="000D5DD0"/>
    <w:rsid w:val="000D6AA3"/>
    <w:rsid w:val="000D71EE"/>
    <w:rsid w:val="000E0520"/>
    <w:rsid w:val="000E0D85"/>
    <w:rsid w:val="000E0FA7"/>
    <w:rsid w:val="000E1262"/>
    <w:rsid w:val="000E1402"/>
    <w:rsid w:val="000E15AA"/>
    <w:rsid w:val="000E1D6B"/>
    <w:rsid w:val="000E25EF"/>
    <w:rsid w:val="000E2718"/>
    <w:rsid w:val="000E2856"/>
    <w:rsid w:val="000E2BD8"/>
    <w:rsid w:val="000E2BF3"/>
    <w:rsid w:val="000E2CC3"/>
    <w:rsid w:val="000E3118"/>
    <w:rsid w:val="000E3BA6"/>
    <w:rsid w:val="000E45BE"/>
    <w:rsid w:val="000E5364"/>
    <w:rsid w:val="000E61C1"/>
    <w:rsid w:val="000E66BE"/>
    <w:rsid w:val="000E6A64"/>
    <w:rsid w:val="000E713E"/>
    <w:rsid w:val="000E7DD3"/>
    <w:rsid w:val="000E7F8A"/>
    <w:rsid w:val="000F0446"/>
    <w:rsid w:val="000F08D5"/>
    <w:rsid w:val="000F1B81"/>
    <w:rsid w:val="000F1DB5"/>
    <w:rsid w:val="000F1E91"/>
    <w:rsid w:val="000F2544"/>
    <w:rsid w:val="000F2BBC"/>
    <w:rsid w:val="000F36A2"/>
    <w:rsid w:val="000F3C26"/>
    <w:rsid w:val="000F3F5E"/>
    <w:rsid w:val="000F469D"/>
    <w:rsid w:val="000F4881"/>
    <w:rsid w:val="000F4E75"/>
    <w:rsid w:val="000F5356"/>
    <w:rsid w:val="000F53B0"/>
    <w:rsid w:val="000F5AB8"/>
    <w:rsid w:val="000F5CA5"/>
    <w:rsid w:val="000F62EC"/>
    <w:rsid w:val="000F6827"/>
    <w:rsid w:val="000F6BCA"/>
    <w:rsid w:val="000F6BDA"/>
    <w:rsid w:val="000F7C49"/>
    <w:rsid w:val="001000CB"/>
    <w:rsid w:val="001000F9"/>
    <w:rsid w:val="00100408"/>
    <w:rsid w:val="0010071A"/>
    <w:rsid w:val="00101A8D"/>
    <w:rsid w:val="00102028"/>
    <w:rsid w:val="00102148"/>
    <w:rsid w:val="001022C4"/>
    <w:rsid w:val="0010268D"/>
    <w:rsid w:val="00103120"/>
    <w:rsid w:val="00104F89"/>
    <w:rsid w:val="00105869"/>
    <w:rsid w:val="00105BC1"/>
    <w:rsid w:val="00106CD5"/>
    <w:rsid w:val="00106E28"/>
    <w:rsid w:val="00106F79"/>
    <w:rsid w:val="00106FB8"/>
    <w:rsid w:val="0011005D"/>
    <w:rsid w:val="00110FA4"/>
    <w:rsid w:val="001117EA"/>
    <w:rsid w:val="00111BF9"/>
    <w:rsid w:val="00111FB0"/>
    <w:rsid w:val="001129D9"/>
    <w:rsid w:val="00113A09"/>
    <w:rsid w:val="00113AC1"/>
    <w:rsid w:val="00113FE0"/>
    <w:rsid w:val="001141FC"/>
    <w:rsid w:val="0011472A"/>
    <w:rsid w:val="00114FD9"/>
    <w:rsid w:val="001160BA"/>
    <w:rsid w:val="0011624F"/>
    <w:rsid w:val="00116353"/>
    <w:rsid w:val="00117396"/>
    <w:rsid w:val="001177E9"/>
    <w:rsid w:val="00120BD2"/>
    <w:rsid w:val="00120D98"/>
    <w:rsid w:val="00121D92"/>
    <w:rsid w:val="00122BCB"/>
    <w:rsid w:val="00122FBD"/>
    <w:rsid w:val="0012387E"/>
    <w:rsid w:val="00123A0A"/>
    <w:rsid w:val="001240AA"/>
    <w:rsid w:val="00124DC7"/>
    <w:rsid w:val="001250DB"/>
    <w:rsid w:val="00125394"/>
    <w:rsid w:val="001253E3"/>
    <w:rsid w:val="00125A90"/>
    <w:rsid w:val="0012677B"/>
    <w:rsid w:val="0012746A"/>
    <w:rsid w:val="00131605"/>
    <w:rsid w:val="00132043"/>
    <w:rsid w:val="001329FA"/>
    <w:rsid w:val="00132E37"/>
    <w:rsid w:val="00133250"/>
    <w:rsid w:val="00133897"/>
    <w:rsid w:val="001340CA"/>
    <w:rsid w:val="00135326"/>
    <w:rsid w:val="001357A8"/>
    <w:rsid w:val="00136B26"/>
    <w:rsid w:val="00136E0E"/>
    <w:rsid w:val="00137261"/>
    <w:rsid w:val="00140415"/>
    <w:rsid w:val="00140DF2"/>
    <w:rsid w:val="0014132A"/>
    <w:rsid w:val="00141381"/>
    <w:rsid w:val="00141C99"/>
    <w:rsid w:val="00141CD0"/>
    <w:rsid w:val="00142337"/>
    <w:rsid w:val="00142915"/>
    <w:rsid w:val="00142DDD"/>
    <w:rsid w:val="00143CB1"/>
    <w:rsid w:val="00143D74"/>
    <w:rsid w:val="001446DF"/>
    <w:rsid w:val="00144F29"/>
    <w:rsid w:val="00144F5D"/>
    <w:rsid w:val="00145273"/>
    <w:rsid w:val="00145918"/>
    <w:rsid w:val="00145BBE"/>
    <w:rsid w:val="00146367"/>
    <w:rsid w:val="001467D5"/>
    <w:rsid w:val="00146837"/>
    <w:rsid w:val="0014774B"/>
    <w:rsid w:val="00150F27"/>
    <w:rsid w:val="00150F63"/>
    <w:rsid w:val="00150FCB"/>
    <w:rsid w:val="001518BA"/>
    <w:rsid w:val="00151B73"/>
    <w:rsid w:val="00152017"/>
    <w:rsid w:val="0015483E"/>
    <w:rsid w:val="00155699"/>
    <w:rsid w:val="00155BBF"/>
    <w:rsid w:val="00156B4A"/>
    <w:rsid w:val="0015713C"/>
    <w:rsid w:val="00157B28"/>
    <w:rsid w:val="00157B40"/>
    <w:rsid w:val="00161C94"/>
    <w:rsid w:val="001621B0"/>
    <w:rsid w:val="00163137"/>
    <w:rsid w:val="00163894"/>
    <w:rsid w:val="00163DBE"/>
    <w:rsid w:val="00164571"/>
    <w:rsid w:val="001649C9"/>
    <w:rsid w:val="00164F3B"/>
    <w:rsid w:val="0016554C"/>
    <w:rsid w:val="00165783"/>
    <w:rsid w:val="001660DA"/>
    <w:rsid w:val="001666CA"/>
    <w:rsid w:val="00167237"/>
    <w:rsid w:val="00167F54"/>
    <w:rsid w:val="0017017F"/>
    <w:rsid w:val="00170B44"/>
    <w:rsid w:val="00171EDC"/>
    <w:rsid w:val="00172A9C"/>
    <w:rsid w:val="00172E1E"/>
    <w:rsid w:val="0017353A"/>
    <w:rsid w:val="0017393B"/>
    <w:rsid w:val="00173FA9"/>
    <w:rsid w:val="00174556"/>
    <w:rsid w:val="00174624"/>
    <w:rsid w:val="00174928"/>
    <w:rsid w:val="00174C9A"/>
    <w:rsid w:val="0017517C"/>
    <w:rsid w:val="00175424"/>
    <w:rsid w:val="00175C34"/>
    <w:rsid w:val="001765BE"/>
    <w:rsid w:val="0017676B"/>
    <w:rsid w:val="00176DBC"/>
    <w:rsid w:val="001773F8"/>
    <w:rsid w:val="001776B6"/>
    <w:rsid w:val="00180159"/>
    <w:rsid w:val="00180192"/>
    <w:rsid w:val="00180A85"/>
    <w:rsid w:val="00180BEC"/>
    <w:rsid w:val="00180D9C"/>
    <w:rsid w:val="001812DB"/>
    <w:rsid w:val="0018206C"/>
    <w:rsid w:val="001824BD"/>
    <w:rsid w:val="001827C6"/>
    <w:rsid w:val="00182FAE"/>
    <w:rsid w:val="001830DD"/>
    <w:rsid w:val="001836C4"/>
    <w:rsid w:val="00183CAA"/>
    <w:rsid w:val="0018413B"/>
    <w:rsid w:val="001848AC"/>
    <w:rsid w:val="00184A62"/>
    <w:rsid w:val="00185315"/>
    <w:rsid w:val="00185C84"/>
    <w:rsid w:val="00186147"/>
    <w:rsid w:val="00187098"/>
    <w:rsid w:val="00187E38"/>
    <w:rsid w:val="00190451"/>
    <w:rsid w:val="00190D2E"/>
    <w:rsid w:val="00191F09"/>
    <w:rsid w:val="001923F9"/>
    <w:rsid w:val="001927F1"/>
    <w:rsid w:val="00192C5C"/>
    <w:rsid w:val="0019334C"/>
    <w:rsid w:val="0019340F"/>
    <w:rsid w:val="0019353F"/>
    <w:rsid w:val="00195141"/>
    <w:rsid w:val="001955C3"/>
    <w:rsid w:val="00195895"/>
    <w:rsid w:val="00195FF5"/>
    <w:rsid w:val="00196EBF"/>
    <w:rsid w:val="00196FB9"/>
    <w:rsid w:val="0019774F"/>
    <w:rsid w:val="00197771"/>
    <w:rsid w:val="00197DBD"/>
    <w:rsid w:val="001A03D3"/>
    <w:rsid w:val="001A05F0"/>
    <w:rsid w:val="001A10DE"/>
    <w:rsid w:val="001A13E1"/>
    <w:rsid w:val="001A1E84"/>
    <w:rsid w:val="001A2A79"/>
    <w:rsid w:val="001A2DD6"/>
    <w:rsid w:val="001A30D9"/>
    <w:rsid w:val="001A34CC"/>
    <w:rsid w:val="001A3569"/>
    <w:rsid w:val="001A412A"/>
    <w:rsid w:val="001A6667"/>
    <w:rsid w:val="001A68D4"/>
    <w:rsid w:val="001A7851"/>
    <w:rsid w:val="001A7AAF"/>
    <w:rsid w:val="001B129E"/>
    <w:rsid w:val="001B14AB"/>
    <w:rsid w:val="001B16B5"/>
    <w:rsid w:val="001B2810"/>
    <w:rsid w:val="001B3127"/>
    <w:rsid w:val="001B320C"/>
    <w:rsid w:val="001B32A4"/>
    <w:rsid w:val="001B3BFA"/>
    <w:rsid w:val="001B3EC4"/>
    <w:rsid w:val="001B3FB1"/>
    <w:rsid w:val="001B4295"/>
    <w:rsid w:val="001B5804"/>
    <w:rsid w:val="001B638F"/>
    <w:rsid w:val="001B6FFF"/>
    <w:rsid w:val="001B744B"/>
    <w:rsid w:val="001C0AA5"/>
    <w:rsid w:val="001C1521"/>
    <w:rsid w:val="001C1545"/>
    <w:rsid w:val="001C1575"/>
    <w:rsid w:val="001C19F7"/>
    <w:rsid w:val="001C2B2B"/>
    <w:rsid w:val="001C2E56"/>
    <w:rsid w:val="001C307B"/>
    <w:rsid w:val="001C34D7"/>
    <w:rsid w:val="001C37A5"/>
    <w:rsid w:val="001C3BEF"/>
    <w:rsid w:val="001C3F7B"/>
    <w:rsid w:val="001C3FB9"/>
    <w:rsid w:val="001C46F4"/>
    <w:rsid w:val="001C49DE"/>
    <w:rsid w:val="001C5E73"/>
    <w:rsid w:val="001C71B6"/>
    <w:rsid w:val="001D110E"/>
    <w:rsid w:val="001D12D0"/>
    <w:rsid w:val="001D1D01"/>
    <w:rsid w:val="001D2993"/>
    <w:rsid w:val="001D2A5B"/>
    <w:rsid w:val="001D3516"/>
    <w:rsid w:val="001D3E37"/>
    <w:rsid w:val="001D3EDE"/>
    <w:rsid w:val="001D4138"/>
    <w:rsid w:val="001D59B6"/>
    <w:rsid w:val="001D5AF8"/>
    <w:rsid w:val="001D5BFE"/>
    <w:rsid w:val="001D5C0A"/>
    <w:rsid w:val="001E02C7"/>
    <w:rsid w:val="001E046B"/>
    <w:rsid w:val="001E0A78"/>
    <w:rsid w:val="001E1A66"/>
    <w:rsid w:val="001E1E9A"/>
    <w:rsid w:val="001E2345"/>
    <w:rsid w:val="001E30A8"/>
    <w:rsid w:val="001E32A8"/>
    <w:rsid w:val="001E37AA"/>
    <w:rsid w:val="001E3998"/>
    <w:rsid w:val="001E444D"/>
    <w:rsid w:val="001E476C"/>
    <w:rsid w:val="001E4E83"/>
    <w:rsid w:val="001E5ED6"/>
    <w:rsid w:val="001E663E"/>
    <w:rsid w:val="001E6AF0"/>
    <w:rsid w:val="001E6DDC"/>
    <w:rsid w:val="001E74AE"/>
    <w:rsid w:val="001F0000"/>
    <w:rsid w:val="001F080E"/>
    <w:rsid w:val="001F0C57"/>
    <w:rsid w:val="001F0EC5"/>
    <w:rsid w:val="001F10B6"/>
    <w:rsid w:val="001F2269"/>
    <w:rsid w:val="001F24B7"/>
    <w:rsid w:val="001F2587"/>
    <w:rsid w:val="001F3573"/>
    <w:rsid w:val="001F4D78"/>
    <w:rsid w:val="001F5BBA"/>
    <w:rsid w:val="001F5BFB"/>
    <w:rsid w:val="001F606C"/>
    <w:rsid w:val="001F6E98"/>
    <w:rsid w:val="001F7848"/>
    <w:rsid w:val="001F7852"/>
    <w:rsid w:val="001F78FE"/>
    <w:rsid w:val="001F7C45"/>
    <w:rsid w:val="002004F1"/>
    <w:rsid w:val="00201096"/>
    <w:rsid w:val="002013E5"/>
    <w:rsid w:val="00201F89"/>
    <w:rsid w:val="00203BEE"/>
    <w:rsid w:val="00204831"/>
    <w:rsid w:val="0020484B"/>
    <w:rsid w:val="0020643F"/>
    <w:rsid w:val="00206829"/>
    <w:rsid w:val="00206EB4"/>
    <w:rsid w:val="0020712A"/>
    <w:rsid w:val="00207B02"/>
    <w:rsid w:val="00211652"/>
    <w:rsid w:val="00211B48"/>
    <w:rsid w:val="00212AA1"/>
    <w:rsid w:val="00212C8A"/>
    <w:rsid w:val="002131E4"/>
    <w:rsid w:val="0021348A"/>
    <w:rsid w:val="002144B0"/>
    <w:rsid w:val="00214700"/>
    <w:rsid w:val="00214B73"/>
    <w:rsid w:val="00215857"/>
    <w:rsid w:val="00215CFC"/>
    <w:rsid w:val="002161BD"/>
    <w:rsid w:val="00216216"/>
    <w:rsid w:val="0021662B"/>
    <w:rsid w:val="00216A04"/>
    <w:rsid w:val="00217413"/>
    <w:rsid w:val="002204A3"/>
    <w:rsid w:val="00220B47"/>
    <w:rsid w:val="00221742"/>
    <w:rsid w:val="0022379F"/>
    <w:rsid w:val="00224170"/>
    <w:rsid w:val="002244C4"/>
    <w:rsid w:val="00224529"/>
    <w:rsid w:val="00224629"/>
    <w:rsid w:val="00224A35"/>
    <w:rsid w:val="00226350"/>
    <w:rsid w:val="002264AF"/>
    <w:rsid w:val="0023158A"/>
    <w:rsid w:val="00233771"/>
    <w:rsid w:val="002341CE"/>
    <w:rsid w:val="00234943"/>
    <w:rsid w:val="00234ABE"/>
    <w:rsid w:val="00234CA7"/>
    <w:rsid w:val="00235575"/>
    <w:rsid w:val="0023572A"/>
    <w:rsid w:val="00235875"/>
    <w:rsid w:val="00235D42"/>
    <w:rsid w:val="00235FB3"/>
    <w:rsid w:val="00237D44"/>
    <w:rsid w:val="00241E35"/>
    <w:rsid w:val="002429E9"/>
    <w:rsid w:val="00242D83"/>
    <w:rsid w:val="00242DC2"/>
    <w:rsid w:val="00242E27"/>
    <w:rsid w:val="00243EE0"/>
    <w:rsid w:val="002461DD"/>
    <w:rsid w:val="002464F4"/>
    <w:rsid w:val="00247F73"/>
    <w:rsid w:val="00247FBC"/>
    <w:rsid w:val="00250BA5"/>
    <w:rsid w:val="0025158B"/>
    <w:rsid w:val="002517B9"/>
    <w:rsid w:val="002527E7"/>
    <w:rsid w:val="0025404E"/>
    <w:rsid w:val="00254600"/>
    <w:rsid w:val="00256C99"/>
    <w:rsid w:val="002579BA"/>
    <w:rsid w:val="00257E36"/>
    <w:rsid w:val="0026081E"/>
    <w:rsid w:val="00261229"/>
    <w:rsid w:val="002615A8"/>
    <w:rsid w:val="00261D8B"/>
    <w:rsid w:val="0026250E"/>
    <w:rsid w:val="0026392F"/>
    <w:rsid w:val="00263ABB"/>
    <w:rsid w:val="00264C63"/>
    <w:rsid w:val="00265087"/>
    <w:rsid w:val="002663CD"/>
    <w:rsid w:val="002668C8"/>
    <w:rsid w:val="002726E4"/>
    <w:rsid w:val="00272F98"/>
    <w:rsid w:val="002737D1"/>
    <w:rsid w:val="0027448C"/>
    <w:rsid w:val="002747FC"/>
    <w:rsid w:val="00276618"/>
    <w:rsid w:val="00281962"/>
    <w:rsid w:val="00281B11"/>
    <w:rsid w:val="00281FAE"/>
    <w:rsid w:val="002824DF"/>
    <w:rsid w:val="00283028"/>
    <w:rsid w:val="002844AE"/>
    <w:rsid w:val="00286139"/>
    <w:rsid w:val="00286681"/>
    <w:rsid w:val="00286BCB"/>
    <w:rsid w:val="00286D0E"/>
    <w:rsid w:val="00287F16"/>
    <w:rsid w:val="00290A05"/>
    <w:rsid w:val="00291465"/>
    <w:rsid w:val="00292422"/>
    <w:rsid w:val="002928DC"/>
    <w:rsid w:val="002928E3"/>
    <w:rsid w:val="00292E05"/>
    <w:rsid w:val="00293B88"/>
    <w:rsid w:val="002944BF"/>
    <w:rsid w:val="0029476D"/>
    <w:rsid w:val="00294AD8"/>
    <w:rsid w:val="00294B9B"/>
    <w:rsid w:val="00295993"/>
    <w:rsid w:val="00296377"/>
    <w:rsid w:val="002964C3"/>
    <w:rsid w:val="00296B7A"/>
    <w:rsid w:val="002977D7"/>
    <w:rsid w:val="00297B14"/>
    <w:rsid w:val="002A0B22"/>
    <w:rsid w:val="002A0CD6"/>
    <w:rsid w:val="002A0FC0"/>
    <w:rsid w:val="002A1403"/>
    <w:rsid w:val="002A2000"/>
    <w:rsid w:val="002A30A7"/>
    <w:rsid w:val="002A316F"/>
    <w:rsid w:val="002A3A55"/>
    <w:rsid w:val="002A47AB"/>
    <w:rsid w:val="002A4EB1"/>
    <w:rsid w:val="002A5394"/>
    <w:rsid w:val="002A540D"/>
    <w:rsid w:val="002A63ED"/>
    <w:rsid w:val="002A7711"/>
    <w:rsid w:val="002B050F"/>
    <w:rsid w:val="002B05AE"/>
    <w:rsid w:val="002B187F"/>
    <w:rsid w:val="002B1D4E"/>
    <w:rsid w:val="002B1DC8"/>
    <w:rsid w:val="002B1F86"/>
    <w:rsid w:val="002B2200"/>
    <w:rsid w:val="002B2D13"/>
    <w:rsid w:val="002B3324"/>
    <w:rsid w:val="002B3E74"/>
    <w:rsid w:val="002B4927"/>
    <w:rsid w:val="002B4C35"/>
    <w:rsid w:val="002B5696"/>
    <w:rsid w:val="002B5D1B"/>
    <w:rsid w:val="002B697F"/>
    <w:rsid w:val="002B6B5A"/>
    <w:rsid w:val="002B79FE"/>
    <w:rsid w:val="002C0626"/>
    <w:rsid w:val="002C0870"/>
    <w:rsid w:val="002C1BB7"/>
    <w:rsid w:val="002C1D65"/>
    <w:rsid w:val="002C28A2"/>
    <w:rsid w:val="002C3896"/>
    <w:rsid w:val="002C3B18"/>
    <w:rsid w:val="002C4737"/>
    <w:rsid w:val="002C5831"/>
    <w:rsid w:val="002D06E1"/>
    <w:rsid w:val="002D0844"/>
    <w:rsid w:val="002D0880"/>
    <w:rsid w:val="002D0FB2"/>
    <w:rsid w:val="002D1A56"/>
    <w:rsid w:val="002D1A9B"/>
    <w:rsid w:val="002D1D50"/>
    <w:rsid w:val="002D30A9"/>
    <w:rsid w:val="002D34A2"/>
    <w:rsid w:val="002D36BB"/>
    <w:rsid w:val="002D3D35"/>
    <w:rsid w:val="002D73EA"/>
    <w:rsid w:val="002E006C"/>
    <w:rsid w:val="002E0E2B"/>
    <w:rsid w:val="002E1C24"/>
    <w:rsid w:val="002E230C"/>
    <w:rsid w:val="002E2570"/>
    <w:rsid w:val="002E2BEA"/>
    <w:rsid w:val="002E2E07"/>
    <w:rsid w:val="002E330D"/>
    <w:rsid w:val="002E3A2C"/>
    <w:rsid w:val="002E4131"/>
    <w:rsid w:val="002E70A1"/>
    <w:rsid w:val="002E760B"/>
    <w:rsid w:val="002E7B64"/>
    <w:rsid w:val="002F0791"/>
    <w:rsid w:val="002F0CED"/>
    <w:rsid w:val="002F0FE5"/>
    <w:rsid w:val="002F1F73"/>
    <w:rsid w:val="002F271D"/>
    <w:rsid w:val="002F2978"/>
    <w:rsid w:val="002F37FA"/>
    <w:rsid w:val="002F3C4B"/>
    <w:rsid w:val="002F3CBF"/>
    <w:rsid w:val="002F408D"/>
    <w:rsid w:val="002F639A"/>
    <w:rsid w:val="002F6741"/>
    <w:rsid w:val="002F6B61"/>
    <w:rsid w:val="002F770A"/>
    <w:rsid w:val="002F7C37"/>
    <w:rsid w:val="003005F9"/>
    <w:rsid w:val="0030067F"/>
    <w:rsid w:val="00301475"/>
    <w:rsid w:val="0030150C"/>
    <w:rsid w:val="00302356"/>
    <w:rsid w:val="003026AA"/>
    <w:rsid w:val="00302A15"/>
    <w:rsid w:val="00302EAE"/>
    <w:rsid w:val="0030434E"/>
    <w:rsid w:val="003044CC"/>
    <w:rsid w:val="00304CA9"/>
    <w:rsid w:val="003053E3"/>
    <w:rsid w:val="00305B15"/>
    <w:rsid w:val="00305C21"/>
    <w:rsid w:val="003064FA"/>
    <w:rsid w:val="003065DC"/>
    <w:rsid w:val="003073AB"/>
    <w:rsid w:val="00307F85"/>
    <w:rsid w:val="00310844"/>
    <w:rsid w:val="003109E4"/>
    <w:rsid w:val="00310ACD"/>
    <w:rsid w:val="00311D23"/>
    <w:rsid w:val="003122C6"/>
    <w:rsid w:val="003126AC"/>
    <w:rsid w:val="0031290C"/>
    <w:rsid w:val="00312C58"/>
    <w:rsid w:val="00314350"/>
    <w:rsid w:val="00314E14"/>
    <w:rsid w:val="00315497"/>
    <w:rsid w:val="00315924"/>
    <w:rsid w:val="00315D24"/>
    <w:rsid w:val="003164A6"/>
    <w:rsid w:val="00317157"/>
    <w:rsid w:val="003175E4"/>
    <w:rsid w:val="00317D40"/>
    <w:rsid w:val="003209A9"/>
    <w:rsid w:val="003209B7"/>
    <w:rsid w:val="00321144"/>
    <w:rsid w:val="00321A3C"/>
    <w:rsid w:val="00322864"/>
    <w:rsid w:val="00322CBB"/>
    <w:rsid w:val="003232DD"/>
    <w:rsid w:val="0032508F"/>
    <w:rsid w:val="0032607A"/>
    <w:rsid w:val="0032694A"/>
    <w:rsid w:val="00326B95"/>
    <w:rsid w:val="0032725B"/>
    <w:rsid w:val="00327278"/>
    <w:rsid w:val="003273BC"/>
    <w:rsid w:val="00327DDF"/>
    <w:rsid w:val="00327F76"/>
    <w:rsid w:val="00330BA5"/>
    <w:rsid w:val="00331CC3"/>
    <w:rsid w:val="00332883"/>
    <w:rsid w:val="003329F1"/>
    <w:rsid w:val="003331B6"/>
    <w:rsid w:val="003335D3"/>
    <w:rsid w:val="00334284"/>
    <w:rsid w:val="003355F3"/>
    <w:rsid w:val="00335DF9"/>
    <w:rsid w:val="00336513"/>
    <w:rsid w:val="00340227"/>
    <w:rsid w:val="00340E5A"/>
    <w:rsid w:val="0034158B"/>
    <w:rsid w:val="0034172A"/>
    <w:rsid w:val="00341785"/>
    <w:rsid w:val="003427A0"/>
    <w:rsid w:val="003427E9"/>
    <w:rsid w:val="0034328E"/>
    <w:rsid w:val="00343460"/>
    <w:rsid w:val="00343601"/>
    <w:rsid w:val="0034374F"/>
    <w:rsid w:val="00343D13"/>
    <w:rsid w:val="003440C2"/>
    <w:rsid w:val="003448FD"/>
    <w:rsid w:val="003450AD"/>
    <w:rsid w:val="00345589"/>
    <w:rsid w:val="0034673C"/>
    <w:rsid w:val="00346ACF"/>
    <w:rsid w:val="00350D8E"/>
    <w:rsid w:val="003515ED"/>
    <w:rsid w:val="00351E7A"/>
    <w:rsid w:val="00352000"/>
    <w:rsid w:val="00352DA2"/>
    <w:rsid w:val="00353387"/>
    <w:rsid w:val="00353D17"/>
    <w:rsid w:val="00354CB9"/>
    <w:rsid w:val="00355295"/>
    <w:rsid w:val="0035583E"/>
    <w:rsid w:val="00355885"/>
    <w:rsid w:val="003567F0"/>
    <w:rsid w:val="00357438"/>
    <w:rsid w:val="0036191E"/>
    <w:rsid w:val="00362495"/>
    <w:rsid w:val="003626C1"/>
    <w:rsid w:val="00363170"/>
    <w:rsid w:val="0036420C"/>
    <w:rsid w:val="00364465"/>
    <w:rsid w:val="003646BA"/>
    <w:rsid w:val="003648BC"/>
    <w:rsid w:val="00364914"/>
    <w:rsid w:val="00365317"/>
    <w:rsid w:val="003655DC"/>
    <w:rsid w:val="00366594"/>
    <w:rsid w:val="00366731"/>
    <w:rsid w:val="0036740D"/>
    <w:rsid w:val="00370D43"/>
    <w:rsid w:val="00370FEE"/>
    <w:rsid w:val="0037115D"/>
    <w:rsid w:val="00372407"/>
    <w:rsid w:val="003740F2"/>
    <w:rsid w:val="0037502B"/>
    <w:rsid w:val="003768B3"/>
    <w:rsid w:val="0037693E"/>
    <w:rsid w:val="003773AB"/>
    <w:rsid w:val="0037748C"/>
    <w:rsid w:val="00377754"/>
    <w:rsid w:val="00380582"/>
    <w:rsid w:val="00380915"/>
    <w:rsid w:val="00380919"/>
    <w:rsid w:val="00381390"/>
    <w:rsid w:val="00381434"/>
    <w:rsid w:val="0038207E"/>
    <w:rsid w:val="00382092"/>
    <w:rsid w:val="00382C75"/>
    <w:rsid w:val="00383A7A"/>
    <w:rsid w:val="00383ED6"/>
    <w:rsid w:val="003849EB"/>
    <w:rsid w:val="00384A27"/>
    <w:rsid w:val="003858B8"/>
    <w:rsid w:val="00386CDD"/>
    <w:rsid w:val="00386FCC"/>
    <w:rsid w:val="00387081"/>
    <w:rsid w:val="0038787B"/>
    <w:rsid w:val="003903D3"/>
    <w:rsid w:val="00390954"/>
    <w:rsid w:val="00391196"/>
    <w:rsid w:val="003918F9"/>
    <w:rsid w:val="00392708"/>
    <w:rsid w:val="003929CD"/>
    <w:rsid w:val="00393126"/>
    <w:rsid w:val="003946A5"/>
    <w:rsid w:val="00394C7B"/>
    <w:rsid w:val="00396BEE"/>
    <w:rsid w:val="00397B6C"/>
    <w:rsid w:val="003A05D6"/>
    <w:rsid w:val="003A05F4"/>
    <w:rsid w:val="003A15D2"/>
    <w:rsid w:val="003A1CC2"/>
    <w:rsid w:val="003A2561"/>
    <w:rsid w:val="003A25A5"/>
    <w:rsid w:val="003A28F9"/>
    <w:rsid w:val="003A2B9E"/>
    <w:rsid w:val="003A3240"/>
    <w:rsid w:val="003A36A7"/>
    <w:rsid w:val="003A3929"/>
    <w:rsid w:val="003A4888"/>
    <w:rsid w:val="003A49D9"/>
    <w:rsid w:val="003A4D38"/>
    <w:rsid w:val="003A58CC"/>
    <w:rsid w:val="003A5C8F"/>
    <w:rsid w:val="003A6537"/>
    <w:rsid w:val="003A65A7"/>
    <w:rsid w:val="003A6985"/>
    <w:rsid w:val="003A6BCC"/>
    <w:rsid w:val="003A740C"/>
    <w:rsid w:val="003A7B79"/>
    <w:rsid w:val="003A7D98"/>
    <w:rsid w:val="003B1AC2"/>
    <w:rsid w:val="003B1CC4"/>
    <w:rsid w:val="003B21F6"/>
    <w:rsid w:val="003B2B8F"/>
    <w:rsid w:val="003B2BD5"/>
    <w:rsid w:val="003B3B34"/>
    <w:rsid w:val="003B3C29"/>
    <w:rsid w:val="003B4DED"/>
    <w:rsid w:val="003B50A1"/>
    <w:rsid w:val="003B5C7B"/>
    <w:rsid w:val="003B6749"/>
    <w:rsid w:val="003B79B2"/>
    <w:rsid w:val="003C0246"/>
    <w:rsid w:val="003C0C1A"/>
    <w:rsid w:val="003C2065"/>
    <w:rsid w:val="003C29EB"/>
    <w:rsid w:val="003C2C7E"/>
    <w:rsid w:val="003C3079"/>
    <w:rsid w:val="003C3973"/>
    <w:rsid w:val="003C3F1A"/>
    <w:rsid w:val="003C445A"/>
    <w:rsid w:val="003C486D"/>
    <w:rsid w:val="003C49FA"/>
    <w:rsid w:val="003C512F"/>
    <w:rsid w:val="003C63C3"/>
    <w:rsid w:val="003C7082"/>
    <w:rsid w:val="003C7D76"/>
    <w:rsid w:val="003D15C2"/>
    <w:rsid w:val="003D19C0"/>
    <w:rsid w:val="003D1E91"/>
    <w:rsid w:val="003D43DC"/>
    <w:rsid w:val="003D461B"/>
    <w:rsid w:val="003D46E5"/>
    <w:rsid w:val="003D4974"/>
    <w:rsid w:val="003D5B53"/>
    <w:rsid w:val="003D65B1"/>
    <w:rsid w:val="003D6AE9"/>
    <w:rsid w:val="003D6BDE"/>
    <w:rsid w:val="003D6C40"/>
    <w:rsid w:val="003E0BA8"/>
    <w:rsid w:val="003E1598"/>
    <w:rsid w:val="003E1BCA"/>
    <w:rsid w:val="003E1C57"/>
    <w:rsid w:val="003E1D43"/>
    <w:rsid w:val="003E2D21"/>
    <w:rsid w:val="003E3019"/>
    <w:rsid w:val="003E46B3"/>
    <w:rsid w:val="003E58CF"/>
    <w:rsid w:val="003E7AE7"/>
    <w:rsid w:val="003F215A"/>
    <w:rsid w:val="003F2914"/>
    <w:rsid w:val="003F345F"/>
    <w:rsid w:val="003F358E"/>
    <w:rsid w:val="003F368A"/>
    <w:rsid w:val="003F3831"/>
    <w:rsid w:val="003F4AA0"/>
    <w:rsid w:val="003F4F9C"/>
    <w:rsid w:val="003F5951"/>
    <w:rsid w:val="003F5966"/>
    <w:rsid w:val="003F6234"/>
    <w:rsid w:val="003F6AF7"/>
    <w:rsid w:val="003F6DB7"/>
    <w:rsid w:val="00400409"/>
    <w:rsid w:val="00400AD8"/>
    <w:rsid w:val="00400C0F"/>
    <w:rsid w:val="0040200E"/>
    <w:rsid w:val="00402215"/>
    <w:rsid w:val="00402616"/>
    <w:rsid w:val="00403316"/>
    <w:rsid w:val="00403382"/>
    <w:rsid w:val="00403387"/>
    <w:rsid w:val="0040339C"/>
    <w:rsid w:val="00403580"/>
    <w:rsid w:val="00403FF7"/>
    <w:rsid w:val="0040438D"/>
    <w:rsid w:val="0040736D"/>
    <w:rsid w:val="0040737F"/>
    <w:rsid w:val="00407E9A"/>
    <w:rsid w:val="00410251"/>
    <w:rsid w:val="00410A53"/>
    <w:rsid w:val="00410C8B"/>
    <w:rsid w:val="00410E26"/>
    <w:rsid w:val="00410F7E"/>
    <w:rsid w:val="00411532"/>
    <w:rsid w:val="00411A7E"/>
    <w:rsid w:val="00412200"/>
    <w:rsid w:val="0041267B"/>
    <w:rsid w:val="00412955"/>
    <w:rsid w:val="00412C4A"/>
    <w:rsid w:val="00412D51"/>
    <w:rsid w:val="00414672"/>
    <w:rsid w:val="00414A5A"/>
    <w:rsid w:val="00414D30"/>
    <w:rsid w:val="004168FC"/>
    <w:rsid w:val="004173B9"/>
    <w:rsid w:val="00417574"/>
    <w:rsid w:val="00420F0A"/>
    <w:rsid w:val="00421396"/>
    <w:rsid w:val="00421A0E"/>
    <w:rsid w:val="00421A14"/>
    <w:rsid w:val="00422027"/>
    <w:rsid w:val="00423760"/>
    <w:rsid w:val="00423928"/>
    <w:rsid w:val="00425131"/>
    <w:rsid w:val="0042778D"/>
    <w:rsid w:val="0043042E"/>
    <w:rsid w:val="00430B71"/>
    <w:rsid w:val="0043176D"/>
    <w:rsid w:val="00431DA3"/>
    <w:rsid w:val="004320AB"/>
    <w:rsid w:val="004321BA"/>
    <w:rsid w:val="004322EA"/>
    <w:rsid w:val="004328DA"/>
    <w:rsid w:val="00433749"/>
    <w:rsid w:val="004344DA"/>
    <w:rsid w:val="00435783"/>
    <w:rsid w:val="00435D20"/>
    <w:rsid w:val="00435D4B"/>
    <w:rsid w:val="00437155"/>
    <w:rsid w:val="004374A6"/>
    <w:rsid w:val="0044079B"/>
    <w:rsid w:val="00440839"/>
    <w:rsid w:val="00440A84"/>
    <w:rsid w:val="00441C99"/>
    <w:rsid w:val="00442A81"/>
    <w:rsid w:val="00443394"/>
    <w:rsid w:val="004436BE"/>
    <w:rsid w:val="00443954"/>
    <w:rsid w:val="00444970"/>
    <w:rsid w:val="00445059"/>
    <w:rsid w:val="004457D2"/>
    <w:rsid w:val="00446C7B"/>
    <w:rsid w:val="00447203"/>
    <w:rsid w:val="004473B4"/>
    <w:rsid w:val="00450525"/>
    <w:rsid w:val="00450A4B"/>
    <w:rsid w:val="00452EB5"/>
    <w:rsid w:val="00454CE2"/>
    <w:rsid w:val="004550AC"/>
    <w:rsid w:val="004552A4"/>
    <w:rsid w:val="0045664D"/>
    <w:rsid w:val="0045709B"/>
    <w:rsid w:val="00457EDE"/>
    <w:rsid w:val="00460243"/>
    <w:rsid w:val="0046119E"/>
    <w:rsid w:val="004611A2"/>
    <w:rsid w:val="00462716"/>
    <w:rsid w:val="0046393B"/>
    <w:rsid w:val="004646FC"/>
    <w:rsid w:val="00464FAB"/>
    <w:rsid w:val="00464FFF"/>
    <w:rsid w:val="0046655D"/>
    <w:rsid w:val="0046712F"/>
    <w:rsid w:val="00471647"/>
    <w:rsid w:val="00473EAD"/>
    <w:rsid w:val="00473F93"/>
    <w:rsid w:val="00474C88"/>
    <w:rsid w:val="00474E95"/>
    <w:rsid w:val="0047703C"/>
    <w:rsid w:val="00477AD1"/>
    <w:rsid w:val="00477EA3"/>
    <w:rsid w:val="00477F5C"/>
    <w:rsid w:val="004807ED"/>
    <w:rsid w:val="0048149B"/>
    <w:rsid w:val="00481C0C"/>
    <w:rsid w:val="00481EDF"/>
    <w:rsid w:val="00482D46"/>
    <w:rsid w:val="00482E13"/>
    <w:rsid w:val="0048516D"/>
    <w:rsid w:val="0048519A"/>
    <w:rsid w:val="00485E65"/>
    <w:rsid w:val="0049038F"/>
    <w:rsid w:val="0049054C"/>
    <w:rsid w:val="00490BDC"/>
    <w:rsid w:val="00491395"/>
    <w:rsid w:val="00491EB6"/>
    <w:rsid w:val="004922DA"/>
    <w:rsid w:val="004925EF"/>
    <w:rsid w:val="004928B4"/>
    <w:rsid w:val="004937F1"/>
    <w:rsid w:val="00493885"/>
    <w:rsid w:val="00493BED"/>
    <w:rsid w:val="00493E43"/>
    <w:rsid w:val="00493E7D"/>
    <w:rsid w:val="0049409D"/>
    <w:rsid w:val="004940BE"/>
    <w:rsid w:val="0049441F"/>
    <w:rsid w:val="0049476C"/>
    <w:rsid w:val="00495114"/>
    <w:rsid w:val="00495AF2"/>
    <w:rsid w:val="0049751A"/>
    <w:rsid w:val="004979C0"/>
    <w:rsid w:val="00497ABB"/>
    <w:rsid w:val="00497DB3"/>
    <w:rsid w:val="004A172B"/>
    <w:rsid w:val="004A213A"/>
    <w:rsid w:val="004A4836"/>
    <w:rsid w:val="004A7431"/>
    <w:rsid w:val="004A7683"/>
    <w:rsid w:val="004B0F3A"/>
    <w:rsid w:val="004B10F2"/>
    <w:rsid w:val="004B171D"/>
    <w:rsid w:val="004B18A9"/>
    <w:rsid w:val="004B2362"/>
    <w:rsid w:val="004B3989"/>
    <w:rsid w:val="004B3F10"/>
    <w:rsid w:val="004B4436"/>
    <w:rsid w:val="004B4940"/>
    <w:rsid w:val="004B4D96"/>
    <w:rsid w:val="004B68D4"/>
    <w:rsid w:val="004B6A4D"/>
    <w:rsid w:val="004B786A"/>
    <w:rsid w:val="004C0241"/>
    <w:rsid w:val="004C0D07"/>
    <w:rsid w:val="004C1112"/>
    <w:rsid w:val="004C11B4"/>
    <w:rsid w:val="004C2353"/>
    <w:rsid w:val="004C3C2C"/>
    <w:rsid w:val="004C408F"/>
    <w:rsid w:val="004C4277"/>
    <w:rsid w:val="004C42D3"/>
    <w:rsid w:val="004C4900"/>
    <w:rsid w:val="004C5274"/>
    <w:rsid w:val="004C53BA"/>
    <w:rsid w:val="004C53FF"/>
    <w:rsid w:val="004C5DE4"/>
    <w:rsid w:val="004C76D7"/>
    <w:rsid w:val="004D17D3"/>
    <w:rsid w:val="004D18D7"/>
    <w:rsid w:val="004D1AF8"/>
    <w:rsid w:val="004D2192"/>
    <w:rsid w:val="004D2FF5"/>
    <w:rsid w:val="004D34BD"/>
    <w:rsid w:val="004D354C"/>
    <w:rsid w:val="004D5F53"/>
    <w:rsid w:val="004D625B"/>
    <w:rsid w:val="004D71E9"/>
    <w:rsid w:val="004D7667"/>
    <w:rsid w:val="004E2AC5"/>
    <w:rsid w:val="004E31BC"/>
    <w:rsid w:val="004E624E"/>
    <w:rsid w:val="004E6632"/>
    <w:rsid w:val="004F01C5"/>
    <w:rsid w:val="004F0FD9"/>
    <w:rsid w:val="004F16A8"/>
    <w:rsid w:val="004F3387"/>
    <w:rsid w:val="004F3B3A"/>
    <w:rsid w:val="004F4524"/>
    <w:rsid w:val="004F4F75"/>
    <w:rsid w:val="004F52B4"/>
    <w:rsid w:val="004F618F"/>
    <w:rsid w:val="004F62F0"/>
    <w:rsid w:val="004F68FC"/>
    <w:rsid w:val="004F6E62"/>
    <w:rsid w:val="004F7341"/>
    <w:rsid w:val="004F7940"/>
    <w:rsid w:val="004F79F1"/>
    <w:rsid w:val="004F7E5B"/>
    <w:rsid w:val="00500DA5"/>
    <w:rsid w:val="005013FC"/>
    <w:rsid w:val="00501707"/>
    <w:rsid w:val="0050261B"/>
    <w:rsid w:val="0050324E"/>
    <w:rsid w:val="00504125"/>
    <w:rsid w:val="00504747"/>
    <w:rsid w:val="0050603D"/>
    <w:rsid w:val="005074B1"/>
    <w:rsid w:val="0051023B"/>
    <w:rsid w:val="00510410"/>
    <w:rsid w:val="00510706"/>
    <w:rsid w:val="005114B5"/>
    <w:rsid w:val="00511BED"/>
    <w:rsid w:val="0051339B"/>
    <w:rsid w:val="0051353A"/>
    <w:rsid w:val="00513650"/>
    <w:rsid w:val="00513C7F"/>
    <w:rsid w:val="0051445F"/>
    <w:rsid w:val="005148A3"/>
    <w:rsid w:val="00515A60"/>
    <w:rsid w:val="00516310"/>
    <w:rsid w:val="00516B46"/>
    <w:rsid w:val="00516CD8"/>
    <w:rsid w:val="00516E9B"/>
    <w:rsid w:val="00517A12"/>
    <w:rsid w:val="00517B39"/>
    <w:rsid w:val="00520080"/>
    <w:rsid w:val="00520205"/>
    <w:rsid w:val="005204F7"/>
    <w:rsid w:val="0052061C"/>
    <w:rsid w:val="00520E36"/>
    <w:rsid w:val="00521338"/>
    <w:rsid w:val="005217AF"/>
    <w:rsid w:val="00521E31"/>
    <w:rsid w:val="00521FC7"/>
    <w:rsid w:val="0052263D"/>
    <w:rsid w:val="00522A40"/>
    <w:rsid w:val="00522E0E"/>
    <w:rsid w:val="00523BB4"/>
    <w:rsid w:val="00523CB6"/>
    <w:rsid w:val="0052400A"/>
    <w:rsid w:val="00524DA6"/>
    <w:rsid w:val="00526104"/>
    <w:rsid w:val="0052625B"/>
    <w:rsid w:val="00530F3A"/>
    <w:rsid w:val="00531238"/>
    <w:rsid w:val="0053174E"/>
    <w:rsid w:val="0053189C"/>
    <w:rsid w:val="0053199F"/>
    <w:rsid w:val="00531B5C"/>
    <w:rsid w:val="00532D42"/>
    <w:rsid w:val="00532FF2"/>
    <w:rsid w:val="00533163"/>
    <w:rsid w:val="00533A9F"/>
    <w:rsid w:val="00534411"/>
    <w:rsid w:val="0053673A"/>
    <w:rsid w:val="005401CC"/>
    <w:rsid w:val="00540D81"/>
    <w:rsid w:val="005411C5"/>
    <w:rsid w:val="00541D96"/>
    <w:rsid w:val="0054200C"/>
    <w:rsid w:val="005421FA"/>
    <w:rsid w:val="005424A8"/>
    <w:rsid w:val="00543677"/>
    <w:rsid w:val="005437CC"/>
    <w:rsid w:val="00543C11"/>
    <w:rsid w:val="00543CCF"/>
    <w:rsid w:val="00544258"/>
    <w:rsid w:val="00544311"/>
    <w:rsid w:val="0054434A"/>
    <w:rsid w:val="00544A44"/>
    <w:rsid w:val="00544F06"/>
    <w:rsid w:val="0054508D"/>
    <w:rsid w:val="00545364"/>
    <w:rsid w:val="00545BB8"/>
    <w:rsid w:val="0054680D"/>
    <w:rsid w:val="00546DC2"/>
    <w:rsid w:val="00547557"/>
    <w:rsid w:val="0054758E"/>
    <w:rsid w:val="005518EA"/>
    <w:rsid w:val="00551C36"/>
    <w:rsid w:val="00551CBA"/>
    <w:rsid w:val="00552C8A"/>
    <w:rsid w:val="00552EC1"/>
    <w:rsid w:val="00553108"/>
    <w:rsid w:val="005539BB"/>
    <w:rsid w:val="00554201"/>
    <w:rsid w:val="00554568"/>
    <w:rsid w:val="005545CF"/>
    <w:rsid w:val="00554F53"/>
    <w:rsid w:val="00555CE3"/>
    <w:rsid w:val="00556DFA"/>
    <w:rsid w:val="00557896"/>
    <w:rsid w:val="00557D16"/>
    <w:rsid w:val="00560C00"/>
    <w:rsid w:val="00561127"/>
    <w:rsid w:val="0056128A"/>
    <w:rsid w:val="0056195C"/>
    <w:rsid w:val="00561BB7"/>
    <w:rsid w:val="00564263"/>
    <w:rsid w:val="0056487A"/>
    <w:rsid w:val="00564D1D"/>
    <w:rsid w:val="00565370"/>
    <w:rsid w:val="0056643A"/>
    <w:rsid w:val="00567A7D"/>
    <w:rsid w:val="00567B74"/>
    <w:rsid w:val="005700BA"/>
    <w:rsid w:val="005719D6"/>
    <w:rsid w:val="00571E3D"/>
    <w:rsid w:val="005722FA"/>
    <w:rsid w:val="00573EBD"/>
    <w:rsid w:val="00574992"/>
    <w:rsid w:val="00575FD1"/>
    <w:rsid w:val="0057697C"/>
    <w:rsid w:val="00576B28"/>
    <w:rsid w:val="00576CCE"/>
    <w:rsid w:val="00577714"/>
    <w:rsid w:val="00577A21"/>
    <w:rsid w:val="00577F12"/>
    <w:rsid w:val="00580777"/>
    <w:rsid w:val="00581400"/>
    <w:rsid w:val="0058159D"/>
    <w:rsid w:val="005831E0"/>
    <w:rsid w:val="00583AC7"/>
    <w:rsid w:val="00584DB6"/>
    <w:rsid w:val="0058569A"/>
    <w:rsid w:val="005862E4"/>
    <w:rsid w:val="00586FA4"/>
    <w:rsid w:val="005872E1"/>
    <w:rsid w:val="00587490"/>
    <w:rsid w:val="005900A5"/>
    <w:rsid w:val="00590223"/>
    <w:rsid w:val="005907D8"/>
    <w:rsid w:val="00590B77"/>
    <w:rsid w:val="00590E70"/>
    <w:rsid w:val="005915A9"/>
    <w:rsid w:val="00591F9E"/>
    <w:rsid w:val="005921CE"/>
    <w:rsid w:val="0059239A"/>
    <w:rsid w:val="005924E7"/>
    <w:rsid w:val="00592A26"/>
    <w:rsid w:val="00592A2C"/>
    <w:rsid w:val="005934A6"/>
    <w:rsid w:val="005938C6"/>
    <w:rsid w:val="00593B34"/>
    <w:rsid w:val="00593E64"/>
    <w:rsid w:val="00595050"/>
    <w:rsid w:val="00597B40"/>
    <w:rsid w:val="005A0119"/>
    <w:rsid w:val="005A0760"/>
    <w:rsid w:val="005A16E1"/>
    <w:rsid w:val="005A1C4D"/>
    <w:rsid w:val="005A4128"/>
    <w:rsid w:val="005A6013"/>
    <w:rsid w:val="005A6087"/>
    <w:rsid w:val="005A71E9"/>
    <w:rsid w:val="005A735A"/>
    <w:rsid w:val="005A7962"/>
    <w:rsid w:val="005B02FA"/>
    <w:rsid w:val="005B0EAB"/>
    <w:rsid w:val="005B1257"/>
    <w:rsid w:val="005B16BF"/>
    <w:rsid w:val="005B1951"/>
    <w:rsid w:val="005B264B"/>
    <w:rsid w:val="005B2FA1"/>
    <w:rsid w:val="005B5312"/>
    <w:rsid w:val="005B6206"/>
    <w:rsid w:val="005B6450"/>
    <w:rsid w:val="005B65AB"/>
    <w:rsid w:val="005B7F91"/>
    <w:rsid w:val="005C07C4"/>
    <w:rsid w:val="005C103F"/>
    <w:rsid w:val="005C12B0"/>
    <w:rsid w:val="005C346E"/>
    <w:rsid w:val="005C354F"/>
    <w:rsid w:val="005C4DB2"/>
    <w:rsid w:val="005C4DC1"/>
    <w:rsid w:val="005C4FC2"/>
    <w:rsid w:val="005C619C"/>
    <w:rsid w:val="005C76D3"/>
    <w:rsid w:val="005D00A3"/>
    <w:rsid w:val="005D04CA"/>
    <w:rsid w:val="005D1A77"/>
    <w:rsid w:val="005D3590"/>
    <w:rsid w:val="005D439E"/>
    <w:rsid w:val="005D4770"/>
    <w:rsid w:val="005D52B8"/>
    <w:rsid w:val="005D5AA8"/>
    <w:rsid w:val="005D697F"/>
    <w:rsid w:val="005D6A6B"/>
    <w:rsid w:val="005D78BF"/>
    <w:rsid w:val="005E038A"/>
    <w:rsid w:val="005E18A9"/>
    <w:rsid w:val="005E1D11"/>
    <w:rsid w:val="005E2DB5"/>
    <w:rsid w:val="005E2E8E"/>
    <w:rsid w:val="005E4DC5"/>
    <w:rsid w:val="005E4DCA"/>
    <w:rsid w:val="005E4F05"/>
    <w:rsid w:val="005E4F8C"/>
    <w:rsid w:val="005E57BD"/>
    <w:rsid w:val="005E5B60"/>
    <w:rsid w:val="005E696F"/>
    <w:rsid w:val="005E7845"/>
    <w:rsid w:val="005E78C6"/>
    <w:rsid w:val="005E7A42"/>
    <w:rsid w:val="005E7AD8"/>
    <w:rsid w:val="005F1252"/>
    <w:rsid w:val="005F369D"/>
    <w:rsid w:val="005F3E75"/>
    <w:rsid w:val="005F5796"/>
    <w:rsid w:val="005F631A"/>
    <w:rsid w:val="005F6C20"/>
    <w:rsid w:val="005F71E6"/>
    <w:rsid w:val="0060013E"/>
    <w:rsid w:val="006002F4"/>
    <w:rsid w:val="00601600"/>
    <w:rsid w:val="00601629"/>
    <w:rsid w:val="006024CA"/>
    <w:rsid w:val="00602D0F"/>
    <w:rsid w:val="006037CD"/>
    <w:rsid w:val="00603FF6"/>
    <w:rsid w:val="006040D1"/>
    <w:rsid w:val="006048A1"/>
    <w:rsid w:val="00604D0E"/>
    <w:rsid w:val="006059A6"/>
    <w:rsid w:val="00605BD3"/>
    <w:rsid w:val="00606BF9"/>
    <w:rsid w:val="00607737"/>
    <w:rsid w:val="0061078B"/>
    <w:rsid w:val="006117B7"/>
    <w:rsid w:val="006121B3"/>
    <w:rsid w:val="0061424E"/>
    <w:rsid w:val="00614477"/>
    <w:rsid w:val="006144F0"/>
    <w:rsid w:val="00614C71"/>
    <w:rsid w:val="006155F5"/>
    <w:rsid w:val="00615C8D"/>
    <w:rsid w:val="0061616C"/>
    <w:rsid w:val="00617387"/>
    <w:rsid w:val="0061763D"/>
    <w:rsid w:val="00617C85"/>
    <w:rsid w:val="0062111C"/>
    <w:rsid w:val="00621998"/>
    <w:rsid w:val="00623013"/>
    <w:rsid w:val="00623A01"/>
    <w:rsid w:val="00624811"/>
    <w:rsid w:val="006252B1"/>
    <w:rsid w:val="0062576C"/>
    <w:rsid w:val="006258FF"/>
    <w:rsid w:val="00625B72"/>
    <w:rsid w:val="0062671D"/>
    <w:rsid w:val="00626B21"/>
    <w:rsid w:val="0062751B"/>
    <w:rsid w:val="00627CC2"/>
    <w:rsid w:val="00627EB9"/>
    <w:rsid w:val="00627F1E"/>
    <w:rsid w:val="00630284"/>
    <w:rsid w:val="0063057C"/>
    <w:rsid w:val="006309CE"/>
    <w:rsid w:val="00630E63"/>
    <w:rsid w:val="00630EEE"/>
    <w:rsid w:val="00631EEB"/>
    <w:rsid w:val="006320DD"/>
    <w:rsid w:val="0063285F"/>
    <w:rsid w:val="00632915"/>
    <w:rsid w:val="00633427"/>
    <w:rsid w:val="00634BCF"/>
    <w:rsid w:val="006359A4"/>
    <w:rsid w:val="00636525"/>
    <w:rsid w:val="00636673"/>
    <w:rsid w:val="00637421"/>
    <w:rsid w:val="0064180B"/>
    <w:rsid w:val="00641B88"/>
    <w:rsid w:val="00642A50"/>
    <w:rsid w:val="00644C72"/>
    <w:rsid w:val="00644CCC"/>
    <w:rsid w:val="00644FD0"/>
    <w:rsid w:val="00645447"/>
    <w:rsid w:val="00645B06"/>
    <w:rsid w:val="00645B54"/>
    <w:rsid w:val="00645FB9"/>
    <w:rsid w:val="00647A7D"/>
    <w:rsid w:val="00647AC4"/>
    <w:rsid w:val="00647EB9"/>
    <w:rsid w:val="00647EE1"/>
    <w:rsid w:val="0065011A"/>
    <w:rsid w:val="00650526"/>
    <w:rsid w:val="0065164B"/>
    <w:rsid w:val="00651D62"/>
    <w:rsid w:val="006520BD"/>
    <w:rsid w:val="00652A35"/>
    <w:rsid w:val="00655B5B"/>
    <w:rsid w:val="00656948"/>
    <w:rsid w:val="0066023F"/>
    <w:rsid w:val="00660BDA"/>
    <w:rsid w:val="0066292F"/>
    <w:rsid w:val="006629B8"/>
    <w:rsid w:val="00662D74"/>
    <w:rsid w:val="00663DA9"/>
    <w:rsid w:val="00664041"/>
    <w:rsid w:val="006647A2"/>
    <w:rsid w:val="0066608A"/>
    <w:rsid w:val="0067081A"/>
    <w:rsid w:val="00672CFD"/>
    <w:rsid w:val="006737F5"/>
    <w:rsid w:val="00673DF0"/>
    <w:rsid w:val="00673E45"/>
    <w:rsid w:val="00673F4E"/>
    <w:rsid w:val="00674DFF"/>
    <w:rsid w:val="00676C9D"/>
    <w:rsid w:val="00677C36"/>
    <w:rsid w:val="00677EA2"/>
    <w:rsid w:val="00680431"/>
    <w:rsid w:val="00680FF2"/>
    <w:rsid w:val="00682072"/>
    <w:rsid w:val="00682C39"/>
    <w:rsid w:val="00683067"/>
    <w:rsid w:val="00683584"/>
    <w:rsid w:val="00683C18"/>
    <w:rsid w:val="006854D9"/>
    <w:rsid w:val="00685EB7"/>
    <w:rsid w:val="00686381"/>
    <w:rsid w:val="006866D6"/>
    <w:rsid w:val="006866F0"/>
    <w:rsid w:val="00686A0D"/>
    <w:rsid w:val="00686F8D"/>
    <w:rsid w:val="00687F4B"/>
    <w:rsid w:val="00690476"/>
    <w:rsid w:val="006922EE"/>
    <w:rsid w:val="0069296D"/>
    <w:rsid w:val="00692CD8"/>
    <w:rsid w:val="006950AD"/>
    <w:rsid w:val="00695535"/>
    <w:rsid w:val="006965CD"/>
    <w:rsid w:val="00696DCA"/>
    <w:rsid w:val="0069772A"/>
    <w:rsid w:val="0069797D"/>
    <w:rsid w:val="00697BA5"/>
    <w:rsid w:val="006A0826"/>
    <w:rsid w:val="006A1149"/>
    <w:rsid w:val="006A1279"/>
    <w:rsid w:val="006A144C"/>
    <w:rsid w:val="006A1738"/>
    <w:rsid w:val="006A191D"/>
    <w:rsid w:val="006A1AD5"/>
    <w:rsid w:val="006A22D6"/>
    <w:rsid w:val="006A2ECC"/>
    <w:rsid w:val="006A3B0C"/>
    <w:rsid w:val="006A3B6A"/>
    <w:rsid w:val="006A3C15"/>
    <w:rsid w:val="006A3CF5"/>
    <w:rsid w:val="006A63E1"/>
    <w:rsid w:val="006A6D08"/>
    <w:rsid w:val="006A6F3A"/>
    <w:rsid w:val="006A7AF6"/>
    <w:rsid w:val="006A7B1D"/>
    <w:rsid w:val="006B092C"/>
    <w:rsid w:val="006B0B1F"/>
    <w:rsid w:val="006B1EE1"/>
    <w:rsid w:val="006B1FD0"/>
    <w:rsid w:val="006B3581"/>
    <w:rsid w:val="006B5AFE"/>
    <w:rsid w:val="006B5D3B"/>
    <w:rsid w:val="006B65E8"/>
    <w:rsid w:val="006B7DA1"/>
    <w:rsid w:val="006C04F0"/>
    <w:rsid w:val="006C13FF"/>
    <w:rsid w:val="006C1486"/>
    <w:rsid w:val="006C2258"/>
    <w:rsid w:val="006C5476"/>
    <w:rsid w:val="006C57CC"/>
    <w:rsid w:val="006C5AE1"/>
    <w:rsid w:val="006C6168"/>
    <w:rsid w:val="006C62BD"/>
    <w:rsid w:val="006C63F9"/>
    <w:rsid w:val="006C6459"/>
    <w:rsid w:val="006C7358"/>
    <w:rsid w:val="006D00A1"/>
    <w:rsid w:val="006D03C9"/>
    <w:rsid w:val="006D0616"/>
    <w:rsid w:val="006D069A"/>
    <w:rsid w:val="006D075E"/>
    <w:rsid w:val="006D15D3"/>
    <w:rsid w:val="006D28D4"/>
    <w:rsid w:val="006D2B4E"/>
    <w:rsid w:val="006D37F0"/>
    <w:rsid w:val="006D3B2E"/>
    <w:rsid w:val="006D3DAC"/>
    <w:rsid w:val="006D4172"/>
    <w:rsid w:val="006D4322"/>
    <w:rsid w:val="006D51F9"/>
    <w:rsid w:val="006D5271"/>
    <w:rsid w:val="006D5562"/>
    <w:rsid w:val="006D5C5C"/>
    <w:rsid w:val="006D65C2"/>
    <w:rsid w:val="006D6787"/>
    <w:rsid w:val="006D6D47"/>
    <w:rsid w:val="006D7999"/>
    <w:rsid w:val="006D7AB5"/>
    <w:rsid w:val="006D7ECA"/>
    <w:rsid w:val="006E026E"/>
    <w:rsid w:val="006E1644"/>
    <w:rsid w:val="006E2979"/>
    <w:rsid w:val="006E2EE9"/>
    <w:rsid w:val="006E2FCC"/>
    <w:rsid w:val="006E31E2"/>
    <w:rsid w:val="006E33FD"/>
    <w:rsid w:val="006E3712"/>
    <w:rsid w:val="006E3F7C"/>
    <w:rsid w:val="006E4658"/>
    <w:rsid w:val="006E4735"/>
    <w:rsid w:val="006E4D32"/>
    <w:rsid w:val="006E680E"/>
    <w:rsid w:val="006E7830"/>
    <w:rsid w:val="006F1B38"/>
    <w:rsid w:val="006F1DE3"/>
    <w:rsid w:val="006F3921"/>
    <w:rsid w:val="006F4282"/>
    <w:rsid w:val="006F5BE8"/>
    <w:rsid w:val="006F5BE9"/>
    <w:rsid w:val="006F5E93"/>
    <w:rsid w:val="006F6E9B"/>
    <w:rsid w:val="006F6FEA"/>
    <w:rsid w:val="006F7B9B"/>
    <w:rsid w:val="00700418"/>
    <w:rsid w:val="0070137B"/>
    <w:rsid w:val="007013F4"/>
    <w:rsid w:val="00701FF2"/>
    <w:rsid w:val="0070295F"/>
    <w:rsid w:val="0070320C"/>
    <w:rsid w:val="007033CC"/>
    <w:rsid w:val="00703C1A"/>
    <w:rsid w:val="007048C1"/>
    <w:rsid w:val="00704C54"/>
    <w:rsid w:val="00705744"/>
    <w:rsid w:val="0070692D"/>
    <w:rsid w:val="00706B72"/>
    <w:rsid w:val="007070DC"/>
    <w:rsid w:val="0071056E"/>
    <w:rsid w:val="00710B4E"/>
    <w:rsid w:val="007111BA"/>
    <w:rsid w:val="0071184D"/>
    <w:rsid w:val="00711889"/>
    <w:rsid w:val="00711D5D"/>
    <w:rsid w:val="00712070"/>
    <w:rsid w:val="007125C8"/>
    <w:rsid w:val="00713098"/>
    <w:rsid w:val="00713BB2"/>
    <w:rsid w:val="00713CB8"/>
    <w:rsid w:val="00713DDD"/>
    <w:rsid w:val="00713FB3"/>
    <w:rsid w:val="00714E78"/>
    <w:rsid w:val="00717383"/>
    <w:rsid w:val="0071745D"/>
    <w:rsid w:val="00722701"/>
    <w:rsid w:val="0072281A"/>
    <w:rsid w:val="007239A4"/>
    <w:rsid w:val="007241EB"/>
    <w:rsid w:val="00724A5A"/>
    <w:rsid w:val="00724F3A"/>
    <w:rsid w:val="00725D8F"/>
    <w:rsid w:val="00726142"/>
    <w:rsid w:val="007267B8"/>
    <w:rsid w:val="00727B12"/>
    <w:rsid w:val="007301E0"/>
    <w:rsid w:val="007318AD"/>
    <w:rsid w:val="00731968"/>
    <w:rsid w:val="00731F01"/>
    <w:rsid w:val="007326BB"/>
    <w:rsid w:val="00734412"/>
    <w:rsid w:val="0073487A"/>
    <w:rsid w:val="00734AED"/>
    <w:rsid w:val="00734EE7"/>
    <w:rsid w:val="007356D1"/>
    <w:rsid w:val="007360A2"/>
    <w:rsid w:val="0073626F"/>
    <w:rsid w:val="00736E9A"/>
    <w:rsid w:val="00737608"/>
    <w:rsid w:val="00741E24"/>
    <w:rsid w:val="00742762"/>
    <w:rsid w:val="007432D5"/>
    <w:rsid w:val="0074339A"/>
    <w:rsid w:val="00743927"/>
    <w:rsid w:val="0074394D"/>
    <w:rsid w:val="00743A88"/>
    <w:rsid w:val="00743D39"/>
    <w:rsid w:val="007463B8"/>
    <w:rsid w:val="00746BD5"/>
    <w:rsid w:val="007471F1"/>
    <w:rsid w:val="0074782D"/>
    <w:rsid w:val="00750564"/>
    <w:rsid w:val="0075057A"/>
    <w:rsid w:val="00750868"/>
    <w:rsid w:val="00752917"/>
    <w:rsid w:val="00752C18"/>
    <w:rsid w:val="00752D73"/>
    <w:rsid w:val="00753190"/>
    <w:rsid w:val="007534E0"/>
    <w:rsid w:val="007537F8"/>
    <w:rsid w:val="007543DE"/>
    <w:rsid w:val="007549FE"/>
    <w:rsid w:val="00755661"/>
    <w:rsid w:val="0075569A"/>
    <w:rsid w:val="007558C0"/>
    <w:rsid w:val="00755F56"/>
    <w:rsid w:val="00756349"/>
    <w:rsid w:val="007572DE"/>
    <w:rsid w:val="00757A1D"/>
    <w:rsid w:val="0076014F"/>
    <w:rsid w:val="00760DDE"/>
    <w:rsid w:val="00762E54"/>
    <w:rsid w:val="00762F53"/>
    <w:rsid w:val="007643B1"/>
    <w:rsid w:val="007650EC"/>
    <w:rsid w:val="00765276"/>
    <w:rsid w:val="00766D54"/>
    <w:rsid w:val="00771990"/>
    <w:rsid w:val="007722ED"/>
    <w:rsid w:val="00772438"/>
    <w:rsid w:val="0077268D"/>
    <w:rsid w:val="007730D0"/>
    <w:rsid w:val="00773638"/>
    <w:rsid w:val="00773A1B"/>
    <w:rsid w:val="00773B5F"/>
    <w:rsid w:val="0077457A"/>
    <w:rsid w:val="00775DE1"/>
    <w:rsid w:val="0077636D"/>
    <w:rsid w:val="00776876"/>
    <w:rsid w:val="00776D80"/>
    <w:rsid w:val="00777368"/>
    <w:rsid w:val="00777D3D"/>
    <w:rsid w:val="00780706"/>
    <w:rsid w:val="00783435"/>
    <w:rsid w:val="00783EC3"/>
    <w:rsid w:val="0078553F"/>
    <w:rsid w:val="00785DB9"/>
    <w:rsid w:val="00786A85"/>
    <w:rsid w:val="00786EFB"/>
    <w:rsid w:val="00786FB4"/>
    <w:rsid w:val="0078730F"/>
    <w:rsid w:val="007900BB"/>
    <w:rsid w:val="007900FC"/>
    <w:rsid w:val="00791B3F"/>
    <w:rsid w:val="00792373"/>
    <w:rsid w:val="00792FF6"/>
    <w:rsid w:val="00793383"/>
    <w:rsid w:val="00793E97"/>
    <w:rsid w:val="0079512C"/>
    <w:rsid w:val="007959AA"/>
    <w:rsid w:val="00797502"/>
    <w:rsid w:val="0079774E"/>
    <w:rsid w:val="00797B76"/>
    <w:rsid w:val="00797EAD"/>
    <w:rsid w:val="007A0CB7"/>
    <w:rsid w:val="007A1C85"/>
    <w:rsid w:val="007A2513"/>
    <w:rsid w:val="007A3298"/>
    <w:rsid w:val="007A3AD0"/>
    <w:rsid w:val="007A3E2E"/>
    <w:rsid w:val="007A4F27"/>
    <w:rsid w:val="007A562E"/>
    <w:rsid w:val="007A6375"/>
    <w:rsid w:val="007A64A0"/>
    <w:rsid w:val="007B0B17"/>
    <w:rsid w:val="007B0B68"/>
    <w:rsid w:val="007B1AC0"/>
    <w:rsid w:val="007B26FC"/>
    <w:rsid w:val="007B27AE"/>
    <w:rsid w:val="007B3705"/>
    <w:rsid w:val="007B3A6E"/>
    <w:rsid w:val="007B3B92"/>
    <w:rsid w:val="007B3E9E"/>
    <w:rsid w:val="007B57F4"/>
    <w:rsid w:val="007B5B76"/>
    <w:rsid w:val="007B78F6"/>
    <w:rsid w:val="007C00E5"/>
    <w:rsid w:val="007C0374"/>
    <w:rsid w:val="007C0911"/>
    <w:rsid w:val="007C0DCF"/>
    <w:rsid w:val="007C21B9"/>
    <w:rsid w:val="007C248D"/>
    <w:rsid w:val="007C36C9"/>
    <w:rsid w:val="007C37CA"/>
    <w:rsid w:val="007C45E8"/>
    <w:rsid w:val="007C460B"/>
    <w:rsid w:val="007C48E7"/>
    <w:rsid w:val="007C4BFF"/>
    <w:rsid w:val="007C55A1"/>
    <w:rsid w:val="007C61E7"/>
    <w:rsid w:val="007C654E"/>
    <w:rsid w:val="007C76BD"/>
    <w:rsid w:val="007C77CD"/>
    <w:rsid w:val="007C7931"/>
    <w:rsid w:val="007D110A"/>
    <w:rsid w:val="007D181B"/>
    <w:rsid w:val="007D18AA"/>
    <w:rsid w:val="007D1B5F"/>
    <w:rsid w:val="007D28D4"/>
    <w:rsid w:val="007D4293"/>
    <w:rsid w:val="007D4484"/>
    <w:rsid w:val="007D4779"/>
    <w:rsid w:val="007D4D62"/>
    <w:rsid w:val="007D5530"/>
    <w:rsid w:val="007D5D90"/>
    <w:rsid w:val="007D5DCD"/>
    <w:rsid w:val="007D658B"/>
    <w:rsid w:val="007D68C2"/>
    <w:rsid w:val="007D6A8B"/>
    <w:rsid w:val="007D6B42"/>
    <w:rsid w:val="007D71E5"/>
    <w:rsid w:val="007D7826"/>
    <w:rsid w:val="007E11C8"/>
    <w:rsid w:val="007E1271"/>
    <w:rsid w:val="007E1A5A"/>
    <w:rsid w:val="007E1F4F"/>
    <w:rsid w:val="007E2019"/>
    <w:rsid w:val="007E2116"/>
    <w:rsid w:val="007E2177"/>
    <w:rsid w:val="007E2398"/>
    <w:rsid w:val="007E2DE0"/>
    <w:rsid w:val="007E3676"/>
    <w:rsid w:val="007E43D4"/>
    <w:rsid w:val="007E79F2"/>
    <w:rsid w:val="007F000D"/>
    <w:rsid w:val="007F0326"/>
    <w:rsid w:val="007F0372"/>
    <w:rsid w:val="007F19B2"/>
    <w:rsid w:val="007F284C"/>
    <w:rsid w:val="007F3431"/>
    <w:rsid w:val="007F41C5"/>
    <w:rsid w:val="007F439A"/>
    <w:rsid w:val="007F45B7"/>
    <w:rsid w:val="007F4702"/>
    <w:rsid w:val="007F4F61"/>
    <w:rsid w:val="007F58CA"/>
    <w:rsid w:val="007F6869"/>
    <w:rsid w:val="007F7C75"/>
    <w:rsid w:val="008001F6"/>
    <w:rsid w:val="00803067"/>
    <w:rsid w:val="0080323A"/>
    <w:rsid w:val="00803EA2"/>
    <w:rsid w:val="008040C3"/>
    <w:rsid w:val="008041A2"/>
    <w:rsid w:val="00807D50"/>
    <w:rsid w:val="00807D72"/>
    <w:rsid w:val="0081003D"/>
    <w:rsid w:val="00810EB0"/>
    <w:rsid w:val="0081264B"/>
    <w:rsid w:val="00812933"/>
    <w:rsid w:val="0081368F"/>
    <w:rsid w:val="00813D01"/>
    <w:rsid w:val="008144AD"/>
    <w:rsid w:val="00814A69"/>
    <w:rsid w:val="008151EE"/>
    <w:rsid w:val="00815636"/>
    <w:rsid w:val="00815E05"/>
    <w:rsid w:val="00815FB4"/>
    <w:rsid w:val="00820230"/>
    <w:rsid w:val="00821C26"/>
    <w:rsid w:val="00821FDE"/>
    <w:rsid w:val="00823E24"/>
    <w:rsid w:val="00824743"/>
    <w:rsid w:val="00824876"/>
    <w:rsid w:val="00824A29"/>
    <w:rsid w:val="00824A99"/>
    <w:rsid w:val="00826452"/>
    <w:rsid w:val="008266C6"/>
    <w:rsid w:val="00826B0C"/>
    <w:rsid w:val="00827618"/>
    <w:rsid w:val="00827CBD"/>
    <w:rsid w:val="008303CF"/>
    <w:rsid w:val="00830ED8"/>
    <w:rsid w:val="008310AC"/>
    <w:rsid w:val="00831590"/>
    <w:rsid w:val="00831B8D"/>
    <w:rsid w:val="00831D55"/>
    <w:rsid w:val="0083215B"/>
    <w:rsid w:val="00832389"/>
    <w:rsid w:val="00833686"/>
    <w:rsid w:val="00834162"/>
    <w:rsid w:val="0083425E"/>
    <w:rsid w:val="00834369"/>
    <w:rsid w:val="0083521A"/>
    <w:rsid w:val="0083559D"/>
    <w:rsid w:val="00835638"/>
    <w:rsid w:val="00836424"/>
    <w:rsid w:val="008366AE"/>
    <w:rsid w:val="00836F72"/>
    <w:rsid w:val="008405D6"/>
    <w:rsid w:val="0084109A"/>
    <w:rsid w:val="00843D8F"/>
    <w:rsid w:val="00845575"/>
    <w:rsid w:val="0084676C"/>
    <w:rsid w:val="00847DE0"/>
    <w:rsid w:val="0085033F"/>
    <w:rsid w:val="00853F3D"/>
    <w:rsid w:val="008544D2"/>
    <w:rsid w:val="0085494D"/>
    <w:rsid w:val="00854B35"/>
    <w:rsid w:val="00855035"/>
    <w:rsid w:val="00855756"/>
    <w:rsid w:val="00855FA1"/>
    <w:rsid w:val="00856027"/>
    <w:rsid w:val="00856A9D"/>
    <w:rsid w:val="0085725C"/>
    <w:rsid w:val="008574D3"/>
    <w:rsid w:val="00857B0C"/>
    <w:rsid w:val="00857C61"/>
    <w:rsid w:val="00860185"/>
    <w:rsid w:val="008605CE"/>
    <w:rsid w:val="008609D1"/>
    <w:rsid w:val="00860F1F"/>
    <w:rsid w:val="00861096"/>
    <w:rsid w:val="00861750"/>
    <w:rsid w:val="00861EBE"/>
    <w:rsid w:val="00863C9B"/>
    <w:rsid w:val="00863DAE"/>
    <w:rsid w:val="008652F5"/>
    <w:rsid w:val="008655BC"/>
    <w:rsid w:val="00867BE8"/>
    <w:rsid w:val="00870110"/>
    <w:rsid w:val="0087016C"/>
    <w:rsid w:val="00871FFF"/>
    <w:rsid w:val="00873097"/>
    <w:rsid w:val="00873343"/>
    <w:rsid w:val="00873357"/>
    <w:rsid w:val="00873927"/>
    <w:rsid w:val="008748EB"/>
    <w:rsid w:val="00874BEE"/>
    <w:rsid w:val="00875E2D"/>
    <w:rsid w:val="00876117"/>
    <w:rsid w:val="00876AFC"/>
    <w:rsid w:val="00876CB0"/>
    <w:rsid w:val="00880719"/>
    <w:rsid w:val="0088141D"/>
    <w:rsid w:val="008815F7"/>
    <w:rsid w:val="00882B57"/>
    <w:rsid w:val="00882D9F"/>
    <w:rsid w:val="00884AA6"/>
    <w:rsid w:val="00885167"/>
    <w:rsid w:val="00885CD2"/>
    <w:rsid w:val="00885F8F"/>
    <w:rsid w:val="0088632D"/>
    <w:rsid w:val="008868BF"/>
    <w:rsid w:val="00887AC4"/>
    <w:rsid w:val="00887D80"/>
    <w:rsid w:val="00887DD3"/>
    <w:rsid w:val="00890674"/>
    <w:rsid w:val="00890B27"/>
    <w:rsid w:val="008910B2"/>
    <w:rsid w:val="00894CA6"/>
    <w:rsid w:val="00894FA1"/>
    <w:rsid w:val="00896779"/>
    <w:rsid w:val="00896E06"/>
    <w:rsid w:val="008A1B0F"/>
    <w:rsid w:val="008A1C61"/>
    <w:rsid w:val="008A1E76"/>
    <w:rsid w:val="008A2D1F"/>
    <w:rsid w:val="008A343D"/>
    <w:rsid w:val="008A3797"/>
    <w:rsid w:val="008A3ED2"/>
    <w:rsid w:val="008A6398"/>
    <w:rsid w:val="008A7FC9"/>
    <w:rsid w:val="008B0FFB"/>
    <w:rsid w:val="008B1080"/>
    <w:rsid w:val="008B14CF"/>
    <w:rsid w:val="008B17B8"/>
    <w:rsid w:val="008B1F95"/>
    <w:rsid w:val="008B2B8F"/>
    <w:rsid w:val="008B3A85"/>
    <w:rsid w:val="008B40AF"/>
    <w:rsid w:val="008B4898"/>
    <w:rsid w:val="008B4D45"/>
    <w:rsid w:val="008B65AC"/>
    <w:rsid w:val="008B720A"/>
    <w:rsid w:val="008B752D"/>
    <w:rsid w:val="008B7BC6"/>
    <w:rsid w:val="008C004C"/>
    <w:rsid w:val="008C0FEE"/>
    <w:rsid w:val="008C1714"/>
    <w:rsid w:val="008C1E9E"/>
    <w:rsid w:val="008C28F2"/>
    <w:rsid w:val="008C2F56"/>
    <w:rsid w:val="008C65D7"/>
    <w:rsid w:val="008C6D2C"/>
    <w:rsid w:val="008C6FD4"/>
    <w:rsid w:val="008C7F80"/>
    <w:rsid w:val="008C7FDF"/>
    <w:rsid w:val="008D0D37"/>
    <w:rsid w:val="008D13D3"/>
    <w:rsid w:val="008D13EB"/>
    <w:rsid w:val="008D16B5"/>
    <w:rsid w:val="008D1CF2"/>
    <w:rsid w:val="008D36D8"/>
    <w:rsid w:val="008D4AD0"/>
    <w:rsid w:val="008D4FC1"/>
    <w:rsid w:val="008D51BB"/>
    <w:rsid w:val="008D553D"/>
    <w:rsid w:val="008D6CC4"/>
    <w:rsid w:val="008D6F23"/>
    <w:rsid w:val="008D757E"/>
    <w:rsid w:val="008E0833"/>
    <w:rsid w:val="008E1086"/>
    <w:rsid w:val="008E1904"/>
    <w:rsid w:val="008E2821"/>
    <w:rsid w:val="008E2CC8"/>
    <w:rsid w:val="008E3626"/>
    <w:rsid w:val="008E5A69"/>
    <w:rsid w:val="008E6884"/>
    <w:rsid w:val="008E77AC"/>
    <w:rsid w:val="008F03CC"/>
    <w:rsid w:val="008F05FE"/>
    <w:rsid w:val="008F0998"/>
    <w:rsid w:val="008F0B93"/>
    <w:rsid w:val="008F0FE3"/>
    <w:rsid w:val="008F130F"/>
    <w:rsid w:val="008F27D9"/>
    <w:rsid w:val="008F29C6"/>
    <w:rsid w:val="008F45B2"/>
    <w:rsid w:val="008F5116"/>
    <w:rsid w:val="008F5476"/>
    <w:rsid w:val="008F69E9"/>
    <w:rsid w:val="008F754B"/>
    <w:rsid w:val="00900C6B"/>
    <w:rsid w:val="00901A5B"/>
    <w:rsid w:val="00902A1D"/>
    <w:rsid w:val="009044C4"/>
    <w:rsid w:val="00904739"/>
    <w:rsid w:val="0090634D"/>
    <w:rsid w:val="00906501"/>
    <w:rsid w:val="0090671F"/>
    <w:rsid w:val="009067CB"/>
    <w:rsid w:val="00906C42"/>
    <w:rsid w:val="00907DFC"/>
    <w:rsid w:val="00910511"/>
    <w:rsid w:val="0091051A"/>
    <w:rsid w:val="00910628"/>
    <w:rsid w:val="00910758"/>
    <w:rsid w:val="00911D16"/>
    <w:rsid w:val="0091314E"/>
    <w:rsid w:val="0091322B"/>
    <w:rsid w:val="0091323D"/>
    <w:rsid w:val="0091341A"/>
    <w:rsid w:val="00913B99"/>
    <w:rsid w:val="00915399"/>
    <w:rsid w:val="00915C39"/>
    <w:rsid w:val="00916408"/>
    <w:rsid w:val="0091642E"/>
    <w:rsid w:val="00917070"/>
    <w:rsid w:val="009174CF"/>
    <w:rsid w:val="00917B03"/>
    <w:rsid w:val="009206B3"/>
    <w:rsid w:val="009213A0"/>
    <w:rsid w:val="00922FD7"/>
    <w:rsid w:val="0092358A"/>
    <w:rsid w:val="00923CB2"/>
    <w:rsid w:val="00924114"/>
    <w:rsid w:val="00924350"/>
    <w:rsid w:val="00924562"/>
    <w:rsid w:val="009251E7"/>
    <w:rsid w:val="009258EE"/>
    <w:rsid w:val="00926036"/>
    <w:rsid w:val="00926C05"/>
    <w:rsid w:val="0092724C"/>
    <w:rsid w:val="00927B64"/>
    <w:rsid w:val="00927C97"/>
    <w:rsid w:val="009304C4"/>
    <w:rsid w:val="00930882"/>
    <w:rsid w:val="00931482"/>
    <w:rsid w:val="00931C79"/>
    <w:rsid w:val="009324A4"/>
    <w:rsid w:val="00932DA0"/>
    <w:rsid w:val="009346B6"/>
    <w:rsid w:val="0093508D"/>
    <w:rsid w:val="0093604B"/>
    <w:rsid w:val="00936AB9"/>
    <w:rsid w:val="00936D3B"/>
    <w:rsid w:val="00940CBD"/>
    <w:rsid w:val="00941FC4"/>
    <w:rsid w:val="009421B0"/>
    <w:rsid w:val="00942A8F"/>
    <w:rsid w:val="00942B09"/>
    <w:rsid w:val="00943049"/>
    <w:rsid w:val="0094382E"/>
    <w:rsid w:val="00943B03"/>
    <w:rsid w:val="00944A25"/>
    <w:rsid w:val="009456DD"/>
    <w:rsid w:val="0094579A"/>
    <w:rsid w:val="00946525"/>
    <w:rsid w:val="00946E2B"/>
    <w:rsid w:val="00947201"/>
    <w:rsid w:val="009500C4"/>
    <w:rsid w:val="009508B3"/>
    <w:rsid w:val="009519CE"/>
    <w:rsid w:val="0095208D"/>
    <w:rsid w:val="00952574"/>
    <w:rsid w:val="00953CF8"/>
    <w:rsid w:val="009550DC"/>
    <w:rsid w:val="0095515B"/>
    <w:rsid w:val="00955244"/>
    <w:rsid w:val="00955929"/>
    <w:rsid w:val="00955B91"/>
    <w:rsid w:val="00956001"/>
    <w:rsid w:val="00956597"/>
    <w:rsid w:val="009569D3"/>
    <w:rsid w:val="00956BAD"/>
    <w:rsid w:val="00957768"/>
    <w:rsid w:val="00957CA6"/>
    <w:rsid w:val="00960C07"/>
    <w:rsid w:val="00961DB1"/>
    <w:rsid w:val="0096391E"/>
    <w:rsid w:val="00964FEF"/>
    <w:rsid w:val="00965582"/>
    <w:rsid w:val="009661C8"/>
    <w:rsid w:val="009667DC"/>
    <w:rsid w:val="00966BC7"/>
    <w:rsid w:val="00967851"/>
    <w:rsid w:val="0096792A"/>
    <w:rsid w:val="00967FD1"/>
    <w:rsid w:val="009707F5"/>
    <w:rsid w:val="00971500"/>
    <w:rsid w:val="00972FE6"/>
    <w:rsid w:val="009731CE"/>
    <w:rsid w:val="00973962"/>
    <w:rsid w:val="0097529A"/>
    <w:rsid w:val="00975861"/>
    <w:rsid w:val="009766EB"/>
    <w:rsid w:val="00976AF6"/>
    <w:rsid w:val="009774DA"/>
    <w:rsid w:val="00977F7E"/>
    <w:rsid w:val="00980833"/>
    <w:rsid w:val="00981511"/>
    <w:rsid w:val="0098168A"/>
    <w:rsid w:val="009827E8"/>
    <w:rsid w:val="00982963"/>
    <w:rsid w:val="00982E00"/>
    <w:rsid w:val="0098328E"/>
    <w:rsid w:val="00983A2C"/>
    <w:rsid w:val="00984316"/>
    <w:rsid w:val="00984B17"/>
    <w:rsid w:val="00984E4F"/>
    <w:rsid w:val="00986DAD"/>
    <w:rsid w:val="00987F71"/>
    <w:rsid w:val="00991F19"/>
    <w:rsid w:val="009926E5"/>
    <w:rsid w:val="00992CA4"/>
    <w:rsid w:val="00992DC1"/>
    <w:rsid w:val="00993BC2"/>
    <w:rsid w:val="00993CE5"/>
    <w:rsid w:val="009951B6"/>
    <w:rsid w:val="00995C8F"/>
    <w:rsid w:val="009963EB"/>
    <w:rsid w:val="009965C5"/>
    <w:rsid w:val="00996924"/>
    <w:rsid w:val="009A0819"/>
    <w:rsid w:val="009A17D5"/>
    <w:rsid w:val="009A190D"/>
    <w:rsid w:val="009A2253"/>
    <w:rsid w:val="009A274A"/>
    <w:rsid w:val="009A2A76"/>
    <w:rsid w:val="009A4D4A"/>
    <w:rsid w:val="009A4F61"/>
    <w:rsid w:val="009A636D"/>
    <w:rsid w:val="009A6495"/>
    <w:rsid w:val="009A6725"/>
    <w:rsid w:val="009A76D5"/>
    <w:rsid w:val="009A790A"/>
    <w:rsid w:val="009A7E71"/>
    <w:rsid w:val="009B0246"/>
    <w:rsid w:val="009B0265"/>
    <w:rsid w:val="009B026F"/>
    <w:rsid w:val="009B119F"/>
    <w:rsid w:val="009B154A"/>
    <w:rsid w:val="009B2C01"/>
    <w:rsid w:val="009B3B22"/>
    <w:rsid w:val="009B4DB5"/>
    <w:rsid w:val="009B5C5B"/>
    <w:rsid w:val="009B613F"/>
    <w:rsid w:val="009B66B1"/>
    <w:rsid w:val="009B746F"/>
    <w:rsid w:val="009B78F5"/>
    <w:rsid w:val="009C05C8"/>
    <w:rsid w:val="009C157D"/>
    <w:rsid w:val="009C1DA9"/>
    <w:rsid w:val="009C1EC0"/>
    <w:rsid w:val="009C4606"/>
    <w:rsid w:val="009C5F98"/>
    <w:rsid w:val="009C7C75"/>
    <w:rsid w:val="009D1B5A"/>
    <w:rsid w:val="009D2534"/>
    <w:rsid w:val="009D2DCB"/>
    <w:rsid w:val="009D43F1"/>
    <w:rsid w:val="009D4615"/>
    <w:rsid w:val="009D5965"/>
    <w:rsid w:val="009D67DB"/>
    <w:rsid w:val="009D6808"/>
    <w:rsid w:val="009D6CC2"/>
    <w:rsid w:val="009D6D06"/>
    <w:rsid w:val="009D7BA5"/>
    <w:rsid w:val="009E00D6"/>
    <w:rsid w:val="009E06C2"/>
    <w:rsid w:val="009E098A"/>
    <w:rsid w:val="009E0B90"/>
    <w:rsid w:val="009E2488"/>
    <w:rsid w:val="009E40F5"/>
    <w:rsid w:val="009E4476"/>
    <w:rsid w:val="009E458A"/>
    <w:rsid w:val="009E45CD"/>
    <w:rsid w:val="009E47D9"/>
    <w:rsid w:val="009E6384"/>
    <w:rsid w:val="009E648E"/>
    <w:rsid w:val="009E7A8B"/>
    <w:rsid w:val="009E7D8E"/>
    <w:rsid w:val="009F01DC"/>
    <w:rsid w:val="009F1F3F"/>
    <w:rsid w:val="009F2724"/>
    <w:rsid w:val="009F3805"/>
    <w:rsid w:val="009F3A45"/>
    <w:rsid w:val="009F438A"/>
    <w:rsid w:val="009F43E1"/>
    <w:rsid w:val="009F481F"/>
    <w:rsid w:val="009F4937"/>
    <w:rsid w:val="009F5EC1"/>
    <w:rsid w:val="009F6270"/>
    <w:rsid w:val="009F65E6"/>
    <w:rsid w:val="009F683B"/>
    <w:rsid w:val="009F78C3"/>
    <w:rsid w:val="00A0086C"/>
    <w:rsid w:val="00A00A89"/>
    <w:rsid w:val="00A01C8D"/>
    <w:rsid w:val="00A023E9"/>
    <w:rsid w:val="00A02428"/>
    <w:rsid w:val="00A02E41"/>
    <w:rsid w:val="00A03CDA"/>
    <w:rsid w:val="00A0417A"/>
    <w:rsid w:val="00A044E9"/>
    <w:rsid w:val="00A052FD"/>
    <w:rsid w:val="00A0546D"/>
    <w:rsid w:val="00A058D6"/>
    <w:rsid w:val="00A0590B"/>
    <w:rsid w:val="00A063AA"/>
    <w:rsid w:val="00A0685A"/>
    <w:rsid w:val="00A107C4"/>
    <w:rsid w:val="00A108E5"/>
    <w:rsid w:val="00A10ECA"/>
    <w:rsid w:val="00A1195C"/>
    <w:rsid w:val="00A122DF"/>
    <w:rsid w:val="00A1255B"/>
    <w:rsid w:val="00A13E3A"/>
    <w:rsid w:val="00A1496B"/>
    <w:rsid w:val="00A14C06"/>
    <w:rsid w:val="00A15A9B"/>
    <w:rsid w:val="00A15DD4"/>
    <w:rsid w:val="00A166B2"/>
    <w:rsid w:val="00A16D6A"/>
    <w:rsid w:val="00A171E9"/>
    <w:rsid w:val="00A1781F"/>
    <w:rsid w:val="00A20660"/>
    <w:rsid w:val="00A23153"/>
    <w:rsid w:val="00A2447A"/>
    <w:rsid w:val="00A248ED"/>
    <w:rsid w:val="00A255BA"/>
    <w:rsid w:val="00A25FA1"/>
    <w:rsid w:val="00A2675C"/>
    <w:rsid w:val="00A27C6F"/>
    <w:rsid w:val="00A302B6"/>
    <w:rsid w:val="00A31117"/>
    <w:rsid w:val="00A31A77"/>
    <w:rsid w:val="00A32056"/>
    <w:rsid w:val="00A3212F"/>
    <w:rsid w:val="00A33736"/>
    <w:rsid w:val="00A33D5E"/>
    <w:rsid w:val="00A33DAD"/>
    <w:rsid w:val="00A3467A"/>
    <w:rsid w:val="00A347E3"/>
    <w:rsid w:val="00A34826"/>
    <w:rsid w:val="00A36415"/>
    <w:rsid w:val="00A40323"/>
    <w:rsid w:val="00A403AC"/>
    <w:rsid w:val="00A41A78"/>
    <w:rsid w:val="00A42DC1"/>
    <w:rsid w:val="00A443C0"/>
    <w:rsid w:val="00A468C5"/>
    <w:rsid w:val="00A4755C"/>
    <w:rsid w:val="00A47F50"/>
    <w:rsid w:val="00A502DC"/>
    <w:rsid w:val="00A504A2"/>
    <w:rsid w:val="00A50642"/>
    <w:rsid w:val="00A50AD5"/>
    <w:rsid w:val="00A513E0"/>
    <w:rsid w:val="00A52312"/>
    <w:rsid w:val="00A526F0"/>
    <w:rsid w:val="00A52CE7"/>
    <w:rsid w:val="00A5328D"/>
    <w:rsid w:val="00A534FC"/>
    <w:rsid w:val="00A53691"/>
    <w:rsid w:val="00A5374D"/>
    <w:rsid w:val="00A54E9F"/>
    <w:rsid w:val="00A55DFA"/>
    <w:rsid w:val="00A55EF3"/>
    <w:rsid w:val="00A56D85"/>
    <w:rsid w:val="00A62283"/>
    <w:rsid w:val="00A62F61"/>
    <w:rsid w:val="00A6406A"/>
    <w:rsid w:val="00A64C85"/>
    <w:rsid w:val="00A6577D"/>
    <w:rsid w:val="00A65D43"/>
    <w:rsid w:val="00A65E3B"/>
    <w:rsid w:val="00A665FF"/>
    <w:rsid w:val="00A674FE"/>
    <w:rsid w:val="00A67676"/>
    <w:rsid w:val="00A707FA"/>
    <w:rsid w:val="00A70DDA"/>
    <w:rsid w:val="00A7116F"/>
    <w:rsid w:val="00A71194"/>
    <w:rsid w:val="00A711A9"/>
    <w:rsid w:val="00A717DF"/>
    <w:rsid w:val="00A72688"/>
    <w:rsid w:val="00A72E33"/>
    <w:rsid w:val="00A73EE2"/>
    <w:rsid w:val="00A741F5"/>
    <w:rsid w:val="00A744CA"/>
    <w:rsid w:val="00A74FAE"/>
    <w:rsid w:val="00A753FE"/>
    <w:rsid w:val="00A758EB"/>
    <w:rsid w:val="00A75917"/>
    <w:rsid w:val="00A766D4"/>
    <w:rsid w:val="00A76822"/>
    <w:rsid w:val="00A76BCF"/>
    <w:rsid w:val="00A77925"/>
    <w:rsid w:val="00A808CE"/>
    <w:rsid w:val="00A80949"/>
    <w:rsid w:val="00A8103D"/>
    <w:rsid w:val="00A81B4C"/>
    <w:rsid w:val="00A82958"/>
    <w:rsid w:val="00A8362B"/>
    <w:rsid w:val="00A83990"/>
    <w:rsid w:val="00A83C18"/>
    <w:rsid w:val="00A84084"/>
    <w:rsid w:val="00A8573C"/>
    <w:rsid w:val="00A85A69"/>
    <w:rsid w:val="00A879BC"/>
    <w:rsid w:val="00A87D48"/>
    <w:rsid w:val="00A916B0"/>
    <w:rsid w:val="00A91DA0"/>
    <w:rsid w:val="00A924E3"/>
    <w:rsid w:val="00A92C19"/>
    <w:rsid w:val="00A92E6C"/>
    <w:rsid w:val="00A94377"/>
    <w:rsid w:val="00A9562D"/>
    <w:rsid w:val="00A95CD2"/>
    <w:rsid w:val="00A9678F"/>
    <w:rsid w:val="00A96A78"/>
    <w:rsid w:val="00A97B5E"/>
    <w:rsid w:val="00AA1592"/>
    <w:rsid w:val="00AA2B6E"/>
    <w:rsid w:val="00AA3A27"/>
    <w:rsid w:val="00AA5016"/>
    <w:rsid w:val="00AA5EDD"/>
    <w:rsid w:val="00AA7C0D"/>
    <w:rsid w:val="00AB2C28"/>
    <w:rsid w:val="00AB333F"/>
    <w:rsid w:val="00AB360C"/>
    <w:rsid w:val="00AB398A"/>
    <w:rsid w:val="00AB3F5E"/>
    <w:rsid w:val="00AB48C6"/>
    <w:rsid w:val="00AB529C"/>
    <w:rsid w:val="00AB5EF9"/>
    <w:rsid w:val="00AB6526"/>
    <w:rsid w:val="00AB7DD9"/>
    <w:rsid w:val="00AC06A5"/>
    <w:rsid w:val="00AC07A2"/>
    <w:rsid w:val="00AC15DC"/>
    <w:rsid w:val="00AC1976"/>
    <w:rsid w:val="00AC2411"/>
    <w:rsid w:val="00AC2ED7"/>
    <w:rsid w:val="00AC39D0"/>
    <w:rsid w:val="00AC4FC3"/>
    <w:rsid w:val="00AC751C"/>
    <w:rsid w:val="00AC7530"/>
    <w:rsid w:val="00AC7C51"/>
    <w:rsid w:val="00AC7F5C"/>
    <w:rsid w:val="00AD0BB9"/>
    <w:rsid w:val="00AD219B"/>
    <w:rsid w:val="00AD2F74"/>
    <w:rsid w:val="00AD30F8"/>
    <w:rsid w:val="00AD3879"/>
    <w:rsid w:val="00AD3F76"/>
    <w:rsid w:val="00AD4EAC"/>
    <w:rsid w:val="00AD4FEC"/>
    <w:rsid w:val="00AD5FCF"/>
    <w:rsid w:val="00AD66CB"/>
    <w:rsid w:val="00AD672E"/>
    <w:rsid w:val="00AD69BD"/>
    <w:rsid w:val="00AD723E"/>
    <w:rsid w:val="00AD7969"/>
    <w:rsid w:val="00AE0E3D"/>
    <w:rsid w:val="00AE0E9B"/>
    <w:rsid w:val="00AE0EC9"/>
    <w:rsid w:val="00AE1093"/>
    <w:rsid w:val="00AE1BEC"/>
    <w:rsid w:val="00AE1FC6"/>
    <w:rsid w:val="00AE2404"/>
    <w:rsid w:val="00AE2D2E"/>
    <w:rsid w:val="00AE3190"/>
    <w:rsid w:val="00AE5EFC"/>
    <w:rsid w:val="00AE6780"/>
    <w:rsid w:val="00AE6EE8"/>
    <w:rsid w:val="00AE70B4"/>
    <w:rsid w:val="00AE71D4"/>
    <w:rsid w:val="00AE745A"/>
    <w:rsid w:val="00AE7587"/>
    <w:rsid w:val="00AF21E8"/>
    <w:rsid w:val="00AF2CF8"/>
    <w:rsid w:val="00AF367B"/>
    <w:rsid w:val="00AF3E47"/>
    <w:rsid w:val="00AF3E93"/>
    <w:rsid w:val="00AF4269"/>
    <w:rsid w:val="00AF5859"/>
    <w:rsid w:val="00AF5914"/>
    <w:rsid w:val="00AF59A3"/>
    <w:rsid w:val="00AF5E7F"/>
    <w:rsid w:val="00AF6F8A"/>
    <w:rsid w:val="00AF7056"/>
    <w:rsid w:val="00AF7165"/>
    <w:rsid w:val="00AF75FB"/>
    <w:rsid w:val="00B0102F"/>
    <w:rsid w:val="00B01101"/>
    <w:rsid w:val="00B0189F"/>
    <w:rsid w:val="00B02A09"/>
    <w:rsid w:val="00B033C1"/>
    <w:rsid w:val="00B03960"/>
    <w:rsid w:val="00B04C25"/>
    <w:rsid w:val="00B0518D"/>
    <w:rsid w:val="00B052B9"/>
    <w:rsid w:val="00B05977"/>
    <w:rsid w:val="00B05D21"/>
    <w:rsid w:val="00B05F5F"/>
    <w:rsid w:val="00B06898"/>
    <w:rsid w:val="00B07D61"/>
    <w:rsid w:val="00B07ECC"/>
    <w:rsid w:val="00B10014"/>
    <w:rsid w:val="00B10B33"/>
    <w:rsid w:val="00B11192"/>
    <w:rsid w:val="00B111A3"/>
    <w:rsid w:val="00B114B7"/>
    <w:rsid w:val="00B11946"/>
    <w:rsid w:val="00B11AAC"/>
    <w:rsid w:val="00B11FB5"/>
    <w:rsid w:val="00B12FE5"/>
    <w:rsid w:val="00B130E7"/>
    <w:rsid w:val="00B13D7E"/>
    <w:rsid w:val="00B14C00"/>
    <w:rsid w:val="00B1686A"/>
    <w:rsid w:val="00B1696D"/>
    <w:rsid w:val="00B16F6B"/>
    <w:rsid w:val="00B171DF"/>
    <w:rsid w:val="00B21052"/>
    <w:rsid w:val="00B21D59"/>
    <w:rsid w:val="00B2236B"/>
    <w:rsid w:val="00B2295B"/>
    <w:rsid w:val="00B233A5"/>
    <w:rsid w:val="00B23647"/>
    <w:rsid w:val="00B23822"/>
    <w:rsid w:val="00B23C24"/>
    <w:rsid w:val="00B24735"/>
    <w:rsid w:val="00B249B0"/>
    <w:rsid w:val="00B2631D"/>
    <w:rsid w:val="00B27149"/>
    <w:rsid w:val="00B27178"/>
    <w:rsid w:val="00B2753F"/>
    <w:rsid w:val="00B27CA8"/>
    <w:rsid w:val="00B27E85"/>
    <w:rsid w:val="00B30109"/>
    <w:rsid w:val="00B32971"/>
    <w:rsid w:val="00B3374F"/>
    <w:rsid w:val="00B344DF"/>
    <w:rsid w:val="00B345DA"/>
    <w:rsid w:val="00B34B2D"/>
    <w:rsid w:val="00B35077"/>
    <w:rsid w:val="00B361A9"/>
    <w:rsid w:val="00B3662E"/>
    <w:rsid w:val="00B366A9"/>
    <w:rsid w:val="00B3739E"/>
    <w:rsid w:val="00B376C4"/>
    <w:rsid w:val="00B40994"/>
    <w:rsid w:val="00B4172A"/>
    <w:rsid w:val="00B419C9"/>
    <w:rsid w:val="00B41CB8"/>
    <w:rsid w:val="00B41DB4"/>
    <w:rsid w:val="00B42B0C"/>
    <w:rsid w:val="00B433F8"/>
    <w:rsid w:val="00B43F3D"/>
    <w:rsid w:val="00B449D5"/>
    <w:rsid w:val="00B44F9C"/>
    <w:rsid w:val="00B46261"/>
    <w:rsid w:val="00B46310"/>
    <w:rsid w:val="00B478B5"/>
    <w:rsid w:val="00B47F1D"/>
    <w:rsid w:val="00B51308"/>
    <w:rsid w:val="00B51626"/>
    <w:rsid w:val="00B51F95"/>
    <w:rsid w:val="00B526B5"/>
    <w:rsid w:val="00B534E6"/>
    <w:rsid w:val="00B54F93"/>
    <w:rsid w:val="00B550FD"/>
    <w:rsid w:val="00B56483"/>
    <w:rsid w:val="00B56A2F"/>
    <w:rsid w:val="00B5739A"/>
    <w:rsid w:val="00B57448"/>
    <w:rsid w:val="00B5790F"/>
    <w:rsid w:val="00B57DC8"/>
    <w:rsid w:val="00B57FC2"/>
    <w:rsid w:val="00B57FEA"/>
    <w:rsid w:val="00B620AB"/>
    <w:rsid w:val="00B6284E"/>
    <w:rsid w:val="00B62C69"/>
    <w:rsid w:val="00B63152"/>
    <w:rsid w:val="00B63803"/>
    <w:rsid w:val="00B639DF"/>
    <w:rsid w:val="00B655D9"/>
    <w:rsid w:val="00B65919"/>
    <w:rsid w:val="00B660E6"/>
    <w:rsid w:val="00B662F0"/>
    <w:rsid w:val="00B70078"/>
    <w:rsid w:val="00B70D4B"/>
    <w:rsid w:val="00B71815"/>
    <w:rsid w:val="00B71A7C"/>
    <w:rsid w:val="00B72178"/>
    <w:rsid w:val="00B72C8F"/>
    <w:rsid w:val="00B72D5F"/>
    <w:rsid w:val="00B733AA"/>
    <w:rsid w:val="00B736CB"/>
    <w:rsid w:val="00B73A61"/>
    <w:rsid w:val="00B75B1F"/>
    <w:rsid w:val="00B7606B"/>
    <w:rsid w:val="00B76942"/>
    <w:rsid w:val="00B77195"/>
    <w:rsid w:val="00B774DE"/>
    <w:rsid w:val="00B77BE0"/>
    <w:rsid w:val="00B77C53"/>
    <w:rsid w:val="00B80B6D"/>
    <w:rsid w:val="00B810F5"/>
    <w:rsid w:val="00B815CF"/>
    <w:rsid w:val="00B82118"/>
    <w:rsid w:val="00B828E3"/>
    <w:rsid w:val="00B8337F"/>
    <w:rsid w:val="00B835CB"/>
    <w:rsid w:val="00B83A20"/>
    <w:rsid w:val="00B841F0"/>
    <w:rsid w:val="00B84890"/>
    <w:rsid w:val="00B84DC6"/>
    <w:rsid w:val="00B86514"/>
    <w:rsid w:val="00B86A43"/>
    <w:rsid w:val="00B86AA2"/>
    <w:rsid w:val="00B871F7"/>
    <w:rsid w:val="00B87621"/>
    <w:rsid w:val="00B9096B"/>
    <w:rsid w:val="00B91501"/>
    <w:rsid w:val="00B91B77"/>
    <w:rsid w:val="00B923C8"/>
    <w:rsid w:val="00B92728"/>
    <w:rsid w:val="00B95672"/>
    <w:rsid w:val="00B958B3"/>
    <w:rsid w:val="00B95F68"/>
    <w:rsid w:val="00B96584"/>
    <w:rsid w:val="00B96C65"/>
    <w:rsid w:val="00B9754A"/>
    <w:rsid w:val="00B9761A"/>
    <w:rsid w:val="00BA1271"/>
    <w:rsid w:val="00BA13AB"/>
    <w:rsid w:val="00BA16E8"/>
    <w:rsid w:val="00BA1FB3"/>
    <w:rsid w:val="00BA2F40"/>
    <w:rsid w:val="00BA5EA4"/>
    <w:rsid w:val="00BA6440"/>
    <w:rsid w:val="00BA7592"/>
    <w:rsid w:val="00BA79D1"/>
    <w:rsid w:val="00BA7EF4"/>
    <w:rsid w:val="00BB159F"/>
    <w:rsid w:val="00BB1ED3"/>
    <w:rsid w:val="00BB21A2"/>
    <w:rsid w:val="00BB25AA"/>
    <w:rsid w:val="00BB267C"/>
    <w:rsid w:val="00BB2C7D"/>
    <w:rsid w:val="00BB40C3"/>
    <w:rsid w:val="00BB497C"/>
    <w:rsid w:val="00BB4F40"/>
    <w:rsid w:val="00BB57D3"/>
    <w:rsid w:val="00BB6995"/>
    <w:rsid w:val="00BB7215"/>
    <w:rsid w:val="00BB7F2C"/>
    <w:rsid w:val="00BC2DB3"/>
    <w:rsid w:val="00BC3C8F"/>
    <w:rsid w:val="00BC4EF2"/>
    <w:rsid w:val="00BC58AC"/>
    <w:rsid w:val="00BC6938"/>
    <w:rsid w:val="00BC706F"/>
    <w:rsid w:val="00BC74A8"/>
    <w:rsid w:val="00BC7D8D"/>
    <w:rsid w:val="00BD0755"/>
    <w:rsid w:val="00BD09E5"/>
    <w:rsid w:val="00BD185C"/>
    <w:rsid w:val="00BD1B46"/>
    <w:rsid w:val="00BD2535"/>
    <w:rsid w:val="00BD2A03"/>
    <w:rsid w:val="00BD339D"/>
    <w:rsid w:val="00BD474C"/>
    <w:rsid w:val="00BD485F"/>
    <w:rsid w:val="00BD49DF"/>
    <w:rsid w:val="00BD5E70"/>
    <w:rsid w:val="00BD611C"/>
    <w:rsid w:val="00BD6184"/>
    <w:rsid w:val="00BD6A28"/>
    <w:rsid w:val="00BD763F"/>
    <w:rsid w:val="00BE02CD"/>
    <w:rsid w:val="00BE0395"/>
    <w:rsid w:val="00BE0595"/>
    <w:rsid w:val="00BE0999"/>
    <w:rsid w:val="00BE17F7"/>
    <w:rsid w:val="00BE2029"/>
    <w:rsid w:val="00BE2D7B"/>
    <w:rsid w:val="00BE4515"/>
    <w:rsid w:val="00BE4C48"/>
    <w:rsid w:val="00BE4C60"/>
    <w:rsid w:val="00BE4D30"/>
    <w:rsid w:val="00BE6A3D"/>
    <w:rsid w:val="00BE6AF2"/>
    <w:rsid w:val="00BE6CD4"/>
    <w:rsid w:val="00BE711C"/>
    <w:rsid w:val="00BE71FA"/>
    <w:rsid w:val="00BE72F5"/>
    <w:rsid w:val="00BE7AF3"/>
    <w:rsid w:val="00BE7E52"/>
    <w:rsid w:val="00BF0F7D"/>
    <w:rsid w:val="00BF1582"/>
    <w:rsid w:val="00BF3440"/>
    <w:rsid w:val="00BF4C94"/>
    <w:rsid w:val="00BF4FD5"/>
    <w:rsid w:val="00BF5E40"/>
    <w:rsid w:val="00BF6D09"/>
    <w:rsid w:val="00BF7B45"/>
    <w:rsid w:val="00BF7EC8"/>
    <w:rsid w:val="00C003EB"/>
    <w:rsid w:val="00C00721"/>
    <w:rsid w:val="00C0140A"/>
    <w:rsid w:val="00C01724"/>
    <w:rsid w:val="00C01952"/>
    <w:rsid w:val="00C01CB6"/>
    <w:rsid w:val="00C02598"/>
    <w:rsid w:val="00C05546"/>
    <w:rsid w:val="00C05B17"/>
    <w:rsid w:val="00C0602A"/>
    <w:rsid w:val="00C06633"/>
    <w:rsid w:val="00C0676D"/>
    <w:rsid w:val="00C0699D"/>
    <w:rsid w:val="00C071C1"/>
    <w:rsid w:val="00C0783F"/>
    <w:rsid w:val="00C07D2B"/>
    <w:rsid w:val="00C07E88"/>
    <w:rsid w:val="00C103E7"/>
    <w:rsid w:val="00C10B9A"/>
    <w:rsid w:val="00C1105F"/>
    <w:rsid w:val="00C114C3"/>
    <w:rsid w:val="00C11797"/>
    <w:rsid w:val="00C117C2"/>
    <w:rsid w:val="00C120B8"/>
    <w:rsid w:val="00C12535"/>
    <w:rsid w:val="00C12C21"/>
    <w:rsid w:val="00C12F09"/>
    <w:rsid w:val="00C13047"/>
    <w:rsid w:val="00C13ADB"/>
    <w:rsid w:val="00C13B2A"/>
    <w:rsid w:val="00C13B65"/>
    <w:rsid w:val="00C1430C"/>
    <w:rsid w:val="00C15BD5"/>
    <w:rsid w:val="00C1641C"/>
    <w:rsid w:val="00C168EA"/>
    <w:rsid w:val="00C20299"/>
    <w:rsid w:val="00C20497"/>
    <w:rsid w:val="00C2112E"/>
    <w:rsid w:val="00C21F45"/>
    <w:rsid w:val="00C221DF"/>
    <w:rsid w:val="00C22619"/>
    <w:rsid w:val="00C22C31"/>
    <w:rsid w:val="00C22E24"/>
    <w:rsid w:val="00C23057"/>
    <w:rsid w:val="00C24C74"/>
    <w:rsid w:val="00C261E0"/>
    <w:rsid w:val="00C26864"/>
    <w:rsid w:val="00C276B3"/>
    <w:rsid w:val="00C307E2"/>
    <w:rsid w:val="00C30C58"/>
    <w:rsid w:val="00C30D4C"/>
    <w:rsid w:val="00C3145F"/>
    <w:rsid w:val="00C31DA5"/>
    <w:rsid w:val="00C32273"/>
    <w:rsid w:val="00C329E8"/>
    <w:rsid w:val="00C33B17"/>
    <w:rsid w:val="00C34932"/>
    <w:rsid w:val="00C355E6"/>
    <w:rsid w:val="00C35783"/>
    <w:rsid w:val="00C358F4"/>
    <w:rsid w:val="00C36CD4"/>
    <w:rsid w:val="00C36F6E"/>
    <w:rsid w:val="00C40068"/>
    <w:rsid w:val="00C40E38"/>
    <w:rsid w:val="00C40EC1"/>
    <w:rsid w:val="00C41168"/>
    <w:rsid w:val="00C42C69"/>
    <w:rsid w:val="00C43F08"/>
    <w:rsid w:val="00C441CB"/>
    <w:rsid w:val="00C44E01"/>
    <w:rsid w:val="00C44ECE"/>
    <w:rsid w:val="00C45660"/>
    <w:rsid w:val="00C45B62"/>
    <w:rsid w:val="00C46C93"/>
    <w:rsid w:val="00C46DCB"/>
    <w:rsid w:val="00C47963"/>
    <w:rsid w:val="00C50A69"/>
    <w:rsid w:val="00C51934"/>
    <w:rsid w:val="00C51B31"/>
    <w:rsid w:val="00C527A1"/>
    <w:rsid w:val="00C52B0D"/>
    <w:rsid w:val="00C53869"/>
    <w:rsid w:val="00C545DC"/>
    <w:rsid w:val="00C547C8"/>
    <w:rsid w:val="00C54B3C"/>
    <w:rsid w:val="00C54D1F"/>
    <w:rsid w:val="00C555DE"/>
    <w:rsid w:val="00C560BF"/>
    <w:rsid w:val="00C567CA"/>
    <w:rsid w:val="00C56B22"/>
    <w:rsid w:val="00C56E66"/>
    <w:rsid w:val="00C5713D"/>
    <w:rsid w:val="00C57627"/>
    <w:rsid w:val="00C6063B"/>
    <w:rsid w:val="00C60690"/>
    <w:rsid w:val="00C6077E"/>
    <w:rsid w:val="00C60A02"/>
    <w:rsid w:val="00C61B57"/>
    <w:rsid w:val="00C61C5C"/>
    <w:rsid w:val="00C61DF2"/>
    <w:rsid w:val="00C61F32"/>
    <w:rsid w:val="00C61FBE"/>
    <w:rsid w:val="00C62A51"/>
    <w:rsid w:val="00C633D0"/>
    <w:rsid w:val="00C638EE"/>
    <w:rsid w:val="00C662C2"/>
    <w:rsid w:val="00C67049"/>
    <w:rsid w:val="00C67886"/>
    <w:rsid w:val="00C67C29"/>
    <w:rsid w:val="00C67C87"/>
    <w:rsid w:val="00C67CE8"/>
    <w:rsid w:val="00C70341"/>
    <w:rsid w:val="00C70468"/>
    <w:rsid w:val="00C70D6D"/>
    <w:rsid w:val="00C714C4"/>
    <w:rsid w:val="00C71FB1"/>
    <w:rsid w:val="00C72D06"/>
    <w:rsid w:val="00C7331A"/>
    <w:rsid w:val="00C73EC8"/>
    <w:rsid w:val="00C746B5"/>
    <w:rsid w:val="00C747A9"/>
    <w:rsid w:val="00C747C2"/>
    <w:rsid w:val="00C7506D"/>
    <w:rsid w:val="00C75E47"/>
    <w:rsid w:val="00C76151"/>
    <w:rsid w:val="00C76BE9"/>
    <w:rsid w:val="00C77AAA"/>
    <w:rsid w:val="00C77FBD"/>
    <w:rsid w:val="00C8048D"/>
    <w:rsid w:val="00C80E24"/>
    <w:rsid w:val="00C82503"/>
    <w:rsid w:val="00C82E9C"/>
    <w:rsid w:val="00C8352D"/>
    <w:rsid w:val="00C847BB"/>
    <w:rsid w:val="00C85119"/>
    <w:rsid w:val="00C85FD8"/>
    <w:rsid w:val="00C901DF"/>
    <w:rsid w:val="00C90BFB"/>
    <w:rsid w:val="00C91A6E"/>
    <w:rsid w:val="00C92032"/>
    <w:rsid w:val="00C92095"/>
    <w:rsid w:val="00C930CF"/>
    <w:rsid w:val="00C9342A"/>
    <w:rsid w:val="00C93CF0"/>
    <w:rsid w:val="00C93EDF"/>
    <w:rsid w:val="00C94878"/>
    <w:rsid w:val="00C948F5"/>
    <w:rsid w:val="00C963D5"/>
    <w:rsid w:val="00C96FF8"/>
    <w:rsid w:val="00C973D4"/>
    <w:rsid w:val="00C97DDC"/>
    <w:rsid w:val="00CA08A0"/>
    <w:rsid w:val="00CA1029"/>
    <w:rsid w:val="00CA1C66"/>
    <w:rsid w:val="00CA2166"/>
    <w:rsid w:val="00CA4A15"/>
    <w:rsid w:val="00CA7557"/>
    <w:rsid w:val="00CA7837"/>
    <w:rsid w:val="00CB02C3"/>
    <w:rsid w:val="00CB0A80"/>
    <w:rsid w:val="00CB1EA2"/>
    <w:rsid w:val="00CB2BFA"/>
    <w:rsid w:val="00CB35DF"/>
    <w:rsid w:val="00CB38BD"/>
    <w:rsid w:val="00CB39BF"/>
    <w:rsid w:val="00CB419A"/>
    <w:rsid w:val="00CB576C"/>
    <w:rsid w:val="00CB5825"/>
    <w:rsid w:val="00CB6810"/>
    <w:rsid w:val="00CB6DDC"/>
    <w:rsid w:val="00CB7A7E"/>
    <w:rsid w:val="00CB7FFB"/>
    <w:rsid w:val="00CC0D44"/>
    <w:rsid w:val="00CC176F"/>
    <w:rsid w:val="00CC2D68"/>
    <w:rsid w:val="00CC3738"/>
    <w:rsid w:val="00CC430E"/>
    <w:rsid w:val="00CC4351"/>
    <w:rsid w:val="00CC4BA9"/>
    <w:rsid w:val="00CC53FF"/>
    <w:rsid w:val="00CC5F6F"/>
    <w:rsid w:val="00CC6866"/>
    <w:rsid w:val="00CC6BD4"/>
    <w:rsid w:val="00CC78A7"/>
    <w:rsid w:val="00CD3543"/>
    <w:rsid w:val="00CD457F"/>
    <w:rsid w:val="00CD4F0A"/>
    <w:rsid w:val="00CD56A2"/>
    <w:rsid w:val="00CD58F8"/>
    <w:rsid w:val="00CD712D"/>
    <w:rsid w:val="00CD7E9C"/>
    <w:rsid w:val="00CE015C"/>
    <w:rsid w:val="00CE0CC2"/>
    <w:rsid w:val="00CE0D84"/>
    <w:rsid w:val="00CE266A"/>
    <w:rsid w:val="00CE3553"/>
    <w:rsid w:val="00CE36C2"/>
    <w:rsid w:val="00CE3D23"/>
    <w:rsid w:val="00CE3DEA"/>
    <w:rsid w:val="00CE41C9"/>
    <w:rsid w:val="00CE43A4"/>
    <w:rsid w:val="00CE5105"/>
    <w:rsid w:val="00CE5975"/>
    <w:rsid w:val="00CE69E7"/>
    <w:rsid w:val="00CE6DA1"/>
    <w:rsid w:val="00CE6FCE"/>
    <w:rsid w:val="00CE7343"/>
    <w:rsid w:val="00CE748E"/>
    <w:rsid w:val="00CE752A"/>
    <w:rsid w:val="00CE7B80"/>
    <w:rsid w:val="00CF035B"/>
    <w:rsid w:val="00CF0FC7"/>
    <w:rsid w:val="00CF2754"/>
    <w:rsid w:val="00CF2DAA"/>
    <w:rsid w:val="00CF32F0"/>
    <w:rsid w:val="00CF4522"/>
    <w:rsid w:val="00CF587C"/>
    <w:rsid w:val="00CF6F93"/>
    <w:rsid w:val="00D004D6"/>
    <w:rsid w:val="00D0076C"/>
    <w:rsid w:val="00D00EAE"/>
    <w:rsid w:val="00D01BCE"/>
    <w:rsid w:val="00D025C1"/>
    <w:rsid w:val="00D027EC"/>
    <w:rsid w:val="00D02F03"/>
    <w:rsid w:val="00D047B7"/>
    <w:rsid w:val="00D047DC"/>
    <w:rsid w:val="00D04B97"/>
    <w:rsid w:val="00D04BDB"/>
    <w:rsid w:val="00D04CAB"/>
    <w:rsid w:val="00D0635E"/>
    <w:rsid w:val="00D0660F"/>
    <w:rsid w:val="00D06A96"/>
    <w:rsid w:val="00D106A8"/>
    <w:rsid w:val="00D11E87"/>
    <w:rsid w:val="00D12134"/>
    <w:rsid w:val="00D121E5"/>
    <w:rsid w:val="00D12C93"/>
    <w:rsid w:val="00D12D90"/>
    <w:rsid w:val="00D1321E"/>
    <w:rsid w:val="00D1326C"/>
    <w:rsid w:val="00D13541"/>
    <w:rsid w:val="00D13B1B"/>
    <w:rsid w:val="00D13BDF"/>
    <w:rsid w:val="00D14A44"/>
    <w:rsid w:val="00D157B7"/>
    <w:rsid w:val="00D15B73"/>
    <w:rsid w:val="00D20B71"/>
    <w:rsid w:val="00D20EFB"/>
    <w:rsid w:val="00D21330"/>
    <w:rsid w:val="00D21A35"/>
    <w:rsid w:val="00D21AE2"/>
    <w:rsid w:val="00D21D05"/>
    <w:rsid w:val="00D22115"/>
    <w:rsid w:val="00D22475"/>
    <w:rsid w:val="00D23242"/>
    <w:rsid w:val="00D23DAE"/>
    <w:rsid w:val="00D23F9A"/>
    <w:rsid w:val="00D25205"/>
    <w:rsid w:val="00D25883"/>
    <w:rsid w:val="00D25A04"/>
    <w:rsid w:val="00D25D96"/>
    <w:rsid w:val="00D26D6B"/>
    <w:rsid w:val="00D279AE"/>
    <w:rsid w:val="00D27B20"/>
    <w:rsid w:val="00D31EE4"/>
    <w:rsid w:val="00D32266"/>
    <w:rsid w:val="00D32B5B"/>
    <w:rsid w:val="00D32D9E"/>
    <w:rsid w:val="00D33C8B"/>
    <w:rsid w:val="00D34A42"/>
    <w:rsid w:val="00D34BD5"/>
    <w:rsid w:val="00D34D29"/>
    <w:rsid w:val="00D357F7"/>
    <w:rsid w:val="00D3599E"/>
    <w:rsid w:val="00D362CE"/>
    <w:rsid w:val="00D36356"/>
    <w:rsid w:val="00D3727D"/>
    <w:rsid w:val="00D375E8"/>
    <w:rsid w:val="00D377C2"/>
    <w:rsid w:val="00D40088"/>
    <w:rsid w:val="00D40704"/>
    <w:rsid w:val="00D40E91"/>
    <w:rsid w:val="00D42BA3"/>
    <w:rsid w:val="00D43106"/>
    <w:rsid w:val="00D4324D"/>
    <w:rsid w:val="00D43541"/>
    <w:rsid w:val="00D4409A"/>
    <w:rsid w:val="00D44149"/>
    <w:rsid w:val="00D4455A"/>
    <w:rsid w:val="00D4527C"/>
    <w:rsid w:val="00D46748"/>
    <w:rsid w:val="00D46F15"/>
    <w:rsid w:val="00D47240"/>
    <w:rsid w:val="00D4735B"/>
    <w:rsid w:val="00D47BAB"/>
    <w:rsid w:val="00D47FE9"/>
    <w:rsid w:val="00D50860"/>
    <w:rsid w:val="00D51830"/>
    <w:rsid w:val="00D51D07"/>
    <w:rsid w:val="00D5200E"/>
    <w:rsid w:val="00D52094"/>
    <w:rsid w:val="00D5254E"/>
    <w:rsid w:val="00D526A9"/>
    <w:rsid w:val="00D53CBB"/>
    <w:rsid w:val="00D56167"/>
    <w:rsid w:val="00D5620F"/>
    <w:rsid w:val="00D57759"/>
    <w:rsid w:val="00D579C0"/>
    <w:rsid w:val="00D60359"/>
    <w:rsid w:val="00D60417"/>
    <w:rsid w:val="00D60691"/>
    <w:rsid w:val="00D613F3"/>
    <w:rsid w:val="00D634E5"/>
    <w:rsid w:val="00D6353A"/>
    <w:rsid w:val="00D63842"/>
    <w:rsid w:val="00D645E6"/>
    <w:rsid w:val="00D6498C"/>
    <w:rsid w:val="00D65417"/>
    <w:rsid w:val="00D659DF"/>
    <w:rsid w:val="00D65D30"/>
    <w:rsid w:val="00D660D2"/>
    <w:rsid w:val="00D66997"/>
    <w:rsid w:val="00D66EDF"/>
    <w:rsid w:val="00D671AD"/>
    <w:rsid w:val="00D6753B"/>
    <w:rsid w:val="00D70064"/>
    <w:rsid w:val="00D717A3"/>
    <w:rsid w:val="00D717CD"/>
    <w:rsid w:val="00D720CE"/>
    <w:rsid w:val="00D73177"/>
    <w:rsid w:val="00D73524"/>
    <w:rsid w:val="00D74BAB"/>
    <w:rsid w:val="00D75183"/>
    <w:rsid w:val="00D76BD3"/>
    <w:rsid w:val="00D76D1E"/>
    <w:rsid w:val="00D7743B"/>
    <w:rsid w:val="00D77D97"/>
    <w:rsid w:val="00D80C2E"/>
    <w:rsid w:val="00D81032"/>
    <w:rsid w:val="00D81274"/>
    <w:rsid w:val="00D81A07"/>
    <w:rsid w:val="00D8368B"/>
    <w:rsid w:val="00D83B85"/>
    <w:rsid w:val="00D84A66"/>
    <w:rsid w:val="00D84B3B"/>
    <w:rsid w:val="00D85459"/>
    <w:rsid w:val="00D85BCC"/>
    <w:rsid w:val="00D864E8"/>
    <w:rsid w:val="00D86FFF"/>
    <w:rsid w:val="00D8726F"/>
    <w:rsid w:val="00D872D7"/>
    <w:rsid w:val="00D8748C"/>
    <w:rsid w:val="00D8749C"/>
    <w:rsid w:val="00D902A4"/>
    <w:rsid w:val="00D907D9"/>
    <w:rsid w:val="00D912DA"/>
    <w:rsid w:val="00D91532"/>
    <w:rsid w:val="00D916ED"/>
    <w:rsid w:val="00D919E0"/>
    <w:rsid w:val="00D91F02"/>
    <w:rsid w:val="00D92114"/>
    <w:rsid w:val="00D9240D"/>
    <w:rsid w:val="00D929DA"/>
    <w:rsid w:val="00D92B54"/>
    <w:rsid w:val="00D92D4F"/>
    <w:rsid w:val="00D93327"/>
    <w:rsid w:val="00D9351D"/>
    <w:rsid w:val="00D94A33"/>
    <w:rsid w:val="00DA01DC"/>
    <w:rsid w:val="00DA08B9"/>
    <w:rsid w:val="00DA1340"/>
    <w:rsid w:val="00DA1500"/>
    <w:rsid w:val="00DA1CF6"/>
    <w:rsid w:val="00DA1DBD"/>
    <w:rsid w:val="00DA2DC9"/>
    <w:rsid w:val="00DA5134"/>
    <w:rsid w:val="00DA52DE"/>
    <w:rsid w:val="00DA542D"/>
    <w:rsid w:val="00DA5613"/>
    <w:rsid w:val="00DA56C2"/>
    <w:rsid w:val="00DA56FF"/>
    <w:rsid w:val="00DA57D3"/>
    <w:rsid w:val="00DA59D5"/>
    <w:rsid w:val="00DA5A77"/>
    <w:rsid w:val="00DA6320"/>
    <w:rsid w:val="00DA7515"/>
    <w:rsid w:val="00DA7E3E"/>
    <w:rsid w:val="00DB0736"/>
    <w:rsid w:val="00DB1B6B"/>
    <w:rsid w:val="00DB1E24"/>
    <w:rsid w:val="00DB2770"/>
    <w:rsid w:val="00DB3401"/>
    <w:rsid w:val="00DB3A81"/>
    <w:rsid w:val="00DB3DF6"/>
    <w:rsid w:val="00DB47DE"/>
    <w:rsid w:val="00DB4E18"/>
    <w:rsid w:val="00DB5F58"/>
    <w:rsid w:val="00DB65A5"/>
    <w:rsid w:val="00DB7794"/>
    <w:rsid w:val="00DC0DF3"/>
    <w:rsid w:val="00DC2036"/>
    <w:rsid w:val="00DC37B0"/>
    <w:rsid w:val="00DC3844"/>
    <w:rsid w:val="00DC4006"/>
    <w:rsid w:val="00DC431D"/>
    <w:rsid w:val="00DC4B40"/>
    <w:rsid w:val="00DC4EDD"/>
    <w:rsid w:val="00DC51EA"/>
    <w:rsid w:val="00DC5256"/>
    <w:rsid w:val="00DC5B41"/>
    <w:rsid w:val="00DC6AA1"/>
    <w:rsid w:val="00DD008F"/>
    <w:rsid w:val="00DD037C"/>
    <w:rsid w:val="00DD16AF"/>
    <w:rsid w:val="00DD1B6E"/>
    <w:rsid w:val="00DD1C11"/>
    <w:rsid w:val="00DD1D96"/>
    <w:rsid w:val="00DD203A"/>
    <w:rsid w:val="00DD2707"/>
    <w:rsid w:val="00DD28E4"/>
    <w:rsid w:val="00DD3665"/>
    <w:rsid w:val="00DD36A1"/>
    <w:rsid w:val="00DD374E"/>
    <w:rsid w:val="00DD44D3"/>
    <w:rsid w:val="00DD48CD"/>
    <w:rsid w:val="00DD6914"/>
    <w:rsid w:val="00DD7A5E"/>
    <w:rsid w:val="00DE0402"/>
    <w:rsid w:val="00DE08DC"/>
    <w:rsid w:val="00DE0C26"/>
    <w:rsid w:val="00DE15E0"/>
    <w:rsid w:val="00DE1EF3"/>
    <w:rsid w:val="00DE2995"/>
    <w:rsid w:val="00DE2C60"/>
    <w:rsid w:val="00DE30DA"/>
    <w:rsid w:val="00DE33BD"/>
    <w:rsid w:val="00DE3C40"/>
    <w:rsid w:val="00DE4FA1"/>
    <w:rsid w:val="00DE5216"/>
    <w:rsid w:val="00DE5B9B"/>
    <w:rsid w:val="00DE6029"/>
    <w:rsid w:val="00DE6068"/>
    <w:rsid w:val="00DE619E"/>
    <w:rsid w:val="00DE6328"/>
    <w:rsid w:val="00DE65C0"/>
    <w:rsid w:val="00DE6D55"/>
    <w:rsid w:val="00DE7BB8"/>
    <w:rsid w:val="00DE7C12"/>
    <w:rsid w:val="00DE7E9B"/>
    <w:rsid w:val="00DF0197"/>
    <w:rsid w:val="00DF059D"/>
    <w:rsid w:val="00DF12A5"/>
    <w:rsid w:val="00DF14E4"/>
    <w:rsid w:val="00DF1B1C"/>
    <w:rsid w:val="00DF2DEE"/>
    <w:rsid w:val="00DF37D2"/>
    <w:rsid w:val="00DF3F9D"/>
    <w:rsid w:val="00DF42A9"/>
    <w:rsid w:val="00DF5BE2"/>
    <w:rsid w:val="00DF67B8"/>
    <w:rsid w:val="00DF7045"/>
    <w:rsid w:val="00DF7533"/>
    <w:rsid w:val="00DF765B"/>
    <w:rsid w:val="00E000D1"/>
    <w:rsid w:val="00E00175"/>
    <w:rsid w:val="00E00C12"/>
    <w:rsid w:val="00E00F00"/>
    <w:rsid w:val="00E017C0"/>
    <w:rsid w:val="00E02118"/>
    <w:rsid w:val="00E02BAE"/>
    <w:rsid w:val="00E0413C"/>
    <w:rsid w:val="00E06530"/>
    <w:rsid w:val="00E06B43"/>
    <w:rsid w:val="00E06C29"/>
    <w:rsid w:val="00E07B25"/>
    <w:rsid w:val="00E1025C"/>
    <w:rsid w:val="00E10565"/>
    <w:rsid w:val="00E1068A"/>
    <w:rsid w:val="00E10E19"/>
    <w:rsid w:val="00E11198"/>
    <w:rsid w:val="00E11866"/>
    <w:rsid w:val="00E12386"/>
    <w:rsid w:val="00E1263D"/>
    <w:rsid w:val="00E1270F"/>
    <w:rsid w:val="00E12D5A"/>
    <w:rsid w:val="00E135CA"/>
    <w:rsid w:val="00E15393"/>
    <w:rsid w:val="00E16111"/>
    <w:rsid w:val="00E1648E"/>
    <w:rsid w:val="00E166E2"/>
    <w:rsid w:val="00E167FE"/>
    <w:rsid w:val="00E16CB0"/>
    <w:rsid w:val="00E17718"/>
    <w:rsid w:val="00E17872"/>
    <w:rsid w:val="00E20694"/>
    <w:rsid w:val="00E20841"/>
    <w:rsid w:val="00E21042"/>
    <w:rsid w:val="00E214DC"/>
    <w:rsid w:val="00E21672"/>
    <w:rsid w:val="00E22111"/>
    <w:rsid w:val="00E22427"/>
    <w:rsid w:val="00E227DE"/>
    <w:rsid w:val="00E22999"/>
    <w:rsid w:val="00E22AE4"/>
    <w:rsid w:val="00E235C9"/>
    <w:rsid w:val="00E235D2"/>
    <w:rsid w:val="00E23E80"/>
    <w:rsid w:val="00E23E9A"/>
    <w:rsid w:val="00E2406B"/>
    <w:rsid w:val="00E24548"/>
    <w:rsid w:val="00E2461C"/>
    <w:rsid w:val="00E25017"/>
    <w:rsid w:val="00E25A95"/>
    <w:rsid w:val="00E26128"/>
    <w:rsid w:val="00E265C2"/>
    <w:rsid w:val="00E26E1B"/>
    <w:rsid w:val="00E2711D"/>
    <w:rsid w:val="00E2728F"/>
    <w:rsid w:val="00E30147"/>
    <w:rsid w:val="00E302F6"/>
    <w:rsid w:val="00E30A1D"/>
    <w:rsid w:val="00E32849"/>
    <w:rsid w:val="00E3285A"/>
    <w:rsid w:val="00E331EC"/>
    <w:rsid w:val="00E3359E"/>
    <w:rsid w:val="00E336BA"/>
    <w:rsid w:val="00E351F3"/>
    <w:rsid w:val="00E36437"/>
    <w:rsid w:val="00E3794A"/>
    <w:rsid w:val="00E404D2"/>
    <w:rsid w:val="00E412EC"/>
    <w:rsid w:val="00E41D05"/>
    <w:rsid w:val="00E4241D"/>
    <w:rsid w:val="00E42C2B"/>
    <w:rsid w:val="00E43459"/>
    <w:rsid w:val="00E435FA"/>
    <w:rsid w:val="00E442E0"/>
    <w:rsid w:val="00E44E51"/>
    <w:rsid w:val="00E457B1"/>
    <w:rsid w:val="00E4660A"/>
    <w:rsid w:val="00E4668A"/>
    <w:rsid w:val="00E47609"/>
    <w:rsid w:val="00E47791"/>
    <w:rsid w:val="00E47BB0"/>
    <w:rsid w:val="00E50512"/>
    <w:rsid w:val="00E50634"/>
    <w:rsid w:val="00E506C4"/>
    <w:rsid w:val="00E519FE"/>
    <w:rsid w:val="00E51F73"/>
    <w:rsid w:val="00E52CE2"/>
    <w:rsid w:val="00E5366E"/>
    <w:rsid w:val="00E53BFF"/>
    <w:rsid w:val="00E53C73"/>
    <w:rsid w:val="00E53CDB"/>
    <w:rsid w:val="00E55002"/>
    <w:rsid w:val="00E55087"/>
    <w:rsid w:val="00E55A09"/>
    <w:rsid w:val="00E55A4E"/>
    <w:rsid w:val="00E55A6E"/>
    <w:rsid w:val="00E5635E"/>
    <w:rsid w:val="00E57132"/>
    <w:rsid w:val="00E57281"/>
    <w:rsid w:val="00E6016A"/>
    <w:rsid w:val="00E608D2"/>
    <w:rsid w:val="00E609D2"/>
    <w:rsid w:val="00E616C9"/>
    <w:rsid w:val="00E6234A"/>
    <w:rsid w:val="00E649E8"/>
    <w:rsid w:val="00E64C65"/>
    <w:rsid w:val="00E65AC0"/>
    <w:rsid w:val="00E671FD"/>
    <w:rsid w:val="00E7008F"/>
    <w:rsid w:val="00E701D9"/>
    <w:rsid w:val="00E70A4F"/>
    <w:rsid w:val="00E70D72"/>
    <w:rsid w:val="00E717DF"/>
    <w:rsid w:val="00E723C4"/>
    <w:rsid w:val="00E72934"/>
    <w:rsid w:val="00E72A61"/>
    <w:rsid w:val="00E73A37"/>
    <w:rsid w:val="00E73D9E"/>
    <w:rsid w:val="00E741FD"/>
    <w:rsid w:val="00E745B2"/>
    <w:rsid w:val="00E7495C"/>
    <w:rsid w:val="00E7496D"/>
    <w:rsid w:val="00E7627F"/>
    <w:rsid w:val="00E80055"/>
    <w:rsid w:val="00E802FF"/>
    <w:rsid w:val="00E808EE"/>
    <w:rsid w:val="00E80964"/>
    <w:rsid w:val="00E80B82"/>
    <w:rsid w:val="00E81011"/>
    <w:rsid w:val="00E81085"/>
    <w:rsid w:val="00E81117"/>
    <w:rsid w:val="00E81216"/>
    <w:rsid w:val="00E81D40"/>
    <w:rsid w:val="00E81E61"/>
    <w:rsid w:val="00E82426"/>
    <w:rsid w:val="00E82487"/>
    <w:rsid w:val="00E82574"/>
    <w:rsid w:val="00E8282A"/>
    <w:rsid w:val="00E82F29"/>
    <w:rsid w:val="00E834CE"/>
    <w:rsid w:val="00E836DC"/>
    <w:rsid w:val="00E83739"/>
    <w:rsid w:val="00E83F4E"/>
    <w:rsid w:val="00E86940"/>
    <w:rsid w:val="00E86E2F"/>
    <w:rsid w:val="00E86E5D"/>
    <w:rsid w:val="00E907B2"/>
    <w:rsid w:val="00E92537"/>
    <w:rsid w:val="00E92A05"/>
    <w:rsid w:val="00E93191"/>
    <w:rsid w:val="00E931FA"/>
    <w:rsid w:val="00E941FF"/>
    <w:rsid w:val="00E943CC"/>
    <w:rsid w:val="00E9495D"/>
    <w:rsid w:val="00E96CEB"/>
    <w:rsid w:val="00E96F76"/>
    <w:rsid w:val="00EA06BE"/>
    <w:rsid w:val="00EA2324"/>
    <w:rsid w:val="00EA27D3"/>
    <w:rsid w:val="00EA2FFE"/>
    <w:rsid w:val="00EA395E"/>
    <w:rsid w:val="00EA3F0F"/>
    <w:rsid w:val="00EA4176"/>
    <w:rsid w:val="00EA6D01"/>
    <w:rsid w:val="00EA733C"/>
    <w:rsid w:val="00EB0302"/>
    <w:rsid w:val="00EB0975"/>
    <w:rsid w:val="00EB1804"/>
    <w:rsid w:val="00EB19B0"/>
    <w:rsid w:val="00EB4714"/>
    <w:rsid w:val="00EB4FF2"/>
    <w:rsid w:val="00EB5497"/>
    <w:rsid w:val="00EB67C5"/>
    <w:rsid w:val="00EB708F"/>
    <w:rsid w:val="00EB783C"/>
    <w:rsid w:val="00EB7F8E"/>
    <w:rsid w:val="00EC0176"/>
    <w:rsid w:val="00EC0F1C"/>
    <w:rsid w:val="00EC2DE2"/>
    <w:rsid w:val="00EC2EBA"/>
    <w:rsid w:val="00EC4A48"/>
    <w:rsid w:val="00EC4F7A"/>
    <w:rsid w:val="00EC584E"/>
    <w:rsid w:val="00EC5935"/>
    <w:rsid w:val="00EC64B7"/>
    <w:rsid w:val="00EC7506"/>
    <w:rsid w:val="00EC75D9"/>
    <w:rsid w:val="00ED00F5"/>
    <w:rsid w:val="00ED0A61"/>
    <w:rsid w:val="00ED0C67"/>
    <w:rsid w:val="00ED149F"/>
    <w:rsid w:val="00ED176D"/>
    <w:rsid w:val="00ED18AA"/>
    <w:rsid w:val="00ED1FFA"/>
    <w:rsid w:val="00ED2A78"/>
    <w:rsid w:val="00ED2EFA"/>
    <w:rsid w:val="00ED37C8"/>
    <w:rsid w:val="00ED3CC3"/>
    <w:rsid w:val="00ED4185"/>
    <w:rsid w:val="00ED4978"/>
    <w:rsid w:val="00ED5636"/>
    <w:rsid w:val="00ED69A2"/>
    <w:rsid w:val="00ED69E7"/>
    <w:rsid w:val="00ED6D9C"/>
    <w:rsid w:val="00ED6DE5"/>
    <w:rsid w:val="00ED7630"/>
    <w:rsid w:val="00EE023E"/>
    <w:rsid w:val="00EE0BD1"/>
    <w:rsid w:val="00EE271D"/>
    <w:rsid w:val="00EE2E4C"/>
    <w:rsid w:val="00EE32AE"/>
    <w:rsid w:val="00EE3C01"/>
    <w:rsid w:val="00EE40D1"/>
    <w:rsid w:val="00EE4351"/>
    <w:rsid w:val="00EE4E34"/>
    <w:rsid w:val="00EE4EE1"/>
    <w:rsid w:val="00EE620D"/>
    <w:rsid w:val="00EE6671"/>
    <w:rsid w:val="00EE67C0"/>
    <w:rsid w:val="00EE726A"/>
    <w:rsid w:val="00EE73EF"/>
    <w:rsid w:val="00EF0523"/>
    <w:rsid w:val="00EF0575"/>
    <w:rsid w:val="00EF16AA"/>
    <w:rsid w:val="00EF27DA"/>
    <w:rsid w:val="00EF3619"/>
    <w:rsid w:val="00EF3C0D"/>
    <w:rsid w:val="00EF5804"/>
    <w:rsid w:val="00EF6C85"/>
    <w:rsid w:val="00EF72CB"/>
    <w:rsid w:val="00EF7A04"/>
    <w:rsid w:val="00F02CDF"/>
    <w:rsid w:val="00F02FE6"/>
    <w:rsid w:val="00F03112"/>
    <w:rsid w:val="00F034CB"/>
    <w:rsid w:val="00F03574"/>
    <w:rsid w:val="00F046E0"/>
    <w:rsid w:val="00F0518E"/>
    <w:rsid w:val="00F05696"/>
    <w:rsid w:val="00F06C76"/>
    <w:rsid w:val="00F06EC1"/>
    <w:rsid w:val="00F0741A"/>
    <w:rsid w:val="00F10892"/>
    <w:rsid w:val="00F10DE2"/>
    <w:rsid w:val="00F114FC"/>
    <w:rsid w:val="00F11909"/>
    <w:rsid w:val="00F11EF3"/>
    <w:rsid w:val="00F11F11"/>
    <w:rsid w:val="00F12123"/>
    <w:rsid w:val="00F1247A"/>
    <w:rsid w:val="00F1249D"/>
    <w:rsid w:val="00F128E5"/>
    <w:rsid w:val="00F12B1F"/>
    <w:rsid w:val="00F1312B"/>
    <w:rsid w:val="00F1411A"/>
    <w:rsid w:val="00F1431D"/>
    <w:rsid w:val="00F15292"/>
    <w:rsid w:val="00F15462"/>
    <w:rsid w:val="00F1572C"/>
    <w:rsid w:val="00F159CD"/>
    <w:rsid w:val="00F15FE2"/>
    <w:rsid w:val="00F1625F"/>
    <w:rsid w:val="00F16741"/>
    <w:rsid w:val="00F1734E"/>
    <w:rsid w:val="00F21509"/>
    <w:rsid w:val="00F21D6C"/>
    <w:rsid w:val="00F21F93"/>
    <w:rsid w:val="00F2312B"/>
    <w:rsid w:val="00F234ED"/>
    <w:rsid w:val="00F24A25"/>
    <w:rsid w:val="00F24E38"/>
    <w:rsid w:val="00F25365"/>
    <w:rsid w:val="00F2574C"/>
    <w:rsid w:val="00F27A0B"/>
    <w:rsid w:val="00F27DE1"/>
    <w:rsid w:val="00F302BD"/>
    <w:rsid w:val="00F30E78"/>
    <w:rsid w:val="00F30F34"/>
    <w:rsid w:val="00F311DC"/>
    <w:rsid w:val="00F31B9C"/>
    <w:rsid w:val="00F32C11"/>
    <w:rsid w:val="00F33E35"/>
    <w:rsid w:val="00F35D60"/>
    <w:rsid w:val="00F35F1B"/>
    <w:rsid w:val="00F36277"/>
    <w:rsid w:val="00F3655E"/>
    <w:rsid w:val="00F374AB"/>
    <w:rsid w:val="00F3758A"/>
    <w:rsid w:val="00F3769B"/>
    <w:rsid w:val="00F37F59"/>
    <w:rsid w:val="00F40217"/>
    <w:rsid w:val="00F41042"/>
    <w:rsid w:val="00F417AF"/>
    <w:rsid w:val="00F42059"/>
    <w:rsid w:val="00F42918"/>
    <w:rsid w:val="00F42B10"/>
    <w:rsid w:val="00F43610"/>
    <w:rsid w:val="00F43989"/>
    <w:rsid w:val="00F44266"/>
    <w:rsid w:val="00F444B5"/>
    <w:rsid w:val="00F45073"/>
    <w:rsid w:val="00F46480"/>
    <w:rsid w:val="00F47308"/>
    <w:rsid w:val="00F47F7A"/>
    <w:rsid w:val="00F5016F"/>
    <w:rsid w:val="00F501C8"/>
    <w:rsid w:val="00F501EF"/>
    <w:rsid w:val="00F50B50"/>
    <w:rsid w:val="00F513D7"/>
    <w:rsid w:val="00F51B62"/>
    <w:rsid w:val="00F51C00"/>
    <w:rsid w:val="00F52923"/>
    <w:rsid w:val="00F52B16"/>
    <w:rsid w:val="00F53C7E"/>
    <w:rsid w:val="00F54201"/>
    <w:rsid w:val="00F54858"/>
    <w:rsid w:val="00F54F00"/>
    <w:rsid w:val="00F55820"/>
    <w:rsid w:val="00F55AD4"/>
    <w:rsid w:val="00F55E91"/>
    <w:rsid w:val="00F56B72"/>
    <w:rsid w:val="00F56C13"/>
    <w:rsid w:val="00F56F65"/>
    <w:rsid w:val="00F57B29"/>
    <w:rsid w:val="00F57F6D"/>
    <w:rsid w:val="00F6029A"/>
    <w:rsid w:val="00F607C5"/>
    <w:rsid w:val="00F61566"/>
    <w:rsid w:val="00F61CDB"/>
    <w:rsid w:val="00F62662"/>
    <w:rsid w:val="00F62ED7"/>
    <w:rsid w:val="00F63145"/>
    <w:rsid w:val="00F636A0"/>
    <w:rsid w:val="00F63F50"/>
    <w:rsid w:val="00F674D2"/>
    <w:rsid w:val="00F67A10"/>
    <w:rsid w:val="00F67AD1"/>
    <w:rsid w:val="00F70D2C"/>
    <w:rsid w:val="00F7139A"/>
    <w:rsid w:val="00F71DBE"/>
    <w:rsid w:val="00F72F2A"/>
    <w:rsid w:val="00F751EE"/>
    <w:rsid w:val="00F759BC"/>
    <w:rsid w:val="00F800BE"/>
    <w:rsid w:val="00F8028B"/>
    <w:rsid w:val="00F804DA"/>
    <w:rsid w:val="00F80DCD"/>
    <w:rsid w:val="00F80E8C"/>
    <w:rsid w:val="00F81C11"/>
    <w:rsid w:val="00F820B5"/>
    <w:rsid w:val="00F82A88"/>
    <w:rsid w:val="00F8338C"/>
    <w:rsid w:val="00F83D35"/>
    <w:rsid w:val="00F83FB3"/>
    <w:rsid w:val="00F8448C"/>
    <w:rsid w:val="00F8490E"/>
    <w:rsid w:val="00F8519A"/>
    <w:rsid w:val="00F8627B"/>
    <w:rsid w:val="00F86C3A"/>
    <w:rsid w:val="00F86D46"/>
    <w:rsid w:val="00F8771F"/>
    <w:rsid w:val="00F90190"/>
    <w:rsid w:val="00F919C0"/>
    <w:rsid w:val="00F920DD"/>
    <w:rsid w:val="00F922EF"/>
    <w:rsid w:val="00F93270"/>
    <w:rsid w:val="00F935AC"/>
    <w:rsid w:val="00F93A22"/>
    <w:rsid w:val="00F946E3"/>
    <w:rsid w:val="00F95A89"/>
    <w:rsid w:val="00F95D1A"/>
    <w:rsid w:val="00F96395"/>
    <w:rsid w:val="00F96CE1"/>
    <w:rsid w:val="00F97229"/>
    <w:rsid w:val="00F978F3"/>
    <w:rsid w:val="00FA2158"/>
    <w:rsid w:val="00FA37DA"/>
    <w:rsid w:val="00FA5122"/>
    <w:rsid w:val="00FA5520"/>
    <w:rsid w:val="00FA6850"/>
    <w:rsid w:val="00FA6CE1"/>
    <w:rsid w:val="00FA7102"/>
    <w:rsid w:val="00FA764B"/>
    <w:rsid w:val="00FA7813"/>
    <w:rsid w:val="00FB01AE"/>
    <w:rsid w:val="00FB103F"/>
    <w:rsid w:val="00FB1BC3"/>
    <w:rsid w:val="00FB2045"/>
    <w:rsid w:val="00FB2691"/>
    <w:rsid w:val="00FB2AA7"/>
    <w:rsid w:val="00FB3002"/>
    <w:rsid w:val="00FB4569"/>
    <w:rsid w:val="00FB4FEE"/>
    <w:rsid w:val="00FB561A"/>
    <w:rsid w:val="00FB5E17"/>
    <w:rsid w:val="00FB65B4"/>
    <w:rsid w:val="00FB798D"/>
    <w:rsid w:val="00FC0634"/>
    <w:rsid w:val="00FC1F3B"/>
    <w:rsid w:val="00FC269C"/>
    <w:rsid w:val="00FC3230"/>
    <w:rsid w:val="00FC33D5"/>
    <w:rsid w:val="00FC48A2"/>
    <w:rsid w:val="00FC4975"/>
    <w:rsid w:val="00FC4E46"/>
    <w:rsid w:val="00FC62E6"/>
    <w:rsid w:val="00FC63C6"/>
    <w:rsid w:val="00FC69E0"/>
    <w:rsid w:val="00FC7328"/>
    <w:rsid w:val="00FC738F"/>
    <w:rsid w:val="00FD02A1"/>
    <w:rsid w:val="00FD0504"/>
    <w:rsid w:val="00FD0B93"/>
    <w:rsid w:val="00FD1474"/>
    <w:rsid w:val="00FD1AF0"/>
    <w:rsid w:val="00FD2A1C"/>
    <w:rsid w:val="00FD446B"/>
    <w:rsid w:val="00FD4636"/>
    <w:rsid w:val="00FD4E1A"/>
    <w:rsid w:val="00FD5541"/>
    <w:rsid w:val="00FD6A07"/>
    <w:rsid w:val="00FD6DDF"/>
    <w:rsid w:val="00FE03D4"/>
    <w:rsid w:val="00FE1498"/>
    <w:rsid w:val="00FE2328"/>
    <w:rsid w:val="00FE330A"/>
    <w:rsid w:val="00FE3422"/>
    <w:rsid w:val="00FE3AC1"/>
    <w:rsid w:val="00FE3CDB"/>
    <w:rsid w:val="00FE4D5B"/>
    <w:rsid w:val="00FE54E5"/>
    <w:rsid w:val="00FE74AD"/>
    <w:rsid w:val="00FE7714"/>
    <w:rsid w:val="00FF0305"/>
    <w:rsid w:val="00FF056A"/>
    <w:rsid w:val="00FF1550"/>
    <w:rsid w:val="00FF2070"/>
    <w:rsid w:val="00FF296C"/>
    <w:rsid w:val="00FF4746"/>
    <w:rsid w:val="00FF4D1F"/>
    <w:rsid w:val="00FF6E1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o:shapelayout v:ext="edit">
      <o:idmap v:ext="edit" data="1"/>
    </o:shapelayout>
  </w:shapeDefaults>
  <w:decimalSymbol w:val="."/>
  <w:listSeparator w:val=","/>
  <w15:docId w15:val="{D5E4FBB0-CF3D-4EA3-87F9-E1F1D75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BE"/>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uiPriority w:val="99"/>
    <w:qFormat/>
    <w:rsid w:val="00AA1592"/>
    <w:pPr>
      <w:keepNext/>
      <w:pBdr>
        <w:right w:val="single" w:sz="4" w:space="1" w:color="auto"/>
      </w:pBdr>
      <w:shd w:val="clear" w:color="auto" w:fill="365F91" w:themeFill="accent1" w:themeFillShade="BF"/>
      <w:spacing w:before="240" w:after="240" w:line="360" w:lineRule="auto"/>
      <w:outlineLvl w:val="0"/>
    </w:pPr>
    <w:rPr>
      <w:rFonts w:cs="Arial"/>
      <w:b/>
      <w:bCs/>
      <w:noProof/>
      <w:color w:val="FFFFFF" w:themeColor="background1"/>
      <w:kern w:val="32"/>
      <w:sz w:val="28"/>
      <w:szCs w:val="28"/>
      <w:lang w:eastAsia="en-GB"/>
    </w:rPr>
  </w:style>
  <w:style w:type="paragraph" w:styleId="Heading2">
    <w:name w:val="heading 2"/>
    <w:basedOn w:val="Normal"/>
    <w:next w:val="Normal"/>
    <w:link w:val="Heading2Char"/>
    <w:qFormat/>
    <w:rsid w:val="009F3805"/>
    <w:pPr>
      <w:keepNext/>
      <w:numPr>
        <w:ilvl w:val="1"/>
        <w:numId w:val="1"/>
      </w:numPr>
      <w:spacing w:before="120" w:after="60"/>
      <w:outlineLvl w:val="1"/>
    </w:pPr>
    <w:rPr>
      <w:rFonts w:cs="Arial"/>
      <w:b/>
      <w:bCs/>
      <w:iCs/>
      <w:color w:val="365F91" w:themeColor="accent1" w:themeShade="BF"/>
      <w:sz w:val="28"/>
      <w:szCs w:val="28"/>
    </w:rPr>
  </w:style>
  <w:style w:type="paragraph" w:styleId="Heading3">
    <w:name w:val="heading 3"/>
    <w:basedOn w:val="Normal"/>
    <w:next w:val="Normal"/>
    <w:link w:val="Heading3Char"/>
    <w:uiPriority w:val="9"/>
    <w:qFormat/>
    <w:rsid w:val="00234ABE"/>
    <w:pPr>
      <w:keepNext/>
      <w:numPr>
        <w:ilvl w:val="2"/>
        <w:numId w:val="1"/>
      </w:numPr>
      <w:spacing w:before="240" w:after="60"/>
      <w:outlineLvl w:val="2"/>
    </w:pPr>
    <w:rPr>
      <w:rFonts w:cs="Arial"/>
      <w:b/>
      <w:bCs/>
      <w:color w:val="365F91" w:themeColor="accent1" w:themeShade="BF"/>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9F3805"/>
    <w:pPr>
      <w:keepNext/>
      <w:numPr>
        <w:ilvl w:val="3"/>
        <w:numId w:val="1"/>
      </w:numPr>
      <w:spacing w:before="120" w:after="60"/>
      <w:outlineLvl w:val="3"/>
    </w:pPr>
    <w:rPr>
      <w:b/>
      <w:bCs/>
      <w:color w:val="365F91" w:themeColor="accent1" w:themeShade="BF"/>
      <w:szCs w:val="28"/>
    </w:rPr>
  </w:style>
  <w:style w:type="paragraph" w:styleId="Heading5">
    <w:name w:val="heading 5"/>
    <w:basedOn w:val="Normal"/>
    <w:next w:val="Normal"/>
    <w:link w:val="Heading5Char"/>
    <w:uiPriority w:val="99"/>
    <w:qFormat/>
    <w:rsid w:val="00234AB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4AB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234AB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234AB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34AB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1592"/>
    <w:rPr>
      <w:rFonts w:ascii="Arial" w:eastAsia="Times New Roman" w:hAnsi="Arial" w:cs="Arial"/>
      <w:b/>
      <w:bCs/>
      <w:noProof/>
      <w:color w:val="FFFFFF" w:themeColor="background1"/>
      <w:kern w:val="32"/>
      <w:sz w:val="28"/>
      <w:szCs w:val="28"/>
      <w:shd w:val="clear" w:color="auto" w:fill="365F91" w:themeFill="accent1" w:themeFillShade="BF"/>
      <w:lang w:eastAsia="en-GB"/>
    </w:rPr>
  </w:style>
  <w:style w:type="character" w:customStyle="1" w:styleId="Heading2Char">
    <w:name w:val="Heading 2 Char"/>
    <w:basedOn w:val="DefaultParagraphFont"/>
    <w:link w:val="Heading2"/>
    <w:rsid w:val="009F3805"/>
    <w:rPr>
      <w:rFonts w:ascii="Arial" w:eastAsia="Times New Roman" w:hAnsi="Arial" w:cs="Arial"/>
      <w:b/>
      <w:bCs/>
      <w:iCs/>
      <w:color w:val="365F91" w:themeColor="accent1" w:themeShade="BF"/>
      <w:sz w:val="28"/>
      <w:szCs w:val="28"/>
    </w:rPr>
  </w:style>
  <w:style w:type="character" w:customStyle="1" w:styleId="Heading3Char">
    <w:name w:val="Heading 3 Char"/>
    <w:basedOn w:val="DefaultParagraphFont"/>
    <w:link w:val="Heading3"/>
    <w:uiPriority w:val="9"/>
    <w:rsid w:val="00234ABE"/>
    <w:rPr>
      <w:rFonts w:ascii="Arial" w:eastAsia="Times New Roman" w:hAnsi="Arial" w:cs="Arial"/>
      <w:b/>
      <w:bCs/>
      <w:color w:val="365F91" w:themeColor="accent1" w:themeShade="BF"/>
      <w:sz w:val="26"/>
      <w:szCs w:val="26"/>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9F3805"/>
    <w:rPr>
      <w:rFonts w:ascii="Arial" w:eastAsia="Times New Roman" w:hAnsi="Arial" w:cs="Times New Roman"/>
      <w:b/>
      <w:bCs/>
      <w:color w:val="365F91" w:themeColor="accent1" w:themeShade="BF"/>
      <w:szCs w:val="28"/>
    </w:rPr>
  </w:style>
  <w:style w:type="character" w:customStyle="1" w:styleId="Heading5Char">
    <w:name w:val="Heading 5 Char"/>
    <w:basedOn w:val="DefaultParagraphFont"/>
    <w:link w:val="Heading5"/>
    <w:uiPriority w:val="99"/>
    <w:rsid w:val="00234AB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34AB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34AB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34AB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34ABE"/>
    <w:rPr>
      <w:rFonts w:ascii="Arial" w:eastAsia="Times New Roman" w:hAnsi="Arial" w:cs="Arial"/>
    </w:rPr>
  </w:style>
  <w:style w:type="paragraph" w:styleId="Header">
    <w:name w:val="header"/>
    <w:basedOn w:val="Normal"/>
    <w:link w:val="HeaderChar"/>
    <w:uiPriority w:val="99"/>
    <w:rsid w:val="00234ABE"/>
    <w:pPr>
      <w:tabs>
        <w:tab w:val="center" w:pos="4320"/>
        <w:tab w:val="right" w:pos="8640"/>
      </w:tabs>
    </w:pPr>
  </w:style>
  <w:style w:type="character" w:customStyle="1" w:styleId="HeaderChar">
    <w:name w:val="Header Char"/>
    <w:basedOn w:val="DefaultParagraphFont"/>
    <w:link w:val="Header"/>
    <w:uiPriority w:val="99"/>
    <w:rsid w:val="00234ABE"/>
    <w:rPr>
      <w:rFonts w:ascii="Arial" w:eastAsia="Times New Roman" w:hAnsi="Arial" w:cs="Times New Roman"/>
      <w:szCs w:val="20"/>
      <w:lang w:val="en-US"/>
    </w:rPr>
  </w:style>
  <w:style w:type="paragraph" w:styleId="Footer">
    <w:name w:val="footer"/>
    <w:basedOn w:val="Normal"/>
    <w:link w:val="FooterChar"/>
    <w:uiPriority w:val="99"/>
    <w:rsid w:val="00234ABE"/>
    <w:pPr>
      <w:tabs>
        <w:tab w:val="center" w:pos="4320"/>
        <w:tab w:val="right" w:pos="8640"/>
      </w:tabs>
    </w:pPr>
  </w:style>
  <w:style w:type="character" w:customStyle="1" w:styleId="FooterChar">
    <w:name w:val="Footer Char"/>
    <w:basedOn w:val="DefaultParagraphFont"/>
    <w:link w:val="Footer"/>
    <w:uiPriority w:val="99"/>
    <w:rsid w:val="00234ABE"/>
    <w:rPr>
      <w:rFonts w:ascii="Arial" w:eastAsia="Times New Roman" w:hAnsi="Arial" w:cs="Times New Roman"/>
      <w:szCs w:val="20"/>
      <w:lang w:val="en-US"/>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L"/>
    <w:basedOn w:val="Normal"/>
    <w:link w:val="ListParagraphChar"/>
    <w:uiPriority w:val="34"/>
    <w:qFormat/>
    <w:rsid w:val="00234ABE"/>
    <w:pPr>
      <w:ind w:left="720"/>
    </w:pPr>
    <w:rPr>
      <w:sz w:val="24"/>
    </w:rPr>
  </w:style>
  <w:style w:type="character" w:styleId="Hyperlink">
    <w:name w:val="Hyperlink"/>
    <w:basedOn w:val="DefaultParagraphFont"/>
    <w:uiPriority w:val="99"/>
    <w:rsid w:val="00234ABE"/>
    <w:rPr>
      <w:color w:val="0000FF"/>
      <w:u w:val="single"/>
    </w:rPr>
  </w:style>
  <w:style w:type="paragraph" w:styleId="TOC1">
    <w:name w:val="toc 1"/>
    <w:basedOn w:val="Normal"/>
    <w:next w:val="Normal"/>
    <w:autoRedefine/>
    <w:uiPriority w:val="39"/>
    <w:rsid w:val="00234ABE"/>
    <w:pPr>
      <w:spacing w:after="100"/>
    </w:pPr>
  </w:style>
  <w:style w:type="paragraph" w:styleId="TOC2">
    <w:name w:val="toc 2"/>
    <w:basedOn w:val="Normal"/>
    <w:next w:val="Normal"/>
    <w:autoRedefine/>
    <w:uiPriority w:val="39"/>
    <w:rsid w:val="00234ABE"/>
    <w:pPr>
      <w:spacing w:after="100"/>
      <w:ind w:left="200"/>
    </w:pPr>
  </w:style>
  <w:style w:type="paragraph" w:styleId="Title">
    <w:name w:val="Title"/>
    <w:basedOn w:val="Normal"/>
    <w:next w:val="Normal"/>
    <w:link w:val="TitleChar"/>
    <w:uiPriority w:val="99"/>
    <w:qFormat/>
    <w:rsid w:val="00FE4D5B"/>
    <w:pPr>
      <w:pBdr>
        <w:bottom w:val="single" w:sz="8" w:space="4" w:color="4F81BD" w:themeColor="accent1"/>
      </w:pBdr>
      <w:spacing w:after="300"/>
      <w:contextualSpacing/>
    </w:pPr>
    <w:rPr>
      <w:rFonts w:eastAsiaTheme="majorEastAsia" w:cstheme="majorBidi"/>
      <w:b/>
      <w:color w:val="365F91" w:themeColor="accent1" w:themeShade="BF"/>
      <w:spacing w:val="5"/>
      <w:kern w:val="28"/>
      <w:sz w:val="40"/>
      <w:szCs w:val="52"/>
    </w:rPr>
  </w:style>
  <w:style w:type="character" w:customStyle="1" w:styleId="TitleChar">
    <w:name w:val="Title Char"/>
    <w:basedOn w:val="DefaultParagraphFont"/>
    <w:link w:val="Title"/>
    <w:uiPriority w:val="99"/>
    <w:rsid w:val="00FE4D5B"/>
    <w:rPr>
      <w:rFonts w:ascii="Arial" w:eastAsiaTheme="majorEastAsia" w:hAnsi="Arial" w:cstheme="majorBidi"/>
      <w:b/>
      <w:color w:val="365F91" w:themeColor="accent1" w:themeShade="BF"/>
      <w:spacing w:val="5"/>
      <w:kern w:val="28"/>
      <w:sz w:val="40"/>
      <w:szCs w:val="52"/>
      <w:lang w:val="en-US"/>
    </w:rPr>
  </w:style>
  <w:style w:type="paragraph" w:styleId="Subtitle">
    <w:name w:val="Subtitle"/>
    <w:basedOn w:val="Normal"/>
    <w:next w:val="Normal"/>
    <w:link w:val="SubtitleChar"/>
    <w:qFormat/>
    <w:rsid w:val="00234A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4ABE"/>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0E713E"/>
    <w:rPr>
      <w:rFonts w:ascii="Arial" w:hAnsi="Arial"/>
      <w:i/>
      <w:iCs/>
      <w:color w:val="365F91" w:themeColor="accent1" w:themeShade="BF"/>
      <w:sz w:val="22"/>
    </w:rPr>
  </w:style>
  <w:style w:type="character" w:styleId="BookTitle">
    <w:name w:val="Book Title"/>
    <w:basedOn w:val="DefaultParagraphFont"/>
    <w:uiPriority w:val="33"/>
    <w:qFormat/>
    <w:rsid w:val="00234ABE"/>
    <w:rPr>
      <w:b/>
      <w:bCs/>
      <w:smallCaps/>
      <w:spacing w:val="5"/>
    </w:rPr>
  </w:style>
  <w:style w:type="paragraph" w:styleId="BalloonText">
    <w:name w:val="Balloon Text"/>
    <w:basedOn w:val="Normal"/>
    <w:link w:val="BalloonTextChar"/>
    <w:uiPriority w:val="99"/>
    <w:unhideWhenUsed/>
    <w:rsid w:val="00234ABE"/>
    <w:rPr>
      <w:rFonts w:ascii="Tahoma" w:hAnsi="Tahoma" w:cs="Tahoma"/>
      <w:sz w:val="16"/>
      <w:szCs w:val="16"/>
    </w:rPr>
  </w:style>
  <w:style w:type="character" w:customStyle="1" w:styleId="BalloonTextChar">
    <w:name w:val="Balloon Text Char"/>
    <w:basedOn w:val="DefaultParagraphFont"/>
    <w:link w:val="BalloonText"/>
    <w:uiPriority w:val="99"/>
    <w:rsid w:val="00234ABE"/>
    <w:rPr>
      <w:rFonts w:ascii="Tahoma" w:eastAsia="Times New Roman" w:hAnsi="Tahoma" w:cs="Tahoma"/>
      <w:sz w:val="16"/>
      <w:szCs w:val="16"/>
      <w:lang w:val="en-US"/>
    </w:rPr>
  </w:style>
  <w:style w:type="paragraph" w:styleId="TOC3">
    <w:name w:val="toc 3"/>
    <w:basedOn w:val="Normal"/>
    <w:next w:val="Normal"/>
    <w:autoRedefine/>
    <w:uiPriority w:val="39"/>
    <w:unhideWhenUsed/>
    <w:rsid w:val="00234ABE"/>
    <w:pPr>
      <w:spacing w:after="100"/>
      <w:ind w:left="440"/>
    </w:pPr>
  </w:style>
  <w:style w:type="character" w:styleId="Strong">
    <w:name w:val="Strong"/>
    <w:basedOn w:val="DefaultParagraphFont"/>
    <w:uiPriority w:val="22"/>
    <w:qFormat/>
    <w:rsid w:val="000A09BA"/>
    <w:rPr>
      <w:b/>
      <w:bCs/>
    </w:rPr>
  </w:style>
  <w:style w:type="paragraph" w:styleId="NoSpacing">
    <w:name w:val="No Spacing"/>
    <w:uiPriority w:val="99"/>
    <w:qFormat/>
    <w:rsid w:val="0045709B"/>
    <w:pPr>
      <w:spacing w:after="0" w:line="240" w:lineRule="auto"/>
    </w:pPr>
    <w:rPr>
      <w:rFonts w:ascii="Arial" w:eastAsia="Times New Roman" w:hAnsi="Arial" w:cs="Times New Roman"/>
      <w:sz w:val="24"/>
      <w:szCs w:val="20"/>
    </w:rPr>
  </w:style>
  <w:style w:type="paragraph" w:customStyle="1" w:styleId="xl74">
    <w:name w:val="xl74"/>
    <w:basedOn w:val="Normal"/>
    <w:rsid w:val="00450A4B"/>
    <w:pPr>
      <w:spacing w:before="100" w:beforeAutospacing="1" w:after="100" w:afterAutospacing="1"/>
    </w:pPr>
    <w:rPr>
      <w:rFonts w:cs="Arial"/>
      <w:b/>
      <w:bCs/>
      <w:sz w:val="24"/>
      <w:szCs w:val="24"/>
      <w:lang w:eastAsia="en-GB"/>
    </w:rPr>
  </w:style>
  <w:style w:type="paragraph" w:customStyle="1" w:styleId="xl75">
    <w:name w:val="xl75"/>
    <w:basedOn w:val="Normal"/>
    <w:rsid w:val="00450A4B"/>
    <w:pPr>
      <w:spacing w:before="100" w:beforeAutospacing="1" w:after="100" w:afterAutospacing="1"/>
      <w:jc w:val="center"/>
    </w:pPr>
    <w:rPr>
      <w:rFonts w:cs="Arial"/>
      <w:b/>
      <w:bCs/>
      <w:sz w:val="24"/>
      <w:szCs w:val="24"/>
      <w:lang w:eastAsia="en-GB"/>
    </w:rPr>
  </w:style>
  <w:style w:type="paragraph" w:customStyle="1" w:styleId="xl76">
    <w:name w:val="xl76"/>
    <w:basedOn w:val="Normal"/>
    <w:rsid w:val="00450A4B"/>
    <w:pPr>
      <w:spacing w:before="100" w:beforeAutospacing="1" w:after="100" w:afterAutospacing="1"/>
    </w:pPr>
    <w:rPr>
      <w:rFonts w:cs="Arial"/>
      <w:sz w:val="24"/>
      <w:szCs w:val="24"/>
      <w:lang w:eastAsia="en-GB"/>
    </w:rPr>
  </w:style>
  <w:style w:type="paragraph" w:customStyle="1" w:styleId="xl77">
    <w:name w:val="xl77"/>
    <w:basedOn w:val="Normal"/>
    <w:rsid w:val="00450A4B"/>
    <w:pPr>
      <w:spacing w:before="100" w:beforeAutospacing="1" w:after="100" w:afterAutospacing="1"/>
    </w:pPr>
    <w:rPr>
      <w:rFonts w:cs="Arial"/>
      <w:sz w:val="24"/>
      <w:szCs w:val="24"/>
      <w:lang w:eastAsia="en-GB"/>
    </w:rPr>
  </w:style>
  <w:style w:type="paragraph" w:customStyle="1" w:styleId="xl78">
    <w:name w:val="xl78"/>
    <w:basedOn w:val="Normal"/>
    <w:rsid w:val="00450A4B"/>
    <w:pPr>
      <w:spacing w:before="100" w:beforeAutospacing="1" w:after="100" w:afterAutospacing="1"/>
      <w:jc w:val="center"/>
    </w:pPr>
    <w:rPr>
      <w:rFonts w:cs="Arial"/>
      <w:sz w:val="24"/>
      <w:szCs w:val="24"/>
      <w:lang w:eastAsia="en-GB"/>
    </w:rPr>
  </w:style>
  <w:style w:type="paragraph" w:customStyle="1" w:styleId="xl79">
    <w:name w:val="xl79"/>
    <w:basedOn w:val="Normal"/>
    <w:rsid w:val="00450A4B"/>
    <w:pPr>
      <w:pBdr>
        <w:top w:val="single" w:sz="4" w:space="0" w:color="auto"/>
        <w:left w:val="single" w:sz="4" w:space="0" w:color="auto"/>
      </w:pBdr>
      <w:spacing w:before="100" w:beforeAutospacing="1" w:after="100" w:afterAutospacing="1"/>
    </w:pPr>
    <w:rPr>
      <w:rFonts w:cs="Arial"/>
      <w:b/>
      <w:bCs/>
      <w:sz w:val="24"/>
      <w:szCs w:val="24"/>
      <w:lang w:eastAsia="en-GB"/>
    </w:rPr>
  </w:style>
  <w:style w:type="paragraph" w:customStyle="1" w:styleId="xl80">
    <w:name w:val="xl80"/>
    <w:basedOn w:val="Normal"/>
    <w:rsid w:val="00450A4B"/>
    <w:pPr>
      <w:pBdr>
        <w:top w:val="single" w:sz="4" w:space="0" w:color="auto"/>
        <w:left w:val="single" w:sz="4" w:space="0" w:color="auto"/>
      </w:pBdr>
      <w:spacing w:before="100" w:beforeAutospacing="1" w:after="100" w:afterAutospacing="1"/>
      <w:jc w:val="center"/>
    </w:pPr>
    <w:rPr>
      <w:rFonts w:cs="Arial"/>
      <w:b/>
      <w:bCs/>
      <w:sz w:val="24"/>
      <w:szCs w:val="24"/>
      <w:lang w:eastAsia="en-GB"/>
    </w:rPr>
  </w:style>
  <w:style w:type="paragraph" w:customStyle="1" w:styleId="xl81">
    <w:name w:val="xl81"/>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2">
    <w:name w:val="xl82"/>
    <w:basedOn w:val="Normal"/>
    <w:rsid w:val="00450A4B"/>
    <w:pPr>
      <w:pBdr>
        <w:top w:val="single" w:sz="4" w:space="0" w:color="auto"/>
      </w:pBdr>
      <w:spacing w:before="100" w:beforeAutospacing="1" w:after="100" w:afterAutospacing="1"/>
      <w:jc w:val="center"/>
    </w:pPr>
    <w:rPr>
      <w:rFonts w:cs="Arial"/>
      <w:b/>
      <w:bCs/>
      <w:sz w:val="24"/>
      <w:szCs w:val="24"/>
      <w:lang w:eastAsia="en-GB"/>
    </w:rPr>
  </w:style>
  <w:style w:type="paragraph" w:customStyle="1" w:styleId="xl83">
    <w:name w:val="xl83"/>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4">
    <w:name w:val="xl84"/>
    <w:basedOn w:val="Normal"/>
    <w:rsid w:val="00450A4B"/>
    <w:pPr>
      <w:pBdr>
        <w:top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5">
    <w:name w:val="xl85"/>
    <w:basedOn w:val="Normal"/>
    <w:rsid w:val="00450A4B"/>
    <w:pPr>
      <w:pBdr>
        <w:left w:val="single" w:sz="4" w:space="0" w:color="auto"/>
      </w:pBdr>
      <w:spacing w:before="100" w:beforeAutospacing="1" w:after="100" w:afterAutospacing="1"/>
    </w:pPr>
    <w:rPr>
      <w:rFonts w:cs="Arial"/>
      <w:b/>
      <w:bCs/>
      <w:sz w:val="24"/>
      <w:szCs w:val="24"/>
      <w:lang w:eastAsia="en-GB"/>
    </w:rPr>
  </w:style>
  <w:style w:type="paragraph" w:customStyle="1" w:styleId="xl86">
    <w:name w:val="xl86"/>
    <w:basedOn w:val="Normal"/>
    <w:rsid w:val="00450A4B"/>
    <w:pPr>
      <w:pBdr>
        <w:left w:val="single" w:sz="4" w:space="0" w:color="auto"/>
      </w:pBdr>
      <w:spacing w:before="100" w:beforeAutospacing="1" w:after="100" w:afterAutospacing="1"/>
      <w:jc w:val="center"/>
    </w:pPr>
    <w:rPr>
      <w:rFonts w:cs="Arial"/>
      <w:b/>
      <w:bCs/>
      <w:sz w:val="24"/>
      <w:szCs w:val="24"/>
      <w:lang w:eastAsia="en-GB"/>
    </w:rPr>
  </w:style>
  <w:style w:type="paragraph" w:customStyle="1" w:styleId="xl87">
    <w:name w:val="xl8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8">
    <w:name w:val="xl88"/>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9">
    <w:name w:val="xl89"/>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90">
    <w:name w:val="xl90"/>
    <w:basedOn w:val="Normal"/>
    <w:rsid w:val="00450A4B"/>
    <w:pPr>
      <w:pBdr>
        <w:left w:val="single" w:sz="4" w:space="0" w:color="auto"/>
        <w:bottom w:val="single" w:sz="4" w:space="0" w:color="auto"/>
      </w:pBdr>
      <w:spacing w:before="100" w:beforeAutospacing="1" w:after="100" w:afterAutospacing="1"/>
    </w:pPr>
    <w:rPr>
      <w:rFonts w:cs="Arial"/>
      <w:b/>
      <w:bCs/>
      <w:sz w:val="24"/>
      <w:szCs w:val="24"/>
      <w:lang w:eastAsia="en-GB"/>
    </w:rPr>
  </w:style>
  <w:style w:type="paragraph" w:customStyle="1" w:styleId="xl91">
    <w:name w:val="xl91"/>
    <w:basedOn w:val="Normal"/>
    <w:rsid w:val="00450A4B"/>
    <w:pPr>
      <w:pBdr>
        <w:left w:val="single" w:sz="4" w:space="0" w:color="auto"/>
        <w:bottom w:val="single" w:sz="4" w:space="0" w:color="auto"/>
      </w:pBdr>
      <w:spacing w:before="100" w:beforeAutospacing="1" w:after="100" w:afterAutospacing="1"/>
      <w:jc w:val="center"/>
    </w:pPr>
    <w:rPr>
      <w:rFonts w:cs="Arial"/>
      <w:b/>
      <w:bCs/>
      <w:sz w:val="24"/>
      <w:szCs w:val="24"/>
      <w:lang w:eastAsia="en-GB"/>
    </w:rPr>
  </w:style>
  <w:style w:type="paragraph" w:customStyle="1" w:styleId="xl92">
    <w:name w:val="xl92"/>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93">
    <w:name w:val="xl93"/>
    <w:basedOn w:val="Normal"/>
    <w:rsid w:val="00450A4B"/>
    <w:pPr>
      <w:pBdr>
        <w:bottom w:val="single" w:sz="4" w:space="0" w:color="auto"/>
      </w:pBdr>
      <w:spacing w:before="100" w:beforeAutospacing="1" w:after="100" w:afterAutospacing="1"/>
      <w:jc w:val="center"/>
    </w:pPr>
    <w:rPr>
      <w:rFonts w:cs="Arial"/>
      <w:b/>
      <w:bCs/>
      <w:sz w:val="24"/>
      <w:szCs w:val="24"/>
      <w:lang w:eastAsia="en-GB"/>
    </w:rPr>
  </w:style>
  <w:style w:type="paragraph" w:customStyle="1" w:styleId="xl94">
    <w:name w:val="xl94"/>
    <w:basedOn w:val="Normal"/>
    <w:rsid w:val="00450A4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5">
    <w:name w:val="xl95"/>
    <w:basedOn w:val="Normal"/>
    <w:rsid w:val="00450A4B"/>
    <w:pPr>
      <w:pBdr>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6">
    <w:name w:val="xl96"/>
    <w:basedOn w:val="Normal"/>
    <w:rsid w:val="00450A4B"/>
    <w:pPr>
      <w:pBdr>
        <w:top w:val="single" w:sz="4" w:space="0" w:color="auto"/>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97">
    <w:name w:val="xl97"/>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98">
    <w:name w:val="xl98"/>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99">
    <w:name w:val="xl99"/>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00">
    <w:name w:val="xl10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01">
    <w:name w:val="xl101"/>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02">
    <w:name w:val="xl10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3">
    <w:name w:val="xl103"/>
    <w:basedOn w:val="Normal"/>
    <w:rsid w:val="00450A4B"/>
    <w:pPr>
      <w:spacing w:before="100" w:beforeAutospacing="1" w:after="100" w:afterAutospacing="1"/>
    </w:pPr>
    <w:rPr>
      <w:rFonts w:cs="Arial"/>
      <w:sz w:val="24"/>
      <w:szCs w:val="24"/>
      <w:lang w:eastAsia="en-GB"/>
    </w:rPr>
  </w:style>
  <w:style w:type="paragraph" w:customStyle="1" w:styleId="xl104">
    <w:name w:val="xl104"/>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5">
    <w:name w:val="xl105"/>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6">
    <w:name w:val="xl106"/>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07">
    <w:name w:val="xl107"/>
    <w:basedOn w:val="Normal"/>
    <w:rsid w:val="00450A4B"/>
    <w:pPr>
      <w:pBdr>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8">
    <w:name w:val="xl108"/>
    <w:basedOn w:val="Normal"/>
    <w:rsid w:val="00450A4B"/>
    <w:pPr>
      <w:pBdr>
        <w:right w:val="single" w:sz="4" w:space="0" w:color="auto"/>
      </w:pBdr>
      <w:spacing w:before="100" w:beforeAutospacing="1" w:after="100" w:afterAutospacing="1"/>
    </w:pPr>
    <w:rPr>
      <w:rFonts w:cs="Arial"/>
      <w:b/>
      <w:bCs/>
      <w:sz w:val="24"/>
      <w:szCs w:val="24"/>
      <w:u w:val="single"/>
      <w:lang w:eastAsia="en-GB"/>
    </w:rPr>
  </w:style>
  <w:style w:type="paragraph" w:customStyle="1" w:styleId="xl109">
    <w:name w:val="xl109"/>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10">
    <w:name w:val="xl110"/>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11">
    <w:name w:val="xl111"/>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2">
    <w:name w:val="xl11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3">
    <w:name w:val="xl11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4">
    <w:name w:val="xl11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5">
    <w:name w:val="xl115"/>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6">
    <w:name w:val="xl116"/>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7">
    <w:name w:val="xl117"/>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8">
    <w:name w:val="xl118"/>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19">
    <w:name w:val="xl119"/>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u w:val="single"/>
      <w:lang w:eastAsia="en-GB"/>
    </w:rPr>
  </w:style>
  <w:style w:type="paragraph" w:customStyle="1" w:styleId="xl120">
    <w:name w:val="xl12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1">
    <w:name w:val="xl121"/>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22">
    <w:name w:val="xl12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23">
    <w:name w:val="xl123"/>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4">
    <w:name w:val="xl124"/>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125">
    <w:name w:val="xl125"/>
    <w:basedOn w:val="Normal"/>
    <w:rsid w:val="00450A4B"/>
    <w:pPr>
      <w:spacing w:before="100" w:beforeAutospacing="1" w:after="100" w:afterAutospacing="1"/>
    </w:pPr>
    <w:rPr>
      <w:rFonts w:cs="Arial"/>
      <w:b/>
      <w:bCs/>
      <w:sz w:val="24"/>
      <w:szCs w:val="24"/>
      <w:lang w:eastAsia="en-GB"/>
    </w:rPr>
  </w:style>
  <w:style w:type="paragraph" w:customStyle="1" w:styleId="xl126">
    <w:name w:val="xl126"/>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7">
    <w:name w:val="xl127"/>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28">
    <w:name w:val="xl128"/>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9">
    <w:name w:val="xl129"/>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0">
    <w:name w:val="xl130"/>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1">
    <w:name w:val="xl131"/>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2">
    <w:name w:val="xl13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3">
    <w:name w:val="xl13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4">
    <w:name w:val="xl13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sz w:val="24"/>
      <w:szCs w:val="24"/>
      <w:lang w:eastAsia="en-GB"/>
    </w:rPr>
  </w:style>
  <w:style w:type="paragraph" w:customStyle="1" w:styleId="xl135">
    <w:name w:val="xl135"/>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6">
    <w:name w:val="xl136"/>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u w:val="single"/>
      <w:lang w:eastAsia="en-GB"/>
    </w:rPr>
  </w:style>
  <w:style w:type="paragraph" w:customStyle="1" w:styleId="xl137">
    <w:name w:val="xl13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38">
    <w:name w:val="xl138"/>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9">
    <w:name w:val="xl139"/>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40">
    <w:name w:val="xl14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1">
    <w:name w:val="xl141"/>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2">
    <w:name w:val="xl142"/>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43">
    <w:name w:val="xl143"/>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144">
    <w:name w:val="xl144"/>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5">
    <w:name w:val="xl145"/>
    <w:basedOn w:val="Normal"/>
    <w:rsid w:val="00450A4B"/>
    <w:pPr>
      <w:spacing w:before="100" w:beforeAutospacing="1" w:after="100" w:afterAutospacing="1"/>
      <w:jc w:val="center"/>
    </w:pPr>
    <w:rPr>
      <w:rFonts w:cs="Arial"/>
      <w:sz w:val="24"/>
      <w:szCs w:val="24"/>
      <w:lang w:eastAsia="en-GB"/>
    </w:rPr>
  </w:style>
  <w:style w:type="paragraph" w:customStyle="1" w:styleId="xl146">
    <w:name w:val="xl146"/>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7">
    <w:name w:val="xl14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48">
    <w:name w:val="xl148"/>
    <w:basedOn w:val="Normal"/>
    <w:rsid w:val="00450A4B"/>
    <w:pPr>
      <w:shd w:val="clear" w:color="000000" w:fill="FFFF00"/>
      <w:spacing w:before="100" w:beforeAutospacing="1" w:after="100" w:afterAutospacing="1"/>
      <w:jc w:val="center"/>
    </w:pPr>
    <w:rPr>
      <w:rFonts w:cs="Arial"/>
      <w:sz w:val="24"/>
      <w:szCs w:val="24"/>
      <w:lang w:eastAsia="en-GB"/>
    </w:rPr>
  </w:style>
  <w:style w:type="paragraph" w:customStyle="1" w:styleId="xl149">
    <w:name w:val="xl149"/>
    <w:basedOn w:val="Normal"/>
    <w:rsid w:val="00450A4B"/>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Default">
    <w:name w:val="Default"/>
    <w:link w:val="DefaultChar"/>
    <w:rsid w:val="006830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unhideWhenUsed/>
    <w:rsid w:val="00224170"/>
    <w:rPr>
      <w:sz w:val="20"/>
    </w:rPr>
  </w:style>
  <w:style w:type="character" w:customStyle="1" w:styleId="CommentTextChar">
    <w:name w:val="Comment Text Char"/>
    <w:basedOn w:val="DefaultParagraphFont"/>
    <w:link w:val="CommentText"/>
    <w:uiPriority w:val="99"/>
    <w:rsid w:val="00224170"/>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rsid w:val="00224170"/>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unhideWhenUsed/>
    <w:rsid w:val="00224170"/>
    <w:rPr>
      <w:b/>
      <w:bCs/>
    </w:rPr>
  </w:style>
  <w:style w:type="paragraph" w:styleId="Caption">
    <w:name w:val="caption"/>
    <w:basedOn w:val="Normal"/>
    <w:next w:val="Normal"/>
    <w:uiPriority w:val="35"/>
    <w:unhideWhenUsed/>
    <w:qFormat/>
    <w:rsid w:val="00834162"/>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99"/>
    <w:rsid w:val="00096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E1F4F"/>
    <w:rPr>
      <w:sz w:val="16"/>
      <w:szCs w:val="16"/>
    </w:rPr>
  </w:style>
  <w:style w:type="paragraph" w:styleId="NormalWeb">
    <w:name w:val="Normal (Web)"/>
    <w:basedOn w:val="Normal"/>
    <w:uiPriority w:val="99"/>
    <w:unhideWhenUsed/>
    <w:rsid w:val="00286139"/>
    <w:pPr>
      <w:spacing w:before="100" w:beforeAutospacing="1" w:after="100" w:afterAutospacing="1"/>
    </w:pPr>
    <w:rPr>
      <w:rFonts w:ascii="Times New Roman" w:hAnsi="Times New Roman"/>
      <w:sz w:val="24"/>
      <w:szCs w:val="24"/>
      <w:lang w:eastAsia="en-GB"/>
    </w:rPr>
  </w:style>
  <w:style w:type="paragraph" w:customStyle="1" w:styleId="NoSpacing1">
    <w:name w:val="No Spacing1"/>
    <w:link w:val="NoSpacingChar"/>
    <w:uiPriority w:val="1"/>
    <w:qFormat/>
    <w:rsid w:val="00024F25"/>
    <w:pPr>
      <w:spacing w:after="0" w:line="240" w:lineRule="auto"/>
    </w:pPr>
    <w:rPr>
      <w:rFonts w:ascii="Calibri" w:eastAsia="Calibri" w:hAnsi="Calibri" w:cs="Times New Roman"/>
    </w:rPr>
  </w:style>
  <w:style w:type="character" w:customStyle="1" w:styleId="NoSpacingChar">
    <w:name w:val="No Spacing Char"/>
    <w:link w:val="NoSpacing1"/>
    <w:uiPriority w:val="1"/>
    <w:rsid w:val="00024F25"/>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L Char"/>
    <w:link w:val="ListParagraph"/>
    <w:uiPriority w:val="34"/>
    <w:qFormat/>
    <w:locked/>
    <w:rsid w:val="009206B3"/>
    <w:rPr>
      <w:rFonts w:ascii="Arial" w:eastAsia="Times New Roman" w:hAnsi="Arial" w:cs="Times New Roman"/>
      <w:sz w:val="24"/>
      <w:szCs w:val="20"/>
    </w:rPr>
  </w:style>
  <w:style w:type="paragraph" w:styleId="BodyTextIndent2">
    <w:name w:val="Body Text Indent 2"/>
    <w:basedOn w:val="Normal"/>
    <w:link w:val="BodyTextIndent2Char"/>
    <w:uiPriority w:val="99"/>
    <w:rsid w:val="00242DC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42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40704"/>
    <w:pPr>
      <w:spacing w:after="120"/>
      <w:ind w:left="283"/>
    </w:pPr>
  </w:style>
  <w:style w:type="character" w:customStyle="1" w:styleId="BodyTextIndentChar">
    <w:name w:val="Body Text Indent Char"/>
    <w:basedOn w:val="DefaultParagraphFont"/>
    <w:link w:val="BodyTextIndent"/>
    <w:uiPriority w:val="99"/>
    <w:rsid w:val="00D40704"/>
    <w:rPr>
      <w:rFonts w:ascii="Arial" w:eastAsia="Times New Roman" w:hAnsi="Arial" w:cs="Times New Roman"/>
      <w:szCs w:val="20"/>
    </w:rPr>
  </w:style>
  <w:style w:type="character" w:styleId="PageNumber">
    <w:name w:val="page number"/>
    <w:basedOn w:val="DefaultParagraphFont"/>
    <w:uiPriority w:val="99"/>
    <w:rsid w:val="00D40704"/>
  </w:style>
  <w:style w:type="paragraph" w:styleId="DocumentMap">
    <w:name w:val="Document Map"/>
    <w:basedOn w:val="Normal"/>
    <w:link w:val="DocumentMapChar"/>
    <w:uiPriority w:val="99"/>
    <w:semiHidden/>
    <w:rsid w:val="00D4070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0704"/>
    <w:rPr>
      <w:rFonts w:ascii="Tahoma" w:eastAsia="Times New Roman" w:hAnsi="Tahoma" w:cs="Tahoma"/>
      <w:sz w:val="20"/>
      <w:szCs w:val="20"/>
      <w:shd w:val="clear" w:color="auto" w:fill="000080"/>
    </w:rPr>
  </w:style>
  <w:style w:type="paragraph" w:styleId="BodyTextIndent3">
    <w:name w:val="Body Text Indent 3"/>
    <w:basedOn w:val="Normal"/>
    <w:link w:val="BodyTextIndent3Char"/>
    <w:uiPriority w:val="99"/>
    <w:rsid w:val="00D40704"/>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D40704"/>
    <w:rPr>
      <w:rFonts w:ascii="Times New Roman" w:eastAsia="Times New Roman" w:hAnsi="Times New Roman" w:cs="Times New Roman"/>
      <w:sz w:val="16"/>
      <w:szCs w:val="16"/>
    </w:rPr>
  </w:style>
  <w:style w:type="paragraph" w:styleId="BodyText">
    <w:name w:val="Body Text"/>
    <w:basedOn w:val="Normal"/>
    <w:link w:val="BodyTextChar"/>
    <w:uiPriority w:val="1"/>
    <w:qFormat/>
    <w:rsid w:val="00D40704"/>
    <w:pPr>
      <w:spacing w:after="120"/>
    </w:pPr>
    <w:rPr>
      <w:rFonts w:ascii="Times New Roman" w:hAnsi="Times New Roman"/>
      <w:sz w:val="24"/>
      <w:szCs w:val="24"/>
    </w:rPr>
  </w:style>
  <w:style w:type="character" w:customStyle="1" w:styleId="BodyTextChar">
    <w:name w:val="Body Text Char"/>
    <w:basedOn w:val="DefaultParagraphFont"/>
    <w:link w:val="BodyText"/>
    <w:uiPriority w:val="1"/>
    <w:rsid w:val="00D40704"/>
    <w:rPr>
      <w:rFonts w:ascii="Times New Roman" w:eastAsia="Times New Roman" w:hAnsi="Times New Roman" w:cs="Times New Roman"/>
      <w:sz w:val="24"/>
      <w:szCs w:val="24"/>
    </w:rPr>
  </w:style>
  <w:style w:type="paragraph" w:styleId="BodyText2">
    <w:name w:val="Body Text 2"/>
    <w:basedOn w:val="Normal"/>
    <w:link w:val="BodyText2Char"/>
    <w:uiPriority w:val="99"/>
    <w:rsid w:val="00D40704"/>
    <w:pPr>
      <w:jc w:val="center"/>
    </w:pPr>
    <w:rPr>
      <w:rFonts w:cs="Arial"/>
      <w:b/>
      <w:bCs/>
      <w:sz w:val="24"/>
      <w:szCs w:val="24"/>
    </w:rPr>
  </w:style>
  <w:style w:type="character" w:customStyle="1" w:styleId="BodyText2Char">
    <w:name w:val="Body Text 2 Char"/>
    <w:basedOn w:val="DefaultParagraphFont"/>
    <w:link w:val="BodyText2"/>
    <w:uiPriority w:val="99"/>
    <w:rsid w:val="00D40704"/>
    <w:rPr>
      <w:rFonts w:ascii="Arial" w:eastAsia="Times New Roman" w:hAnsi="Arial" w:cs="Arial"/>
      <w:b/>
      <w:bCs/>
      <w:sz w:val="24"/>
      <w:szCs w:val="24"/>
    </w:rPr>
  </w:style>
  <w:style w:type="paragraph" w:customStyle="1" w:styleId="Pa3">
    <w:name w:val="Pa3"/>
    <w:basedOn w:val="Normal"/>
    <w:next w:val="Normal"/>
    <w:uiPriority w:val="99"/>
    <w:rsid w:val="00D40704"/>
    <w:pPr>
      <w:autoSpaceDE w:val="0"/>
      <w:autoSpaceDN w:val="0"/>
      <w:adjustRightInd w:val="0"/>
      <w:spacing w:after="220" w:line="201" w:lineRule="atLeast"/>
    </w:pPr>
    <w:rPr>
      <w:rFonts w:ascii="Univers" w:hAnsi="Univers"/>
      <w:sz w:val="24"/>
      <w:szCs w:val="24"/>
      <w:lang w:val="en-US"/>
    </w:rPr>
  </w:style>
  <w:style w:type="character" w:customStyle="1" w:styleId="CharChar4">
    <w:name w:val="Char Char4"/>
    <w:basedOn w:val="DefaultParagraphFont"/>
    <w:uiPriority w:val="99"/>
    <w:locked/>
    <w:rsid w:val="00D40704"/>
    <w:rPr>
      <w:rFonts w:cs="Times New Roman"/>
      <w:iCs/>
      <w:sz w:val="24"/>
      <w:szCs w:val="24"/>
      <w:lang w:eastAsia="en-US"/>
    </w:rPr>
  </w:style>
  <w:style w:type="character" w:customStyle="1" w:styleId="CharChar6">
    <w:name w:val="Char Char6"/>
    <w:basedOn w:val="DefaultParagraphFont"/>
    <w:uiPriority w:val="99"/>
    <w:locked/>
    <w:rsid w:val="00D40704"/>
    <w:rPr>
      <w:rFonts w:cs="Times New Roman"/>
      <w:iCs/>
      <w:sz w:val="24"/>
      <w:szCs w:val="24"/>
      <w:lang w:eastAsia="en-US"/>
    </w:rPr>
  </w:style>
  <w:style w:type="paragraph" w:customStyle="1" w:styleId="TableBullet2">
    <w:name w:val="Table Bullet 2"/>
    <w:basedOn w:val="Normal"/>
    <w:qFormat/>
    <w:rsid w:val="00D40704"/>
    <w:pPr>
      <w:numPr>
        <w:numId w:val="3"/>
      </w:numPr>
    </w:pPr>
    <w:rPr>
      <w:rFonts w:asciiTheme="minorHAnsi" w:hAnsiTheme="minorHAnsi"/>
      <w:sz w:val="18"/>
      <w:szCs w:val="18"/>
    </w:rPr>
  </w:style>
  <w:style w:type="table" w:customStyle="1" w:styleId="TableStyle1">
    <w:name w:val="Table Style1"/>
    <w:basedOn w:val="TableNormal"/>
    <w:rsid w:val="00F0741A"/>
    <w:pPr>
      <w:spacing w:after="0" w:line="240" w:lineRule="auto"/>
    </w:pPr>
    <w:rPr>
      <w:rFonts w:ascii="Times New Roman" w:eastAsia="Times New Roman" w:hAnsi="Times New Roman" w:cs="Times New Roman"/>
      <w:sz w:val="20"/>
      <w:szCs w:val="20"/>
      <w:lang w:eastAsia="en-GB"/>
    </w:rPr>
    <w:tblPr/>
  </w:style>
  <w:style w:type="table" w:styleId="TableList3">
    <w:name w:val="Table List 3"/>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0741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Style2">
    <w:name w:val="Table Style2"/>
    <w:basedOn w:val="TableGrid"/>
    <w:rsid w:val="00F0741A"/>
    <w:tblPr/>
  </w:style>
  <w:style w:type="character" w:customStyle="1" w:styleId="y0nh2b">
    <w:name w:val="y0nh2b"/>
    <w:basedOn w:val="DefaultParagraphFont"/>
    <w:rsid w:val="00936AB9"/>
  </w:style>
  <w:style w:type="paragraph" w:customStyle="1" w:styleId="BodyText1">
    <w:name w:val="Body Text1"/>
    <w:basedOn w:val="Normal"/>
    <w:rsid w:val="00632915"/>
    <w:rPr>
      <w:sz w:val="24"/>
      <w:lang w:eastAsia="en-GB"/>
    </w:rPr>
  </w:style>
  <w:style w:type="paragraph" w:customStyle="1" w:styleId="BodyText10">
    <w:name w:val="Body Text1"/>
    <w:basedOn w:val="Normal"/>
    <w:rsid w:val="00632915"/>
    <w:rPr>
      <w:sz w:val="24"/>
      <w:lang w:eastAsia="en-GB"/>
    </w:rPr>
  </w:style>
  <w:style w:type="paragraph" w:customStyle="1" w:styleId="BodyText20">
    <w:name w:val="Body Text2"/>
    <w:basedOn w:val="Normal"/>
    <w:rsid w:val="00830ED8"/>
    <w:rPr>
      <w:sz w:val="24"/>
      <w:lang w:eastAsia="en-GB"/>
    </w:rPr>
  </w:style>
  <w:style w:type="paragraph" w:styleId="Revision">
    <w:name w:val="Revision"/>
    <w:hidden/>
    <w:uiPriority w:val="99"/>
    <w:semiHidden/>
    <w:rsid w:val="002A4EB1"/>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rsid w:val="00DE65C0"/>
    <w:rPr>
      <w:rFonts w:cs="Times New Roman"/>
      <w:color w:val="606420"/>
      <w:u w:val="single"/>
    </w:rPr>
  </w:style>
  <w:style w:type="character" w:customStyle="1" w:styleId="header3">
    <w:name w:val="header3"/>
    <w:basedOn w:val="DefaultParagraphFont"/>
    <w:uiPriority w:val="99"/>
    <w:rsid w:val="00DE65C0"/>
    <w:rPr>
      <w:rFonts w:cs="Times New Roman"/>
      <w:b/>
      <w:bCs/>
      <w:color w:val="05265C"/>
      <w:sz w:val="24"/>
      <w:szCs w:val="24"/>
    </w:rPr>
  </w:style>
  <w:style w:type="paragraph" w:styleId="FootnoteText">
    <w:name w:val="footnote text"/>
    <w:basedOn w:val="Normal"/>
    <w:link w:val="FootnoteTextChar"/>
    <w:uiPriority w:val="99"/>
    <w:semiHidden/>
    <w:rsid w:val="00DE65C0"/>
    <w:pPr>
      <w:tabs>
        <w:tab w:val="left" w:pos="720"/>
        <w:tab w:val="left" w:pos="1440"/>
        <w:tab w:val="left" w:pos="2160"/>
        <w:tab w:val="left" w:pos="2880"/>
        <w:tab w:val="left" w:pos="4680"/>
        <w:tab w:val="left" w:pos="5400"/>
        <w:tab w:val="right" w:pos="9000"/>
      </w:tabs>
      <w:spacing w:line="240" w:lineRule="atLeast"/>
      <w:jc w:val="both"/>
    </w:pPr>
    <w:rPr>
      <w:sz w:val="20"/>
      <w:lang w:eastAsia="en-GB"/>
    </w:rPr>
  </w:style>
  <w:style w:type="character" w:customStyle="1" w:styleId="FootnoteTextChar">
    <w:name w:val="Footnote Text Char"/>
    <w:basedOn w:val="DefaultParagraphFont"/>
    <w:link w:val="FootnoteText"/>
    <w:uiPriority w:val="99"/>
    <w:semiHidden/>
    <w:rsid w:val="00DE65C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DE65C0"/>
    <w:rPr>
      <w:rFonts w:cs="Times New Roman"/>
      <w:vertAlign w:val="superscript"/>
    </w:rPr>
  </w:style>
  <w:style w:type="table" w:customStyle="1" w:styleId="TableGrid1">
    <w:name w:val="Table Grid1"/>
    <w:uiPriority w:val="99"/>
    <w:rsid w:val="00DE65C0"/>
    <w:pPr>
      <w:spacing w:after="0" w:line="240" w:lineRule="auto"/>
    </w:pPr>
    <w:rPr>
      <w:rFonts w:ascii="Arial" w:eastAsia="Times New Roman" w:hAnsi="Arial" w:cs="Times New Roman"/>
      <w:sz w:val="24"/>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DE65C0"/>
    <w:pPr>
      <w:ind w:left="720"/>
    </w:pPr>
    <w:rPr>
      <w:rFonts w:ascii="Calibri" w:hAnsi="Calibri"/>
      <w:szCs w:val="22"/>
      <w:lang w:eastAsia="en-GB"/>
    </w:rPr>
  </w:style>
  <w:style w:type="character" w:styleId="HTMLCite">
    <w:name w:val="HTML Cite"/>
    <w:basedOn w:val="DefaultParagraphFont"/>
    <w:uiPriority w:val="99"/>
    <w:semiHidden/>
    <w:rsid w:val="00DE65C0"/>
    <w:rPr>
      <w:rFonts w:cs="Times New Roman"/>
      <w:i/>
      <w:iCs/>
    </w:rPr>
  </w:style>
  <w:style w:type="character" w:customStyle="1" w:styleId="DefaultChar">
    <w:name w:val="Default Char"/>
    <w:basedOn w:val="DefaultParagraphFont"/>
    <w:link w:val="Default"/>
    <w:locked/>
    <w:rsid w:val="00DE65C0"/>
    <w:rPr>
      <w:rFonts w:ascii="Arial" w:eastAsia="Times New Roman" w:hAnsi="Arial" w:cs="Arial"/>
      <w:color w:val="000000"/>
      <w:sz w:val="24"/>
      <w:szCs w:val="24"/>
      <w:lang w:eastAsia="en-GB"/>
    </w:rPr>
  </w:style>
  <w:style w:type="character" w:customStyle="1" w:styleId="EmailStyle42">
    <w:name w:val="EmailStyle42"/>
    <w:basedOn w:val="DefaultParagraphFont"/>
    <w:uiPriority w:val="99"/>
    <w:semiHidden/>
    <w:rsid w:val="00DE65C0"/>
    <w:rPr>
      <w:rFonts w:ascii="Arial" w:hAnsi="Arial" w:cs="Arial"/>
      <w:color w:val="000080"/>
      <w:sz w:val="20"/>
      <w:szCs w:val="20"/>
    </w:rPr>
  </w:style>
  <w:style w:type="character" w:customStyle="1" w:styleId="A3">
    <w:name w:val="A3"/>
    <w:uiPriority w:val="99"/>
    <w:rsid w:val="00DE65C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076">
      <w:bodyDiv w:val="1"/>
      <w:marLeft w:val="0"/>
      <w:marRight w:val="0"/>
      <w:marTop w:val="0"/>
      <w:marBottom w:val="0"/>
      <w:divBdr>
        <w:top w:val="none" w:sz="0" w:space="0" w:color="auto"/>
        <w:left w:val="none" w:sz="0" w:space="0" w:color="auto"/>
        <w:bottom w:val="none" w:sz="0" w:space="0" w:color="auto"/>
        <w:right w:val="none" w:sz="0" w:space="0" w:color="auto"/>
      </w:divBdr>
    </w:div>
    <w:div w:id="83578705">
      <w:bodyDiv w:val="1"/>
      <w:marLeft w:val="0"/>
      <w:marRight w:val="0"/>
      <w:marTop w:val="0"/>
      <w:marBottom w:val="0"/>
      <w:divBdr>
        <w:top w:val="none" w:sz="0" w:space="0" w:color="auto"/>
        <w:left w:val="none" w:sz="0" w:space="0" w:color="auto"/>
        <w:bottom w:val="none" w:sz="0" w:space="0" w:color="auto"/>
        <w:right w:val="none" w:sz="0" w:space="0" w:color="auto"/>
      </w:divBdr>
    </w:div>
    <w:div w:id="12415667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13002974">
      <w:bodyDiv w:val="1"/>
      <w:marLeft w:val="0"/>
      <w:marRight w:val="0"/>
      <w:marTop w:val="0"/>
      <w:marBottom w:val="0"/>
      <w:divBdr>
        <w:top w:val="none" w:sz="0" w:space="0" w:color="auto"/>
        <w:left w:val="none" w:sz="0" w:space="0" w:color="auto"/>
        <w:bottom w:val="none" w:sz="0" w:space="0" w:color="auto"/>
        <w:right w:val="none" w:sz="0" w:space="0" w:color="auto"/>
      </w:divBdr>
    </w:div>
    <w:div w:id="357237629">
      <w:bodyDiv w:val="1"/>
      <w:marLeft w:val="0"/>
      <w:marRight w:val="0"/>
      <w:marTop w:val="0"/>
      <w:marBottom w:val="0"/>
      <w:divBdr>
        <w:top w:val="none" w:sz="0" w:space="0" w:color="auto"/>
        <w:left w:val="none" w:sz="0" w:space="0" w:color="auto"/>
        <w:bottom w:val="none" w:sz="0" w:space="0" w:color="auto"/>
        <w:right w:val="none" w:sz="0" w:space="0" w:color="auto"/>
      </w:divBdr>
    </w:div>
    <w:div w:id="402022396">
      <w:bodyDiv w:val="1"/>
      <w:marLeft w:val="0"/>
      <w:marRight w:val="0"/>
      <w:marTop w:val="0"/>
      <w:marBottom w:val="0"/>
      <w:divBdr>
        <w:top w:val="none" w:sz="0" w:space="0" w:color="auto"/>
        <w:left w:val="none" w:sz="0" w:space="0" w:color="auto"/>
        <w:bottom w:val="none" w:sz="0" w:space="0" w:color="auto"/>
        <w:right w:val="none" w:sz="0" w:space="0" w:color="auto"/>
      </w:divBdr>
    </w:div>
    <w:div w:id="462231145">
      <w:bodyDiv w:val="1"/>
      <w:marLeft w:val="0"/>
      <w:marRight w:val="0"/>
      <w:marTop w:val="0"/>
      <w:marBottom w:val="0"/>
      <w:divBdr>
        <w:top w:val="none" w:sz="0" w:space="0" w:color="auto"/>
        <w:left w:val="none" w:sz="0" w:space="0" w:color="auto"/>
        <w:bottom w:val="none" w:sz="0" w:space="0" w:color="auto"/>
        <w:right w:val="none" w:sz="0" w:space="0" w:color="auto"/>
      </w:divBdr>
    </w:div>
    <w:div w:id="554201265">
      <w:bodyDiv w:val="1"/>
      <w:marLeft w:val="0"/>
      <w:marRight w:val="0"/>
      <w:marTop w:val="0"/>
      <w:marBottom w:val="0"/>
      <w:divBdr>
        <w:top w:val="none" w:sz="0" w:space="0" w:color="auto"/>
        <w:left w:val="none" w:sz="0" w:space="0" w:color="auto"/>
        <w:bottom w:val="none" w:sz="0" w:space="0" w:color="auto"/>
        <w:right w:val="none" w:sz="0" w:space="0" w:color="auto"/>
      </w:divBdr>
    </w:div>
    <w:div w:id="557522276">
      <w:bodyDiv w:val="1"/>
      <w:marLeft w:val="0"/>
      <w:marRight w:val="0"/>
      <w:marTop w:val="0"/>
      <w:marBottom w:val="0"/>
      <w:divBdr>
        <w:top w:val="none" w:sz="0" w:space="0" w:color="auto"/>
        <w:left w:val="none" w:sz="0" w:space="0" w:color="auto"/>
        <w:bottom w:val="none" w:sz="0" w:space="0" w:color="auto"/>
        <w:right w:val="none" w:sz="0" w:space="0" w:color="auto"/>
      </w:divBdr>
    </w:div>
    <w:div w:id="610162808">
      <w:bodyDiv w:val="1"/>
      <w:marLeft w:val="0"/>
      <w:marRight w:val="0"/>
      <w:marTop w:val="0"/>
      <w:marBottom w:val="0"/>
      <w:divBdr>
        <w:top w:val="none" w:sz="0" w:space="0" w:color="auto"/>
        <w:left w:val="none" w:sz="0" w:space="0" w:color="auto"/>
        <w:bottom w:val="none" w:sz="0" w:space="0" w:color="auto"/>
        <w:right w:val="none" w:sz="0" w:space="0" w:color="auto"/>
      </w:divBdr>
    </w:div>
    <w:div w:id="669674612">
      <w:bodyDiv w:val="1"/>
      <w:marLeft w:val="0"/>
      <w:marRight w:val="0"/>
      <w:marTop w:val="0"/>
      <w:marBottom w:val="0"/>
      <w:divBdr>
        <w:top w:val="none" w:sz="0" w:space="0" w:color="auto"/>
        <w:left w:val="none" w:sz="0" w:space="0" w:color="auto"/>
        <w:bottom w:val="none" w:sz="0" w:space="0" w:color="auto"/>
        <w:right w:val="none" w:sz="0" w:space="0" w:color="auto"/>
      </w:divBdr>
    </w:div>
    <w:div w:id="1018238346">
      <w:bodyDiv w:val="1"/>
      <w:marLeft w:val="0"/>
      <w:marRight w:val="0"/>
      <w:marTop w:val="0"/>
      <w:marBottom w:val="0"/>
      <w:divBdr>
        <w:top w:val="none" w:sz="0" w:space="0" w:color="auto"/>
        <w:left w:val="none" w:sz="0" w:space="0" w:color="auto"/>
        <w:bottom w:val="none" w:sz="0" w:space="0" w:color="auto"/>
        <w:right w:val="none" w:sz="0" w:space="0" w:color="auto"/>
      </w:divBdr>
    </w:div>
    <w:div w:id="1053849540">
      <w:bodyDiv w:val="1"/>
      <w:marLeft w:val="0"/>
      <w:marRight w:val="0"/>
      <w:marTop w:val="0"/>
      <w:marBottom w:val="0"/>
      <w:divBdr>
        <w:top w:val="none" w:sz="0" w:space="0" w:color="auto"/>
        <w:left w:val="none" w:sz="0" w:space="0" w:color="auto"/>
        <w:bottom w:val="none" w:sz="0" w:space="0" w:color="auto"/>
        <w:right w:val="none" w:sz="0" w:space="0" w:color="auto"/>
      </w:divBdr>
    </w:div>
    <w:div w:id="1232083999">
      <w:bodyDiv w:val="1"/>
      <w:marLeft w:val="0"/>
      <w:marRight w:val="0"/>
      <w:marTop w:val="0"/>
      <w:marBottom w:val="0"/>
      <w:divBdr>
        <w:top w:val="none" w:sz="0" w:space="0" w:color="auto"/>
        <w:left w:val="none" w:sz="0" w:space="0" w:color="auto"/>
        <w:bottom w:val="none" w:sz="0" w:space="0" w:color="auto"/>
        <w:right w:val="none" w:sz="0" w:space="0" w:color="auto"/>
      </w:divBdr>
    </w:div>
    <w:div w:id="1285035547">
      <w:bodyDiv w:val="1"/>
      <w:marLeft w:val="0"/>
      <w:marRight w:val="0"/>
      <w:marTop w:val="0"/>
      <w:marBottom w:val="0"/>
      <w:divBdr>
        <w:top w:val="none" w:sz="0" w:space="0" w:color="auto"/>
        <w:left w:val="none" w:sz="0" w:space="0" w:color="auto"/>
        <w:bottom w:val="none" w:sz="0" w:space="0" w:color="auto"/>
        <w:right w:val="none" w:sz="0" w:space="0" w:color="auto"/>
      </w:divBdr>
    </w:div>
    <w:div w:id="1431658754">
      <w:bodyDiv w:val="1"/>
      <w:marLeft w:val="0"/>
      <w:marRight w:val="0"/>
      <w:marTop w:val="0"/>
      <w:marBottom w:val="0"/>
      <w:divBdr>
        <w:top w:val="none" w:sz="0" w:space="0" w:color="auto"/>
        <w:left w:val="none" w:sz="0" w:space="0" w:color="auto"/>
        <w:bottom w:val="none" w:sz="0" w:space="0" w:color="auto"/>
        <w:right w:val="none" w:sz="0" w:space="0" w:color="auto"/>
      </w:divBdr>
    </w:div>
    <w:div w:id="1452357359">
      <w:bodyDiv w:val="1"/>
      <w:marLeft w:val="0"/>
      <w:marRight w:val="0"/>
      <w:marTop w:val="0"/>
      <w:marBottom w:val="0"/>
      <w:divBdr>
        <w:top w:val="none" w:sz="0" w:space="0" w:color="auto"/>
        <w:left w:val="none" w:sz="0" w:space="0" w:color="auto"/>
        <w:bottom w:val="none" w:sz="0" w:space="0" w:color="auto"/>
        <w:right w:val="none" w:sz="0" w:space="0" w:color="auto"/>
      </w:divBdr>
    </w:div>
    <w:div w:id="1603108024">
      <w:bodyDiv w:val="1"/>
      <w:marLeft w:val="0"/>
      <w:marRight w:val="0"/>
      <w:marTop w:val="0"/>
      <w:marBottom w:val="0"/>
      <w:divBdr>
        <w:top w:val="none" w:sz="0" w:space="0" w:color="auto"/>
        <w:left w:val="none" w:sz="0" w:space="0" w:color="auto"/>
        <w:bottom w:val="none" w:sz="0" w:space="0" w:color="auto"/>
        <w:right w:val="none" w:sz="0" w:space="0" w:color="auto"/>
      </w:divBdr>
    </w:div>
    <w:div w:id="1667434509">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705128640">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90857033">
      <w:bodyDiv w:val="1"/>
      <w:marLeft w:val="0"/>
      <w:marRight w:val="0"/>
      <w:marTop w:val="0"/>
      <w:marBottom w:val="0"/>
      <w:divBdr>
        <w:top w:val="none" w:sz="0" w:space="0" w:color="auto"/>
        <w:left w:val="none" w:sz="0" w:space="0" w:color="auto"/>
        <w:bottom w:val="none" w:sz="0" w:space="0" w:color="auto"/>
        <w:right w:val="none" w:sz="0" w:space="0" w:color="auto"/>
      </w:divBdr>
    </w:div>
    <w:div w:id="1837577203">
      <w:bodyDiv w:val="1"/>
      <w:marLeft w:val="0"/>
      <w:marRight w:val="0"/>
      <w:marTop w:val="0"/>
      <w:marBottom w:val="0"/>
      <w:divBdr>
        <w:top w:val="none" w:sz="0" w:space="0" w:color="auto"/>
        <w:left w:val="none" w:sz="0" w:space="0" w:color="auto"/>
        <w:bottom w:val="none" w:sz="0" w:space="0" w:color="auto"/>
        <w:right w:val="none" w:sz="0" w:space="0" w:color="auto"/>
      </w:divBdr>
    </w:div>
    <w:div w:id="1962296308">
      <w:bodyDiv w:val="1"/>
      <w:marLeft w:val="0"/>
      <w:marRight w:val="0"/>
      <w:marTop w:val="0"/>
      <w:marBottom w:val="0"/>
      <w:divBdr>
        <w:top w:val="none" w:sz="0" w:space="0" w:color="auto"/>
        <w:left w:val="none" w:sz="0" w:space="0" w:color="auto"/>
        <w:bottom w:val="none" w:sz="0" w:space="0" w:color="auto"/>
        <w:right w:val="none" w:sz="0" w:space="0" w:color="auto"/>
      </w:divBdr>
    </w:div>
    <w:div w:id="2002269538">
      <w:bodyDiv w:val="1"/>
      <w:marLeft w:val="0"/>
      <w:marRight w:val="0"/>
      <w:marTop w:val="0"/>
      <w:marBottom w:val="0"/>
      <w:divBdr>
        <w:top w:val="none" w:sz="0" w:space="0" w:color="auto"/>
        <w:left w:val="none" w:sz="0" w:space="0" w:color="auto"/>
        <w:bottom w:val="none" w:sz="0" w:space="0" w:color="auto"/>
        <w:right w:val="none" w:sz="0" w:space="0" w:color="auto"/>
      </w:divBdr>
    </w:div>
    <w:div w:id="2017531423">
      <w:bodyDiv w:val="1"/>
      <w:marLeft w:val="0"/>
      <w:marRight w:val="0"/>
      <w:marTop w:val="0"/>
      <w:marBottom w:val="0"/>
      <w:divBdr>
        <w:top w:val="none" w:sz="0" w:space="0" w:color="auto"/>
        <w:left w:val="none" w:sz="0" w:space="0" w:color="auto"/>
        <w:bottom w:val="none" w:sz="0" w:space="0" w:color="auto"/>
        <w:right w:val="none" w:sz="0" w:space="0" w:color="auto"/>
      </w:divBdr>
    </w:div>
    <w:div w:id="2111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cid:image002.jpg@01D5B59A.C6EB2D3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cid:image006.jpg@01D5B59A.C6EB2D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88D3-BDBC-484F-A076-CB97DA13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4200</Words>
  <Characters>23944</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cummingsl</dc:creator>
  <cp:lastModifiedBy>Liane McGrath</cp:lastModifiedBy>
  <cp:revision>2</cp:revision>
  <cp:lastPrinted>2019-11-13T09:42:00Z</cp:lastPrinted>
  <dcterms:created xsi:type="dcterms:W3CDTF">2020-01-21T10:59:00Z</dcterms:created>
  <dcterms:modified xsi:type="dcterms:W3CDTF">2020-01-21T10:59:00Z</dcterms:modified>
</cp:coreProperties>
</file>